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D8346" w14:textId="77777777" w:rsidR="002B10A6" w:rsidRDefault="002B10A6">
      <w:pPr>
        <w:pStyle w:val="Normal0"/>
        <w:sectPr w:rsidR="002B10A6">
          <w:headerReference w:type="even" r:id="rId6"/>
          <w:headerReference w:type="default" r:id="rId7"/>
          <w:footerReference w:type="even" r:id="rId8"/>
          <w:footerReference w:type="default" r:id="rId9"/>
          <w:headerReference w:type="first" r:id="rId10"/>
          <w:footerReference w:type="first" r:id="rId11"/>
          <w:pgSz w:w="12240" w:h="15840"/>
          <w:pgMar w:top="840" w:right="1000" w:bottom="840" w:left="1000" w:header="400" w:footer="400" w:gutter="0"/>
          <w:cols w:space="720"/>
          <w:titlePg/>
        </w:sectPr>
      </w:pPr>
    </w:p>
    <w:p w14:paraId="19B1E6DA" w14:textId="77777777" w:rsidR="002B10A6" w:rsidRDefault="002B10A6">
      <w:pPr>
        <w:pStyle w:val="Normal0"/>
      </w:pPr>
    </w:p>
    <w:p w14:paraId="58F20B8A" w14:textId="77777777" w:rsidR="002B10A6" w:rsidRDefault="00000000">
      <w:pPr>
        <w:pStyle w:val="Heading1"/>
        <w:keepNext w:val="0"/>
        <w:widowControl w:val="0"/>
        <w:spacing w:after="200" w:line="340" w:lineRule="atLeast"/>
        <w:jc w:val="center"/>
      </w:pPr>
      <w:r>
        <w:rPr>
          <w:rFonts w:eastAsia="Arial"/>
          <w:color w:val="000000"/>
          <w:sz w:val="28"/>
        </w:rPr>
        <w:t>Hamilton v. Westchester Cty.</w:t>
      </w:r>
    </w:p>
    <w:p w14:paraId="58B19EDF" w14:textId="77777777" w:rsidR="002B10A6" w:rsidRDefault="00000000">
      <w:pPr>
        <w:pStyle w:val="Normal0"/>
        <w:widowControl w:val="0"/>
        <w:spacing w:before="120" w:line="260" w:lineRule="atLeast"/>
        <w:jc w:val="center"/>
      </w:pPr>
      <w:r>
        <w:rPr>
          <w:rFonts w:ascii="Arial" w:eastAsia="Arial" w:hAnsi="Arial" w:cs="Arial"/>
          <w:color w:val="000000"/>
          <w:sz w:val="20"/>
        </w:rPr>
        <w:t>United States Court of Appeals for the Second Circuit</w:t>
      </w:r>
    </w:p>
    <w:p w14:paraId="3128C6E0" w14:textId="77777777" w:rsidR="002B10A6" w:rsidRDefault="00000000">
      <w:pPr>
        <w:pStyle w:val="Normal0"/>
        <w:widowControl w:val="0"/>
        <w:spacing w:before="120" w:line="260" w:lineRule="atLeast"/>
        <w:jc w:val="center"/>
      </w:pPr>
      <w:r>
        <w:rPr>
          <w:rFonts w:ascii="Arial" w:eastAsia="Arial" w:hAnsi="Arial" w:cs="Arial"/>
          <w:color w:val="000000"/>
          <w:sz w:val="20"/>
        </w:rPr>
        <w:t>January 8, 2021, Argued; June 30, 2021, Decided</w:t>
      </w:r>
    </w:p>
    <w:p w14:paraId="04624E81" w14:textId="77777777" w:rsidR="002B10A6" w:rsidRDefault="00000000">
      <w:pPr>
        <w:pStyle w:val="Normal0"/>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Docket No. 20-1058-pr</w:t>
      </w:r>
    </w:p>
    <w:p w14:paraId="4A6A5725" w14:textId="77777777" w:rsidR="002B10A6" w:rsidRDefault="002B10A6">
      <w:pPr>
        <w:pStyle w:val="Normal0"/>
        <w:widowControl w:val="0"/>
        <w:spacing w:line="240" w:lineRule="atLeast"/>
        <w:jc w:val="both"/>
      </w:pPr>
      <w:bookmarkStart w:id="0" w:name="Bookmark_1"/>
      <w:bookmarkEnd w:id="0"/>
    </w:p>
    <w:p w14:paraId="6C9E0DB1" w14:textId="77777777" w:rsidR="002B10A6" w:rsidRDefault="00000000">
      <w:pPr>
        <w:pStyle w:val="Normal0"/>
        <w:widowControl w:val="0"/>
        <w:spacing w:before="200" w:line="240" w:lineRule="atLeast"/>
      </w:pPr>
      <w:bookmarkStart w:id="1" w:name="Reporter"/>
      <w:bookmarkEnd w:id="1"/>
      <w:r>
        <w:rPr>
          <w:rFonts w:ascii="Arial" w:eastAsia="Arial" w:hAnsi="Arial" w:cs="Arial"/>
          <w:b/>
          <w:color w:val="000000"/>
          <w:sz w:val="18"/>
        </w:rPr>
        <w:t>Reporter</w:t>
      </w:r>
    </w:p>
    <w:p w14:paraId="068024AF" w14:textId="77777777" w:rsidR="002B10A6" w:rsidRDefault="00000000">
      <w:pPr>
        <w:pStyle w:val="Normal0"/>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3 F.4th 86 *; 2021 U.S. App. LEXIS 19407 **</w:t>
      </w:r>
    </w:p>
    <w:p w14:paraId="7D0BF7E8" w14:textId="77777777" w:rsidR="002B10A6" w:rsidRDefault="00000000">
      <w:pPr>
        <w:pStyle w:val="Normal0"/>
        <w:widowControl w:val="0"/>
        <w:spacing w:before="120" w:line="260" w:lineRule="atLeast"/>
      </w:pPr>
      <w:r>
        <w:rPr>
          <w:rFonts w:ascii="Arial" w:eastAsia="Arial" w:hAnsi="Arial" w:cs="Arial"/>
          <w:color w:val="000000"/>
          <w:sz w:val="20"/>
        </w:rPr>
        <w:t>DAVONTE HAMILTON, Plaintiff-Appellant, v. WESTCHESTER COUNTY, RAUL ULLOA, Medical Director, JOSEPH K. SPANO, Westchester County Department of Corrections Commissioner, FRANCIS DELGROSSO, Assistant Warden, KARL VOLLMER, Assistant Warden, LEANDRO DIAZ, Acting Deputy Commissioner, CORRECT CARE SOLUTIONS, LLC, Defendants-Appellees.</w:t>
      </w:r>
    </w:p>
    <w:p w14:paraId="4F32712C" w14:textId="77777777" w:rsidR="002B10A6" w:rsidRDefault="00000000">
      <w:pPr>
        <w:pStyle w:val="Normal0"/>
        <w:widowControl w:val="0"/>
        <w:spacing w:before="240" w:line="260" w:lineRule="atLeast"/>
        <w:jc w:val="both"/>
      </w:pPr>
      <w:bookmarkStart w:id="2" w:name="Prior_History"/>
      <w:bookmarkEnd w:id="2"/>
      <w:r>
        <w:rPr>
          <w:rFonts w:ascii="Arial" w:eastAsia="Arial" w:hAnsi="Arial" w:cs="Arial"/>
          <w:b/>
          <w:color w:val="000000"/>
          <w:sz w:val="20"/>
        </w:rPr>
        <w:t>Prior History:</w:t>
      </w:r>
      <w:r>
        <w:rPr>
          <w:rFonts w:ascii="Arial" w:eastAsia="Arial" w:hAnsi="Arial" w:cs="Arial"/>
          <w:color w:val="000000"/>
          <w:sz w:val="20"/>
        </w:rPr>
        <w:t> </w:t>
      </w:r>
      <w:bookmarkStart w:id="3" w:name="Bookmark_para_1"/>
      <w:bookmarkEnd w:id="3"/>
      <w:r>
        <w:rPr>
          <w:rFonts w:ascii="Arial" w:eastAsia="Arial" w:hAnsi="Arial" w:cs="Arial"/>
          <w:color w:val="000000"/>
          <w:sz w:val="20"/>
        </w:rPr>
        <w:t> [**1] ON APPEAL FROM THE UNITED STATES DISTRICT COURT FOR THE SOUTHERN DISTRICT OF NEW YORK.</w:t>
      </w:r>
    </w:p>
    <w:p w14:paraId="5D2C826B" w14:textId="77777777" w:rsidR="002B10A6" w:rsidRDefault="00000000">
      <w:pPr>
        <w:pStyle w:val="Normal0"/>
        <w:widowControl w:val="0"/>
        <w:spacing w:before="200" w:line="260" w:lineRule="atLeast"/>
        <w:jc w:val="both"/>
      </w:pPr>
      <w:bookmarkStart w:id="4" w:name="Bookmark_para_2"/>
      <w:bookmarkEnd w:id="4"/>
      <w:r>
        <w:rPr>
          <w:rFonts w:ascii="Arial" w:eastAsia="Arial" w:hAnsi="Arial" w:cs="Arial"/>
          <w:color w:val="000000"/>
          <w:sz w:val="20"/>
        </w:rPr>
        <w:t>Appeal from an opinion and order of the United States District Court for the Southern District of New York (Román, J.), dismissing an inmate's claims under 42 U.S.C. § 1983 and the Americans with Disabilities Act of 1990, 42 U.S.C. § 12101 et seq., pursuant to Rule 12(b)(6) of the Federal Rules of Civil Procedure. The district court dismissed the disabilities claim solely on the basis that the inmate's injuries, which were temporary in nature, did not qualify as a "disability" under the statute.</w:t>
      </w:r>
    </w:p>
    <w:p w14:paraId="0F94301F" w14:textId="77777777" w:rsidR="002B10A6" w:rsidRDefault="00000000">
      <w:pPr>
        <w:pStyle w:val="Normal0"/>
        <w:widowControl w:val="0"/>
        <w:spacing w:before="240" w:line="260" w:lineRule="atLeast"/>
        <w:jc w:val="both"/>
      </w:pPr>
      <w:bookmarkStart w:id="5" w:name="Disposition"/>
      <w:bookmarkEnd w:id="5"/>
      <w:r>
        <w:rPr>
          <w:rFonts w:ascii="Arial" w:eastAsia="Arial" w:hAnsi="Arial" w:cs="Arial"/>
          <w:b/>
          <w:color w:val="000000"/>
          <w:sz w:val="20"/>
        </w:rPr>
        <w:t>Disposition:</w:t>
      </w:r>
      <w:r>
        <w:rPr>
          <w:rFonts w:ascii="Arial" w:eastAsia="Arial" w:hAnsi="Arial" w:cs="Arial"/>
          <w:color w:val="000000"/>
          <w:sz w:val="20"/>
        </w:rPr>
        <w:t> </w:t>
      </w:r>
      <w:bookmarkStart w:id="6" w:name="Bookmark_clspara_4"/>
      <w:bookmarkEnd w:id="6"/>
      <w:r>
        <w:rPr>
          <w:rFonts w:ascii="Arial" w:eastAsia="Arial" w:hAnsi="Arial" w:cs="Arial"/>
          <w:color w:val="000000"/>
          <w:sz w:val="20"/>
        </w:rPr>
        <w:t>AFFIRMED in part, VACATED in part, and REMANDED.</w:t>
      </w:r>
    </w:p>
    <w:p w14:paraId="4306C24B" w14:textId="77777777" w:rsidR="002B10A6" w:rsidRDefault="00000000">
      <w:pPr>
        <w:pStyle w:val="Normal0"/>
        <w:widowControl w:val="0"/>
        <w:spacing w:before="240" w:line="260" w:lineRule="atLeast"/>
      </w:pPr>
      <w:bookmarkStart w:id="7" w:name="Counsel"/>
      <w:bookmarkEnd w:id="7"/>
      <w:r>
        <w:rPr>
          <w:rFonts w:ascii="Arial" w:eastAsia="Arial" w:hAnsi="Arial" w:cs="Arial"/>
          <w:b/>
          <w:color w:val="000000"/>
          <w:sz w:val="20"/>
        </w:rPr>
        <w:t>Counsel:</w:t>
      </w:r>
      <w:r>
        <w:rPr>
          <w:rFonts w:ascii="Arial" w:eastAsia="Arial" w:hAnsi="Arial" w:cs="Arial"/>
          <w:color w:val="000000"/>
          <w:sz w:val="20"/>
        </w:rPr>
        <w:t> TAMARA LIVSHIZ, Wachtell, Lipton, Rosen &amp; Katz, New York, New York (Samuel Weiss and Kelly Jo Popkin, Rights Behind Bars, Washington, D.C., and Brooklyn, New York, on the brief), for Plaintiff-Appellant.</w:t>
      </w:r>
    </w:p>
    <w:p w14:paraId="75589773" w14:textId="77777777" w:rsidR="002B10A6" w:rsidRDefault="00000000">
      <w:pPr>
        <w:pStyle w:val="Normal0"/>
        <w:widowControl w:val="0"/>
        <w:spacing w:before="120" w:line="260" w:lineRule="atLeast"/>
      </w:pPr>
      <w:r>
        <w:rPr>
          <w:rFonts w:ascii="Arial" w:eastAsia="Arial" w:hAnsi="Arial" w:cs="Arial"/>
          <w:color w:val="000000"/>
          <w:sz w:val="20"/>
        </w:rPr>
        <w:t>JUSTIN R. ADIN, Deputy County Attorney, for John M. Nonna, Westchester County Attorney, White Plains, New York, for Defendants-Appellees Westchester County, Joseph K. Spano, Francis Delgrosso, Karl Vollmer, and Leandro Diaz.</w:t>
      </w:r>
    </w:p>
    <w:p w14:paraId="62B71FAB" w14:textId="77777777" w:rsidR="002B10A6" w:rsidRDefault="00000000">
      <w:pPr>
        <w:pStyle w:val="Normal0"/>
        <w:widowControl w:val="0"/>
        <w:spacing w:before="120" w:line="260" w:lineRule="atLeast"/>
      </w:pPr>
      <w:r>
        <w:rPr>
          <w:rFonts w:ascii="Arial" w:eastAsia="Arial" w:hAnsi="Arial" w:cs="Arial"/>
          <w:color w:val="000000"/>
          <w:sz w:val="20"/>
        </w:rPr>
        <w:t>PAUL A. SANDERS, Barclay Damon LLP, Rochester, New York, for Defendants-Appellees Correct Care Solutions, LLC, Raul Ulloa, and Westchester County.</w:t>
      </w:r>
    </w:p>
    <w:p w14:paraId="2646DDEE" w14:textId="77777777" w:rsidR="002B10A6" w:rsidRDefault="00000000">
      <w:pPr>
        <w:pStyle w:val="Normal0"/>
        <w:widowControl w:val="0"/>
        <w:spacing w:before="240" w:line="260" w:lineRule="atLeast"/>
      </w:pPr>
      <w:bookmarkStart w:id="8" w:name="Judges"/>
      <w:bookmarkEnd w:id="8"/>
      <w:r>
        <w:rPr>
          <w:rFonts w:ascii="Arial" w:eastAsia="Arial" w:hAnsi="Arial" w:cs="Arial"/>
          <w:b/>
          <w:color w:val="000000"/>
          <w:sz w:val="20"/>
        </w:rPr>
        <w:t>Judges:</w:t>
      </w:r>
      <w:r>
        <w:rPr>
          <w:rFonts w:ascii="Arial" w:eastAsia="Arial" w:hAnsi="Arial" w:cs="Arial"/>
          <w:color w:val="000000"/>
          <w:sz w:val="20"/>
        </w:rPr>
        <w:t> Before: CALABRESI, RAGGI, AND CHIN, Circuit Judges.</w:t>
      </w:r>
    </w:p>
    <w:p w14:paraId="07BCC224" w14:textId="77777777" w:rsidR="002B10A6" w:rsidRDefault="00000000">
      <w:pPr>
        <w:pStyle w:val="Normal0"/>
        <w:widowControl w:val="0"/>
        <w:spacing w:before="240" w:line="260" w:lineRule="atLeast"/>
      </w:pPr>
      <w:bookmarkStart w:id="9" w:name="Opinion_by"/>
      <w:bookmarkEnd w:id="9"/>
      <w:r>
        <w:rPr>
          <w:rFonts w:ascii="Arial" w:eastAsia="Arial" w:hAnsi="Arial" w:cs="Arial"/>
          <w:b/>
          <w:color w:val="000000"/>
          <w:sz w:val="20"/>
        </w:rPr>
        <w:t>Opinion by:</w:t>
      </w:r>
      <w:r>
        <w:rPr>
          <w:rFonts w:ascii="Arial" w:eastAsia="Arial" w:hAnsi="Arial" w:cs="Arial"/>
          <w:color w:val="000000"/>
          <w:sz w:val="20"/>
        </w:rPr>
        <w:t> CHIN</w:t>
      </w:r>
    </w:p>
    <w:p w14:paraId="6F7087E9" w14:textId="77777777" w:rsidR="002B10A6" w:rsidRDefault="00000000">
      <w:pPr>
        <w:pStyle w:val="Normal0"/>
        <w:keepNext/>
        <w:widowControl w:val="0"/>
        <w:spacing w:before="240" w:line="340" w:lineRule="atLeast"/>
      </w:pPr>
      <w:bookmarkStart w:id="10" w:name="Opinion"/>
      <w:bookmarkEnd w:id="10"/>
      <w:r>
        <w:rPr>
          <w:rFonts w:ascii="Arial" w:eastAsia="Arial" w:hAnsi="Arial" w:cs="Arial"/>
          <w:b/>
          <w:color w:val="000000"/>
          <w:sz w:val="28"/>
        </w:rPr>
        <w:t>Opinion</w:t>
      </w:r>
    </w:p>
    <w:p w14:paraId="4B1AF59F" w14:textId="38395C9E" w:rsidR="002B10A6" w:rsidRDefault="002D6974">
      <w:pPr>
        <w:pStyle w:val="Normal0"/>
        <w:spacing w:line="60" w:lineRule="exact"/>
      </w:pPr>
      <w:r>
        <w:rPr>
          <w:noProof/>
        </w:rPr>
        <mc:AlternateContent>
          <mc:Choice Requires="wps">
            <w:drawing>
              <wp:anchor distT="0" distB="0" distL="114300" distR="114300" simplePos="0" relativeHeight="251658240" behindDoc="0" locked="0" layoutInCell="1" allowOverlap="1" wp14:anchorId="2865F467" wp14:editId="4CDC3DBD">
                <wp:simplePos x="0" y="0"/>
                <wp:positionH relativeFrom="column">
                  <wp:posOffset>0</wp:posOffset>
                </wp:positionH>
                <wp:positionV relativeFrom="paragraph">
                  <wp:posOffset>25400</wp:posOffset>
                </wp:positionV>
                <wp:extent cx="3187700" cy="0"/>
                <wp:effectExtent l="21590" t="15875" r="19685" b="12700"/>
                <wp:wrapTopAndBottom/>
                <wp:docPr id="194529172"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7E8136" id="Line 10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44DB7E4" w14:textId="77777777" w:rsidR="002B10A6" w:rsidRDefault="002B10A6">
      <w:pPr>
        <w:pStyle w:val="Normal0"/>
      </w:pPr>
    </w:p>
    <w:p w14:paraId="14948B95" w14:textId="77777777" w:rsidR="002B10A6" w:rsidRDefault="00000000">
      <w:pPr>
        <w:pStyle w:val="Normal0"/>
        <w:widowControl w:val="0"/>
        <w:spacing w:before="200" w:line="260" w:lineRule="atLeast"/>
        <w:jc w:val="both"/>
      </w:pPr>
      <w:bookmarkStart w:id="11" w:name="Bookmark_para_3"/>
      <w:bookmarkEnd w:id="11"/>
      <w:r>
        <w:rPr>
          <w:rFonts w:ascii="Arial" w:eastAsia="Arial" w:hAnsi="Arial" w:cs="Arial"/>
          <w:color w:val="000000"/>
          <w:sz w:val="20"/>
        </w:rPr>
        <w:t xml:space="preserve"> [*88]  </w:t>
      </w:r>
      <w:r>
        <w:rPr>
          <w:rFonts w:ascii="Arial" w:eastAsia="Arial" w:hAnsi="Arial" w:cs="Arial"/>
          <w:smallCaps/>
          <w:color w:val="000000"/>
          <w:sz w:val="20"/>
        </w:rPr>
        <w:t>Chin</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w:t>
      </w:r>
    </w:p>
    <w:p w14:paraId="21BBA03B" w14:textId="77777777" w:rsidR="002B10A6" w:rsidRDefault="00000000">
      <w:pPr>
        <w:pStyle w:val="Normal0"/>
        <w:widowControl w:val="0"/>
        <w:spacing w:before="200" w:line="260" w:lineRule="atLeast"/>
        <w:jc w:val="both"/>
      </w:pPr>
      <w:bookmarkStart w:id="12" w:name="Bookmark_para_4"/>
      <w:bookmarkEnd w:id="12"/>
      <w:r>
        <w:rPr>
          <w:rFonts w:ascii="Arial" w:eastAsia="Arial" w:hAnsi="Arial" w:cs="Arial"/>
          <w:color w:val="000000"/>
          <w:sz w:val="20"/>
        </w:rPr>
        <w:t xml:space="preserve">In 2018, while incarcerated at the Westchester County [**2]  Jail (the "Jail"), plaintiff-appellant Davonte Hamilton dislocated his knee and tore his meniscus when he stepped on crumbled concrete in the recreational yard. Proceeding </w:t>
      </w:r>
      <w:r>
        <w:rPr>
          <w:rFonts w:ascii="Arial" w:eastAsia="Arial" w:hAnsi="Arial" w:cs="Arial"/>
          <w:i/>
          <w:color w:val="000000"/>
          <w:sz w:val="20"/>
        </w:rPr>
        <w:t>pro se</w:t>
      </w:r>
      <w:r>
        <w:rPr>
          <w:rFonts w:ascii="Arial" w:eastAsia="Arial" w:hAnsi="Arial" w:cs="Arial"/>
          <w:color w:val="000000"/>
          <w:sz w:val="20"/>
        </w:rPr>
        <w:t xml:space="preserve">, Hamilton filed suit in the Southern District of New York, bringing claims under 42 U.S.C. § 1983 and Title II of the Americans with Disabilities Act of 1990 (the "ADA"), 42 U.S.C. § 12101 </w:t>
      </w:r>
      <w:r>
        <w:rPr>
          <w:rFonts w:ascii="Arial" w:eastAsia="Arial" w:hAnsi="Arial" w:cs="Arial"/>
          <w:i/>
          <w:color w:val="000000"/>
          <w:sz w:val="20"/>
        </w:rPr>
        <w:t>et seq.</w:t>
      </w:r>
      <w:r>
        <w:rPr>
          <w:rFonts w:ascii="Arial" w:eastAsia="Arial" w:hAnsi="Arial" w:cs="Arial"/>
          <w:color w:val="000000"/>
          <w:sz w:val="20"/>
        </w:rPr>
        <w:t>, against defendants-appellants Westchester County (the "County") as well as certain County officials, Joseph K. Spano, Francis Delgrosso, Karl Vollmer, and Leandro Diaz (together with the County, the "County defendants"), and Correct Care Solutions, LLC ("CCS") and Dr. Raul Ulloa (together with CCS, the "medical defendants"), alleging deliberate indifference and failure to accommodate his disabilities.</w:t>
      </w:r>
    </w:p>
    <w:p w14:paraId="35FECDC0" w14:textId="77777777" w:rsidR="002B10A6" w:rsidRDefault="00000000">
      <w:pPr>
        <w:pStyle w:val="Normal0"/>
        <w:widowControl w:val="0"/>
        <w:spacing w:before="200" w:line="260" w:lineRule="atLeast"/>
        <w:jc w:val="both"/>
      </w:pPr>
      <w:bookmarkStart w:id="13" w:name="Bookmark_para_5"/>
      <w:bookmarkEnd w:id="13"/>
      <w:r>
        <w:rPr>
          <w:rFonts w:ascii="Arial" w:eastAsia="Arial" w:hAnsi="Arial" w:cs="Arial"/>
          <w:color w:val="000000"/>
          <w:sz w:val="20"/>
        </w:rPr>
        <w:t xml:space="preserve"> [*89]  Both sets of defendants filed motions to dismiss Hamilton's claims pursuant to Rule 12(b)(6) of the Federal Rules of Civil Procedure. The district court (Román, </w:t>
      </w:r>
      <w:r>
        <w:rPr>
          <w:rFonts w:ascii="Arial" w:eastAsia="Arial" w:hAnsi="Arial" w:cs="Arial"/>
          <w:i/>
          <w:color w:val="000000"/>
          <w:sz w:val="20"/>
        </w:rPr>
        <w:t>J.</w:t>
      </w:r>
      <w:r>
        <w:rPr>
          <w:rFonts w:ascii="Arial" w:eastAsia="Arial" w:hAnsi="Arial" w:cs="Arial"/>
          <w:color w:val="000000"/>
          <w:sz w:val="20"/>
        </w:rPr>
        <w:t>) granted the motions. As relevant here, in dismissing Hamilton's ADA claim against the County, the district court held that Hamilton had only alleged the existence of temporary injuries and thus had not plausibly alleged a "qualifying disability under the ADA." J. App'x at 29. The district court did not reach any of the other elements of Hamilton's ADA claim.</w:t>
      </w:r>
    </w:p>
    <w:p w14:paraId="0B28222F" w14:textId="77777777" w:rsidR="002B10A6" w:rsidRDefault="00000000">
      <w:pPr>
        <w:pStyle w:val="Normal0"/>
        <w:widowControl w:val="0"/>
        <w:spacing w:before="200" w:line="260" w:lineRule="atLeast"/>
        <w:jc w:val="both"/>
      </w:pPr>
      <w:bookmarkStart w:id="14" w:name="Bookmark_para_6"/>
      <w:bookmarkEnd w:id="14"/>
      <w:r>
        <w:rPr>
          <w:rFonts w:ascii="Arial" w:eastAsia="Arial" w:hAnsi="Arial" w:cs="Arial"/>
          <w:color w:val="000000"/>
          <w:sz w:val="20"/>
        </w:rPr>
        <w:t>As discussed more fully below, we conclude [**3]  that the district court erred in categorically excluding short-term injuries from qualifying as a "disability" under the ADA. Accordingly, we VACATE the district court's opinion and order to the extent it dismisses Hamilton's ADA claim against the County, we REMAND for further proceedings as to that claim only, and we AFFIRM the dismissal of all other claims.</w:t>
      </w:r>
      <w:r>
        <w:rPr>
          <w:rFonts w:ascii="Arial" w:eastAsia="Arial" w:hAnsi="Arial" w:cs="Arial"/>
          <w:vertAlign w:val="superscript"/>
        </w:rPr>
        <w:footnoteReference w:customMarkFollows="1" w:id="1"/>
        <w:t>1</w:t>
      </w:r>
    </w:p>
    <w:p w14:paraId="1DB419FA" w14:textId="77777777" w:rsidR="002B10A6" w:rsidRDefault="00000000">
      <w:pPr>
        <w:pStyle w:val="Normal0"/>
        <w:widowControl w:val="0"/>
        <w:spacing w:before="240" w:line="260" w:lineRule="atLeast"/>
      </w:pPr>
      <w:r>
        <w:br/>
      </w:r>
      <w:r>
        <w:rPr>
          <w:rFonts w:ascii="Arial" w:eastAsia="Arial" w:hAnsi="Arial" w:cs="Arial"/>
          <w:b/>
          <w:i/>
          <w:color w:val="000000"/>
          <w:sz w:val="20"/>
        </w:rPr>
        <w:t>BACKGROUND</w:t>
      </w:r>
    </w:p>
    <w:p w14:paraId="21554871" w14:textId="77777777" w:rsidR="002B10A6" w:rsidRDefault="00000000">
      <w:pPr>
        <w:pStyle w:val="Normal0"/>
        <w:widowControl w:val="0"/>
        <w:spacing w:before="200" w:line="260" w:lineRule="atLeast"/>
        <w:jc w:val="both"/>
      </w:pPr>
      <w:bookmarkStart w:id="16" w:name="Bookmark_para_7"/>
      <w:bookmarkStart w:id="17" w:name="Bookmark_I6329WWY2N1RRN0020000400"/>
      <w:bookmarkEnd w:id="16"/>
      <w:bookmarkEnd w:id="17"/>
      <w:r>
        <w:rPr>
          <w:rFonts w:ascii="Arial" w:eastAsia="Arial" w:hAnsi="Arial" w:cs="Arial"/>
          <w:color w:val="000000"/>
          <w:sz w:val="20"/>
        </w:rPr>
        <w:t xml:space="preserve">The following facts are drawn from Hamilton's complaint, and are assumed to be true. </w:t>
      </w:r>
      <w:r>
        <w:rPr>
          <w:rFonts w:ascii="Arial" w:eastAsia="Arial" w:hAnsi="Arial" w:cs="Arial"/>
          <w:i/>
          <w:color w:val="000000"/>
          <w:sz w:val="20"/>
        </w:rPr>
        <w:t xml:space="preserve">See </w:t>
      </w:r>
      <w:bookmarkStart w:id="18" w:name="Bookmark_I6329WWY2N1RRN0010000400"/>
      <w:bookmarkEnd w:id="18"/>
      <w:r>
        <w:rPr>
          <w:rFonts w:ascii="Arial" w:eastAsia="Arial" w:hAnsi="Arial" w:cs="Arial"/>
          <w:i/>
          <w:color w:val="000000"/>
          <w:sz w:val="20"/>
        </w:rPr>
        <w:t>Ricci v. Teamsters Union Local 456</w:t>
      </w:r>
      <w:r>
        <w:rPr>
          <w:rFonts w:ascii="Arial" w:eastAsia="Arial" w:hAnsi="Arial" w:cs="Arial"/>
          <w:color w:val="000000"/>
          <w:sz w:val="20"/>
        </w:rPr>
        <w:t>, 781 F.3d 25, 26 (2d Cir. 2015).</w:t>
      </w:r>
    </w:p>
    <w:p w14:paraId="5FC8C880" w14:textId="77777777" w:rsidR="002B10A6" w:rsidRDefault="00000000">
      <w:pPr>
        <w:pStyle w:val="Normal0"/>
        <w:widowControl w:val="0"/>
        <w:spacing w:before="200" w:line="260" w:lineRule="atLeast"/>
        <w:jc w:val="both"/>
      </w:pPr>
      <w:bookmarkStart w:id="19" w:name="Bookmark_para_8"/>
      <w:bookmarkEnd w:id="19"/>
      <w:r>
        <w:rPr>
          <w:rFonts w:ascii="Arial" w:eastAsia="Arial" w:hAnsi="Arial" w:cs="Arial"/>
          <w:color w:val="000000"/>
          <w:sz w:val="20"/>
        </w:rPr>
        <w:t xml:space="preserve">On August 21, 2018, while playing basketball in the recreational yard at the Jail, Hamilton stepped onto a crumbled piece of concrete, dislocating his knee and tearing his meniscus. On August 27, 2018, Hamilton received medical attention at the Westchester Medical Center (the "Medical Center"), which provided him with a "knee stabilizer" and recommended that he receive an "immediate MRI." J. App'x at 49. Ulloa, the medical director of CCS, the contractor responsible for treating Hamilton at the Jail, disregarded the recommendation, causing Hamilton's injury to "settle." </w:t>
      </w:r>
      <w:r>
        <w:rPr>
          <w:rFonts w:ascii="Arial" w:eastAsia="Arial" w:hAnsi="Arial" w:cs="Arial"/>
          <w:i/>
          <w:color w:val="000000"/>
          <w:sz w:val="20"/>
        </w:rPr>
        <w:t>Id.</w:t>
      </w:r>
      <w:r>
        <w:rPr>
          <w:rFonts w:ascii="Arial" w:eastAsia="Arial" w:hAnsi="Arial" w:cs="Arial"/>
          <w:color w:val="000000"/>
          <w:sz w:val="20"/>
        </w:rPr>
        <w:t xml:space="preserve"> Ulloa and CCS replaced his knee stabilizer with an elastic ace bandage, which failed to keep Hamilton's knee in alignment, resulting in "severe pain." </w:t>
      </w:r>
      <w:r>
        <w:rPr>
          <w:rFonts w:ascii="Arial" w:eastAsia="Arial" w:hAnsi="Arial" w:cs="Arial"/>
          <w:i/>
          <w:color w:val="000000"/>
          <w:sz w:val="20"/>
        </w:rPr>
        <w:t>Id.</w:t>
      </w:r>
    </w:p>
    <w:p w14:paraId="34C0D235" w14:textId="77777777" w:rsidR="002B10A6" w:rsidRDefault="00000000">
      <w:pPr>
        <w:pStyle w:val="Normal0"/>
        <w:widowControl w:val="0"/>
        <w:spacing w:before="200" w:line="260" w:lineRule="atLeast"/>
        <w:jc w:val="both"/>
      </w:pPr>
      <w:bookmarkStart w:id="20" w:name="Bookmark_para_9"/>
      <w:bookmarkEnd w:id="20"/>
      <w:r>
        <w:rPr>
          <w:rFonts w:ascii="Arial" w:eastAsia="Arial" w:hAnsi="Arial" w:cs="Arial"/>
          <w:color w:val="000000"/>
          <w:sz w:val="20"/>
        </w:rPr>
        <w:t xml:space="preserve">On or [**4]  about August 28, 2018, Hamilton filed a grievance about the dilapidated condition of the courtyard with "Sergeant Hollis." </w:t>
      </w:r>
      <w:r>
        <w:rPr>
          <w:rFonts w:ascii="Arial" w:eastAsia="Arial" w:hAnsi="Arial" w:cs="Arial"/>
          <w:i/>
          <w:color w:val="000000"/>
          <w:sz w:val="20"/>
        </w:rPr>
        <w:t>Id.</w:t>
      </w:r>
      <w:r>
        <w:rPr>
          <w:rFonts w:ascii="Arial" w:eastAsia="Arial" w:hAnsi="Arial" w:cs="Arial"/>
          <w:color w:val="000000"/>
          <w:sz w:val="20"/>
        </w:rPr>
        <w:t xml:space="preserve"> at 54. Sergeant Hollis accepted Hamilton's grievance regarding the courtyard but did not timely respond, prompting Hamilton to file an appeal with the Jail's "grievance coordinator, which was never answered or responded to." </w:t>
      </w:r>
      <w:r>
        <w:rPr>
          <w:rFonts w:ascii="Arial" w:eastAsia="Arial" w:hAnsi="Arial" w:cs="Arial"/>
          <w:i/>
          <w:color w:val="000000"/>
          <w:sz w:val="20"/>
        </w:rPr>
        <w:t>Id.</w:t>
      </w:r>
      <w:r>
        <w:rPr>
          <w:rFonts w:ascii="Arial" w:eastAsia="Arial" w:hAnsi="Arial" w:cs="Arial"/>
          <w:color w:val="000000"/>
          <w:sz w:val="20"/>
        </w:rPr>
        <w:t xml:space="preserve"> While the Jail closed the courtyard where Hamilton's injury occurred, it did not repair the courtyard floor, which had been in disrepair "for an extended duration (30 years)." </w:t>
      </w:r>
      <w:r>
        <w:rPr>
          <w:rFonts w:ascii="Arial" w:eastAsia="Arial" w:hAnsi="Arial" w:cs="Arial"/>
          <w:i/>
          <w:color w:val="000000"/>
          <w:sz w:val="20"/>
        </w:rPr>
        <w:t>Id.</w:t>
      </w:r>
      <w:r>
        <w:rPr>
          <w:rFonts w:ascii="Arial" w:eastAsia="Arial" w:hAnsi="Arial" w:cs="Arial"/>
          <w:color w:val="000000"/>
          <w:sz w:val="20"/>
        </w:rPr>
        <w:t xml:space="preserve"> at 45.</w:t>
      </w:r>
    </w:p>
    <w:p w14:paraId="644D10D2" w14:textId="77777777" w:rsidR="002B10A6" w:rsidRDefault="00000000">
      <w:pPr>
        <w:pStyle w:val="Normal0"/>
        <w:widowControl w:val="0"/>
        <w:spacing w:before="200" w:line="260" w:lineRule="atLeast"/>
        <w:jc w:val="both"/>
      </w:pPr>
      <w:bookmarkStart w:id="21" w:name="Bookmark_para_10"/>
      <w:bookmarkEnd w:id="21"/>
      <w:r>
        <w:rPr>
          <w:rFonts w:ascii="Arial" w:eastAsia="Arial" w:hAnsi="Arial" w:cs="Arial"/>
          <w:color w:val="000000"/>
          <w:sz w:val="20"/>
        </w:rPr>
        <w:t xml:space="preserve">After his injury, Hamilton had to use crutches, and felt both numbness and throbbing pain as he navigated the Jail with his "wobbling" knee. </w:t>
      </w:r>
      <w:r>
        <w:rPr>
          <w:rFonts w:ascii="Arial" w:eastAsia="Arial" w:hAnsi="Arial" w:cs="Arial"/>
          <w:i/>
          <w:color w:val="000000"/>
          <w:sz w:val="20"/>
        </w:rPr>
        <w:t>Id.</w:t>
      </w:r>
      <w:r>
        <w:rPr>
          <w:rFonts w:ascii="Arial" w:eastAsia="Arial" w:hAnsi="Arial" w:cs="Arial"/>
          <w:color w:val="000000"/>
          <w:sz w:val="20"/>
        </w:rPr>
        <w:t xml:space="preserve"> at 50. Because standing caused "excruciating pain" even with crutches, Hamilton had difficulty moving around his housing unit and his own cell, which, like the courtyard, had cracked and damaged concrete flooring. </w:t>
      </w:r>
      <w:r>
        <w:rPr>
          <w:rFonts w:ascii="Arial" w:eastAsia="Arial" w:hAnsi="Arial" w:cs="Arial"/>
          <w:i/>
          <w:color w:val="000000"/>
          <w:sz w:val="20"/>
        </w:rPr>
        <w:t>Id.</w:t>
      </w:r>
      <w:r>
        <w:rPr>
          <w:rFonts w:ascii="Arial" w:eastAsia="Arial" w:hAnsi="Arial" w:cs="Arial"/>
          <w:color w:val="000000"/>
          <w:sz w:val="20"/>
        </w:rPr>
        <w:t xml:space="preserve"> Because his housing unit lacked accessibility ramps and was accessible only through stairs, he could not go outside for recreational activities after his injury.</w:t>
      </w:r>
    </w:p>
    <w:p w14:paraId="7B8B32C2" w14:textId="77777777" w:rsidR="002B10A6" w:rsidRDefault="00000000">
      <w:pPr>
        <w:pStyle w:val="Normal0"/>
        <w:widowControl w:val="0"/>
        <w:spacing w:before="200" w:line="260" w:lineRule="atLeast"/>
        <w:jc w:val="both"/>
      </w:pPr>
      <w:bookmarkStart w:id="22" w:name="Bookmark_para_11"/>
      <w:bookmarkEnd w:id="22"/>
      <w:r>
        <w:rPr>
          <w:rFonts w:ascii="Arial" w:eastAsia="Arial" w:hAnsi="Arial" w:cs="Arial"/>
          <w:color w:val="000000"/>
          <w:sz w:val="20"/>
        </w:rPr>
        <w:t xml:space="preserve">Inside the housing unit, inmates also needed to climb over a two-and-a-half-foot step to get into the shower stalls. This caused Hamilton [**5]  "excruciating pain" when getting in and out of the shower. </w:t>
      </w:r>
      <w:r>
        <w:rPr>
          <w:rFonts w:ascii="Arial" w:eastAsia="Arial" w:hAnsi="Arial" w:cs="Arial"/>
          <w:i/>
          <w:color w:val="000000"/>
          <w:sz w:val="20"/>
        </w:rPr>
        <w:t>Id.</w:t>
      </w:r>
      <w:r>
        <w:rPr>
          <w:rFonts w:ascii="Arial" w:eastAsia="Arial" w:hAnsi="Arial" w:cs="Arial"/>
          <w:color w:val="000000"/>
          <w:sz w:val="20"/>
        </w:rPr>
        <w:t xml:space="preserve"> at 46. Once inside the stalls, it was "physically impractical" for Hamilton to clean himself, as he had to stand with his crutches in the shower, which lacked mats to provide traction on the slippery floors or benches or  [*90]  rails to assist disabled individuals. </w:t>
      </w:r>
      <w:r>
        <w:rPr>
          <w:rFonts w:ascii="Arial" w:eastAsia="Arial" w:hAnsi="Arial" w:cs="Arial"/>
          <w:i/>
          <w:color w:val="000000"/>
          <w:sz w:val="20"/>
        </w:rPr>
        <w:t>Id.</w:t>
      </w:r>
      <w:r>
        <w:rPr>
          <w:rFonts w:ascii="Arial" w:eastAsia="Arial" w:hAnsi="Arial" w:cs="Arial"/>
          <w:color w:val="000000"/>
          <w:sz w:val="20"/>
        </w:rPr>
        <w:t xml:space="preserve"> The showers also emitted heat and steam, which lingered in the housing unit due to inadequate ventilation. The trapped humidity made it difficult for Hamilton to breathe and covered the ceilings, including Hamilton's cell ceiling, in condensation that caused rusty water to fall on inmates' bodies, beds, and personal items.</w:t>
      </w:r>
    </w:p>
    <w:p w14:paraId="262740F4" w14:textId="77777777" w:rsidR="002B10A6" w:rsidRDefault="00000000">
      <w:pPr>
        <w:pStyle w:val="Normal0"/>
        <w:widowControl w:val="0"/>
        <w:spacing w:before="200" w:line="260" w:lineRule="atLeast"/>
        <w:jc w:val="both"/>
      </w:pPr>
      <w:bookmarkStart w:id="23" w:name="Bookmark_para_12"/>
      <w:bookmarkEnd w:id="23"/>
      <w:r>
        <w:rPr>
          <w:rFonts w:ascii="Arial" w:eastAsia="Arial" w:hAnsi="Arial" w:cs="Arial"/>
          <w:color w:val="000000"/>
          <w:sz w:val="20"/>
        </w:rPr>
        <w:t xml:space="preserve">"[T]hrough [Hamilton's] grievances, and other grievances filed for similar/identical claims or concerns," the County was on notice of: (1) the damaged flooring in the courtyard, (2) the poor conditions of the housing unit "1-East" (poor ventilation, damaged flooring, lack of benches or shower rails to assist disabled inmates), and (3) the two-and-a-half-foot step into the slippery shower stalls. </w:t>
      </w:r>
      <w:r>
        <w:rPr>
          <w:rFonts w:ascii="Arial" w:eastAsia="Arial" w:hAnsi="Arial" w:cs="Arial"/>
          <w:i/>
          <w:color w:val="000000"/>
          <w:sz w:val="20"/>
        </w:rPr>
        <w:t>Id.</w:t>
      </w:r>
      <w:r>
        <w:rPr>
          <w:rFonts w:ascii="Arial" w:eastAsia="Arial" w:hAnsi="Arial" w:cs="Arial"/>
          <w:color w:val="000000"/>
          <w:sz w:val="20"/>
        </w:rPr>
        <w:t xml:space="preserve"> at 49.</w:t>
      </w:r>
    </w:p>
    <w:p w14:paraId="4AF38983" w14:textId="77777777" w:rsidR="002B10A6" w:rsidRDefault="00000000">
      <w:pPr>
        <w:pStyle w:val="Normal0"/>
        <w:widowControl w:val="0"/>
        <w:spacing w:before="200" w:line="260" w:lineRule="atLeast"/>
        <w:jc w:val="both"/>
      </w:pPr>
      <w:bookmarkStart w:id="24" w:name="Bookmark_para_13"/>
      <w:bookmarkEnd w:id="24"/>
      <w:r>
        <w:rPr>
          <w:rFonts w:ascii="Arial" w:eastAsia="Arial" w:hAnsi="Arial" w:cs="Arial"/>
          <w:color w:val="000000"/>
          <w:sz w:val="20"/>
        </w:rPr>
        <w:t xml:space="preserve">On or about September 4, 2018, Hamilton attempted to file a grievance with "Sergeant Kitt" about the heat, ventilation, and condensation in the [**6]  housing unit, but Sergeant Kitt refused to accept Hamilton's grievance and instead stated, "I'm sick of you f---ing crybabies this is jail handle it." </w:t>
      </w:r>
      <w:r>
        <w:rPr>
          <w:rFonts w:ascii="Arial" w:eastAsia="Arial" w:hAnsi="Arial" w:cs="Arial"/>
          <w:i/>
          <w:color w:val="000000"/>
          <w:sz w:val="20"/>
        </w:rPr>
        <w:t>Id.</w:t>
      </w:r>
      <w:r>
        <w:rPr>
          <w:rFonts w:ascii="Arial" w:eastAsia="Arial" w:hAnsi="Arial" w:cs="Arial"/>
          <w:color w:val="000000"/>
          <w:sz w:val="20"/>
        </w:rPr>
        <w:t xml:space="preserve"> at 48.</w:t>
      </w:r>
    </w:p>
    <w:p w14:paraId="7BEF3B41" w14:textId="77777777" w:rsidR="002B10A6" w:rsidRDefault="00000000">
      <w:pPr>
        <w:pStyle w:val="Normal0"/>
        <w:widowControl w:val="0"/>
        <w:spacing w:before="200" w:line="260" w:lineRule="atLeast"/>
        <w:jc w:val="both"/>
      </w:pPr>
      <w:bookmarkStart w:id="25" w:name="Bookmark_para_14"/>
      <w:bookmarkEnd w:id="25"/>
      <w:r>
        <w:rPr>
          <w:rFonts w:ascii="Arial" w:eastAsia="Arial" w:hAnsi="Arial" w:cs="Arial"/>
          <w:color w:val="000000"/>
          <w:sz w:val="20"/>
        </w:rPr>
        <w:t xml:space="preserve">Hamilton was also subjected to strip searches after two family visits, including a September 5, 2018 visit. Because the strip-search area did not have a bench or rails for an inmate to use while undressing and dressing, Hamilton had to stand on his injured knee, causing him "severe" and "excruciating pain." </w:t>
      </w:r>
      <w:r>
        <w:rPr>
          <w:rFonts w:ascii="Arial" w:eastAsia="Arial" w:hAnsi="Arial" w:cs="Arial"/>
          <w:i/>
          <w:color w:val="000000"/>
          <w:sz w:val="20"/>
        </w:rPr>
        <w:t>Id.</w:t>
      </w:r>
      <w:r>
        <w:rPr>
          <w:rFonts w:ascii="Arial" w:eastAsia="Arial" w:hAnsi="Arial" w:cs="Arial"/>
          <w:color w:val="000000"/>
          <w:sz w:val="20"/>
        </w:rPr>
        <w:t xml:space="preserve"> at 46-47.</w:t>
      </w:r>
    </w:p>
    <w:p w14:paraId="23C1368F" w14:textId="77777777" w:rsidR="002B10A6" w:rsidRDefault="00000000">
      <w:pPr>
        <w:pStyle w:val="Normal0"/>
        <w:widowControl w:val="0"/>
        <w:spacing w:before="200" w:line="260" w:lineRule="atLeast"/>
        <w:jc w:val="both"/>
      </w:pPr>
      <w:bookmarkStart w:id="26" w:name="Bookmark_para_15"/>
      <w:bookmarkEnd w:id="26"/>
      <w:r>
        <w:rPr>
          <w:rFonts w:ascii="Arial" w:eastAsia="Arial" w:hAnsi="Arial" w:cs="Arial"/>
          <w:color w:val="000000"/>
          <w:sz w:val="20"/>
        </w:rPr>
        <w:t xml:space="preserve">On September 9, 2018, Hamilton, proceeding </w:t>
      </w:r>
      <w:r>
        <w:rPr>
          <w:rFonts w:ascii="Arial" w:eastAsia="Arial" w:hAnsi="Arial" w:cs="Arial"/>
          <w:i/>
          <w:color w:val="000000"/>
          <w:sz w:val="20"/>
        </w:rPr>
        <w:t>pro se</w:t>
      </w:r>
      <w:r>
        <w:rPr>
          <w:rFonts w:ascii="Arial" w:eastAsia="Arial" w:hAnsi="Arial" w:cs="Arial"/>
          <w:color w:val="000000"/>
          <w:sz w:val="20"/>
        </w:rPr>
        <w:t>, filed the instant suit. On February 24, 2020, the district court granted the state defendants' and medical defendants' motions to dismiss Hamilton's claims. The district court's sole basis for dismissing Hamilton's ADA claim against the County was that Hamilton had "not plausibly alleged a qualifying disability under the ADA," because temporary disabilities -- such as Hamilton's injuries -- "do not trigger the protections of the ADA." J. App'x at 29. The district court dismissed Hamilton's complaint without prejudice, giving him until March 27, 2020 to file an amended complaint, failing which the claims would be "deemed dismissed with prejudice." J. App'x at [**7]  30. Hamilton did not file an amended complaint. This appeal followed.</w:t>
      </w:r>
      <w:r>
        <w:rPr>
          <w:rFonts w:ascii="Arial" w:eastAsia="Arial" w:hAnsi="Arial" w:cs="Arial"/>
          <w:vertAlign w:val="superscript"/>
        </w:rPr>
        <w:footnoteReference w:customMarkFollows="1" w:id="2"/>
        <w:t>2</w:t>
      </w:r>
    </w:p>
    <w:p w14:paraId="4656CEDC" w14:textId="77777777" w:rsidR="002B10A6" w:rsidRDefault="00000000">
      <w:pPr>
        <w:pStyle w:val="Normal0"/>
        <w:widowControl w:val="0"/>
        <w:spacing w:before="200" w:line="260" w:lineRule="atLeast"/>
        <w:jc w:val="both"/>
      </w:pPr>
      <w:bookmarkStart w:id="32" w:name="Bookmark_para_16"/>
      <w:bookmarkEnd w:id="32"/>
      <w:r>
        <w:rPr>
          <w:rFonts w:ascii="Arial" w:eastAsia="Arial" w:hAnsi="Arial" w:cs="Arial"/>
          <w:color w:val="000000"/>
          <w:sz w:val="20"/>
        </w:rPr>
        <w:t>On December 11, 2018, Hamilton was relocated to the Queens Private Detention Center in Jamaica, New York.</w:t>
      </w:r>
    </w:p>
    <w:p w14:paraId="0B4AAFA2" w14:textId="77777777" w:rsidR="002B10A6" w:rsidRDefault="00000000">
      <w:pPr>
        <w:pStyle w:val="Normal0"/>
        <w:widowControl w:val="0"/>
        <w:spacing w:before="240" w:line="260" w:lineRule="atLeast"/>
      </w:pPr>
      <w:r>
        <w:br/>
      </w:r>
      <w:r>
        <w:rPr>
          <w:rFonts w:ascii="Arial" w:eastAsia="Arial" w:hAnsi="Arial" w:cs="Arial"/>
          <w:b/>
          <w:i/>
          <w:color w:val="000000"/>
          <w:sz w:val="20"/>
        </w:rPr>
        <w:t>DISCUSSION</w:t>
      </w:r>
    </w:p>
    <w:p w14:paraId="4B4087EF" w14:textId="77777777" w:rsidR="002B10A6" w:rsidRDefault="00000000">
      <w:pPr>
        <w:pStyle w:val="Normal0"/>
        <w:widowControl w:val="0"/>
        <w:spacing w:before="240" w:line="260" w:lineRule="atLeast"/>
      </w:pPr>
      <w:r>
        <w:br/>
      </w:r>
      <w:r>
        <w:rPr>
          <w:rFonts w:ascii="Arial" w:eastAsia="Arial" w:hAnsi="Arial" w:cs="Arial"/>
          <w:b/>
          <w:i/>
          <w:color w:val="000000"/>
          <w:sz w:val="20"/>
        </w:rPr>
        <w:t>I. Standard of Review</w:t>
      </w:r>
    </w:p>
    <w:p w14:paraId="05ABAA81" w14:textId="77777777" w:rsidR="002B10A6" w:rsidRDefault="00000000">
      <w:pPr>
        <w:pStyle w:val="Normal0"/>
        <w:widowControl w:val="0"/>
        <w:spacing w:before="200" w:line="260" w:lineRule="atLeast"/>
        <w:jc w:val="both"/>
      </w:pPr>
      <w:bookmarkStart w:id="33" w:name="Bookmark_para_17"/>
      <w:bookmarkStart w:id="34" w:name="Bookmark_I6329WX02HM6V20030000400"/>
      <w:bookmarkStart w:id="35" w:name="Bookmark_I6329WX02HM6V20050000400"/>
      <w:bookmarkStart w:id="36" w:name="Bookmark_LNHNREFclscc2"/>
      <w:bookmarkEnd w:id="33"/>
      <w:bookmarkEnd w:id="34"/>
      <w:bookmarkEnd w:id="35"/>
      <w:bookmarkEnd w:id="36"/>
      <w:r>
        <w:rPr>
          <w:rFonts w:ascii="Arial" w:eastAsia="Arial" w:hAnsi="Arial" w:cs="Arial"/>
          <w:color w:val="000000"/>
          <w:sz w:val="20"/>
        </w:rPr>
        <w:t xml:space="preserve">"We review a district court's grant of a motion to dismiss under Rule 12(b)(6) </w:t>
      </w:r>
      <w:r>
        <w:rPr>
          <w:rFonts w:ascii="Arial" w:eastAsia="Arial" w:hAnsi="Arial" w:cs="Arial"/>
          <w:i/>
          <w:color w:val="000000"/>
          <w:sz w:val="20"/>
        </w:rPr>
        <w:t>de novo</w:t>
      </w:r>
      <w:r>
        <w:rPr>
          <w:rFonts w:ascii="Arial" w:eastAsia="Arial" w:hAnsi="Arial" w:cs="Arial"/>
          <w:color w:val="000000"/>
          <w:sz w:val="20"/>
        </w:rPr>
        <w:t xml:space="preserve">." </w:t>
      </w:r>
      <w:bookmarkStart w:id="37" w:name="Bookmark_I6329WX02HM6V20020000400"/>
      <w:bookmarkEnd w:id="37"/>
      <w:r>
        <w:rPr>
          <w:rFonts w:ascii="Arial" w:eastAsia="Arial" w:hAnsi="Arial" w:cs="Arial"/>
          <w:i/>
          <w:color w:val="000000"/>
          <w:sz w:val="20"/>
        </w:rPr>
        <w:t>Dane v. UnitedHealthcare Ins. Co.</w:t>
      </w:r>
      <w:r>
        <w:rPr>
          <w:rFonts w:ascii="Arial" w:eastAsia="Arial" w:hAnsi="Arial" w:cs="Arial"/>
          <w:color w:val="000000"/>
          <w:sz w:val="20"/>
        </w:rPr>
        <w:t xml:space="preserve">, 974 F.3d 183, 188 (2d Cir. 2020). "To survive a motion to dismiss, a complaint must contain sufficient factual matter, accepted as true, to state a claim to relief that is plausible on its face." </w:t>
      </w:r>
      <w:r>
        <w:rPr>
          <w:rFonts w:ascii="Arial" w:eastAsia="Arial" w:hAnsi="Arial" w:cs="Arial"/>
          <w:i/>
          <w:color w:val="000000"/>
          <w:sz w:val="20"/>
        </w:rPr>
        <w:t>Id.</w:t>
      </w:r>
      <w:r>
        <w:rPr>
          <w:rFonts w:ascii="Arial" w:eastAsia="Arial" w:hAnsi="Arial" w:cs="Arial"/>
          <w:color w:val="000000"/>
          <w:sz w:val="20"/>
        </w:rPr>
        <w:t xml:space="preserve"> (quoting </w:t>
      </w:r>
      <w:bookmarkStart w:id="38" w:name="Bookmark_I6329WX02HM6V20040000400"/>
      <w:bookmarkEnd w:id="38"/>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"We accept as true all factual allegations and draw from them all reasonable  [*91]  inferences; but we are not required to credit conclusory allegations or legal conclusions couched as factual allegations." </w:t>
      </w:r>
      <w:r>
        <w:rPr>
          <w:rFonts w:ascii="Arial" w:eastAsia="Arial" w:hAnsi="Arial" w:cs="Arial"/>
          <w:i/>
          <w:color w:val="000000"/>
          <w:sz w:val="20"/>
        </w:rPr>
        <w:t>Id.</w:t>
      </w:r>
      <w:r>
        <w:rPr>
          <w:rFonts w:ascii="Arial" w:eastAsia="Arial" w:hAnsi="Arial" w:cs="Arial"/>
          <w:color w:val="000000"/>
          <w:sz w:val="20"/>
        </w:rPr>
        <w:t xml:space="preserve"> (citation and alterations omitted).</w:t>
      </w:r>
    </w:p>
    <w:p w14:paraId="25B8BFB3" w14:textId="77777777" w:rsidR="002B10A6" w:rsidRDefault="00000000">
      <w:pPr>
        <w:pStyle w:val="Normal0"/>
        <w:widowControl w:val="0"/>
        <w:spacing w:before="240" w:line="260" w:lineRule="atLeast"/>
      </w:pPr>
      <w:r>
        <w:br/>
      </w:r>
      <w:r>
        <w:rPr>
          <w:rFonts w:ascii="Arial" w:eastAsia="Arial" w:hAnsi="Arial" w:cs="Arial"/>
          <w:b/>
          <w:i/>
          <w:color w:val="000000"/>
          <w:sz w:val="20"/>
        </w:rPr>
        <w:t>II. Applicable Law</w:t>
      </w:r>
    </w:p>
    <w:p w14:paraId="3B9F0FA4" w14:textId="77777777" w:rsidR="002B10A6" w:rsidRDefault="00000000">
      <w:pPr>
        <w:pStyle w:val="Normal0"/>
        <w:widowControl w:val="0"/>
        <w:spacing w:before="200" w:line="260" w:lineRule="atLeast"/>
        <w:jc w:val="both"/>
      </w:pPr>
      <w:bookmarkStart w:id="39" w:name="Bookmark_para_18"/>
      <w:bookmarkStart w:id="40" w:name="Bookmark_I6329WX12HM6V30020000400"/>
      <w:bookmarkEnd w:id="39"/>
      <w:bookmarkEnd w:id="40"/>
      <w:r>
        <w:rPr>
          <w:rFonts w:ascii="Arial" w:eastAsia="Arial" w:hAnsi="Arial" w:cs="Arial"/>
          <w:color w:val="000000"/>
          <w:sz w:val="20"/>
        </w:rPr>
        <w:t xml:space="preserve">In 1990, Congress enacted the ADA "to provide a clear and comprehensive national mandate for the elimination of discrimination against individuals with disabilities" and "to provide clear, strong, consistent, enforceable standards addressing discrimination against individuals with disabilities." 42 U.S.C. § 12101(b)(1)-(2). "The Act's first three titles prohibit discrimination against individuals with disabilities 'in three major areas of public life': employment and hiring (Title I); public services, [**8]  programs, and activities (Title II); and public accommodations (Title III)." </w:t>
      </w:r>
      <w:bookmarkStart w:id="41" w:name="Bookmark_I6329WX12HM6V30010000400"/>
      <w:bookmarkEnd w:id="41"/>
      <w:r>
        <w:rPr>
          <w:rFonts w:ascii="Arial" w:eastAsia="Arial" w:hAnsi="Arial" w:cs="Arial"/>
          <w:i/>
          <w:color w:val="000000"/>
          <w:sz w:val="20"/>
        </w:rPr>
        <w:t>Tardif v. City of New York</w:t>
      </w:r>
      <w:r>
        <w:rPr>
          <w:rFonts w:ascii="Arial" w:eastAsia="Arial" w:hAnsi="Arial" w:cs="Arial"/>
          <w:color w:val="000000"/>
          <w:sz w:val="20"/>
        </w:rPr>
        <w:t xml:space="preserve">, 991 F.3d 394, 403 (2d Cir. 2021) (quoting </w:t>
      </w:r>
      <w:bookmarkStart w:id="42" w:name="Bookmark_I6329WX12HM6V30030000400"/>
      <w:bookmarkEnd w:id="42"/>
      <w:r>
        <w:rPr>
          <w:rFonts w:ascii="Arial" w:eastAsia="Arial" w:hAnsi="Arial" w:cs="Arial"/>
          <w:i/>
          <w:color w:val="000000"/>
          <w:sz w:val="20"/>
        </w:rPr>
        <w:t>Tennessee v. Lane</w:t>
      </w:r>
      <w:r>
        <w:rPr>
          <w:rFonts w:ascii="Arial" w:eastAsia="Arial" w:hAnsi="Arial" w:cs="Arial"/>
          <w:color w:val="000000"/>
          <w:sz w:val="20"/>
        </w:rPr>
        <w:t>, 541 U.S. 509, 516-17, 124 S. Ct. 1978, 158 L. Ed. 2d 820 (2004)).</w:t>
      </w:r>
    </w:p>
    <w:p w14:paraId="6027E9B5" w14:textId="77777777" w:rsidR="002B10A6" w:rsidRDefault="00000000">
      <w:pPr>
        <w:pStyle w:val="Normal0"/>
        <w:widowControl w:val="0"/>
        <w:spacing w:before="200" w:line="260" w:lineRule="atLeast"/>
        <w:jc w:val="both"/>
      </w:pPr>
      <w:bookmarkStart w:id="43" w:name="Bookmark_para_19"/>
      <w:bookmarkStart w:id="44" w:name="Bookmark_I6329WX128T4C70010000400"/>
      <w:bookmarkStart w:id="45" w:name="Bookmark_I6329WX128T4C70050000400"/>
      <w:bookmarkStart w:id="46" w:name="Bookmark_LNHNREFclscc3"/>
      <w:bookmarkEnd w:id="43"/>
      <w:bookmarkEnd w:id="44"/>
      <w:bookmarkEnd w:id="45"/>
      <w:bookmarkEnd w:id="46"/>
      <w:r>
        <w:rPr>
          <w:rFonts w:ascii="Arial" w:eastAsia="Arial" w:hAnsi="Arial" w:cs="Arial"/>
          <w:color w:val="000000"/>
          <w:sz w:val="20"/>
        </w:rPr>
        <w:t xml:space="preserve">Title II, at issue here, provides that "no qualified individual with a disability shall, by reason of such disability, be excluded from participation in or be denied the benefits of the services, programs, or activities of a public entity, or be subjected to discrimination by any such entity." 42 U.S.C. § 12132. "To establish a claim under Title II, a plaintiff must demonstrate '(1) that she is a qualified individual with a disability; (2) that she was excluded from participation in a public entity's services, programs or activities or was otherwise discriminated against by a public entity; and (3) that such exclusion or discrimination was due to her disability.'" </w:t>
      </w:r>
      <w:bookmarkStart w:id="47" w:name="Bookmark_I6329WX12HM6V30050000400"/>
      <w:bookmarkEnd w:id="47"/>
      <w:r>
        <w:rPr>
          <w:rFonts w:ascii="Arial" w:eastAsia="Arial" w:hAnsi="Arial" w:cs="Arial"/>
          <w:i/>
          <w:color w:val="000000"/>
          <w:sz w:val="20"/>
        </w:rPr>
        <w:t>Tardif</w:t>
      </w:r>
      <w:r>
        <w:rPr>
          <w:rFonts w:ascii="Arial" w:eastAsia="Arial" w:hAnsi="Arial" w:cs="Arial"/>
          <w:color w:val="000000"/>
          <w:sz w:val="20"/>
        </w:rPr>
        <w:t xml:space="preserve">, 991 F.3d at 404 (quoting </w:t>
      </w:r>
      <w:bookmarkStart w:id="48" w:name="Bookmark_I6329WX128T4C70020000400"/>
      <w:bookmarkEnd w:id="48"/>
      <w:r>
        <w:rPr>
          <w:rFonts w:ascii="Arial" w:eastAsia="Arial" w:hAnsi="Arial" w:cs="Arial"/>
          <w:i/>
          <w:color w:val="000000"/>
          <w:sz w:val="20"/>
        </w:rPr>
        <w:t>Davis v. Shah</w:t>
      </w:r>
      <w:r>
        <w:rPr>
          <w:rFonts w:ascii="Arial" w:eastAsia="Arial" w:hAnsi="Arial" w:cs="Arial"/>
          <w:color w:val="000000"/>
          <w:sz w:val="20"/>
        </w:rPr>
        <w:t xml:space="preserve">, 821 F.3d 231, 259 (2d Cir. 2016)). A plaintiff may base a Title II claim "on any of three theories of liability: disparate treatment (intentional discrimination), disparate impact, or failure to make a reasonable accommodation." </w:t>
      </w:r>
      <w:r>
        <w:rPr>
          <w:rFonts w:ascii="Arial" w:eastAsia="Arial" w:hAnsi="Arial" w:cs="Arial"/>
          <w:i/>
          <w:color w:val="000000"/>
          <w:sz w:val="20"/>
        </w:rPr>
        <w:t xml:space="preserve">Id.; see </w:t>
      </w:r>
      <w:bookmarkStart w:id="49" w:name="Bookmark_I6329WX128T4C70040000400"/>
      <w:bookmarkEnd w:id="49"/>
      <w:r>
        <w:rPr>
          <w:rFonts w:ascii="Arial" w:eastAsia="Arial" w:hAnsi="Arial" w:cs="Arial"/>
          <w:i/>
          <w:color w:val="000000"/>
          <w:sz w:val="20"/>
        </w:rPr>
        <w:t>Dean v. Univ. at Buffalo Sch. of Med. &amp; Biomedical Scis.</w:t>
      </w:r>
      <w:r>
        <w:rPr>
          <w:rFonts w:ascii="Arial" w:eastAsia="Arial" w:hAnsi="Arial" w:cs="Arial"/>
          <w:color w:val="000000"/>
          <w:sz w:val="20"/>
        </w:rPr>
        <w:t>, 804 F.3d 178, 186 (2d Cir. 2015).</w:t>
      </w:r>
      <w:r>
        <w:rPr>
          <w:rFonts w:ascii="Arial" w:eastAsia="Arial" w:hAnsi="Arial" w:cs="Arial"/>
          <w:vertAlign w:val="superscript"/>
        </w:rPr>
        <w:footnoteReference w:customMarkFollows="1" w:id="3"/>
        <w:t>3</w:t>
      </w:r>
    </w:p>
    <w:p w14:paraId="763DAA81" w14:textId="77777777" w:rsidR="002B10A6" w:rsidRDefault="00000000">
      <w:pPr>
        <w:pStyle w:val="Normal0"/>
        <w:widowControl w:val="0"/>
        <w:spacing w:before="200" w:line="260" w:lineRule="atLeast"/>
        <w:jc w:val="both"/>
      </w:pPr>
      <w:bookmarkStart w:id="52" w:name="Bookmark_para_20"/>
      <w:bookmarkStart w:id="53" w:name="Bookmark_I6329WX228T4C80020000400"/>
      <w:bookmarkStart w:id="54" w:name="Bookmark_LNHNREFclscc5"/>
      <w:bookmarkEnd w:id="52"/>
      <w:bookmarkEnd w:id="53"/>
      <w:bookmarkEnd w:id="54"/>
      <w:r>
        <w:rPr>
          <w:rFonts w:ascii="Arial" w:eastAsia="Arial" w:hAnsi="Arial" w:cs="Arial"/>
          <w:color w:val="000000"/>
          <w:sz w:val="20"/>
        </w:rPr>
        <w:t xml:space="preserve">In reviewing a reasonable accommodation claim, "we ask whether a plaintiff with disabilities 'as a practical matter' was denied 'meaningful access' to services, programs or activities to which he or she was 'legally entitled.'" </w:t>
      </w:r>
      <w:bookmarkStart w:id="55" w:name="Bookmark_I6329WX228T4C80010000400"/>
      <w:bookmarkEnd w:id="55"/>
      <w:r>
        <w:rPr>
          <w:rFonts w:ascii="Arial" w:eastAsia="Arial" w:hAnsi="Arial" w:cs="Arial"/>
          <w:i/>
          <w:color w:val="000000"/>
          <w:sz w:val="20"/>
        </w:rPr>
        <w:t>Wright v. N.Y. State Dep't of Corr. &amp; Cmty. Supervision</w:t>
      </w:r>
      <w:r>
        <w:rPr>
          <w:rFonts w:ascii="Arial" w:eastAsia="Arial" w:hAnsi="Arial" w:cs="Arial"/>
          <w:color w:val="000000"/>
          <w:sz w:val="20"/>
        </w:rPr>
        <w:t xml:space="preserve">, 831 F.3d 64, 72 (2d Cir. 2016) (citation [**9]  omitted). In conducting this "fact-specific" review for reasonableness, we keep in mind that the "hallmark of a reasonable accommodation is effectiveness," and that "a reasonable accommodation need not be perfect or the one most strongly preferred by the plaintiff, but it still must be effective." </w:t>
      </w:r>
      <w:r>
        <w:rPr>
          <w:rFonts w:ascii="Arial" w:eastAsia="Arial" w:hAnsi="Arial" w:cs="Arial"/>
          <w:i/>
          <w:color w:val="000000"/>
          <w:sz w:val="20"/>
        </w:rPr>
        <w:t>Id.</w:t>
      </w:r>
      <w:r>
        <w:rPr>
          <w:rFonts w:ascii="Arial" w:eastAsia="Arial" w:hAnsi="Arial" w:cs="Arial"/>
          <w:color w:val="000000"/>
          <w:sz w:val="20"/>
        </w:rPr>
        <w:t xml:space="preserve"> (internal quotation marks, brackets, and citations omitted).</w:t>
      </w:r>
    </w:p>
    <w:p w14:paraId="36C30A54" w14:textId="77777777" w:rsidR="002B10A6" w:rsidRDefault="00000000">
      <w:pPr>
        <w:pStyle w:val="Normal0"/>
        <w:widowControl w:val="0"/>
        <w:spacing w:before="200" w:line="260" w:lineRule="atLeast"/>
        <w:jc w:val="both"/>
      </w:pPr>
      <w:bookmarkStart w:id="56" w:name="Bookmark_para_21"/>
      <w:bookmarkStart w:id="57" w:name="Bookmark_I6329WX228T4C80040000400"/>
      <w:bookmarkStart w:id="58" w:name="Bookmark_I6329WX22HM6V60030000400"/>
      <w:bookmarkStart w:id="59" w:name="Bookmark_I6329WX22HM6V60050000400"/>
      <w:bookmarkStart w:id="60" w:name="Bookmark_LNHNREFclscc6"/>
      <w:bookmarkEnd w:id="56"/>
      <w:bookmarkEnd w:id="57"/>
      <w:bookmarkEnd w:id="58"/>
      <w:bookmarkEnd w:id="59"/>
      <w:bookmarkEnd w:id="60"/>
      <w:r>
        <w:rPr>
          <w:rFonts w:ascii="Arial" w:eastAsia="Arial" w:hAnsi="Arial" w:cs="Arial"/>
          <w:color w:val="000000"/>
          <w:sz w:val="20"/>
        </w:rPr>
        <w:t xml:space="preserve">As relevant to Hamilton's reasonable accommodation claim against the County, the term "public entity," defined to include "any State or local government" and "any department, agency, . . . or other instrumentality of a State," 42 U.S.C. § 12131(1), also "includes state prisons," </w:t>
      </w:r>
      <w:bookmarkStart w:id="61" w:name="Bookmark_I6329WX228T4C80030000400"/>
      <w:bookmarkEnd w:id="61"/>
      <w:r>
        <w:rPr>
          <w:rFonts w:ascii="Arial" w:eastAsia="Arial" w:hAnsi="Arial" w:cs="Arial"/>
          <w:i/>
          <w:color w:val="000000"/>
          <w:sz w:val="20"/>
        </w:rPr>
        <w:t>United States v. Georgia</w:t>
      </w:r>
      <w:r>
        <w:rPr>
          <w:rFonts w:ascii="Arial" w:eastAsia="Arial" w:hAnsi="Arial" w:cs="Arial"/>
          <w:color w:val="000000"/>
          <w:sz w:val="20"/>
        </w:rPr>
        <w:t xml:space="preserve">, 546 U.S. 151, 154, 126 S. Ct. 877, 163 L. Ed. 2d 650 (2006) (citing </w:t>
      </w:r>
      <w:bookmarkStart w:id="62" w:name="Bookmark_I6329WX228T4C80050000400"/>
      <w:bookmarkEnd w:id="62"/>
      <w:r>
        <w:rPr>
          <w:rFonts w:ascii="Arial" w:eastAsia="Arial" w:hAnsi="Arial" w:cs="Arial"/>
          <w:i/>
          <w:color w:val="000000"/>
          <w:sz w:val="20"/>
        </w:rPr>
        <w:t>Pa. Dep't. of Corr. v. Yeskey</w:t>
      </w:r>
      <w:r>
        <w:rPr>
          <w:rFonts w:ascii="Arial" w:eastAsia="Arial" w:hAnsi="Arial" w:cs="Arial"/>
          <w:color w:val="000000"/>
          <w:sz w:val="20"/>
        </w:rPr>
        <w:t xml:space="preserve">, 524 U.S. 206, 210, 118 S. Ct. 1952, 141 L. Ed. 2d 215 (1998)). Accordingly, "[a] reasonable accommodation must provide effective access to prison activities and programs," and "overcome structural impediments and non-trivial temporal delays that limit access  [*92]  to programs, services, and activities." </w:t>
      </w:r>
      <w:bookmarkStart w:id="63" w:name="Bookmark_I6329WX22HM6V60020000400"/>
      <w:bookmarkEnd w:id="63"/>
      <w:r>
        <w:rPr>
          <w:rFonts w:ascii="Arial" w:eastAsia="Arial" w:hAnsi="Arial" w:cs="Arial"/>
          <w:i/>
          <w:color w:val="000000"/>
          <w:sz w:val="20"/>
        </w:rPr>
        <w:t>Wright</w:t>
      </w:r>
      <w:r>
        <w:rPr>
          <w:rFonts w:ascii="Arial" w:eastAsia="Arial" w:hAnsi="Arial" w:cs="Arial"/>
          <w:color w:val="000000"/>
          <w:sz w:val="20"/>
        </w:rPr>
        <w:t xml:space="preserve">, 831 F.3d at 73. As the district court noted, applying the prima facie elements of a Title II claim noted above to the prison context, "[a]n incarcerated plaintiff asserting a claim under the ADA must allege that he is a 'qualified individual with a disability,' 42 U.S.C. § 12131, who 'was denied the opportunity to participate in or benefit from [the prison administration's] [**10]  services, programs, or activities or [the prison administration] otherwise discriminated against him by reason of his disability.'" J. App'x at 27-28 (alterations in original) (quoting </w:t>
      </w:r>
      <w:bookmarkStart w:id="64" w:name="Bookmark_I6329WX22HM6V60040000400"/>
      <w:bookmarkEnd w:id="64"/>
      <w:r>
        <w:rPr>
          <w:rFonts w:ascii="Arial" w:eastAsia="Arial" w:hAnsi="Arial" w:cs="Arial"/>
          <w:i/>
          <w:color w:val="000000"/>
          <w:sz w:val="20"/>
        </w:rPr>
        <w:t>Wright</w:t>
      </w:r>
      <w:r>
        <w:rPr>
          <w:rFonts w:ascii="Arial" w:eastAsia="Arial" w:hAnsi="Arial" w:cs="Arial"/>
          <w:color w:val="000000"/>
          <w:sz w:val="20"/>
        </w:rPr>
        <w:t>, 831 F.3d at 72).</w:t>
      </w:r>
    </w:p>
    <w:p w14:paraId="73700EE8" w14:textId="77777777" w:rsidR="002B10A6" w:rsidRDefault="00000000">
      <w:pPr>
        <w:pStyle w:val="Normal0"/>
        <w:widowControl w:val="0"/>
        <w:spacing w:before="200" w:line="260" w:lineRule="atLeast"/>
        <w:jc w:val="both"/>
      </w:pPr>
      <w:bookmarkStart w:id="65" w:name="Bookmark_para_22"/>
      <w:bookmarkStart w:id="66" w:name="Bookmark_I6329WX22SF8HY0020000400"/>
      <w:bookmarkStart w:id="67" w:name="Bookmark_LNHNREFclscc7"/>
      <w:bookmarkEnd w:id="65"/>
      <w:bookmarkEnd w:id="66"/>
      <w:bookmarkEnd w:id="67"/>
      <w:r>
        <w:rPr>
          <w:rFonts w:ascii="Arial" w:eastAsia="Arial" w:hAnsi="Arial" w:cs="Arial"/>
          <w:color w:val="000000"/>
          <w:sz w:val="20"/>
        </w:rPr>
        <w:t xml:space="preserve">For purposes of determining whether an ADA plaintiff is a "qualified individual with a disability," 42 U.S.C. § 12131(2), the ADA defines "disability" to include, </w:t>
      </w:r>
      <w:r>
        <w:rPr>
          <w:rFonts w:ascii="Arial" w:eastAsia="Arial" w:hAnsi="Arial" w:cs="Arial"/>
          <w:i/>
          <w:color w:val="000000"/>
          <w:sz w:val="20"/>
        </w:rPr>
        <w:t>inter alia</w:t>
      </w:r>
      <w:r>
        <w:rPr>
          <w:rFonts w:ascii="Arial" w:eastAsia="Arial" w:hAnsi="Arial" w:cs="Arial"/>
          <w:color w:val="000000"/>
          <w:sz w:val="20"/>
        </w:rPr>
        <w:t xml:space="preserve">, "a physical or mental impairment that substantially limits one or more major life activities," </w:t>
      </w:r>
      <w:bookmarkStart w:id="68" w:name="Bookmark_I6329WX22SF8HY0010000400"/>
      <w:bookmarkEnd w:id="68"/>
      <w:r>
        <w:rPr>
          <w:rFonts w:ascii="Arial" w:eastAsia="Arial" w:hAnsi="Arial" w:cs="Arial"/>
          <w:i/>
          <w:color w:val="000000"/>
          <w:sz w:val="20"/>
        </w:rPr>
        <w:t>Woolf v. Strada</w:t>
      </w:r>
      <w:r>
        <w:rPr>
          <w:rFonts w:ascii="Arial" w:eastAsia="Arial" w:hAnsi="Arial" w:cs="Arial"/>
          <w:color w:val="000000"/>
          <w:sz w:val="20"/>
        </w:rPr>
        <w:t>, 949 F.3d 89, 93 (2d Cir. 2020) (quoting 42 U.S.C. § 12102(1)(A)).</w:t>
      </w:r>
      <w:r>
        <w:rPr>
          <w:rFonts w:ascii="Arial" w:eastAsia="Arial" w:hAnsi="Arial" w:cs="Arial"/>
          <w:vertAlign w:val="superscript"/>
        </w:rPr>
        <w:footnoteReference w:customMarkFollows="1" w:id="4"/>
        <w:t>4</w:t>
      </w:r>
    </w:p>
    <w:p w14:paraId="2CF8C4AE" w14:textId="77777777" w:rsidR="002B10A6" w:rsidRDefault="00000000">
      <w:pPr>
        <w:pStyle w:val="Normal0"/>
        <w:widowControl w:val="0"/>
        <w:spacing w:before="200" w:line="260" w:lineRule="atLeast"/>
        <w:jc w:val="both"/>
      </w:pPr>
      <w:bookmarkStart w:id="70" w:name="Bookmark_para_23"/>
      <w:bookmarkStart w:id="71" w:name="Bookmark_3F7G8KCSYJ0000P61300001"/>
      <w:bookmarkStart w:id="72" w:name="Bookmark_6H307HCFK60000P5D800001"/>
      <w:bookmarkStart w:id="73" w:name="Bookmark_I6329WX22SF8HY0040000400"/>
      <w:bookmarkStart w:id="74" w:name="Bookmark_I6329WX32D6N9F0010000400"/>
      <w:bookmarkEnd w:id="70"/>
      <w:bookmarkEnd w:id="71"/>
      <w:bookmarkEnd w:id="72"/>
      <w:bookmarkEnd w:id="73"/>
      <w:bookmarkEnd w:id="74"/>
      <w:r>
        <w:rPr>
          <w:rFonts w:ascii="Arial" w:eastAsia="Arial" w:hAnsi="Arial" w:cs="Arial"/>
          <w:color w:val="000000"/>
          <w:sz w:val="20"/>
        </w:rPr>
        <w:t xml:space="preserve">The definition of "disability" under the ADA was previously interpreted narrowly. </w:t>
      </w:r>
      <w:bookmarkStart w:id="75" w:name="Bookmark_I6329WX32D6N9F0030000400"/>
      <w:bookmarkEnd w:id="75"/>
      <w:r>
        <w:rPr>
          <w:rFonts w:ascii="Arial" w:eastAsia="Arial" w:hAnsi="Arial" w:cs="Arial"/>
          <w:i/>
          <w:color w:val="000000"/>
          <w:sz w:val="20"/>
        </w:rPr>
        <w:t xml:space="preserve">See </w:t>
      </w:r>
      <w:bookmarkStart w:id="76" w:name="Bookmark_I6329WX22SF8HY0030000400"/>
      <w:bookmarkEnd w:id="76"/>
      <w:r>
        <w:rPr>
          <w:rFonts w:ascii="Arial" w:eastAsia="Arial" w:hAnsi="Arial" w:cs="Arial"/>
          <w:i/>
          <w:color w:val="000000"/>
          <w:sz w:val="20"/>
        </w:rPr>
        <w:t>Toyota Motor Mfg., Ky., Inc. v. Williams</w:t>
      </w:r>
      <w:r>
        <w:rPr>
          <w:rFonts w:ascii="Arial" w:eastAsia="Arial" w:hAnsi="Arial" w:cs="Arial"/>
          <w:color w:val="000000"/>
          <w:sz w:val="20"/>
        </w:rPr>
        <w:t xml:space="preserve">, 534 U.S. 184, 197-98, 122 S. Ct. 681, 151 L. Ed. 2d 615 (2002) (The terms "major" in "major life activities" and "substantially" in "substantially limits" "need to be interpreted strictly to create a demanding standard for qualifying as disabled. . . . The impairment's impact must also be permanent or long term."); </w:t>
      </w:r>
      <w:bookmarkStart w:id="77" w:name="Bookmark_I6329WX22SF8HY0050000400"/>
      <w:bookmarkEnd w:id="77"/>
      <w:r>
        <w:rPr>
          <w:rFonts w:ascii="Arial" w:eastAsia="Arial" w:hAnsi="Arial" w:cs="Arial"/>
          <w:i/>
          <w:color w:val="000000"/>
          <w:sz w:val="20"/>
        </w:rPr>
        <w:t>Sutton v. United Air Lines, Inc.</w:t>
      </w:r>
      <w:r>
        <w:rPr>
          <w:rFonts w:ascii="Arial" w:eastAsia="Arial" w:hAnsi="Arial" w:cs="Arial"/>
          <w:color w:val="000000"/>
          <w:sz w:val="20"/>
        </w:rPr>
        <w:t xml:space="preserve">, 527 U.S. 471, 487, 119 S. Ct. 2139, 144 L. Ed. 2d 450 (1999) ("[T]he ADA's coverage is restricted to only those whose impairments are not mitigated by corrective measures."). </w:t>
      </w:r>
      <w:bookmarkStart w:id="78" w:name="Bookmark_I6329WX32D6N9F0030000400_2"/>
      <w:bookmarkEnd w:id="78"/>
      <w:r>
        <w:rPr>
          <w:rFonts w:ascii="Arial" w:eastAsia="Arial" w:hAnsi="Arial" w:cs="Arial"/>
          <w:color w:val="000000"/>
          <w:sz w:val="20"/>
        </w:rPr>
        <w:t xml:space="preserve">In 2008, however, Congress passed the ADA Amendments Act (the "ADAAA"), Pub. L. No. 110-325, 122 Stat. 3553, which broadened the definition of "disability" under the ADA. As this Court has noted, "[t]he principal purpose of the ADAAA was to overrule the Supreme Court's arguably narrow interpretation of what constitutes an ADA-qualifying disability [**11]  set forth in </w:t>
      </w:r>
      <w:r>
        <w:rPr>
          <w:rFonts w:ascii="Arial" w:eastAsia="Arial" w:hAnsi="Arial" w:cs="Arial"/>
          <w:i/>
          <w:color w:val="000000"/>
          <w:sz w:val="20"/>
        </w:rPr>
        <w:t>Sutton v. United Air Lines, Inc.</w:t>
      </w:r>
      <w:r>
        <w:rPr>
          <w:rFonts w:ascii="Arial" w:eastAsia="Arial" w:hAnsi="Arial" w:cs="Arial"/>
          <w:color w:val="000000"/>
          <w:sz w:val="20"/>
        </w:rPr>
        <w:t xml:space="preserve">, and </w:t>
      </w:r>
      <w:r>
        <w:rPr>
          <w:rFonts w:ascii="Arial" w:eastAsia="Arial" w:hAnsi="Arial" w:cs="Arial"/>
          <w:i/>
          <w:color w:val="000000"/>
          <w:sz w:val="20"/>
        </w:rPr>
        <w:t>Toyota Motor Mfg., Ky., Inc. v. Williams</w:t>
      </w:r>
      <w:r>
        <w:rPr>
          <w:rFonts w:ascii="Arial" w:eastAsia="Arial" w:hAnsi="Arial" w:cs="Arial"/>
          <w:color w:val="000000"/>
          <w:sz w:val="20"/>
        </w:rPr>
        <w:t xml:space="preserve">, and to make clear that the substantial-limitation requirement in the definition of 'disability' is not an exacting one." </w:t>
      </w:r>
      <w:bookmarkStart w:id="79" w:name="Bookmark_I6329WX32D6N9F0020000400"/>
      <w:bookmarkEnd w:id="79"/>
      <w:r>
        <w:rPr>
          <w:rFonts w:ascii="Arial" w:eastAsia="Arial" w:hAnsi="Arial" w:cs="Arial"/>
          <w:i/>
          <w:color w:val="000000"/>
          <w:sz w:val="20"/>
        </w:rPr>
        <w:t>Woolf</w:t>
      </w:r>
      <w:r>
        <w:rPr>
          <w:rFonts w:ascii="Arial" w:eastAsia="Arial" w:hAnsi="Arial" w:cs="Arial"/>
          <w:color w:val="000000"/>
          <w:sz w:val="20"/>
        </w:rPr>
        <w:t>, 949 F.3d at 94 (footnotes omitted) (citing the ADAAA, Pub. L. No. 110-325, § 2(b), 122 Stat. 3553, 3554).</w:t>
      </w:r>
    </w:p>
    <w:p w14:paraId="5E9E1E5A" w14:textId="77777777" w:rsidR="002B10A6" w:rsidRDefault="00000000">
      <w:pPr>
        <w:pStyle w:val="Normal0"/>
        <w:widowControl w:val="0"/>
        <w:spacing w:before="200" w:line="260" w:lineRule="atLeast"/>
        <w:jc w:val="both"/>
      </w:pPr>
      <w:bookmarkStart w:id="80" w:name="Bookmark_para_24"/>
      <w:bookmarkStart w:id="81" w:name="Bookmark_LNHNREFclscc8"/>
      <w:bookmarkEnd w:id="80"/>
      <w:bookmarkEnd w:id="81"/>
      <w:r>
        <w:rPr>
          <w:rFonts w:ascii="Arial" w:eastAsia="Arial" w:hAnsi="Arial" w:cs="Arial"/>
          <w:color w:val="000000"/>
          <w:sz w:val="20"/>
        </w:rPr>
        <w:t>With this purpose in mind, the ADAAA instructs that "[t]he term 'substantially limits' shall be construed broadly in favor of expansive coverage, to the maximum extent permitted by the terms of the ADA," and "is not meant to be a demanding standard." 28 C.F.R. § 35.108(d)(1)(i). Relatedly, the term "substantially limits" is to be interpreted and applied to require a lower degree of functional limitation than the standard required prior to the ADAAA. 28 C.F.R. § 35.108(d)(1)(vi). As relevant here, "major life activities" expressly include standing, walking, bending, and caring for oneself. 28 C.F.R. § 35.108(c)(1)(i).</w:t>
      </w:r>
    </w:p>
    <w:p w14:paraId="72FF460C" w14:textId="77777777" w:rsidR="002B10A6" w:rsidRDefault="00000000">
      <w:pPr>
        <w:pStyle w:val="Normal0"/>
        <w:widowControl w:val="0"/>
        <w:spacing w:before="200" w:line="260" w:lineRule="atLeast"/>
        <w:jc w:val="both"/>
      </w:pPr>
      <w:bookmarkStart w:id="82" w:name="Bookmark_para_25"/>
      <w:bookmarkEnd w:id="82"/>
      <w:r>
        <w:rPr>
          <w:rFonts w:ascii="Arial" w:eastAsia="Arial" w:hAnsi="Arial" w:cs="Arial"/>
          <w:color w:val="000000"/>
          <w:sz w:val="20"/>
        </w:rPr>
        <w:t xml:space="preserve">The ADAAA also relaxed the temporal requirements for establishing a "disability." </w:t>
      </w:r>
      <w:bookmarkStart w:id="83" w:name="Bookmark_LNHNREFclscc9"/>
      <w:bookmarkEnd w:id="83"/>
      <w:r>
        <w:rPr>
          <w:rFonts w:ascii="Arial" w:eastAsia="Arial" w:hAnsi="Arial" w:cs="Arial"/>
          <w:color w:val="000000"/>
          <w:sz w:val="20"/>
        </w:rPr>
        <w:t xml:space="preserve">As set forth in the implementing regulations, for purposes of an actual disability claim, a "disability" shorter than six months in duration now can be actionable under the ADA. 28 C.F.R. § 35.108(d)(1)(ix) (noting that an impairment "lasting or expected to last less than six months can be substantially limiting . . . for establishing an actual disability [**12]  or a record of a disability"); </w:t>
      </w:r>
      <w:r>
        <w:rPr>
          <w:rFonts w:ascii="Arial" w:eastAsia="Arial" w:hAnsi="Arial" w:cs="Arial"/>
          <w:i/>
          <w:color w:val="000000"/>
          <w:sz w:val="20"/>
        </w:rPr>
        <w:t>see also</w:t>
      </w:r>
      <w:r>
        <w:rPr>
          <w:rFonts w:ascii="Arial" w:eastAsia="Arial" w:hAnsi="Arial" w:cs="Arial"/>
          <w:color w:val="000000"/>
          <w:sz w:val="20"/>
        </w:rPr>
        <w:t xml:space="preserve"> 42 U.S.C. § 12102(4)(A)  [*93]  (stating that the definition of disability "shall be construed in favor of broad coverage of individuals . . . to the maximum extent permitted"); 28 C.F.R. § 35.108(d)(1)(ii) (stating that "the threshold issue of whether an impairment substantially limits a major life activity should not demand extensive analysis," and that the "primary object of attention in cases brought under title II of the ADA should be whether public entities have complied with their obligations and whether discrimination has occurred, not the extent to which an individual's impairment substantially limits a major life activity").</w:t>
      </w:r>
    </w:p>
    <w:p w14:paraId="462F3504" w14:textId="77777777" w:rsidR="002B10A6" w:rsidRDefault="00000000">
      <w:pPr>
        <w:pStyle w:val="Normal0"/>
        <w:widowControl w:val="0"/>
        <w:spacing w:before="200" w:line="260" w:lineRule="atLeast"/>
        <w:jc w:val="both"/>
      </w:pPr>
      <w:bookmarkStart w:id="84" w:name="Bookmark_para_26"/>
      <w:bookmarkStart w:id="85" w:name="Bookmark_I580878SBP0000066S20004G"/>
      <w:bookmarkStart w:id="86" w:name="Bookmark_I6329WX32D6N9F0050000400"/>
      <w:bookmarkEnd w:id="84"/>
      <w:bookmarkEnd w:id="85"/>
      <w:bookmarkEnd w:id="86"/>
      <w:r>
        <w:rPr>
          <w:rFonts w:ascii="Arial" w:eastAsia="Arial" w:hAnsi="Arial" w:cs="Arial"/>
          <w:color w:val="000000"/>
          <w:sz w:val="20"/>
        </w:rPr>
        <w:t xml:space="preserve">While several of our sister circuits have acknowledged and applied the relaxed temporal requirements after the ADAAA's enactment in precedential opinions -- holding that transitory impairments lasting or expected to last less than six months can qualify as disabilities under the ADA -- we have not addressed the issue in a precedential opinion. </w:t>
      </w:r>
      <w:bookmarkStart w:id="87" w:name="Bookmark_I580878RHSV000066S200048"/>
      <w:bookmarkStart w:id="88" w:name="Bookmark_I580878RTR1000066S20004B"/>
      <w:bookmarkStart w:id="89" w:name="Bookmark_I580878S345000066S20004D"/>
      <w:bookmarkStart w:id="90" w:name="Bookmark_I6329WX32SF8J00020000400"/>
      <w:bookmarkStart w:id="91" w:name="Bookmark_LNHNREFclscc10"/>
      <w:bookmarkEnd w:id="87"/>
      <w:bookmarkEnd w:id="88"/>
      <w:bookmarkEnd w:id="89"/>
      <w:bookmarkEnd w:id="90"/>
      <w:bookmarkEnd w:id="91"/>
      <w:r>
        <w:rPr>
          <w:rFonts w:ascii="Arial" w:eastAsia="Arial" w:hAnsi="Arial" w:cs="Arial"/>
          <w:color w:val="000000"/>
          <w:sz w:val="20"/>
        </w:rPr>
        <w:t xml:space="preserve">In </w:t>
      </w:r>
      <w:r>
        <w:rPr>
          <w:rFonts w:ascii="Arial" w:eastAsia="Arial" w:hAnsi="Arial" w:cs="Arial"/>
          <w:i/>
          <w:color w:val="000000"/>
          <w:sz w:val="20"/>
        </w:rPr>
        <w:t>Parada v. Banco Industrial De Venezuela, C.A.</w:t>
      </w:r>
      <w:r>
        <w:rPr>
          <w:rFonts w:ascii="Arial" w:eastAsia="Arial" w:hAnsi="Arial" w:cs="Arial"/>
          <w:color w:val="000000"/>
          <w:sz w:val="20"/>
        </w:rPr>
        <w:t xml:space="preserve">, we recognized that following the enactment of the ADAAA, for purposes of establishing a disability under the ADA, the term "substantially limits" should now "be construed broadly in [**13]  favor of expansive coverage, to the maximum extent permitted." </w:t>
      </w:r>
      <w:bookmarkStart w:id="92" w:name="Bookmark_I6329WX32D6N9F0040000400"/>
      <w:bookmarkEnd w:id="92"/>
      <w:r>
        <w:rPr>
          <w:rFonts w:ascii="Arial" w:eastAsia="Arial" w:hAnsi="Arial" w:cs="Arial"/>
          <w:color w:val="000000"/>
          <w:sz w:val="20"/>
        </w:rPr>
        <w:t xml:space="preserve">753 F.3d 62, 68 n.3 (2d Cir. 2014) (quoting 29 C.F.R. § 1630.2(j)(1)(i)). We did not specifically address, however, the </w:t>
      </w:r>
      <w:r>
        <w:rPr>
          <w:rFonts w:ascii="Arial" w:eastAsia="Arial" w:hAnsi="Arial" w:cs="Arial"/>
          <w:i/>
          <w:color w:val="000000"/>
          <w:sz w:val="20"/>
        </w:rPr>
        <w:t>temporal</w:t>
      </w:r>
      <w:r>
        <w:rPr>
          <w:rFonts w:ascii="Arial" w:eastAsia="Arial" w:hAnsi="Arial" w:cs="Arial"/>
          <w:color w:val="000000"/>
          <w:sz w:val="20"/>
        </w:rPr>
        <w:t xml:space="preserve"> expansion of coverage following the ADAAA's enactment. </w:t>
      </w:r>
      <w:bookmarkStart w:id="93" w:name="Bookmark_I6329WX32SF8J00020000400_2"/>
      <w:bookmarkEnd w:id="93"/>
      <w:r>
        <w:rPr>
          <w:rFonts w:ascii="Arial" w:eastAsia="Arial" w:hAnsi="Arial" w:cs="Arial"/>
          <w:i/>
          <w:color w:val="000000"/>
          <w:sz w:val="20"/>
        </w:rPr>
        <w:t xml:space="preserve">Compare id., with </w:t>
      </w:r>
      <w:bookmarkStart w:id="94" w:name="Bookmark_I6329WX32SF8J00010000400"/>
      <w:bookmarkEnd w:id="94"/>
      <w:r>
        <w:rPr>
          <w:rFonts w:ascii="Arial" w:eastAsia="Arial" w:hAnsi="Arial" w:cs="Arial"/>
          <w:i/>
          <w:color w:val="000000"/>
          <w:sz w:val="20"/>
        </w:rPr>
        <w:t>Mancini v. City of Providence by &amp; through Lombardi</w:t>
      </w:r>
      <w:r>
        <w:rPr>
          <w:rFonts w:ascii="Arial" w:eastAsia="Arial" w:hAnsi="Arial" w:cs="Arial"/>
          <w:color w:val="000000"/>
          <w:sz w:val="20"/>
        </w:rPr>
        <w:t xml:space="preserve">, 909 F.3d 32, 40-41 (1st Cir. 2018) (holding that post-ADAAA, temporary injuries "last[ing] fewer than six months" can comprise qualifying impairments under the ADA), </w:t>
      </w:r>
      <w:r>
        <w:rPr>
          <w:rFonts w:ascii="Arial" w:eastAsia="Arial" w:hAnsi="Arial" w:cs="Arial"/>
          <w:i/>
          <w:color w:val="000000"/>
          <w:sz w:val="20"/>
        </w:rPr>
        <w:t xml:space="preserve">and </w:t>
      </w:r>
      <w:bookmarkStart w:id="95" w:name="Bookmark_I6329WX32SF8J00030000400"/>
      <w:bookmarkEnd w:id="95"/>
      <w:r>
        <w:rPr>
          <w:rFonts w:ascii="Arial" w:eastAsia="Arial" w:hAnsi="Arial" w:cs="Arial"/>
          <w:i/>
          <w:color w:val="000000"/>
          <w:sz w:val="20"/>
        </w:rPr>
        <w:t>Summers v. Altarum Inst. Corp.</w:t>
      </w:r>
      <w:r>
        <w:rPr>
          <w:rFonts w:ascii="Arial" w:eastAsia="Arial" w:hAnsi="Arial" w:cs="Arial"/>
          <w:color w:val="000000"/>
          <w:sz w:val="20"/>
        </w:rPr>
        <w:t xml:space="preserve">, 740 F.3d 325, 329 (4th Cir. 2014) (explaining that the ADAAA sought to override the Supreme Court's "strict construction of the term 'disability' [that] suggested that a temporary impairment could not qualify as a disability under the Act"), </w:t>
      </w:r>
      <w:r>
        <w:rPr>
          <w:rFonts w:ascii="Arial" w:eastAsia="Arial" w:hAnsi="Arial" w:cs="Arial"/>
          <w:i/>
          <w:color w:val="000000"/>
          <w:sz w:val="20"/>
        </w:rPr>
        <w:t xml:space="preserve">and </w:t>
      </w:r>
      <w:bookmarkStart w:id="96" w:name="Bookmark_I6329WX32SF8J00050000400"/>
      <w:bookmarkEnd w:id="96"/>
      <w:r>
        <w:rPr>
          <w:rFonts w:ascii="Arial" w:eastAsia="Arial" w:hAnsi="Arial" w:cs="Arial"/>
          <w:i/>
          <w:color w:val="000000"/>
          <w:sz w:val="20"/>
        </w:rPr>
        <w:t>Gogos v. AMS Mech. Sys., Inc.</w:t>
      </w:r>
      <w:r>
        <w:rPr>
          <w:rFonts w:ascii="Arial" w:eastAsia="Arial" w:hAnsi="Arial" w:cs="Arial"/>
          <w:color w:val="000000"/>
          <w:sz w:val="20"/>
        </w:rPr>
        <w:t>, 737 F.3d 1170, 1172-73 (7th Cir. 2013) (noting that post-ADAAA, the ADA now covers impairments "lasting six months or less"). We do so now.</w:t>
      </w:r>
    </w:p>
    <w:p w14:paraId="1C11C1A2" w14:textId="77777777" w:rsidR="002B10A6" w:rsidRDefault="00000000">
      <w:pPr>
        <w:pStyle w:val="Normal0"/>
        <w:widowControl w:val="0"/>
        <w:spacing w:before="240" w:line="260" w:lineRule="atLeast"/>
      </w:pPr>
      <w:r>
        <w:br/>
      </w:r>
      <w:r>
        <w:rPr>
          <w:rFonts w:ascii="Arial" w:eastAsia="Arial" w:hAnsi="Arial" w:cs="Arial"/>
          <w:b/>
          <w:i/>
          <w:color w:val="000000"/>
          <w:sz w:val="20"/>
        </w:rPr>
        <w:t>III. Application</w:t>
      </w:r>
    </w:p>
    <w:p w14:paraId="703E1BE5" w14:textId="77777777" w:rsidR="002B10A6" w:rsidRDefault="00000000">
      <w:pPr>
        <w:pStyle w:val="Normal0"/>
        <w:widowControl w:val="0"/>
        <w:spacing w:before="200" w:line="260" w:lineRule="atLeast"/>
        <w:jc w:val="both"/>
      </w:pPr>
      <w:bookmarkStart w:id="97" w:name="Bookmark_para_27"/>
      <w:bookmarkEnd w:id="97"/>
      <w:r>
        <w:rPr>
          <w:rFonts w:ascii="Arial" w:eastAsia="Arial" w:hAnsi="Arial" w:cs="Arial"/>
          <w:color w:val="000000"/>
          <w:sz w:val="20"/>
        </w:rPr>
        <w:t>Here, Hamilton alleges that following his knee injury on August 21, 2018, he suffered excruciating pain while daily navigating the Jail on crutches, climbing over a two-and-a-half-foot step to take showers in a slippery stall without railings, and being subjected to strip searches after family visits without benches or rails to assist him during undressing and dressing.</w:t>
      </w:r>
    </w:p>
    <w:p w14:paraId="19C11B4D" w14:textId="77777777" w:rsidR="002B10A6" w:rsidRDefault="00000000">
      <w:pPr>
        <w:pStyle w:val="Normal0"/>
        <w:widowControl w:val="0"/>
        <w:spacing w:before="200" w:line="260" w:lineRule="atLeast"/>
        <w:jc w:val="both"/>
      </w:pPr>
      <w:bookmarkStart w:id="98" w:name="Bookmark_para_28"/>
      <w:bookmarkStart w:id="99" w:name="Bookmark_I6329WX42N1RS10030000400"/>
      <w:bookmarkEnd w:id="98"/>
      <w:bookmarkEnd w:id="99"/>
      <w:r>
        <w:rPr>
          <w:rFonts w:ascii="Arial" w:eastAsia="Arial" w:hAnsi="Arial" w:cs="Arial"/>
          <w:color w:val="000000"/>
          <w:sz w:val="20"/>
        </w:rPr>
        <w:t xml:space="preserve">We do not reach the question of whether Hamilton plausibly alleges a qualifying disability under the ADA. We conclude only that Hamilton's claim could not be [**14]  dismissed as a matter of law simply because the injury causing these limitations was temporary. </w:t>
      </w:r>
      <w:bookmarkStart w:id="100" w:name="Bookmark_LNHNREFclscc11"/>
      <w:bookmarkEnd w:id="100"/>
      <w:r>
        <w:rPr>
          <w:rFonts w:ascii="Arial" w:eastAsia="Arial" w:hAnsi="Arial" w:cs="Arial"/>
          <w:color w:val="000000"/>
          <w:sz w:val="20"/>
        </w:rPr>
        <w:t xml:space="preserve">In reaching that conclusion, we join the First, Fourth, and Seventh Circuits in holding that under the expanded definition of "disability" under the ADAAA, which now covers impairments "lasting or expected to last less than six months," 28 C.F.R. § 35.108(d)(1)(ix), a short-term injury </w:t>
      </w:r>
      <w:r>
        <w:rPr>
          <w:rFonts w:ascii="Arial" w:eastAsia="Arial" w:hAnsi="Arial" w:cs="Arial"/>
          <w:i/>
          <w:color w:val="000000"/>
          <w:sz w:val="20"/>
        </w:rPr>
        <w:t>can</w:t>
      </w:r>
      <w:r>
        <w:rPr>
          <w:rFonts w:ascii="Arial" w:eastAsia="Arial" w:hAnsi="Arial" w:cs="Arial"/>
          <w:color w:val="000000"/>
          <w:sz w:val="20"/>
        </w:rPr>
        <w:t xml:space="preserve"> qualify as an actionable disability under the ADA.</w:t>
      </w:r>
      <w:r>
        <w:rPr>
          <w:rFonts w:ascii="Arial" w:eastAsia="Arial" w:hAnsi="Arial" w:cs="Arial"/>
          <w:vertAlign w:val="superscript"/>
        </w:rPr>
        <w:footnoteReference w:customMarkFollows="1" w:id="5"/>
        <w:t>5</w:t>
      </w:r>
      <w:r>
        <w:rPr>
          <w:rFonts w:ascii="Arial" w:eastAsia="Arial" w:hAnsi="Arial" w:cs="Arial"/>
          <w:color w:val="000000"/>
          <w:sz w:val="20"/>
        </w:rPr>
        <w:t xml:space="preserve"> In other words, a plaintiff's actual disability claim under the ADA does not fail solely because  [*94]  he failed to "state that his [disability] will be permanent or chronic . . . [or] indicate the duration or long-term impact of his impairment such that the Court may infer that his injury was not temporary." J. App'x at 29.</w:t>
      </w:r>
    </w:p>
    <w:p w14:paraId="20411D3C" w14:textId="77777777" w:rsidR="002B10A6" w:rsidRDefault="00000000">
      <w:pPr>
        <w:pStyle w:val="Normal0"/>
        <w:widowControl w:val="0"/>
        <w:spacing w:before="200" w:line="260" w:lineRule="atLeast"/>
        <w:jc w:val="both"/>
      </w:pPr>
      <w:bookmarkStart w:id="104" w:name="Bookmark_para_29"/>
      <w:bookmarkStart w:id="105" w:name="Bookmark_I6329WX42SF8J10020000400"/>
      <w:bookmarkEnd w:id="104"/>
      <w:bookmarkEnd w:id="105"/>
      <w:r>
        <w:rPr>
          <w:rFonts w:ascii="Arial" w:eastAsia="Arial" w:hAnsi="Arial" w:cs="Arial"/>
          <w:color w:val="000000"/>
          <w:sz w:val="20"/>
        </w:rPr>
        <w:t xml:space="preserve">The County argues that "[t]he post-2008 law in this Circuit is consistent in holding that the ADA's 'substantial limitation' component is generally not met where an impairment is entirely short term." County Br. at 8. In doing so, the County relies on this Court's non-precedential rulings in </w:t>
      </w:r>
      <w:bookmarkStart w:id="106" w:name="Bookmark_I6329WX42SF8J10010000400"/>
      <w:bookmarkEnd w:id="106"/>
      <w:r>
        <w:rPr>
          <w:rFonts w:ascii="Arial" w:eastAsia="Arial" w:hAnsi="Arial" w:cs="Arial"/>
          <w:i/>
          <w:color w:val="000000"/>
          <w:sz w:val="20"/>
        </w:rPr>
        <w:t>Francis v. Hartford Bd. of Educ.</w:t>
      </w:r>
      <w:r>
        <w:rPr>
          <w:rFonts w:ascii="Arial" w:eastAsia="Arial" w:hAnsi="Arial" w:cs="Arial"/>
          <w:color w:val="000000"/>
          <w:sz w:val="20"/>
        </w:rPr>
        <w:t xml:space="preserve">, 760 F. App'x 34 (2d Cir. 2019) (summary order), and </w:t>
      </w:r>
      <w:bookmarkStart w:id="107" w:name="Bookmark_I6329WX42SF8J10030000400"/>
      <w:bookmarkEnd w:id="107"/>
      <w:r>
        <w:rPr>
          <w:rFonts w:ascii="Arial" w:eastAsia="Arial" w:hAnsi="Arial" w:cs="Arial"/>
          <w:i/>
          <w:color w:val="000000"/>
          <w:sz w:val="20"/>
        </w:rPr>
        <w:t>De La Rosa v. Potter</w:t>
      </w:r>
      <w:r>
        <w:rPr>
          <w:rFonts w:ascii="Arial" w:eastAsia="Arial" w:hAnsi="Arial" w:cs="Arial"/>
          <w:color w:val="000000"/>
          <w:sz w:val="20"/>
        </w:rPr>
        <w:t>, 427 F. App'x 28 (2d Cir. 2011) (summary order), as well as several district court decisions.</w:t>
      </w:r>
    </w:p>
    <w:p w14:paraId="7D0B4C7A" w14:textId="77777777" w:rsidR="002B10A6" w:rsidRDefault="00000000">
      <w:pPr>
        <w:pStyle w:val="Normal0"/>
        <w:widowControl w:val="0"/>
        <w:spacing w:before="200" w:line="260" w:lineRule="atLeast"/>
        <w:jc w:val="both"/>
      </w:pPr>
      <w:bookmarkStart w:id="108" w:name="Bookmark_para_30"/>
      <w:bookmarkStart w:id="109" w:name="Bookmark_I6329WX428T4CF0010000400"/>
      <w:bookmarkEnd w:id="108"/>
      <w:bookmarkEnd w:id="109"/>
      <w:r>
        <w:rPr>
          <w:rFonts w:ascii="Arial" w:eastAsia="Arial" w:hAnsi="Arial" w:cs="Arial"/>
          <w:color w:val="000000"/>
          <w:sz w:val="20"/>
        </w:rPr>
        <w:t xml:space="preserve">Quite apart from the fact that they are summary orders and therefore not binding, the County [**15]  reads too much into the </w:t>
      </w:r>
      <w:r>
        <w:rPr>
          <w:rFonts w:ascii="Arial" w:eastAsia="Arial" w:hAnsi="Arial" w:cs="Arial"/>
          <w:i/>
          <w:color w:val="000000"/>
          <w:sz w:val="20"/>
        </w:rPr>
        <w:t>Francis</w:t>
      </w:r>
      <w:r>
        <w:rPr>
          <w:rFonts w:ascii="Arial" w:eastAsia="Arial" w:hAnsi="Arial" w:cs="Arial"/>
          <w:color w:val="000000"/>
          <w:sz w:val="20"/>
        </w:rPr>
        <w:t xml:space="preserve"> and </w:t>
      </w:r>
      <w:r>
        <w:rPr>
          <w:rFonts w:ascii="Arial" w:eastAsia="Arial" w:hAnsi="Arial" w:cs="Arial"/>
          <w:i/>
          <w:color w:val="000000"/>
          <w:sz w:val="20"/>
        </w:rPr>
        <w:t>De La Rosa</w:t>
      </w:r>
      <w:r>
        <w:rPr>
          <w:rFonts w:ascii="Arial" w:eastAsia="Arial" w:hAnsi="Arial" w:cs="Arial"/>
          <w:color w:val="000000"/>
          <w:sz w:val="20"/>
        </w:rPr>
        <w:t xml:space="preserve"> summary orders. </w:t>
      </w:r>
      <w:bookmarkStart w:id="110" w:name="Bookmark_I580878R8B4000066S200046"/>
      <w:bookmarkStart w:id="111" w:name="Bookmark_I6329WX428T4CF0030000400"/>
      <w:bookmarkEnd w:id="110"/>
      <w:bookmarkEnd w:id="111"/>
      <w:r>
        <w:rPr>
          <w:rFonts w:ascii="Arial" w:eastAsia="Arial" w:hAnsi="Arial" w:cs="Arial"/>
          <w:i/>
          <w:color w:val="000000"/>
          <w:sz w:val="20"/>
        </w:rPr>
        <w:t>Francis</w:t>
      </w:r>
      <w:r>
        <w:rPr>
          <w:rFonts w:ascii="Arial" w:eastAsia="Arial" w:hAnsi="Arial" w:cs="Arial"/>
          <w:color w:val="000000"/>
          <w:sz w:val="20"/>
        </w:rPr>
        <w:t xml:space="preserve"> relied on </w:t>
      </w:r>
      <w:r>
        <w:rPr>
          <w:rFonts w:ascii="Arial" w:eastAsia="Arial" w:hAnsi="Arial" w:cs="Arial"/>
          <w:i/>
          <w:color w:val="000000"/>
          <w:sz w:val="20"/>
        </w:rPr>
        <w:t>De La Rosa</w:t>
      </w:r>
      <w:r>
        <w:rPr>
          <w:rFonts w:ascii="Arial" w:eastAsia="Arial" w:hAnsi="Arial" w:cs="Arial"/>
          <w:color w:val="000000"/>
          <w:sz w:val="20"/>
        </w:rPr>
        <w:t xml:space="preserve">, which was decided after the ADAAA's enactment, to reject the appellant's argument that circuit precedent regarding temporary impairments should be reconsidered following the ADAAA. </w:t>
      </w:r>
      <w:r>
        <w:rPr>
          <w:rFonts w:ascii="Arial" w:eastAsia="Arial" w:hAnsi="Arial" w:cs="Arial"/>
          <w:i/>
          <w:color w:val="000000"/>
          <w:sz w:val="20"/>
        </w:rPr>
        <w:t xml:space="preserve">See </w:t>
      </w:r>
      <w:bookmarkStart w:id="112" w:name="Bookmark_I6329WX42SF8J10050000400"/>
      <w:bookmarkEnd w:id="112"/>
      <w:r>
        <w:rPr>
          <w:rFonts w:ascii="Arial" w:eastAsia="Arial" w:hAnsi="Arial" w:cs="Arial"/>
          <w:i/>
          <w:color w:val="000000"/>
          <w:sz w:val="20"/>
        </w:rPr>
        <w:t>Francis</w:t>
      </w:r>
      <w:r>
        <w:rPr>
          <w:rFonts w:ascii="Arial" w:eastAsia="Arial" w:hAnsi="Arial" w:cs="Arial"/>
          <w:color w:val="000000"/>
          <w:sz w:val="20"/>
        </w:rPr>
        <w:t xml:space="preserve">, 760 F. App'x at 36 n.1. </w:t>
      </w:r>
      <w:bookmarkStart w:id="113" w:name="Bookmark_I6329WX428T4CF0030000400_2"/>
      <w:bookmarkEnd w:id="113"/>
      <w:r>
        <w:rPr>
          <w:rFonts w:ascii="Arial" w:eastAsia="Arial" w:hAnsi="Arial" w:cs="Arial"/>
          <w:color w:val="000000"/>
          <w:sz w:val="20"/>
        </w:rPr>
        <w:t xml:space="preserve">Unlike the present case, however, </w:t>
      </w:r>
      <w:r>
        <w:rPr>
          <w:rFonts w:ascii="Arial" w:eastAsia="Arial" w:hAnsi="Arial" w:cs="Arial"/>
          <w:i/>
          <w:color w:val="000000"/>
          <w:sz w:val="20"/>
        </w:rPr>
        <w:t>De La Rosa</w:t>
      </w:r>
      <w:r>
        <w:rPr>
          <w:rFonts w:ascii="Arial" w:eastAsia="Arial" w:hAnsi="Arial" w:cs="Arial"/>
          <w:color w:val="000000"/>
          <w:sz w:val="20"/>
        </w:rPr>
        <w:t xml:space="preserve"> was about whether the plaintiff was "</w:t>
      </w:r>
      <w:r>
        <w:rPr>
          <w:rFonts w:ascii="Arial" w:eastAsia="Arial" w:hAnsi="Arial" w:cs="Arial"/>
          <w:i/>
          <w:color w:val="000000"/>
          <w:sz w:val="20"/>
        </w:rPr>
        <w:t>perceived</w:t>
      </w:r>
      <w:r>
        <w:rPr>
          <w:rFonts w:ascii="Arial" w:eastAsia="Arial" w:hAnsi="Arial" w:cs="Arial"/>
          <w:color w:val="000000"/>
          <w:sz w:val="20"/>
        </w:rPr>
        <w:t xml:space="preserve"> . . . as disabled and discriminated against . . . on that basis," and not about whether the plaintiff "was </w:t>
      </w:r>
      <w:r>
        <w:rPr>
          <w:rFonts w:ascii="Arial" w:eastAsia="Arial" w:hAnsi="Arial" w:cs="Arial"/>
          <w:i/>
          <w:color w:val="000000"/>
          <w:sz w:val="20"/>
        </w:rPr>
        <w:t>actually</w:t>
      </w:r>
      <w:r>
        <w:rPr>
          <w:rFonts w:ascii="Arial" w:eastAsia="Arial" w:hAnsi="Arial" w:cs="Arial"/>
          <w:color w:val="000000"/>
          <w:sz w:val="20"/>
        </w:rPr>
        <w:t xml:space="preserve"> disabled." </w:t>
      </w:r>
      <w:bookmarkStart w:id="114" w:name="Bookmark_I6329WX428T4CF0020000400"/>
      <w:bookmarkEnd w:id="114"/>
      <w:r>
        <w:rPr>
          <w:rFonts w:ascii="Arial" w:eastAsia="Arial" w:hAnsi="Arial" w:cs="Arial"/>
          <w:i/>
          <w:color w:val="000000"/>
          <w:sz w:val="20"/>
        </w:rPr>
        <w:t>De La Rosa</w:t>
      </w:r>
      <w:r>
        <w:rPr>
          <w:rFonts w:ascii="Arial" w:eastAsia="Arial" w:hAnsi="Arial" w:cs="Arial"/>
          <w:color w:val="000000"/>
          <w:sz w:val="20"/>
        </w:rPr>
        <w:t xml:space="preserve">, 427 F. App'x at 29 (emphases added); </w:t>
      </w:r>
      <w:r>
        <w:rPr>
          <w:rFonts w:ascii="Arial" w:eastAsia="Arial" w:hAnsi="Arial" w:cs="Arial"/>
          <w:i/>
          <w:color w:val="000000"/>
          <w:sz w:val="20"/>
        </w:rPr>
        <w:t>compare</w:t>
      </w:r>
      <w:r>
        <w:rPr>
          <w:rFonts w:ascii="Arial" w:eastAsia="Arial" w:hAnsi="Arial" w:cs="Arial"/>
          <w:color w:val="000000"/>
          <w:sz w:val="20"/>
        </w:rPr>
        <w:t xml:space="preserve"> 42 U.S.C. § 12102(1)(A), </w:t>
      </w:r>
      <w:r>
        <w:rPr>
          <w:rFonts w:ascii="Arial" w:eastAsia="Arial" w:hAnsi="Arial" w:cs="Arial"/>
          <w:i/>
          <w:color w:val="000000"/>
          <w:sz w:val="20"/>
        </w:rPr>
        <w:t>with</w:t>
      </w:r>
      <w:r>
        <w:rPr>
          <w:rFonts w:ascii="Arial" w:eastAsia="Arial" w:hAnsi="Arial" w:cs="Arial"/>
          <w:color w:val="000000"/>
          <w:sz w:val="20"/>
        </w:rPr>
        <w:t xml:space="preserve"> 42 U.S.C. § 12102(1)(C). Unsurprisingly, </w:t>
      </w:r>
      <w:r>
        <w:rPr>
          <w:rFonts w:ascii="Arial" w:eastAsia="Arial" w:hAnsi="Arial" w:cs="Arial"/>
          <w:i/>
          <w:color w:val="000000"/>
          <w:sz w:val="20"/>
        </w:rPr>
        <w:t>De La Rosa</w:t>
      </w:r>
      <w:r>
        <w:rPr>
          <w:rFonts w:ascii="Arial" w:eastAsia="Arial" w:hAnsi="Arial" w:cs="Arial"/>
          <w:color w:val="000000"/>
          <w:sz w:val="20"/>
        </w:rPr>
        <w:t xml:space="preserve"> did not discuss the ADAAA's explicit changes to the temporal requirements -- making temporary injuries actionable -- for establishing an </w:t>
      </w:r>
      <w:r>
        <w:rPr>
          <w:rFonts w:ascii="Arial" w:eastAsia="Arial" w:hAnsi="Arial" w:cs="Arial"/>
          <w:i/>
          <w:color w:val="000000"/>
          <w:sz w:val="20"/>
        </w:rPr>
        <w:t>actual</w:t>
      </w:r>
      <w:r>
        <w:rPr>
          <w:rFonts w:ascii="Arial" w:eastAsia="Arial" w:hAnsi="Arial" w:cs="Arial"/>
          <w:color w:val="000000"/>
          <w:sz w:val="20"/>
        </w:rPr>
        <w:t xml:space="preserve"> disability claim under the ADA, as Hamilton asserts here.</w:t>
      </w:r>
    </w:p>
    <w:p w14:paraId="3581E1AD" w14:textId="77777777" w:rsidR="002B10A6" w:rsidRDefault="00000000">
      <w:pPr>
        <w:pStyle w:val="Normal0"/>
        <w:widowControl w:val="0"/>
        <w:spacing w:before="200" w:line="260" w:lineRule="atLeast"/>
        <w:jc w:val="both"/>
      </w:pPr>
      <w:bookmarkStart w:id="115" w:name="Bookmark_para_31"/>
      <w:bookmarkStart w:id="116" w:name="Bookmark_I580878SG5C000066S20004H"/>
      <w:bookmarkStart w:id="117" w:name="Bookmark_I580878SRH3000066S20004K"/>
      <w:bookmarkStart w:id="118" w:name="Bookmark_I6329WX428T4CF0050000400"/>
      <w:bookmarkStart w:id="119" w:name="Bookmark_LNHNREFclscc12"/>
      <w:bookmarkEnd w:id="115"/>
      <w:bookmarkEnd w:id="116"/>
      <w:bookmarkEnd w:id="117"/>
      <w:bookmarkEnd w:id="118"/>
      <w:bookmarkEnd w:id="119"/>
      <w:r>
        <w:rPr>
          <w:rFonts w:ascii="Arial" w:eastAsia="Arial" w:hAnsi="Arial" w:cs="Arial"/>
          <w:color w:val="000000"/>
          <w:sz w:val="20"/>
        </w:rPr>
        <w:t>Indeed, even after the ADAAA's enactment, "[a]n individual is not '</w:t>
      </w:r>
      <w:r>
        <w:rPr>
          <w:rFonts w:ascii="Arial" w:eastAsia="Arial" w:hAnsi="Arial" w:cs="Arial"/>
          <w:i/>
          <w:color w:val="000000"/>
          <w:sz w:val="20"/>
        </w:rPr>
        <w:t>regarded</w:t>
      </w:r>
      <w:r>
        <w:rPr>
          <w:rFonts w:ascii="Arial" w:eastAsia="Arial" w:hAnsi="Arial" w:cs="Arial"/>
          <w:color w:val="000000"/>
          <w:sz w:val="20"/>
        </w:rPr>
        <w:t xml:space="preserve"> as having [a disability]' if the public entity demonstrates that the impairment is, objectively, both 'transitory' and 'minor,'" with "transitory" statutorily defined as "lasting or expected to last six months or less." 28 C.F.R. § 35.108(f)(2) (emphasis added). This is directly opposite to the relaxed temporal requirements for actual disability and "record of" disability claims under [**16]  42 U.S.C. § 12102(1)(A)-(B), which now explicitly include "transitory" impairments as actionable impairments for those prongs. 28 C.F.R. § 35.108(d)(1)(ix). Therefore, this Court's summary orders in </w:t>
      </w:r>
      <w:bookmarkStart w:id="120" w:name="Bookmark_I6329WX428T4CF0040000400"/>
      <w:bookmarkEnd w:id="120"/>
      <w:r>
        <w:rPr>
          <w:rFonts w:ascii="Arial" w:eastAsia="Arial" w:hAnsi="Arial" w:cs="Arial"/>
          <w:i/>
          <w:color w:val="000000"/>
          <w:sz w:val="20"/>
        </w:rPr>
        <w:t>De La Rosa</w:t>
      </w:r>
      <w:r>
        <w:rPr>
          <w:rFonts w:ascii="Arial" w:eastAsia="Arial" w:hAnsi="Arial" w:cs="Arial"/>
          <w:color w:val="000000"/>
          <w:sz w:val="20"/>
        </w:rPr>
        <w:t xml:space="preserve"> and </w:t>
      </w:r>
      <w:bookmarkStart w:id="121" w:name="Bookmark_I6329WX428T4CF0050000400_2"/>
      <w:bookmarkStart w:id="122" w:name="Bookmark_I6329WX428T4CG0010000400"/>
      <w:bookmarkEnd w:id="121"/>
      <w:bookmarkEnd w:id="122"/>
      <w:r>
        <w:rPr>
          <w:rFonts w:ascii="Arial" w:eastAsia="Arial" w:hAnsi="Arial" w:cs="Arial"/>
          <w:i/>
          <w:color w:val="000000"/>
          <w:sz w:val="20"/>
        </w:rPr>
        <w:t>Francis</w:t>
      </w:r>
      <w:r>
        <w:rPr>
          <w:rFonts w:ascii="Arial" w:eastAsia="Arial" w:hAnsi="Arial" w:cs="Arial"/>
          <w:color w:val="000000"/>
          <w:sz w:val="20"/>
        </w:rPr>
        <w:t>, while issued after the ADAAA's enactment, are inapposite to the present appeal and our analysis of the ADAAA's relaxed temporal requirements for establishing an actual disability claim under the ADA.</w:t>
      </w:r>
    </w:p>
    <w:p w14:paraId="52BB7F57" w14:textId="77777777" w:rsidR="002B10A6" w:rsidRDefault="00000000">
      <w:pPr>
        <w:pStyle w:val="Normal0"/>
        <w:widowControl w:val="0"/>
        <w:spacing w:before="200" w:line="260" w:lineRule="atLeast"/>
        <w:jc w:val="both"/>
      </w:pPr>
      <w:bookmarkStart w:id="123" w:name="Bookmark_para_32"/>
      <w:bookmarkEnd w:id="123"/>
      <w:r>
        <w:rPr>
          <w:rFonts w:ascii="Arial" w:eastAsia="Arial" w:hAnsi="Arial" w:cs="Arial"/>
          <w:color w:val="000000"/>
          <w:sz w:val="20"/>
        </w:rPr>
        <w:t xml:space="preserve">Of course, we agree with the County's assertion that "[w]hile an impairment lasting less than six months </w:t>
      </w:r>
      <w:r>
        <w:rPr>
          <w:rFonts w:ascii="Arial" w:eastAsia="Arial" w:hAnsi="Arial" w:cs="Arial"/>
          <w:i/>
          <w:color w:val="000000"/>
          <w:sz w:val="20"/>
        </w:rPr>
        <w:t>can</w:t>
      </w:r>
      <w:r>
        <w:rPr>
          <w:rFonts w:ascii="Arial" w:eastAsia="Arial" w:hAnsi="Arial" w:cs="Arial"/>
          <w:color w:val="000000"/>
          <w:sz w:val="20"/>
        </w:rPr>
        <w:t xml:space="preserve"> constitute a disability since the 2008 amendments, it obviously does not follow that such an impairment </w:t>
      </w:r>
      <w:r>
        <w:rPr>
          <w:rFonts w:ascii="Arial" w:eastAsia="Arial" w:hAnsi="Arial" w:cs="Arial"/>
          <w:i/>
          <w:color w:val="000000"/>
          <w:sz w:val="20"/>
        </w:rPr>
        <w:t>will</w:t>
      </w:r>
      <w:r>
        <w:rPr>
          <w:rFonts w:ascii="Arial" w:eastAsia="Arial" w:hAnsi="Arial" w:cs="Arial"/>
          <w:color w:val="000000"/>
          <w:sz w:val="20"/>
        </w:rPr>
        <w:t xml:space="preserve"> constitute a disability." County Br. at 6-7 (emphases in original). But the district court's error here was to dismiss Hamilton's ADA claim solely because he had failed to plead that "his injury was not temporary." J. App'x at 29. The district court did not acknowledge the possibility that a temporary injury </w:t>
      </w:r>
      <w:r>
        <w:rPr>
          <w:rFonts w:ascii="Arial" w:eastAsia="Arial" w:hAnsi="Arial" w:cs="Arial"/>
          <w:i/>
          <w:color w:val="000000"/>
          <w:sz w:val="20"/>
        </w:rPr>
        <w:t>can</w:t>
      </w:r>
      <w:r>
        <w:rPr>
          <w:rFonts w:ascii="Arial" w:eastAsia="Arial" w:hAnsi="Arial" w:cs="Arial"/>
          <w:color w:val="000000"/>
          <w:sz w:val="20"/>
        </w:rPr>
        <w:t xml:space="preserve"> constitute a qualifying disability, as long as the requirements of the ADA are met.</w:t>
      </w:r>
    </w:p>
    <w:p w14:paraId="7E11101B" w14:textId="77777777" w:rsidR="002B10A6" w:rsidRDefault="00000000">
      <w:pPr>
        <w:pStyle w:val="Normal0"/>
        <w:widowControl w:val="0"/>
        <w:spacing w:before="200" w:line="260" w:lineRule="atLeast"/>
        <w:jc w:val="both"/>
      </w:pPr>
      <w:bookmarkStart w:id="124" w:name="Bookmark_para_33"/>
      <w:bookmarkEnd w:id="124"/>
      <w:r>
        <w:rPr>
          <w:rFonts w:ascii="Arial" w:eastAsia="Arial" w:hAnsi="Arial" w:cs="Arial"/>
          <w:color w:val="000000"/>
          <w:sz w:val="20"/>
        </w:rPr>
        <w:t xml:space="preserve">In its brief on appeal, the County repeatedly emphasizes that Hamilton's injury had lasted only nineteen days when he filed his complaint, arguing in essence that even if temporary injuries can qualify, a nineteen-day [**17]  injury is too short-term to qualify. The statute does not suggest that there is any duration that is too short, but in any event, we need not decide if there is merit to that view of the law, for the County's suggestion that Hamilton suffered only a nineteen-day injury is disingenuous. Indeed, the complaint alleged  [*95]  that Hamilton sustained a dislocated knee and torn meniscus, he suffered from excruciating pain, his injuries were not properly treated, and he was placed in situations where his injuries were aggravated. These circumstances permit the plausible inference that Hamilton's injuries were ongoing and likely to last significantly longer than nineteen days. </w:t>
      </w:r>
      <w:r>
        <w:rPr>
          <w:rFonts w:ascii="Arial" w:eastAsia="Arial" w:hAnsi="Arial" w:cs="Arial"/>
          <w:i/>
          <w:color w:val="000000"/>
          <w:sz w:val="20"/>
        </w:rPr>
        <w:t>See Torn Meniscus</w:t>
      </w:r>
      <w:r>
        <w:rPr>
          <w:rFonts w:ascii="Arial" w:eastAsia="Arial" w:hAnsi="Arial" w:cs="Arial"/>
          <w:color w:val="000000"/>
          <w:sz w:val="20"/>
        </w:rPr>
        <w:t xml:space="preserve">, CLEVELAND CLINIC, https://my.clevelandclinic.org/health/diseases/17219-torn-meniscus (last visited June 18, 2021) ("More serious meniscus tears may not heal on their own . . . . </w:t>
      </w:r>
      <w:r>
        <w:rPr>
          <w:rFonts w:ascii="Arial" w:eastAsia="Arial" w:hAnsi="Arial" w:cs="Arial"/>
          <w:i/>
          <w:color w:val="000000"/>
          <w:sz w:val="20"/>
        </w:rPr>
        <w:t>If</w:t>
      </w:r>
      <w:r>
        <w:rPr>
          <w:rFonts w:ascii="Arial" w:eastAsia="Arial" w:hAnsi="Arial" w:cs="Arial"/>
          <w:color w:val="000000"/>
          <w:sz w:val="20"/>
        </w:rPr>
        <w:t xml:space="preserve"> you have surgery to repair a torn meniscus, your knee should be fully recovered after a few </w:t>
      </w:r>
      <w:r>
        <w:rPr>
          <w:rFonts w:ascii="Arial" w:eastAsia="Arial" w:hAnsi="Arial" w:cs="Arial"/>
          <w:i/>
          <w:color w:val="000000"/>
          <w:sz w:val="20"/>
        </w:rPr>
        <w:t>months</w:t>
      </w:r>
      <w:r>
        <w:rPr>
          <w:rFonts w:ascii="Arial" w:eastAsia="Arial" w:hAnsi="Arial" w:cs="Arial"/>
          <w:color w:val="000000"/>
          <w:sz w:val="20"/>
        </w:rPr>
        <w:t xml:space="preserve"> of physical therapy." (emphases added)).</w:t>
      </w:r>
    </w:p>
    <w:p w14:paraId="6FA3E466" w14:textId="77777777" w:rsidR="002B10A6" w:rsidRDefault="00000000">
      <w:pPr>
        <w:pStyle w:val="Normal0"/>
        <w:widowControl w:val="0"/>
        <w:spacing w:before="200" w:line="260" w:lineRule="atLeast"/>
        <w:jc w:val="both"/>
      </w:pPr>
      <w:bookmarkStart w:id="125" w:name="Bookmark_para_34"/>
      <w:bookmarkEnd w:id="125"/>
      <w:r>
        <w:rPr>
          <w:rFonts w:ascii="Arial" w:eastAsia="Arial" w:hAnsi="Arial" w:cs="Arial"/>
          <w:color w:val="000000"/>
          <w:sz w:val="20"/>
        </w:rPr>
        <w:t>Because the district court based its dismissal of Hamilton's ADA claim against the County only on the threshold issue of whether his injuries were temporary, we do not reach the other aspects [**18]  of Hamilton's ADA claim. Likewise, we do not reach the County's argument that, putting aside the issue of duration, Hamilton failed to plausibly plead a qualifying disability. We leave it to the district court to address these issues in the first instance.</w:t>
      </w:r>
    </w:p>
    <w:p w14:paraId="7D7E2259" w14:textId="77777777" w:rsidR="002B10A6" w:rsidRDefault="00000000">
      <w:pPr>
        <w:pStyle w:val="Normal0"/>
        <w:widowControl w:val="0"/>
        <w:spacing w:before="200" w:line="260" w:lineRule="atLeast"/>
        <w:jc w:val="both"/>
      </w:pPr>
      <w:bookmarkStart w:id="126" w:name="Bookmark_para_35"/>
      <w:bookmarkStart w:id="127" w:name="Bookmark_I6329WX428T4CG0040000400"/>
      <w:bookmarkEnd w:id="126"/>
      <w:bookmarkEnd w:id="127"/>
      <w:r>
        <w:rPr>
          <w:rFonts w:ascii="Arial" w:eastAsia="Arial" w:hAnsi="Arial" w:cs="Arial"/>
          <w:color w:val="000000"/>
          <w:sz w:val="20"/>
        </w:rPr>
        <w:t xml:space="preserve">We do, however, reject the County's alternative argument that Hamilton failed to exhaust his administrative remedies. We agree with the district court that Hamilton plausibly alleged that exhaustion was not meaningfully available to him. </w:t>
      </w:r>
      <w:r>
        <w:rPr>
          <w:rFonts w:ascii="Arial" w:eastAsia="Arial" w:hAnsi="Arial" w:cs="Arial"/>
          <w:i/>
          <w:color w:val="000000"/>
          <w:sz w:val="20"/>
        </w:rPr>
        <w:t xml:space="preserve">See </w:t>
      </w:r>
      <w:bookmarkStart w:id="128" w:name="Bookmark_I6329WX428T4CG0030000400"/>
      <w:bookmarkEnd w:id="128"/>
      <w:r>
        <w:rPr>
          <w:rFonts w:ascii="Arial" w:eastAsia="Arial" w:hAnsi="Arial" w:cs="Arial"/>
          <w:i/>
          <w:color w:val="000000"/>
          <w:sz w:val="20"/>
        </w:rPr>
        <w:t>Williams v. Corr. Officer Priatno</w:t>
      </w:r>
      <w:r>
        <w:rPr>
          <w:rFonts w:ascii="Arial" w:eastAsia="Arial" w:hAnsi="Arial" w:cs="Arial"/>
          <w:color w:val="000000"/>
          <w:sz w:val="20"/>
        </w:rPr>
        <w:t>, 829 F.3d 118, 123-24 (2d Cir. 2016).</w:t>
      </w:r>
    </w:p>
    <w:p w14:paraId="6AF8B5ED" w14:textId="77777777" w:rsidR="002B10A6" w:rsidRDefault="00000000">
      <w:pPr>
        <w:pStyle w:val="Normal0"/>
        <w:widowControl w:val="0"/>
        <w:spacing w:before="240" w:line="260" w:lineRule="atLeast"/>
      </w:pPr>
      <w:r>
        <w:br/>
      </w:r>
      <w:r>
        <w:rPr>
          <w:rFonts w:ascii="Arial" w:eastAsia="Arial" w:hAnsi="Arial" w:cs="Arial"/>
          <w:b/>
          <w:i/>
          <w:color w:val="000000"/>
          <w:sz w:val="20"/>
        </w:rPr>
        <w:t>CONCLUSION</w:t>
      </w:r>
    </w:p>
    <w:p w14:paraId="62684034" w14:textId="77777777" w:rsidR="002B10A6" w:rsidRDefault="00000000">
      <w:pPr>
        <w:pStyle w:val="Normal0"/>
        <w:widowControl w:val="0"/>
        <w:spacing w:before="200" w:line="260" w:lineRule="atLeast"/>
        <w:jc w:val="both"/>
      </w:pPr>
      <w:bookmarkStart w:id="129" w:name="Bookmark_para_36"/>
      <w:bookmarkEnd w:id="129"/>
      <w:r>
        <w:rPr>
          <w:rFonts w:ascii="Arial" w:eastAsia="Arial" w:hAnsi="Arial" w:cs="Arial"/>
          <w:color w:val="000000"/>
          <w:sz w:val="20"/>
        </w:rPr>
        <w:t xml:space="preserve">For the reasons set forth above, the district court's opinion and order is </w:t>
      </w:r>
      <w:r>
        <w:rPr>
          <w:rFonts w:ascii="Arial" w:eastAsia="Arial" w:hAnsi="Arial" w:cs="Arial"/>
          <w:b/>
          <w:color w:val="000000"/>
          <w:sz w:val="20"/>
        </w:rPr>
        <w:t>VACATED</w:t>
      </w:r>
      <w:r>
        <w:rPr>
          <w:rFonts w:ascii="Arial" w:eastAsia="Arial" w:hAnsi="Arial" w:cs="Arial"/>
          <w:color w:val="000000"/>
          <w:sz w:val="20"/>
        </w:rPr>
        <w:t xml:space="preserve"> to the extent it dismissed Hamilton's ADA claim against the County, the matter is </w:t>
      </w:r>
      <w:r>
        <w:rPr>
          <w:rFonts w:ascii="Arial" w:eastAsia="Arial" w:hAnsi="Arial" w:cs="Arial"/>
          <w:b/>
          <w:color w:val="000000"/>
          <w:sz w:val="20"/>
        </w:rPr>
        <w:t>REMANDED</w:t>
      </w:r>
      <w:r>
        <w:rPr>
          <w:rFonts w:ascii="Arial" w:eastAsia="Arial" w:hAnsi="Arial" w:cs="Arial"/>
          <w:color w:val="000000"/>
          <w:sz w:val="20"/>
        </w:rPr>
        <w:t xml:space="preserve"> for further proceedings as to that claim only, and the dismissal of all other claims is </w:t>
      </w:r>
      <w:r>
        <w:rPr>
          <w:rFonts w:ascii="Arial" w:eastAsia="Arial" w:hAnsi="Arial" w:cs="Arial"/>
          <w:b/>
          <w:color w:val="000000"/>
          <w:sz w:val="20"/>
        </w:rPr>
        <w:t>AFFIRMED</w:t>
      </w:r>
      <w:r>
        <w:rPr>
          <w:rFonts w:ascii="Arial" w:eastAsia="Arial" w:hAnsi="Arial" w:cs="Arial"/>
          <w:color w:val="000000"/>
          <w:sz w:val="20"/>
        </w:rPr>
        <w:t>.</w:t>
      </w:r>
    </w:p>
    <w:p w14:paraId="5473F583" w14:textId="77777777" w:rsidR="002B10A6" w:rsidRDefault="002B10A6">
      <w:pPr>
        <w:pStyle w:val="Normal0"/>
      </w:pPr>
    </w:p>
    <w:p w14:paraId="7F9E8EA2" w14:textId="0C52BB51" w:rsidR="002B10A6" w:rsidRDefault="00000000">
      <w:pPr>
        <w:pStyle w:val="Normal0"/>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59264" behindDoc="0" locked="0" layoutInCell="1" allowOverlap="1" wp14:anchorId="6A5DD248" wp14:editId="2CB73AAD">
                <wp:simplePos x="0" y="0"/>
                <wp:positionH relativeFrom="column">
                  <wp:posOffset>0</wp:posOffset>
                </wp:positionH>
                <wp:positionV relativeFrom="paragraph">
                  <wp:posOffset>127000</wp:posOffset>
                </wp:positionV>
                <wp:extent cx="6502400" cy="0"/>
                <wp:effectExtent l="9525" t="12700" r="12700" b="6350"/>
                <wp:wrapNone/>
                <wp:docPr id="70475819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F19B59"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0D2DA36" w14:textId="77777777" w:rsidR="002B10A6" w:rsidRDefault="002B10A6">
      <w:pPr>
        <w:pStyle w:val="Normal1"/>
        <w:sectPr w:rsidR="002B10A6">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gutter="0"/>
          <w:cols w:space="720"/>
          <w:titlePg/>
        </w:sectPr>
      </w:pPr>
    </w:p>
    <w:p w14:paraId="3409F8C0" w14:textId="77777777" w:rsidR="002B10A6" w:rsidRDefault="002B10A6">
      <w:pPr>
        <w:pStyle w:val="Normal1"/>
      </w:pPr>
    </w:p>
    <w:p w14:paraId="7D989AE4" w14:textId="77777777" w:rsidR="002B10A6" w:rsidRDefault="00000000">
      <w:pPr>
        <w:pStyle w:val="Heading10"/>
        <w:keepNext w:val="0"/>
        <w:widowControl w:val="0"/>
        <w:spacing w:after="200" w:line="340" w:lineRule="atLeast"/>
        <w:jc w:val="center"/>
      </w:pPr>
      <w:r>
        <w:rPr>
          <w:rFonts w:eastAsia="Arial"/>
          <w:color w:val="000000"/>
          <w:sz w:val="28"/>
        </w:rPr>
        <w:t>Keller v. Chippewa Cty.</w:t>
      </w:r>
    </w:p>
    <w:p w14:paraId="627B0A8F" w14:textId="77777777" w:rsidR="002B10A6" w:rsidRDefault="00000000">
      <w:pPr>
        <w:pStyle w:val="Normal1"/>
        <w:widowControl w:val="0"/>
        <w:spacing w:before="120" w:line="260" w:lineRule="atLeast"/>
        <w:jc w:val="center"/>
      </w:pPr>
      <w:r>
        <w:rPr>
          <w:rFonts w:ascii="Arial" w:eastAsia="Arial" w:hAnsi="Arial" w:cs="Arial"/>
          <w:color w:val="000000"/>
          <w:sz w:val="20"/>
        </w:rPr>
        <w:t>United States Court of Appeals for the Sixth Circuit</w:t>
      </w:r>
    </w:p>
    <w:p w14:paraId="2550FD92" w14:textId="77777777" w:rsidR="002B10A6" w:rsidRDefault="00000000">
      <w:pPr>
        <w:pStyle w:val="Normal1"/>
        <w:widowControl w:val="0"/>
        <w:spacing w:before="120" w:line="260" w:lineRule="atLeast"/>
        <w:jc w:val="center"/>
      </w:pPr>
      <w:r>
        <w:rPr>
          <w:rFonts w:ascii="Arial" w:eastAsia="Arial" w:hAnsi="Arial" w:cs="Arial"/>
          <w:color w:val="000000"/>
          <w:sz w:val="20"/>
        </w:rPr>
        <w:t>June 14, 2021, Filed</w:t>
      </w:r>
    </w:p>
    <w:p w14:paraId="2F1C99EA" w14:textId="77777777" w:rsidR="002B10A6" w:rsidRDefault="00000000">
      <w:pPr>
        <w:pStyle w:val="Normal1"/>
        <w:widowControl w:val="0"/>
        <w:spacing w:before="120" w:line="260" w:lineRule="atLeast"/>
        <w:jc w:val="center"/>
      </w:pPr>
      <w:r>
        <w:rPr>
          <w:rFonts w:ascii="Arial" w:eastAsia="Arial" w:hAnsi="Arial" w:cs="Arial"/>
          <w:color w:val="000000"/>
          <w:sz w:val="20"/>
        </w:rPr>
        <w:t>File Name: 21a0287n.06</w:t>
      </w:r>
    </w:p>
    <w:p w14:paraId="7749719B" w14:textId="77777777" w:rsidR="002B10A6" w:rsidRDefault="00000000">
      <w:pPr>
        <w:pStyle w:val="Normal1"/>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20-2086</w:t>
      </w:r>
    </w:p>
    <w:p w14:paraId="57985213" w14:textId="77777777" w:rsidR="002B10A6" w:rsidRDefault="002B10A6">
      <w:pPr>
        <w:pStyle w:val="Normal1"/>
        <w:widowControl w:val="0"/>
        <w:spacing w:line="240" w:lineRule="atLeast"/>
        <w:jc w:val="both"/>
      </w:pPr>
      <w:bookmarkStart w:id="130" w:name="Bookmark_2"/>
      <w:bookmarkEnd w:id="130"/>
    </w:p>
    <w:p w14:paraId="09918C08" w14:textId="77777777" w:rsidR="002B10A6" w:rsidRDefault="00000000">
      <w:pPr>
        <w:pStyle w:val="Normal1"/>
        <w:widowControl w:val="0"/>
        <w:spacing w:before="200" w:line="240" w:lineRule="atLeast"/>
      </w:pPr>
      <w:bookmarkStart w:id="131" w:name="Reporter_0"/>
      <w:bookmarkEnd w:id="131"/>
      <w:r>
        <w:rPr>
          <w:rFonts w:ascii="Arial" w:eastAsia="Arial" w:hAnsi="Arial" w:cs="Arial"/>
          <w:b/>
          <w:color w:val="000000"/>
          <w:sz w:val="18"/>
        </w:rPr>
        <w:t>Reporter</w:t>
      </w:r>
    </w:p>
    <w:p w14:paraId="2FB5BC50" w14:textId="77777777" w:rsidR="002B10A6" w:rsidRDefault="00000000">
      <w:pPr>
        <w:pStyle w:val="Normal1"/>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860 Fed. Appx. 381 *; 2021 U.S. App. LEXIS 17839 **; 2021 FED App. 0287N (6th Cir.); 2021 WL 2411873</w:t>
      </w:r>
    </w:p>
    <w:p w14:paraId="6A0625BF" w14:textId="77777777" w:rsidR="002B10A6" w:rsidRDefault="00000000">
      <w:pPr>
        <w:pStyle w:val="Normal1"/>
        <w:widowControl w:val="0"/>
        <w:spacing w:before="120" w:line="260" w:lineRule="atLeast"/>
      </w:pPr>
      <w:r>
        <w:rPr>
          <w:rFonts w:ascii="Arial" w:eastAsia="Arial" w:hAnsi="Arial" w:cs="Arial"/>
          <w:color w:val="000000"/>
          <w:sz w:val="20"/>
        </w:rPr>
        <w:t>RALPH KELLER, Plaintiff-Appellant, v. CHIPPEWA COUNTY, MICHIGAN BOARD OF COMMISSIONERS; CHIPPEWA COUNTY, MICHIGAN SHERIFF'S DEPARTMENT, Defendants-Appellees.</w:t>
      </w:r>
    </w:p>
    <w:p w14:paraId="08E304AE" w14:textId="77777777" w:rsidR="002B10A6" w:rsidRDefault="00000000">
      <w:pPr>
        <w:pStyle w:val="Normal1"/>
        <w:widowControl w:val="0"/>
        <w:spacing w:before="240" w:line="260" w:lineRule="atLeast"/>
        <w:jc w:val="both"/>
      </w:pPr>
      <w:bookmarkStart w:id="132" w:name="Notice"/>
      <w:bookmarkEnd w:id="132"/>
      <w:r>
        <w:rPr>
          <w:rFonts w:ascii="Arial" w:eastAsia="Arial" w:hAnsi="Arial" w:cs="Arial"/>
          <w:b/>
          <w:color w:val="000000"/>
          <w:sz w:val="20"/>
        </w:rPr>
        <w:t>Notice:</w:t>
      </w:r>
      <w:r>
        <w:rPr>
          <w:rFonts w:ascii="Arial" w:eastAsia="Arial" w:hAnsi="Arial" w:cs="Arial"/>
          <w:color w:val="000000"/>
          <w:sz w:val="20"/>
        </w:rPr>
        <w:t> </w:t>
      </w:r>
      <w:bookmarkStart w:id="133" w:name="Bookmark_para_1_0"/>
      <w:bookmarkEnd w:id="133"/>
      <w:r>
        <w:rPr>
          <w:rFonts w:ascii="Arial" w:eastAsia="Arial" w:hAnsi="Arial" w:cs="Arial"/>
          <w:color w:val="000000"/>
          <w:sz w:val="20"/>
        </w:rPr>
        <w:t>NOT RECOMMENDED FOR FULL-TEXT PUBLICATION. SIXTH CIRCUIT RULE 28 LIMITS CITATION TO SPECIFIC SITUATIONS. PLEASE SEE RULE 28 BEFORE CITING IN A PROCEEDING IN A COURT IN THE SIXTH CIRCUIT. IF CITED, A COPY MUST BE SERVED ON OTHER PARTIES AND THE COURT. THIS NOTICE IS TO BE PROMINENTLY DISPLAYED IF THIS DECISION IS REPRODUCED.</w:t>
      </w:r>
    </w:p>
    <w:p w14:paraId="08373718" w14:textId="77777777" w:rsidR="002B10A6" w:rsidRDefault="00000000">
      <w:pPr>
        <w:pStyle w:val="Normal1"/>
        <w:widowControl w:val="0"/>
        <w:spacing w:before="240" w:line="260" w:lineRule="atLeast"/>
      </w:pPr>
      <w:bookmarkStart w:id="134" w:name="Subsequent_History"/>
      <w:bookmarkEnd w:id="134"/>
      <w:r>
        <w:rPr>
          <w:rFonts w:ascii="Arial" w:eastAsia="Arial" w:hAnsi="Arial" w:cs="Arial"/>
          <w:b/>
          <w:color w:val="000000"/>
          <w:sz w:val="20"/>
        </w:rPr>
        <w:t>Subsequent History:</w:t>
      </w:r>
      <w:r>
        <w:rPr>
          <w:rFonts w:ascii="Arial" w:eastAsia="Arial" w:hAnsi="Arial" w:cs="Arial"/>
          <w:color w:val="000000"/>
          <w:sz w:val="20"/>
        </w:rPr>
        <w:t> US Supreme Court certiorari denied by Keller v. Chippewa County Bd., 2022 U.S. LEXIS 421 (U.S., Jan. 10, 2022)</w:t>
      </w:r>
    </w:p>
    <w:p w14:paraId="494949D1" w14:textId="77777777" w:rsidR="002B10A6" w:rsidRDefault="00000000">
      <w:pPr>
        <w:pStyle w:val="Normal1"/>
        <w:widowControl w:val="0"/>
        <w:spacing w:before="240" w:line="260" w:lineRule="atLeast"/>
        <w:jc w:val="both"/>
      </w:pPr>
      <w:bookmarkStart w:id="135" w:name="Prior_History_0"/>
      <w:bookmarkEnd w:id="135"/>
      <w:r>
        <w:rPr>
          <w:rFonts w:ascii="Arial" w:eastAsia="Arial" w:hAnsi="Arial" w:cs="Arial"/>
          <w:b/>
          <w:color w:val="000000"/>
          <w:sz w:val="20"/>
        </w:rPr>
        <w:t>Prior History:</w:t>
      </w:r>
      <w:r>
        <w:rPr>
          <w:rFonts w:ascii="Arial" w:eastAsia="Arial" w:hAnsi="Arial" w:cs="Arial"/>
          <w:color w:val="000000"/>
          <w:sz w:val="20"/>
        </w:rPr>
        <w:t> </w:t>
      </w:r>
      <w:bookmarkStart w:id="136" w:name="Bookmark_para_2_0"/>
      <w:bookmarkEnd w:id="136"/>
      <w:r>
        <w:rPr>
          <w:rFonts w:ascii="Arial" w:eastAsia="Arial" w:hAnsi="Arial" w:cs="Arial"/>
          <w:color w:val="000000"/>
          <w:sz w:val="20"/>
        </w:rPr>
        <w:t> [**1] ON APPEAL FROM THE UNITED STATES DISTRICT COURT FOR THE WESTERN DISTRICT OF MICHIGAN.</w:t>
      </w:r>
    </w:p>
    <w:p w14:paraId="1BA1B650" w14:textId="77777777" w:rsidR="002B10A6" w:rsidRDefault="00000000">
      <w:pPr>
        <w:pStyle w:val="Normal1"/>
        <w:widowControl w:val="0"/>
        <w:spacing w:before="240" w:line="260" w:lineRule="atLeast"/>
      </w:pPr>
      <w:bookmarkStart w:id="137" w:name="Counsel_0"/>
      <w:bookmarkEnd w:id="137"/>
      <w:r>
        <w:rPr>
          <w:rFonts w:ascii="Arial" w:eastAsia="Arial" w:hAnsi="Arial" w:cs="Arial"/>
          <w:b/>
          <w:color w:val="000000"/>
          <w:sz w:val="20"/>
        </w:rPr>
        <w:t>Counsel:</w:t>
      </w:r>
      <w:r>
        <w:rPr>
          <w:rFonts w:ascii="Arial" w:eastAsia="Arial" w:hAnsi="Arial" w:cs="Arial"/>
          <w:color w:val="000000"/>
          <w:sz w:val="20"/>
        </w:rPr>
        <w:t> For RALPH KELLER, Plaintiff - Appellant: Frank Gregory Becker, Frank G. Becker &amp; Associates, Southfield, MI.</w:t>
      </w:r>
    </w:p>
    <w:p w14:paraId="25DBD74F" w14:textId="77777777" w:rsidR="002B10A6" w:rsidRDefault="00000000">
      <w:pPr>
        <w:pStyle w:val="Normal1"/>
        <w:widowControl w:val="0"/>
        <w:spacing w:before="120" w:line="260" w:lineRule="atLeast"/>
      </w:pPr>
      <w:r>
        <w:rPr>
          <w:rFonts w:ascii="Arial" w:eastAsia="Arial" w:hAnsi="Arial" w:cs="Arial"/>
          <w:color w:val="000000"/>
          <w:sz w:val="20"/>
        </w:rPr>
        <w:t>For CHIPPEWA COUNTY, MI BOARD OF COMMISSIONERS, CHIPPEWA COUNTY, MI SHERIFF'S DEPARTMENT, Defendants - Appellees: Douglas J. Curlew, Cummings, McClorey, Davis &amp; Acho, Livonia, MI.</w:t>
      </w:r>
    </w:p>
    <w:p w14:paraId="7DDFA6AC" w14:textId="77777777" w:rsidR="002B10A6" w:rsidRDefault="00000000">
      <w:pPr>
        <w:pStyle w:val="Normal1"/>
        <w:widowControl w:val="0"/>
        <w:spacing w:before="240" w:line="260" w:lineRule="atLeast"/>
      </w:pPr>
      <w:bookmarkStart w:id="138" w:name="Judges_0"/>
      <w:bookmarkEnd w:id="138"/>
      <w:r>
        <w:rPr>
          <w:rFonts w:ascii="Arial" w:eastAsia="Arial" w:hAnsi="Arial" w:cs="Arial"/>
          <w:b/>
          <w:color w:val="000000"/>
          <w:sz w:val="20"/>
        </w:rPr>
        <w:t>Judges:</w:t>
      </w:r>
      <w:r>
        <w:rPr>
          <w:rFonts w:ascii="Arial" w:eastAsia="Arial" w:hAnsi="Arial" w:cs="Arial"/>
          <w:color w:val="000000"/>
          <w:sz w:val="20"/>
        </w:rPr>
        <w:t> Before: CLAY, McKEAGUE, and LARSEN, Circuit Judges.</w:t>
      </w:r>
    </w:p>
    <w:p w14:paraId="0809FE70" w14:textId="77777777" w:rsidR="002B10A6" w:rsidRDefault="00000000">
      <w:pPr>
        <w:pStyle w:val="Normal1"/>
        <w:widowControl w:val="0"/>
        <w:spacing w:before="240" w:line="260" w:lineRule="atLeast"/>
      </w:pPr>
      <w:bookmarkStart w:id="139" w:name="Opinion_by_0"/>
      <w:bookmarkEnd w:id="139"/>
      <w:r>
        <w:rPr>
          <w:rFonts w:ascii="Arial" w:eastAsia="Arial" w:hAnsi="Arial" w:cs="Arial"/>
          <w:b/>
          <w:color w:val="000000"/>
          <w:sz w:val="20"/>
        </w:rPr>
        <w:t>Opinion by:</w:t>
      </w:r>
      <w:r>
        <w:rPr>
          <w:rFonts w:ascii="Arial" w:eastAsia="Arial" w:hAnsi="Arial" w:cs="Arial"/>
          <w:color w:val="000000"/>
          <w:sz w:val="20"/>
        </w:rPr>
        <w:t> LARSEN</w:t>
      </w:r>
    </w:p>
    <w:p w14:paraId="0272BC2C" w14:textId="77777777" w:rsidR="002B10A6" w:rsidRDefault="00000000">
      <w:pPr>
        <w:pStyle w:val="Normal1"/>
        <w:keepNext/>
        <w:widowControl w:val="0"/>
        <w:spacing w:before="240" w:line="340" w:lineRule="atLeast"/>
      </w:pPr>
      <w:bookmarkStart w:id="140" w:name="Opinion_0"/>
      <w:bookmarkEnd w:id="140"/>
      <w:r>
        <w:rPr>
          <w:rFonts w:ascii="Arial" w:eastAsia="Arial" w:hAnsi="Arial" w:cs="Arial"/>
          <w:b/>
          <w:color w:val="000000"/>
          <w:sz w:val="28"/>
        </w:rPr>
        <w:t>Opinion</w:t>
      </w:r>
    </w:p>
    <w:p w14:paraId="06A9A148" w14:textId="411DEBDE" w:rsidR="002B10A6" w:rsidRDefault="002D6974">
      <w:pPr>
        <w:pStyle w:val="Normal1"/>
        <w:spacing w:line="60" w:lineRule="exact"/>
      </w:pPr>
      <w:r>
        <w:rPr>
          <w:noProof/>
        </w:rPr>
        <mc:AlternateContent>
          <mc:Choice Requires="wps">
            <w:drawing>
              <wp:anchor distT="0" distB="0" distL="114300" distR="114300" simplePos="0" relativeHeight="251660288" behindDoc="0" locked="0" layoutInCell="1" allowOverlap="1" wp14:anchorId="2C58FD35" wp14:editId="5FEA7882">
                <wp:simplePos x="0" y="0"/>
                <wp:positionH relativeFrom="column">
                  <wp:posOffset>0</wp:posOffset>
                </wp:positionH>
                <wp:positionV relativeFrom="paragraph">
                  <wp:posOffset>25400</wp:posOffset>
                </wp:positionV>
                <wp:extent cx="3187700" cy="0"/>
                <wp:effectExtent l="19050" t="15875" r="12700" b="12700"/>
                <wp:wrapTopAndBottom/>
                <wp:docPr id="20157915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016F6"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49CEA9A" w14:textId="77777777" w:rsidR="002B10A6" w:rsidRDefault="002B10A6">
      <w:pPr>
        <w:pStyle w:val="Normal1"/>
      </w:pPr>
    </w:p>
    <w:p w14:paraId="02E0DD32" w14:textId="77777777" w:rsidR="002B10A6" w:rsidRDefault="00000000">
      <w:pPr>
        <w:pStyle w:val="Normal1"/>
        <w:widowControl w:val="0"/>
        <w:spacing w:before="200" w:line="260" w:lineRule="atLeast"/>
        <w:jc w:val="both"/>
      </w:pPr>
      <w:bookmarkStart w:id="141" w:name="Bookmark_para_3_0"/>
      <w:bookmarkEnd w:id="141"/>
      <w:r>
        <w:rPr>
          <w:rFonts w:ascii="Arial" w:eastAsia="Arial" w:hAnsi="Arial" w:cs="Arial"/>
          <w:color w:val="000000"/>
          <w:sz w:val="20"/>
        </w:rPr>
        <w:t xml:space="preserve"> [*382]  LARSEN, Circuit Judge. After Ralph Keller was arrested on an outstanding warrant, he was detained for three nights in the Chippewa County Jail, where officers took custody of his breathing inhalers and his prosthetic leg. Keller sued the Chippewa County Board of Commissioners and the Chippewa County Sheriff's Department, alleging disability discrimination under Title II of the Americans with Disabilities Act (ADA), </w:t>
      </w:r>
      <w:r>
        <w:rPr>
          <w:rFonts w:ascii="Arial" w:eastAsia="Arial" w:hAnsi="Arial" w:cs="Arial"/>
          <w:i/>
          <w:color w:val="000000"/>
          <w:sz w:val="20"/>
        </w:rPr>
        <w:t>see</w:t>
      </w:r>
      <w:r>
        <w:rPr>
          <w:rFonts w:ascii="Arial" w:eastAsia="Arial" w:hAnsi="Arial" w:cs="Arial"/>
          <w:color w:val="000000"/>
          <w:sz w:val="20"/>
        </w:rPr>
        <w:t xml:space="preserve"> 42 U.S.C. § 12132, and § 504 of the Rehabilitation Act of 1973, </w:t>
      </w:r>
      <w:r>
        <w:rPr>
          <w:rFonts w:ascii="Arial" w:eastAsia="Arial" w:hAnsi="Arial" w:cs="Arial"/>
          <w:i/>
          <w:color w:val="000000"/>
          <w:sz w:val="20"/>
        </w:rPr>
        <w:t>see</w:t>
      </w:r>
      <w:r>
        <w:rPr>
          <w:rFonts w:ascii="Arial" w:eastAsia="Arial" w:hAnsi="Arial" w:cs="Arial"/>
          <w:color w:val="000000"/>
          <w:sz w:val="20"/>
        </w:rPr>
        <w:t xml:space="preserve"> 29 U.S.C. § 794(a). The district court awarded summary judgment to the defendants. We AFFIRM.</w:t>
      </w:r>
    </w:p>
    <w:p w14:paraId="079287CB" w14:textId="77777777" w:rsidR="002B10A6" w:rsidRDefault="00000000">
      <w:pPr>
        <w:pStyle w:val="Normal1"/>
        <w:widowControl w:val="0"/>
        <w:spacing w:before="120" w:line="260" w:lineRule="atLeast"/>
      </w:pPr>
      <w:r>
        <w:rPr>
          <w:rFonts w:ascii="Arial" w:eastAsia="Arial" w:hAnsi="Arial" w:cs="Arial"/>
          <w:color w:val="000000"/>
          <w:sz w:val="20"/>
        </w:rPr>
        <w:t>I.</w:t>
      </w:r>
    </w:p>
    <w:p w14:paraId="1B70308F" w14:textId="77777777" w:rsidR="002B10A6" w:rsidRDefault="00000000">
      <w:pPr>
        <w:pStyle w:val="Normal1"/>
        <w:widowControl w:val="0"/>
        <w:spacing w:before="200" w:line="260" w:lineRule="atLeast"/>
        <w:jc w:val="both"/>
      </w:pPr>
      <w:bookmarkStart w:id="142" w:name="Bookmark_para_4_0"/>
      <w:bookmarkEnd w:id="142"/>
      <w:r>
        <w:rPr>
          <w:rFonts w:ascii="Arial" w:eastAsia="Arial" w:hAnsi="Arial" w:cs="Arial"/>
          <w:color w:val="000000"/>
          <w:sz w:val="20"/>
        </w:rPr>
        <w:t>Around 3:30 a.m. on January 16, 2016, Ralph Keller was booked into the Chippewa County Jail. He had been arrested on an outstanding warrant for a misdemeanor controlled-substance offense. During booking, officers made two confiscations that are central to Keller's suit.</w:t>
      </w:r>
    </w:p>
    <w:p w14:paraId="3A039A72" w14:textId="77777777" w:rsidR="002B10A6" w:rsidRDefault="00000000">
      <w:pPr>
        <w:pStyle w:val="Normal1"/>
        <w:widowControl w:val="0"/>
        <w:spacing w:before="200" w:line="260" w:lineRule="atLeast"/>
        <w:jc w:val="both"/>
      </w:pPr>
      <w:bookmarkStart w:id="143" w:name="Bookmark_para_5_0"/>
      <w:bookmarkEnd w:id="143"/>
      <w:r>
        <w:rPr>
          <w:rFonts w:ascii="Arial" w:eastAsia="Arial" w:hAnsi="Arial" w:cs="Arial"/>
          <w:color w:val="000000"/>
          <w:sz w:val="20"/>
        </w:rPr>
        <w:t>First, they took custody of Keller's [**2]  inhalers. Keller suffers from stage-four chronic obstructive pulmonary disease (COPD), which is the final and most severe stage. He uses three inhalers to manage his condition. The first, Proair, is a short-acting rescue inhaler. The other two, Symbicort and Tudorza, are long-acting.</w:t>
      </w:r>
    </w:p>
    <w:p w14:paraId="3748D8B6" w14:textId="77777777" w:rsidR="002B10A6" w:rsidRDefault="00000000">
      <w:pPr>
        <w:pStyle w:val="Normal1"/>
        <w:widowControl w:val="0"/>
        <w:spacing w:before="200" w:line="260" w:lineRule="atLeast"/>
        <w:jc w:val="both"/>
      </w:pPr>
      <w:bookmarkStart w:id="144" w:name="Bookmark_para_6_0"/>
      <w:bookmarkEnd w:id="144"/>
      <w:r>
        <w:rPr>
          <w:rFonts w:ascii="Arial" w:eastAsia="Arial" w:hAnsi="Arial" w:cs="Arial"/>
          <w:color w:val="000000"/>
          <w:sz w:val="20"/>
        </w:rPr>
        <w:t>According to the jail administrator, Lieutenant Paul Stanaway, the jail has a policy against allowing detainees to keep prescription medications in their cells due to the risk of overdose or sharing with other inmates. When told of this policy, Keller did not ask to keep the inhalers with him. He handed them over and informed the officers how often he takes them each day. However, because Keller did not have the original boxes with the  [*383]  prescription information, an officer contacted the jail's physician, Dr. Dood, to determine the appropriate dosage. Dr. Dood advised that Keller should be given Proair four times daily as needed, Symbicort twice per day, and Tudorza once per day. Keller expressed disagreement with the Tudorza recommendation. Keller maintains that he should have been given Tudorza twice per day because that is the dosage that his personal pulmonologist, Dr. Amarjeet Sethi, has chosen for him. [**3]  For Dr. Sethi's part, he later testified that "once a day" is "normally standard" for Tudorza and that he did not have an issue with Dr. Dood's decision not to prescribe two doses per day.</w:t>
      </w:r>
    </w:p>
    <w:p w14:paraId="00AE9B08" w14:textId="77777777" w:rsidR="002B10A6" w:rsidRDefault="00000000">
      <w:pPr>
        <w:pStyle w:val="Normal1"/>
        <w:widowControl w:val="0"/>
        <w:spacing w:before="200" w:line="260" w:lineRule="atLeast"/>
        <w:jc w:val="both"/>
      </w:pPr>
      <w:bookmarkStart w:id="145" w:name="Bookmark_para_7_0"/>
      <w:bookmarkEnd w:id="145"/>
      <w:r>
        <w:rPr>
          <w:rFonts w:ascii="Arial" w:eastAsia="Arial" w:hAnsi="Arial" w:cs="Arial"/>
          <w:color w:val="000000"/>
          <w:sz w:val="20"/>
        </w:rPr>
        <w:t>Second, at the end of the booking process, officers told Keller to remove his prosthetic leg. Keller "told them that [he] need[s] [his] leg" but complied with the instructions to remove it. According to Lieutenant Stanaway, the jail confiscated the prosthesis because it "could be used as a weapon to harm others" and because Keller had a sore where it attached to his leg. The prosthesis was made of hard plastic and metal. Keller testified that it weighed "about 10 to 15 pounds." Stanaway represents that confiscating the leg was in accordance with the jail's "booking policies and procedures." The defendants also submitted an affidavit from an expert witness, who agreed that this decision "was reasonably related to a legitimate detention objective of maintaining security within the facility." Keller says when he was detained at the same jail in 2010, he had been allowed to keep his prosthetic. The record is otherwise silent on the circumstances of Keller's 2010 incarceration.</w:t>
      </w:r>
    </w:p>
    <w:p w14:paraId="457E3E60" w14:textId="77777777" w:rsidR="002B10A6" w:rsidRDefault="00000000">
      <w:pPr>
        <w:pStyle w:val="Normal1"/>
        <w:widowControl w:val="0"/>
        <w:spacing w:before="200" w:line="260" w:lineRule="atLeast"/>
        <w:jc w:val="both"/>
      </w:pPr>
      <w:bookmarkStart w:id="146" w:name="Bookmark_para_8_0"/>
      <w:bookmarkEnd w:id="146"/>
      <w:r>
        <w:rPr>
          <w:rFonts w:ascii="Arial" w:eastAsia="Arial" w:hAnsi="Arial" w:cs="Arial"/>
          <w:color w:val="000000"/>
          <w:sz w:val="20"/>
        </w:rPr>
        <w:t>After giving up his prosthesis, [**4]  Keller asked the deputies, "How am I going to get around?" According to Keller, a deputy responded, "hop around or crawl." Despite this callous remark, Keller was not, in fact, always required to get around on his own. Keller acknowledges that officers placed him in a wheelchair to bring him to his holding cell after booking. Indeed, the record never suggests that Keller was required to move outside his cell without the use of a wheelchair. For example, Keller says that officers wheeled him to and from the jail's recreation area and transported him in a wheelchair to receive medical treatment.</w:t>
      </w:r>
    </w:p>
    <w:p w14:paraId="172BB2C2" w14:textId="77777777" w:rsidR="002B10A6" w:rsidRDefault="00000000">
      <w:pPr>
        <w:pStyle w:val="Normal1"/>
        <w:widowControl w:val="0"/>
        <w:spacing w:before="200" w:line="260" w:lineRule="atLeast"/>
        <w:jc w:val="both"/>
      </w:pPr>
      <w:bookmarkStart w:id="147" w:name="Bookmark_para_9_0"/>
      <w:bookmarkEnd w:id="147"/>
      <w:r>
        <w:rPr>
          <w:rFonts w:ascii="Arial" w:eastAsia="Arial" w:hAnsi="Arial" w:cs="Arial"/>
          <w:color w:val="000000"/>
          <w:sz w:val="20"/>
        </w:rPr>
        <w:t>Immediately after booking, officers brought Keller to a holding cell. Officers wheeled Keller to the cell's doorway. When Keller got out of the wheelchair, he "scooted along with [his] one leg" as he "[h]eld [himself] against the wall or something" until he arrived at a bench where he could sit. The cell was about twenty-by-twenty feet in size. It was equipped with a bench, toilet, sink, and telephone, as well as an intercom system, which allows inmates to contact corrections officers. Officers hand-delivered three meals per day to the cell, and Keller was able to eat them. Officers would bring [**5]  meals to the door of the holding cell, and Keller's two young cellmates would carry the food to him. The jail also provided Keller with a cup so that he could have warm water from the sink, which helps with his COPD. Keller testified that he was able to use the toilet and the sink in the holding cell, but he had a "hard time" getting there. Without his prosthetic leg, he had to "shuffle[]" to the toilet, but nothing in the record reveals how far he had to go or whether he had access to any handrails for assistance.</w:t>
      </w:r>
    </w:p>
    <w:p w14:paraId="02757F2B" w14:textId="77777777" w:rsidR="002B10A6" w:rsidRDefault="00000000">
      <w:pPr>
        <w:pStyle w:val="Normal1"/>
        <w:widowControl w:val="0"/>
        <w:spacing w:before="200" w:line="260" w:lineRule="atLeast"/>
        <w:jc w:val="both"/>
      </w:pPr>
      <w:bookmarkStart w:id="148" w:name="Bookmark_para_10_0"/>
      <w:bookmarkEnd w:id="148"/>
      <w:r>
        <w:rPr>
          <w:rFonts w:ascii="Arial" w:eastAsia="Arial" w:hAnsi="Arial" w:cs="Arial"/>
          <w:color w:val="000000"/>
          <w:sz w:val="20"/>
        </w:rPr>
        <w:t>On his second or third day in jail, Keller was moved to an "observation cell" to facilitate medical treatment and monitoring of his COPD. The observation cell was smaller than the previous holding cell. While he was in this new cell, officers handed Keller his meals directly. Keller also had access to an emergency call button  [*384]  that could be used whenever he needed assistance. Keller does not assert that the absence of his prosthetic leg caused him any difficulty in the new cell.</w:t>
      </w:r>
    </w:p>
    <w:p w14:paraId="709C3B0F" w14:textId="77777777" w:rsidR="002B10A6" w:rsidRDefault="00000000">
      <w:pPr>
        <w:pStyle w:val="Normal1"/>
        <w:widowControl w:val="0"/>
        <w:spacing w:before="200" w:line="260" w:lineRule="atLeast"/>
        <w:jc w:val="both"/>
      </w:pPr>
      <w:bookmarkStart w:id="149" w:name="Bookmark_para_11_0"/>
      <w:bookmarkEnd w:id="149"/>
      <w:r>
        <w:rPr>
          <w:rFonts w:ascii="Arial" w:eastAsia="Arial" w:hAnsi="Arial" w:cs="Arial"/>
          <w:color w:val="000000"/>
          <w:sz w:val="20"/>
        </w:rPr>
        <w:t>Jail records show—and Keller does not contest—that he received his inhaler treatments as prescribed by Dr. Dood. However, his COPD still caused him great difficulty breathing. When Keller was having [**6]  trouble catching his breath, he was able to inform jail personnel, and he received treatment. On more than one occasion, officers administered Keller's rescue inhaler when he requested help via the intercom system or emergency button in his cell. When treatments did not produce the desired effect, officers contacted Dr. Dood, who would advise them on how to proceed. In response, Dood prescribed prednisone and nebulizer treatments; Keller agrees that the jail administered these treatments.</w:t>
      </w:r>
    </w:p>
    <w:p w14:paraId="34928F43" w14:textId="77777777" w:rsidR="002B10A6" w:rsidRDefault="00000000">
      <w:pPr>
        <w:pStyle w:val="Normal1"/>
        <w:widowControl w:val="0"/>
        <w:spacing w:before="200" w:line="260" w:lineRule="atLeast"/>
        <w:jc w:val="both"/>
      </w:pPr>
      <w:bookmarkStart w:id="150" w:name="Bookmark_para_12_0"/>
      <w:bookmarkEnd w:id="150"/>
      <w:r>
        <w:rPr>
          <w:rFonts w:ascii="Arial" w:eastAsia="Arial" w:hAnsi="Arial" w:cs="Arial"/>
          <w:color w:val="000000"/>
          <w:sz w:val="20"/>
        </w:rPr>
        <w:t>During one COPD flare-up, Keller asked officers to take him to the hospital, and the officers contacted Dr. Dood for guidance. Dood responded that Keller was only to be taken to the hospital if "he [was] turning blue" or his "temperature [was] low," neither of which occurred. Tests revealed that Keller's blood oxygen level was at 96 percent and that his temperature was 98.1 degrees. So, rather than taking Keller to the hospital, officers gave him another nebulizer treatment. After the treatment, Keller was "breathing normally" and "felt much better" according to the jail incident report. Keller admitted at his deposition that this treatment made him feel "[a] little better."</w:t>
      </w:r>
    </w:p>
    <w:p w14:paraId="758EBB9A" w14:textId="77777777" w:rsidR="002B10A6" w:rsidRDefault="00000000">
      <w:pPr>
        <w:pStyle w:val="Normal1"/>
        <w:widowControl w:val="0"/>
        <w:spacing w:before="200" w:line="260" w:lineRule="atLeast"/>
        <w:jc w:val="both"/>
      </w:pPr>
      <w:bookmarkStart w:id="151" w:name="Bookmark_para_13_0"/>
      <w:bookmarkEnd w:id="151"/>
      <w:r>
        <w:rPr>
          <w:rFonts w:ascii="Arial" w:eastAsia="Arial" w:hAnsi="Arial" w:cs="Arial"/>
          <w:color w:val="000000"/>
          <w:sz w:val="20"/>
        </w:rPr>
        <w:t>On Keller's fourth day in [**7]  jail, he pleaded guilty to his outstanding charges. He was sentenced to time served and a $120 fine. The jail released Keller that morning and returned his inhalers and prosthetic leg. Keller indicated that he was going to call an ambulance to take him to the hospital, but one of the officers volunteered to drive him there. Keller accepted the offer. The deputy drove him to the hospital and accompanied him inside.</w:t>
      </w:r>
    </w:p>
    <w:p w14:paraId="7FC000F9" w14:textId="77777777" w:rsidR="002B10A6" w:rsidRDefault="00000000">
      <w:pPr>
        <w:pStyle w:val="Normal1"/>
        <w:widowControl w:val="0"/>
        <w:spacing w:before="200" w:line="260" w:lineRule="atLeast"/>
        <w:jc w:val="both"/>
      </w:pPr>
      <w:bookmarkStart w:id="152" w:name="Bookmark_para_14_0"/>
      <w:bookmarkEnd w:id="152"/>
      <w:r>
        <w:rPr>
          <w:rFonts w:ascii="Arial" w:eastAsia="Arial" w:hAnsi="Arial" w:cs="Arial"/>
          <w:color w:val="000000"/>
          <w:sz w:val="20"/>
        </w:rPr>
        <w:t>After his release from jail, Keller sued the Chippewa County Board of Commissioners (the County) and the Chippewa County Sheriff's Department, alleging disability discrimination in violation of both the ADA and Rehabilitation Act. Specifically, he alleged that the defendants discriminated against him "by removing his prosthetic leg" and "by not allowing [him] to retain the use of his breathing aid." He alleged that it was necessary for him "to have the use of his prosthetic leg and inhaler for him to effectively obtain his meals, comply with orders, have his meals, maintain hygiene and otherwise have full access to the Chippewa County Jail facilities and services."</w:t>
      </w:r>
    </w:p>
    <w:p w14:paraId="03F23E61" w14:textId="77777777" w:rsidR="002B10A6" w:rsidRDefault="00000000">
      <w:pPr>
        <w:pStyle w:val="Normal1"/>
        <w:widowControl w:val="0"/>
        <w:spacing w:before="200" w:line="260" w:lineRule="atLeast"/>
        <w:jc w:val="both"/>
      </w:pPr>
      <w:bookmarkStart w:id="153" w:name="Bookmark_para_15_0"/>
      <w:bookmarkEnd w:id="153"/>
      <w:r>
        <w:rPr>
          <w:rFonts w:ascii="Arial" w:eastAsia="Arial" w:hAnsi="Arial" w:cs="Arial"/>
          <w:color w:val="000000"/>
          <w:sz w:val="20"/>
        </w:rPr>
        <w:t>After discovery, the County and the Sheriff's Department moved for summary judgment. The district court dismissed [**8]  Keller's claims against the Sheriff's Department on the ground that the department is one-and-the-same with the county government and is not a separate entity capable of being sued—a decision that Keller does not contest. The district court then granted summary judgment to the County on the merits of Keller's ADA and Rehabilitation Act claims. Keller timely appeals.</w:t>
      </w:r>
    </w:p>
    <w:p w14:paraId="7F4FD4B1" w14:textId="77777777" w:rsidR="002B10A6" w:rsidRDefault="00000000">
      <w:pPr>
        <w:pStyle w:val="Normal1"/>
        <w:widowControl w:val="0"/>
        <w:spacing w:before="120" w:line="260" w:lineRule="atLeast"/>
      </w:pPr>
      <w:r>
        <w:rPr>
          <w:rFonts w:ascii="Arial" w:eastAsia="Arial" w:hAnsi="Arial" w:cs="Arial"/>
          <w:color w:val="000000"/>
          <w:sz w:val="20"/>
        </w:rPr>
        <w:t>II.</w:t>
      </w:r>
    </w:p>
    <w:p w14:paraId="349F991D" w14:textId="77777777" w:rsidR="002B10A6" w:rsidRDefault="00000000">
      <w:pPr>
        <w:pStyle w:val="Normal1"/>
        <w:widowControl w:val="0"/>
        <w:spacing w:before="200" w:line="260" w:lineRule="atLeast"/>
        <w:jc w:val="both"/>
      </w:pPr>
      <w:bookmarkStart w:id="154" w:name="Bookmark_para_16_0"/>
      <w:bookmarkStart w:id="155" w:name="Bookmark_I62XXC712N1RRM0020000400"/>
      <w:bookmarkStart w:id="156" w:name="Bookmark_I62XXC712N1RRM0040000400"/>
      <w:bookmarkStart w:id="157" w:name="Bookmark_LNHNREFclscc1_0"/>
      <w:bookmarkEnd w:id="154"/>
      <w:bookmarkEnd w:id="155"/>
      <w:bookmarkEnd w:id="156"/>
      <w:bookmarkEnd w:id="157"/>
      <w:r>
        <w:rPr>
          <w:rFonts w:ascii="Arial" w:eastAsia="Arial" w:hAnsi="Arial" w:cs="Arial"/>
          <w:color w:val="000000"/>
          <w:sz w:val="20"/>
        </w:rPr>
        <w:t xml:space="preserve">We review the district court's grant of summary judgment de novo. </w:t>
      </w:r>
      <w:bookmarkStart w:id="158" w:name="Bookmark_I62XXC712N1RRM0010000400"/>
      <w:bookmarkEnd w:id="158"/>
      <w:r>
        <w:rPr>
          <w:rFonts w:ascii="Arial" w:eastAsia="Arial" w:hAnsi="Arial" w:cs="Arial"/>
          <w:i/>
          <w:color w:val="000000"/>
          <w:sz w:val="20"/>
        </w:rPr>
        <w:t>Anderson v. City of Blue Ash</w:t>
      </w:r>
      <w:r>
        <w:rPr>
          <w:rFonts w:ascii="Arial" w:eastAsia="Arial" w:hAnsi="Arial" w:cs="Arial"/>
          <w:color w:val="000000"/>
          <w:sz w:val="20"/>
        </w:rPr>
        <w:t xml:space="preserve">, 798 F.3d 338, 350 (6th Cir. 2015). </w:t>
      </w:r>
      <w:bookmarkStart w:id="159" w:name="Bookmark_I62XXC722D6N9F0010000400"/>
      <w:bookmarkEnd w:id="159"/>
      <w:r>
        <w:rPr>
          <w:rFonts w:ascii="Arial" w:eastAsia="Arial" w:hAnsi="Arial" w:cs="Arial"/>
          <w:color w:val="000000"/>
          <w:sz w:val="20"/>
        </w:rPr>
        <w:t xml:space="preserve">A "court shall grant summary judgment if the movant shows that there is no genuine dispute as to any material fact and the movant is entitled to judgment as a matter of law" based on specific facts in the record. Fed. R. Civ. P. 56(a), (c); </w:t>
      </w:r>
      <w:r>
        <w:rPr>
          <w:rFonts w:ascii="Arial" w:eastAsia="Arial" w:hAnsi="Arial" w:cs="Arial"/>
          <w:i/>
          <w:color w:val="000000"/>
          <w:sz w:val="20"/>
        </w:rPr>
        <w:t xml:space="preserve">see </w:t>
      </w:r>
      <w:r>
        <w:rPr>
          <w:rFonts w:ascii="Arial" w:eastAsia="Arial" w:hAnsi="Arial" w:cs="Arial"/>
          <w:color w:val="000000"/>
          <w:sz w:val="20"/>
        </w:rPr>
        <w:t xml:space="preserve"> [*385]  </w:t>
      </w:r>
      <w:bookmarkStart w:id="160" w:name="Bookmark_I62XXC712N1RRM0030000400"/>
      <w:bookmarkEnd w:id="160"/>
      <w:r>
        <w:rPr>
          <w:rFonts w:ascii="Arial" w:eastAsia="Arial" w:hAnsi="Arial" w:cs="Arial"/>
          <w:i/>
          <w:color w:val="000000"/>
          <w:sz w:val="20"/>
        </w:rPr>
        <w:t>Cincinnati Bell Tel. Co. v. Allnet Commc'n Servs. Inc.</w:t>
      </w:r>
      <w:r>
        <w:rPr>
          <w:rFonts w:ascii="Arial" w:eastAsia="Arial" w:hAnsi="Arial" w:cs="Arial"/>
          <w:color w:val="000000"/>
          <w:sz w:val="20"/>
        </w:rPr>
        <w:t xml:space="preserve">, 17 F.3d 921, 923-24 (6th Cir. 1994). </w:t>
      </w:r>
      <w:bookmarkStart w:id="161" w:name="Bookmark_I62XXC722D6N9F0010000400_2"/>
      <w:bookmarkStart w:id="162" w:name="Bookmark_I62XXC722D6N9F0030000400"/>
      <w:bookmarkEnd w:id="161"/>
      <w:bookmarkEnd w:id="162"/>
      <w:r>
        <w:rPr>
          <w:rFonts w:ascii="Arial" w:eastAsia="Arial" w:hAnsi="Arial" w:cs="Arial"/>
          <w:color w:val="000000"/>
          <w:sz w:val="20"/>
        </w:rPr>
        <w:t xml:space="preserve">The nonmoving party must show that the record contains sufficient evidence for a reasonable jury to rule in his favor on each "element essential to that party's case, and on which that party will bear the burden of proof at trial." </w:t>
      </w:r>
      <w:bookmarkStart w:id="163" w:name="Bookmark_I62XXC712N1RRM0050000400"/>
      <w:bookmarkEnd w:id="163"/>
      <w:r>
        <w:rPr>
          <w:rFonts w:ascii="Arial" w:eastAsia="Arial" w:hAnsi="Arial" w:cs="Arial"/>
          <w:i/>
          <w:color w:val="000000"/>
          <w:sz w:val="20"/>
        </w:rPr>
        <w:t>Celotex Corp. v. Catrett</w:t>
      </w:r>
      <w:r>
        <w:rPr>
          <w:rFonts w:ascii="Arial" w:eastAsia="Arial" w:hAnsi="Arial" w:cs="Arial"/>
          <w:color w:val="000000"/>
          <w:sz w:val="20"/>
        </w:rPr>
        <w:t xml:space="preserve">, 477 U.S. 317, 322, 106 S. Ct. 2548, 91 L. Ed. 2d 265 (1986). </w:t>
      </w:r>
      <w:bookmarkStart w:id="164" w:name="Bookmark_I62XXC722D6N9F0030000400_2"/>
      <w:bookmarkEnd w:id="164"/>
      <w:r>
        <w:rPr>
          <w:rFonts w:ascii="Arial" w:eastAsia="Arial" w:hAnsi="Arial" w:cs="Arial"/>
          <w:color w:val="000000"/>
          <w:sz w:val="20"/>
        </w:rPr>
        <w:t xml:space="preserve">We view the record and draw all reasonable inferences in the manner most favorable to the nonmoving party. </w:t>
      </w:r>
      <w:bookmarkStart w:id="165" w:name="Bookmark_I62XXC722D6N9F0020000400"/>
      <w:bookmarkEnd w:id="165"/>
      <w:r>
        <w:rPr>
          <w:rFonts w:ascii="Arial" w:eastAsia="Arial" w:hAnsi="Arial" w:cs="Arial"/>
          <w:i/>
          <w:color w:val="000000"/>
          <w:sz w:val="20"/>
        </w:rPr>
        <w:t>Matsushita Elec. Indus. Co. v. Zenith Radio Corp.</w:t>
      </w:r>
      <w:r>
        <w:rPr>
          <w:rFonts w:ascii="Arial" w:eastAsia="Arial" w:hAnsi="Arial" w:cs="Arial"/>
          <w:color w:val="000000"/>
          <w:sz w:val="20"/>
        </w:rPr>
        <w:t>, 475 U.S. 574, 587, 106 S. Ct. 1348, 89 L. Ed. 2d 538 (1986).</w:t>
      </w:r>
    </w:p>
    <w:p w14:paraId="69C1CF77" w14:textId="77777777" w:rsidR="002B10A6" w:rsidRDefault="00000000">
      <w:pPr>
        <w:pStyle w:val="Normal1"/>
        <w:widowControl w:val="0"/>
        <w:spacing w:before="120" w:line="260" w:lineRule="atLeast"/>
      </w:pPr>
      <w:r>
        <w:rPr>
          <w:rFonts w:ascii="Arial" w:eastAsia="Arial" w:hAnsi="Arial" w:cs="Arial"/>
          <w:color w:val="000000"/>
          <w:sz w:val="20"/>
        </w:rPr>
        <w:t>III.</w:t>
      </w:r>
    </w:p>
    <w:p w14:paraId="4B40F194" w14:textId="77777777" w:rsidR="002B10A6" w:rsidRDefault="00000000">
      <w:pPr>
        <w:pStyle w:val="Normal1"/>
        <w:widowControl w:val="0"/>
        <w:spacing w:before="200" w:line="260" w:lineRule="atLeast"/>
        <w:jc w:val="both"/>
      </w:pPr>
      <w:bookmarkStart w:id="166" w:name="Bookmark_para_17_0"/>
      <w:bookmarkStart w:id="167" w:name="Bookmark_I62XXC722D6N9F0050000400"/>
      <w:bookmarkStart w:id="168" w:name="Bookmark_LNHNREFclscc2_0"/>
      <w:bookmarkEnd w:id="166"/>
      <w:bookmarkEnd w:id="167"/>
      <w:bookmarkEnd w:id="168"/>
      <w:r>
        <w:rPr>
          <w:rFonts w:ascii="Arial" w:eastAsia="Arial" w:hAnsi="Arial" w:cs="Arial"/>
          <w:color w:val="000000"/>
          <w:sz w:val="20"/>
        </w:rPr>
        <w:t>Title II of the ADA provides that "no qualified individual with a disability shall, by reason of such disability, be excluded from participation in or be denied the benefits of the services, programs, or activities [**9]  of a public entity, or be subjected to discrimination by any such entity."</w:t>
      </w:r>
      <w:r>
        <w:rPr>
          <w:rFonts w:ascii="Arial" w:eastAsia="Arial" w:hAnsi="Arial" w:cs="Arial"/>
          <w:vertAlign w:val="superscript"/>
        </w:rPr>
        <w:footnoteReference w:customMarkFollows="1" w:id="6"/>
        <w:t>1</w:t>
      </w:r>
      <w:r>
        <w:rPr>
          <w:rFonts w:ascii="Arial" w:eastAsia="Arial" w:hAnsi="Arial" w:cs="Arial"/>
          <w:color w:val="000000"/>
          <w:sz w:val="20"/>
        </w:rPr>
        <w:t xml:space="preserve"> 42 U.S.C. § 12132. </w:t>
      </w:r>
      <w:bookmarkStart w:id="173" w:name="Bookmark_I62XXC732SF8CF0040000400"/>
      <w:bookmarkEnd w:id="173"/>
      <w:r>
        <w:rPr>
          <w:rFonts w:ascii="Arial" w:eastAsia="Arial" w:hAnsi="Arial" w:cs="Arial"/>
          <w:color w:val="000000"/>
          <w:sz w:val="20"/>
        </w:rPr>
        <w:t xml:space="preserve">We recognize two types of claims under Title II of the ADA: (1) failure-to-accommodate claims and (2) intentional-discrimination claims. </w:t>
      </w:r>
      <w:bookmarkStart w:id="174" w:name="Bookmark_I62XXC722D6N9F0040000400"/>
      <w:bookmarkEnd w:id="174"/>
      <w:r>
        <w:rPr>
          <w:rFonts w:ascii="Arial" w:eastAsia="Arial" w:hAnsi="Arial" w:cs="Arial"/>
          <w:i/>
          <w:color w:val="000000"/>
          <w:sz w:val="20"/>
        </w:rPr>
        <w:t>Roell v. Hamilton County</w:t>
      </w:r>
      <w:r>
        <w:rPr>
          <w:rFonts w:ascii="Arial" w:eastAsia="Arial" w:hAnsi="Arial" w:cs="Arial"/>
          <w:color w:val="000000"/>
          <w:sz w:val="20"/>
        </w:rPr>
        <w:t xml:space="preserve">, 870 F.3d 471, 488 (6th Cir. 2017) (citing </w:t>
      </w:r>
      <w:bookmarkStart w:id="175" w:name="Bookmark_I62XXC732SF8CF0010000400"/>
      <w:bookmarkEnd w:id="175"/>
      <w:r>
        <w:rPr>
          <w:rFonts w:ascii="Arial" w:eastAsia="Arial" w:hAnsi="Arial" w:cs="Arial"/>
          <w:i/>
          <w:color w:val="000000"/>
          <w:sz w:val="20"/>
        </w:rPr>
        <w:t>Ability Ctr. of Greater Toledo v. City of Sandusky</w:t>
      </w:r>
      <w:r>
        <w:rPr>
          <w:rFonts w:ascii="Arial" w:eastAsia="Arial" w:hAnsi="Arial" w:cs="Arial"/>
          <w:color w:val="000000"/>
          <w:sz w:val="20"/>
        </w:rPr>
        <w:t xml:space="preserve">, 385 F.3d 901, 907 (6th Cir. 2004)). </w:t>
      </w:r>
      <w:bookmarkStart w:id="176" w:name="Bookmark_I62XXC732SF8CF0040000400_2"/>
      <w:bookmarkEnd w:id="176"/>
      <w:r>
        <w:rPr>
          <w:rFonts w:ascii="Arial" w:eastAsia="Arial" w:hAnsi="Arial" w:cs="Arial"/>
          <w:color w:val="000000"/>
          <w:sz w:val="20"/>
        </w:rPr>
        <w:t xml:space="preserve">A failure-to-accommodate claim asserts that the defendant "could have reasonably accommodated [the plaintiff's] disability, but refused to do so." </w:t>
      </w:r>
      <w:bookmarkStart w:id="177" w:name="Bookmark_I62XXC732SF8CF0030000400"/>
      <w:bookmarkEnd w:id="177"/>
      <w:r>
        <w:rPr>
          <w:rFonts w:ascii="Arial" w:eastAsia="Arial" w:hAnsi="Arial" w:cs="Arial"/>
          <w:i/>
          <w:color w:val="000000"/>
          <w:sz w:val="20"/>
        </w:rPr>
        <w:t>McPherson v. Mich. High Sch. Athletic Ass'n</w:t>
      </w:r>
      <w:r>
        <w:rPr>
          <w:rFonts w:ascii="Arial" w:eastAsia="Arial" w:hAnsi="Arial" w:cs="Arial"/>
          <w:color w:val="000000"/>
          <w:sz w:val="20"/>
        </w:rPr>
        <w:t xml:space="preserve">, 119 F.3d 453, 460 (6th Cir. 1997) (en banc). An intentional-discrimination claim asserts that the plaintiff's "disabilities were actually considered by the [defendant] in formulating or implementing" the harmful policies or conduct. </w:t>
      </w:r>
      <w:r>
        <w:rPr>
          <w:rFonts w:ascii="Arial" w:eastAsia="Arial" w:hAnsi="Arial" w:cs="Arial"/>
          <w:i/>
          <w:color w:val="000000"/>
          <w:sz w:val="20"/>
        </w:rPr>
        <w:t>Id.</w:t>
      </w:r>
    </w:p>
    <w:p w14:paraId="1580A372" w14:textId="77777777" w:rsidR="002B10A6" w:rsidRDefault="00000000">
      <w:pPr>
        <w:pStyle w:val="Normal1"/>
        <w:widowControl w:val="0"/>
        <w:spacing w:before="200" w:line="260" w:lineRule="atLeast"/>
        <w:jc w:val="both"/>
      </w:pPr>
      <w:bookmarkStart w:id="178" w:name="Bookmark_para_18_0"/>
      <w:bookmarkEnd w:id="178"/>
      <w:r>
        <w:rPr>
          <w:rFonts w:ascii="Arial" w:eastAsia="Arial" w:hAnsi="Arial" w:cs="Arial"/>
          <w:color w:val="000000"/>
          <w:sz w:val="20"/>
        </w:rPr>
        <w:t>While less than clear, Keller appears to assert both types of claims. The County treats him as doing so, as did the district court. We do the same and hold that Keller cannot succeed under either one.</w:t>
      </w:r>
    </w:p>
    <w:p w14:paraId="030AF661" w14:textId="77777777" w:rsidR="002B10A6" w:rsidRDefault="00000000">
      <w:pPr>
        <w:pStyle w:val="Normal1"/>
        <w:widowControl w:val="0"/>
        <w:spacing w:before="120" w:line="260" w:lineRule="atLeast"/>
      </w:pPr>
      <w:r>
        <w:rPr>
          <w:rFonts w:ascii="Arial" w:eastAsia="Arial" w:hAnsi="Arial" w:cs="Arial"/>
          <w:color w:val="000000"/>
          <w:sz w:val="20"/>
        </w:rPr>
        <w:t>A.</w:t>
      </w:r>
    </w:p>
    <w:p w14:paraId="569A8FEC" w14:textId="77777777" w:rsidR="002B10A6" w:rsidRDefault="00000000">
      <w:pPr>
        <w:pStyle w:val="Normal1"/>
        <w:widowControl w:val="0"/>
        <w:spacing w:before="200" w:line="260" w:lineRule="atLeast"/>
        <w:jc w:val="both"/>
      </w:pPr>
      <w:bookmarkStart w:id="179" w:name="Bookmark_para_19_0"/>
      <w:bookmarkStart w:id="180" w:name="Bookmark_I62XXC732D6N9H0030000400"/>
      <w:bookmarkEnd w:id="179"/>
      <w:bookmarkEnd w:id="180"/>
      <w:r>
        <w:rPr>
          <w:rFonts w:ascii="Arial" w:eastAsia="Arial" w:hAnsi="Arial" w:cs="Arial"/>
          <w:color w:val="000000"/>
          <w:sz w:val="20"/>
        </w:rPr>
        <w:t xml:space="preserve">We first consider Keller's reasonable-accommodation claims. </w:t>
      </w:r>
      <w:bookmarkStart w:id="181" w:name="Bookmark_LNHNREFclscc4_0"/>
      <w:bookmarkEnd w:id="181"/>
      <w:r>
        <w:rPr>
          <w:rFonts w:ascii="Arial" w:eastAsia="Arial" w:hAnsi="Arial" w:cs="Arial"/>
          <w:color w:val="000000"/>
          <w:sz w:val="20"/>
        </w:rPr>
        <w:t xml:space="preserve">Title II of the ADA "does not expressly define 'discrimination' to include a refusal to make a reasonable accommodation for a person with a disability." </w:t>
      </w:r>
      <w:bookmarkStart w:id="182" w:name="Bookmark_I62XXC732D6N9H0020000400"/>
      <w:bookmarkEnd w:id="182"/>
      <w:r>
        <w:rPr>
          <w:rFonts w:ascii="Arial" w:eastAsia="Arial" w:hAnsi="Arial" w:cs="Arial"/>
          <w:i/>
          <w:color w:val="000000"/>
          <w:sz w:val="20"/>
        </w:rPr>
        <w:t>Madej v. Maiden</w:t>
      </w:r>
      <w:r>
        <w:rPr>
          <w:rFonts w:ascii="Arial" w:eastAsia="Arial" w:hAnsi="Arial" w:cs="Arial"/>
          <w:color w:val="000000"/>
          <w:sz w:val="20"/>
        </w:rPr>
        <w:t xml:space="preserve">, 951 F.3d 364, 372 (6th Cir. 2020). Rather, Title II's implementing regulations set forth the reasonable-accommodation requirement. </w:t>
      </w:r>
      <w:bookmarkStart w:id="183" w:name="Bookmark_I62XXC732D6N9H0050000400"/>
      <w:bookmarkEnd w:id="183"/>
      <w:r>
        <w:rPr>
          <w:rFonts w:ascii="Arial" w:eastAsia="Arial" w:hAnsi="Arial" w:cs="Arial"/>
          <w:i/>
          <w:color w:val="000000"/>
          <w:sz w:val="20"/>
        </w:rPr>
        <w:t>See</w:t>
      </w:r>
      <w:r>
        <w:rPr>
          <w:rFonts w:ascii="Arial" w:eastAsia="Arial" w:hAnsi="Arial" w:cs="Arial"/>
          <w:color w:val="000000"/>
          <w:sz w:val="20"/>
        </w:rPr>
        <w:t xml:space="preserve"> 28 C.F.R. § 35.130(b)(7)(i) ("A public entity shall make reasonable modifications in policies, practices, or procedures when the modifications are necessary to avoid [**10]  discrimination on the basis of disability, unless the public entity can demonstrate that making the modifications would fundamentally alter the nature of the service, program, or activity."). </w:t>
      </w:r>
      <w:bookmarkStart w:id="184" w:name="Bookmark_I62XXC7428T4CG0040000400"/>
      <w:bookmarkEnd w:id="184"/>
      <w:r>
        <w:rPr>
          <w:rFonts w:ascii="Arial" w:eastAsia="Arial" w:hAnsi="Arial" w:cs="Arial"/>
          <w:color w:val="000000"/>
          <w:sz w:val="20"/>
        </w:rPr>
        <w:t xml:space="preserve">We have previously recognized that refusal to provide a reasonable accommodation can serve as direct evidence of disability discrimination. </w:t>
      </w:r>
      <w:r>
        <w:rPr>
          <w:rFonts w:ascii="Arial" w:eastAsia="Arial" w:hAnsi="Arial" w:cs="Arial"/>
          <w:i/>
          <w:color w:val="000000"/>
          <w:sz w:val="20"/>
        </w:rPr>
        <w:t xml:space="preserve">See </w:t>
      </w:r>
      <w:bookmarkStart w:id="185" w:name="Bookmark_I62XXC732D6N9H0040000400"/>
      <w:bookmarkEnd w:id="185"/>
      <w:r>
        <w:rPr>
          <w:rFonts w:ascii="Arial" w:eastAsia="Arial" w:hAnsi="Arial" w:cs="Arial"/>
          <w:i/>
          <w:color w:val="000000"/>
          <w:sz w:val="20"/>
        </w:rPr>
        <w:t>Roell</w:t>
      </w:r>
      <w:r>
        <w:rPr>
          <w:rFonts w:ascii="Arial" w:eastAsia="Arial" w:hAnsi="Arial" w:cs="Arial"/>
          <w:color w:val="000000"/>
          <w:sz w:val="20"/>
        </w:rPr>
        <w:t xml:space="preserve">, 870 F.3d at 488; </w:t>
      </w:r>
      <w:bookmarkStart w:id="186" w:name="Bookmark_I62XXC7428T4CG0010000400"/>
      <w:bookmarkEnd w:id="186"/>
      <w:r>
        <w:rPr>
          <w:rFonts w:ascii="Arial" w:eastAsia="Arial" w:hAnsi="Arial" w:cs="Arial"/>
          <w:i/>
          <w:color w:val="000000"/>
          <w:sz w:val="20"/>
        </w:rPr>
        <w:t>Ability Ctr. of Greater Toledo</w:t>
      </w:r>
      <w:r>
        <w:rPr>
          <w:rFonts w:ascii="Arial" w:eastAsia="Arial" w:hAnsi="Arial" w:cs="Arial"/>
          <w:color w:val="000000"/>
          <w:sz w:val="20"/>
        </w:rPr>
        <w:t xml:space="preserve">, 385 F.3d at 907-08. </w:t>
      </w:r>
      <w:bookmarkStart w:id="187" w:name="Bookmark_I62XXC7428T4CG0040000400_2"/>
      <w:bookmarkEnd w:id="187"/>
      <w:r>
        <w:rPr>
          <w:rFonts w:ascii="Arial" w:eastAsia="Arial" w:hAnsi="Arial" w:cs="Arial"/>
          <w:color w:val="000000"/>
          <w:sz w:val="20"/>
        </w:rPr>
        <w:t xml:space="preserve">To recover on a failure-to-accommodate claim, the plaintiff must show the following: (1) he is disabled; (2) he was "qualified" to take part in the "services, programs, or activities" of the public entity; (3) he was "excluded from participation in" or "denied the benefits of" such "services, programs, or activities"; and (4) this exclusion or  [*386]  denial occurred "by reason of" his disability. 42 U.S.C. § 12132; </w:t>
      </w:r>
      <w:r>
        <w:rPr>
          <w:rFonts w:ascii="Arial" w:eastAsia="Arial" w:hAnsi="Arial" w:cs="Arial"/>
          <w:i/>
          <w:color w:val="000000"/>
          <w:sz w:val="20"/>
        </w:rPr>
        <w:t xml:space="preserve">see </w:t>
      </w:r>
      <w:bookmarkStart w:id="188" w:name="Bookmark_I62XXC7428T4CG0030000400"/>
      <w:bookmarkEnd w:id="188"/>
      <w:r>
        <w:rPr>
          <w:rFonts w:ascii="Arial" w:eastAsia="Arial" w:hAnsi="Arial" w:cs="Arial"/>
          <w:i/>
          <w:color w:val="000000"/>
          <w:sz w:val="20"/>
        </w:rPr>
        <w:t>Ability Ctr. of Greater Toledo</w:t>
      </w:r>
      <w:r>
        <w:rPr>
          <w:rFonts w:ascii="Arial" w:eastAsia="Arial" w:hAnsi="Arial" w:cs="Arial"/>
          <w:color w:val="000000"/>
          <w:sz w:val="20"/>
        </w:rPr>
        <w:t>, 385 F.3d at 909-10.</w:t>
      </w:r>
    </w:p>
    <w:p w14:paraId="029042C8" w14:textId="77777777" w:rsidR="002B10A6" w:rsidRDefault="00000000">
      <w:pPr>
        <w:pStyle w:val="Normal1"/>
        <w:widowControl w:val="0"/>
        <w:spacing w:before="200" w:line="260" w:lineRule="atLeast"/>
        <w:jc w:val="both"/>
      </w:pPr>
      <w:bookmarkStart w:id="189" w:name="Bookmark_para_20_0"/>
      <w:bookmarkStart w:id="190" w:name="Bookmark_I62XXC742N1RRW0010000400"/>
      <w:bookmarkEnd w:id="189"/>
      <w:bookmarkEnd w:id="190"/>
      <w:r>
        <w:rPr>
          <w:rFonts w:ascii="Arial" w:eastAsia="Arial" w:hAnsi="Arial" w:cs="Arial"/>
          <w:color w:val="000000"/>
          <w:sz w:val="20"/>
        </w:rPr>
        <w:t xml:space="preserve">As the district court correctly found, Keller has not offered sufficient evidence to establish a genuine dispute as to whether he was "excluded from participation in" or "denied the benefits of" any "services, programs, or activities" while in jail. 42 U.S.C. § 12132. </w:t>
      </w:r>
      <w:bookmarkStart w:id="191" w:name="Bookmark_I62XXC742N1RRW0050000400"/>
      <w:bookmarkStart w:id="192" w:name="Bookmark_LNHNREFclscc5_0"/>
      <w:bookmarkEnd w:id="191"/>
      <w:bookmarkEnd w:id="192"/>
      <w:r>
        <w:rPr>
          <w:rFonts w:ascii="Arial" w:eastAsia="Arial" w:hAnsi="Arial" w:cs="Arial"/>
          <w:color w:val="000000"/>
          <w:sz w:val="20"/>
        </w:rPr>
        <w:t xml:space="preserve">We have interpreted this portion of Title II to require that covered entities provide "meaningful access" to their services, programs, and activities. </w:t>
      </w:r>
      <w:bookmarkStart w:id="193" w:name="Bookmark_I62XXC7428T4CG0050000400"/>
      <w:bookmarkEnd w:id="193"/>
      <w:r>
        <w:rPr>
          <w:rFonts w:ascii="Arial" w:eastAsia="Arial" w:hAnsi="Arial" w:cs="Arial"/>
          <w:i/>
          <w:color w:val="000000"/>
          <w:sz w:val="20"/>
        </w:rPr>
        <w:t>Ability Ctr. of Greater Toledo</w:t>
      </w:r>
      <w:r>
        <w:rPr>
          <w:rFonts w:ascii="Arial" w:eastAsia="Arial" w:hAnsi="Arial" w:cs="Arial"/>
          <w:color w:val="000000"/>
          <w:sz w:val="20"/>
        </w:rPr>
        <w:t xml:space="preserve">, 385 F.3d at 909; </w:t>
      </w:r>
      <w:r>
        <w:rPr>
          <w:rFonts w:ascii="Arial" w:eastAsia="Arial" w:hAnsi="Arial" w:cs="Arial"/>
          <w:i/>
          <w:color w:val="000000"/>
          <w:sz w:val="20"/>
        </w:rPr>
        <w:t xml:space="preserve">accord </w:t>
      </w:r>
      <w:bookmarkStart w:id="194" w:name="Bookmark_I62XXC742N1RRW0020000400"/>
      <w:bookmarkEnd w:id="194"/>
      <w:r>
        <w:rPr>
          <w:rFonts w:ascii="Arial" w:eastAsia="Arial" w:hAnsi="Arial" w:cs="Arial"/>
          <w:i/>
          <w:color w:val="000000"/>
          <w:sz w:val="20"/>
        </w:rPr>
        <w:t>Wright v. N.Y. State Dep't of Corr. &amp; Cmty. Supervision</w:t>
      </w:r>
      <w:r>
        <w:rPr>
          <w:rFonts w:ascii="Arial" w:eastAsia="Arial" w:hAnsi="Arial" w:cs="Arial"/>
          <w:color w:val="000000"/>
          <w:sz w:val="20"/>
        </w:rPr>
        <w:t xml:space="preserve">, 831 F.3d 64, 72 (2d Cir. 2016). </w:t>
      </w:r>
      <w:bookmarkStart w:id="195" w:name="Bookmark_I62XXC742N1RRW0050000400_2"/>
      <w:bookmarkStart w:id="196" w:name="Bookmark_I62XXC7428T4CH0020000400"/>
      <w:bookmarkEnd w:id="195"/>
      <w:bookmarkEnd w:id="196"/>
      <w:r>
        <w:rPr>
          <w:rFonts w:ascii="Arial" w:eastAsia="Arial" w:hAnsi="Arial" w:cs="Arial"/>
          <w:color w:val="000000"/>
          <w:sz w:val="20"/>
        </w:rPr>
        <w:t xml:space="preserve">And we have held that "the phrase 'services, programs, [**11]  or activities' encompasses virtually everything that a public entity does." </w:t>
      </w:r>
      <w:bookmarkStart w:id="197" w:name="Bookmark_I62XXC742N1RRW0040000400"/>
      <w:bookmarkEnd w:id="197"/>
      <w:r>
        <w:rPr>
          <w:rFonts w:ascii="Arial" w:eastAsia="Arial" w:hAnsi="Arial" w:cs="Arial"/>
          <w:i/>
          <w:color w:val="000000"/>
          <w:sz w:val="20"/>
        </w:rPr>
        <w:t>Johnson v. City of Saline</w:t>
      </w:r>
      <w:r>
        <w:rPr>
          <w:rFonts w:ascii="Arial" w:eastAsia="Arial" w:hAnsi="Arial" w:cs="Arial"/>
          <w:color w:val="000000"/>
          <w:sz w:val="20"/>
        </w:rPr>
        <w:t xml:space="preserve">, 151 F.3d 564, 569 (6th Cir. 1998) (quoting 42 U.S.C. § 12132). </w:t>
      </w:r>
      <w:bookmarkStart w:id="198" w:name="Bookmark_I62XXC7428T4CH0020000400_2"/>
      <w:bookmarkEnd w:id="198"/>
      <w:r>
        <w:rPr>
          <w:rFonts w:ascii="Arial" w:eastAsia="Arial" w:hAnsi="Arial" w:cs="Arial"/>
          <w:color w:val="000000"/>
          <w:sz w:val="20"/>
        </w:rPr>
        <w:t xml:space="preserve">Therefore, the denial of meaningful access to medical care, bathroom facilities, or meals could support the required prima facie showing. </w:t>
      </w:r>
      <w:r>
        <w:rPr>
          <w:rFonts w:ascii="Arial" w:eastAsia="Arial" w:hAnsi="Arial" w:cs="Arial"/>
          <w:i/>
          <w:color w:val="000000"/>
          <w:sz w:val="20"/>
        </w:rPr>
        <w:t xml:space="preserve">See </w:t>
      </w:r>
      <w:bookmarkStart w:id="199" w:name="Bookmark_I62XXC7428T4CH0010000400"/>
      <w:bookmarkEnd w:id="199"/>
      <w:r>
        <w:rPr>
          <w:rFonts w:ascii="Arial" w:eastAsia="Arial" w:hAnsi="Arial" w:cs="Arial"/>
          <w:i/>
          <w:color w:val="000000"/>
          <w:sz w:val="20"/>
        </w:rPr>
        <w:t>United States v. Georgia</w:t>
      </w:r>
      <w:r>
        <w:rPr>
          <w:rFonts w:ascii="Arial" w:eastAsia="Arial" w:hAnsi="Arial" w:cs="Arial"/>
          <w:color w:val="000000"/>
          <w:sz w:val="20"/>
        </w:rPr>
        <w:t xml:space="preserve">, 546 U.S. 151, 157, 126 S. Ct. 877, 163 L. Ed. 2d 650 (2006); </w:t>
      </w:r>
      <w:bookmarkStart w:id="200" w:name="Bookmark_I62XXC7428T4CH0030000400"/>
      <w:bookmarkEnd w:id="200"/>
      <w:r>
        <w:rPr>
          <w:rFonts w:ascii="Arial" w:eastAsia="Arial" w:hAnsi="Arial" w:cs="Arial"/>
          <w:i/>
          <w:color w:val="000000"/>
          <w:sz w:val="20"/>
        </w:rPr>
        <w:t>Pa. Dep't of Corr. v. Yeskey</w:t>
      </w:r>
      <w:r>
        <w:rPr>
          <w:rFonts w:ascii="Arial" w:eastAsia="Arial" w:hAnsi="Arial" w:cs="Arial"/>
          <w:color w:val="000000"/>
          <w:sz w:val="20"/>
        </w:rPr>
        <w:t xml:space="preserve">, 524 U.S. 206, 210, 118 S. Ct. 1952, 141 L. Ed. 2d 215 (1998) ("Modern prisons provide inmates with many recreational 'activities,' medical 'services,' and educational and vocational 'programs,' all of which at least theoretically 'benefit' the prisoners (and any of which disabled prisoners could be 'excluded from participation in')." (quoting 42 U.S.C. § 12132)); </w:t>
      </w:r>
      <w:bookmarkStart w:id="201" w:name="Bookmark_I62XXC7428T4CH0050000400"/>
      <w:bookmarkEnd w:id="201"/>
      <w:r>
        <w:rPr>
          <w:rFonts w:ascii="Arial" w:eastAsia="Arial" w:hAnsi="Arial" w:cs="Arial"/>
          <w:i/>
          <w:color w:val="000000"/>
          <w:sz w:val="20"/>
        </w:rPr>
        <w:t>Stansell v. Grafton Corr. Inst.</w:t>
      </w:r>
      <w:r>
        <w:rPr>
          <w:rFonts w:ascii="Arial" w:eastAsia="Arial" w:hAnsi="Arial" w:cs="Arial"/>
          <w:color w:val="000000"/>
          <w:sz w:val="20"/>
        </w:rPr>
        <w:t xml:space="preserve">, No. 18-4009, 2019 U.S. App. LEXIS 24597, 2019 WL 5305499, at *1 (6th Cir. Aug. 16, 2019) (order); </w:t>
      </w:r>
      <w:bookmarkStart w:id="202" w:name="Bookmark_I62XXC742N1RRY0020000400"/>
      <w:bookmarkEnd w:id="202"/>
      <w:r>
        <w:rPr>
          <w:rFonts w:ascii="Arial" w:eastAsia="Arial" w:hAnsi="Arial" w:cs="Arial"/>
          <w:i/>
          <w:color w:val="000000"/>
          <w:sz w:val="20"/>
        </w:rPr>
        <w:t>Wright</w:t>
      </w:r>
      <w:r>
        <w:rPr>
          <w:rFonts w:ascii="Arial" w:eastAsia="Arial" w:hAnsi="Arial" w:cs="Arial"/>
          <w:color w:val="000000"/>
          <w:sz w:val="20"/>
        </w:rPr>
        <w:t xml:space="preserve">, 831 F.3d at 72-74; </w:t>
      </w:r>
      <w:bookmarkStart w:id="203" w:name="Bookmark_I62XXC742N1RRY0040000400"/>
      <w:bookmarkEnd w:id="203"/>
      <w:r>
        <w:rPr>
          <w:rFonts w:ascii="Arial" w:eastAsia="Arial" w:hAnsi="Arial" w:cs="Arial"/>
          <w:i/>
          <w:color w:val="000000"/>
          <w:sz w:val="20"/>
        </w:rPr>
        <w:t>Jaros v. Ill. Dep't of Corr.</w:t>
      </w:r>
      <w:r>
        <w:rPr>
          <w:rFonts w:ascii="Arial" w:eastAsia="Arial" w:hAnsi="Arial" w:cs="Arial"/>
          <w:color w:val="000000"/>
          <w:sz w:val="20"/>
        </w:rPr>
        <w:t>, 684 F.3d 667, 672 (7th Cir. 2012). Keller has been unable to provide evidence that he was denied meaningful access.</w:t>
      </w:r>
    </w:p>
    <w:p w14:paraId="735EA84D" w14:textId="77777777" w:rsidR="002B10A6" w:rsidRDefault="00000000">
      <w:pPr>
        <w:pStyle w:val="Normal1"/>
        <w:widowControl w:val="0"/>
        <w:spacing w:before="120" w:line="260" w:lineRule="atLeast"/>
      </w:pPr>
      <w:r>
        <w:rPr>
          <w:rFonts w:ascii="Arial" w:eastAsia="Arial" w:hAnsi="Arial" w:cs="Arial"/>
          <w:color w:val="000000"/>
          <w:sz w:val="20"/>
        </w:rPr>
        <w:t>1.</w:t>
      </w:r>
    </w:p>
    <w:p w14:paraId="116B9447" w14:textId="77777777" w:rsidR="002B10A6" w:rsidRDefault="00000000">
      <w:pPr>
        <w:pStyle w:val="Normal1"/>
        <w:widowControl w:val="0"/>
        <w:spacing w:before="200" w:line="260" w:lineRule="atLeast"/>
        <w:jc w:val="both"/>
      </w:pPr>
      <w:bookmarkStart w:id="204" w:name="Bookmark_para_21_0"/>
      <w:bookmarkEnd w:id="204"/>
      <w:r>
        <w:rPr>
          <w:rFonts w:ascii="Arial" w:eastAsia="Arial" w:hAnsi="Arial" w:cs="Arial"/>
          <w:color w:val="000000"/>
          <w:sz w:val="20"/>
        </w:rPr>
        <w:t>Start with the jail's decision to take custody of Keller's inhalers. Officers contacted Dr. Dood so that he could prescribe what he believed to be the appropriate dosage for each of the three inhalers. Jail records reflect the daily administration of each inhaler as directed by Dood, and Keller admits that he received Dood's prescribed treatment. Even though Keller maintains that he should have been given two doses—as opposed to just one—of the Tudorza inhaler each day, Keller's own physician said that one dose per day was the "standard" for this type of inhaler and indicated [**12]  that he had no issue with Dood's prescription. Though Keller did not have immediate access to his fast-acting inhaler, he was able to use the intercom and emergency call button available in his cells to seek help when he needed treatment. The record is devoid of any evidence suggesting that jail personnel engaged in undue delay when responding to Keller's calls.</w:t>
      </w:r>
    </w:p>
    <w:p w14:paraId="67242D66" w14:textId="77777777" w:rsidR="002B10A6" w:rsidRDefault="00000000">
      <w:pPr>
        <w:pStyle w:val="Normal1"/>
        <w:widowControl w:val="0"/>
        <w:spacing w:before="200" w:line="260" w:lineRule="atLeast"/>
        <w:jc w:val="both"/>
      </w:pPr>
      <w:bookmarkStart w:id="205" w:name="Bookmark_para_22_0"/>
      <w:bookmarkEnd w:id="205"/>
      <w:r>
        <w:rPr>
          <w:rFonts w:ascii="Arial" w:eastAsia="Arial" w:hAnsi="Arial" w:cs="Arial"/>
          <w:color w:val="000000"/>
          <w:sz w:val="20"/>
        </w:rPr>
        <w:t xml:space="preserve">Furthermore, officers consistently reported Keller's breathing episodes to Dr. Dood, who prescribed additional medications as necessary. Keller admits that the nebulizer treatments helped his breathing. And even though officers denied Keller's request to be taken to the hospital before his release, it appears that they took the concern seriously. </w:t>
      </w:r>
      <w:bookmarkStart w:id="206" w:name="Bookmark_I62XXC7528T4CM0020000400"/>
      <w:bookmarkEnd w:id="206"/>
      <w:r>
        <w:rPr>
          <w:rFonts w:ascii="Arial" w:eastAsia="Arial" w:hAnsi="Arial" w:cs="Arial"/>
          <w:color w:val="000000"/>
          <w:sz w:val="20"/>
        </w:rPr>
        <w:t xml:space="preserve">They consulted Dr. Dood, who advised them not to take Keller to the hospital unless his temperature was low or unless he was turning blue. After receiving that instruction, officers tested Keller's oxygen levels and temperature and found that these metrics were in a safe range. Though Keller may not have received the precise type of medical treatment that he would have preferred, undisputed facts show that he received "meaningful access" to medical treatment. </w:t>
      </w:r>
      <w:r>
        <w:rPr>
          <w:rFonts w:ascii="Arial" w:eastAsia="Arial" w:hAnsi="Arial" w:cs="Arial"/>
          <w:i/>
          <w:color w:val="000000"/>
          <w:sz w:val="20"/>
        </w:rPr>
        <w:t xml:space="preserve">See </w:t>
      </w:r>
      <w:bookmarkStart w:id="207" w:name="Bookmark_I62XXC7528T4CM0010000400"/>
      <w:bookmarkEnd w:id="207"/>
      <w:r>
        <w:rPr>
          <w:rFonts w:ascii="Arial" w:eastAsia="Arial" w:hAnsi="Arial" w:cs="Arial"/>
          <w:i/>
          <w:color w:val="000000"/>
          <w:sz w:val="20"/>
        </w:rPr>
        <w:t>Ability Ctr. of Greater Toledo</w:t>
      </w:r>
      <w:r>
        <w:rPr>
          <w:rFonts w:ascii="Arial" w:eastAsia="Arial" w:hAnsi="Arial" w:cs="Arial"/>
          <w:color w:val="000000"/>
          <w:sz w:val="20"/>
        </w:rPr>
        <w:t xml:space="preserve">, 385 F.3d at 907, 909; </w:t>
      </w:r>
      <w:r>
        <w:rPr>
          <w:rFonts w:ascii="Arial" w:eastAsia="Arial" w:hAnsi="Arial" w:cs="Arial"/>
          <w:i/>
          <w:color w:val="000000"/>
          <w:sz w:val="20"/>
        </w:rPr>
        <w:t xml:space="preserve">see also </w:t>
      </w:r>
      <w:bookmarkStart w:id="208" w:name="Bookmark_I62XXC7528T4CM0030000400"/>
      <w:bookmarkEnd w:id="208"/>
      <w:r>
        <w:rPr>
          <w:rFonts w:ascii="Arial" w:eastAsia="Arial" w:hAnsi="Arial" w:cs="Arial"/>
          <w:i/>
          <w:color w:val="000000"/>
          <w:sz w:val="20"/>
        </w:rPr>
        <w:t>Keever v. City of Middletown</w:t>
      </w:r>
      <w:r>
        <w:rPr>
          <w:rFonts w:ascii="Arial" w:eastAsia="Arial" w:hAnsi="Arial" w:cs="Arial"/>
          <w:color w:val="000000"/>
          <w:sz w:val="20"/>
        </w:rPr>
        <w:t xml:space="preserve">, 145 F.3d 809, 813 (6th Cir. 1998) (finding [**13]  that an accommodation  [*387]  was reasonable even though it was not the accommodation that the plaintiff would have most preferred); </w:t>
      </w:r>
      <w:bookmarkStart w:id="209" w:name="Bookmark_I62XXC7528T4CM0050000400"/>
      <w:bookmarkEnd w:id="209"/>
      <w:r>
        <w:rPr>
          <w:rFonts w:ascii="Arial" w:eastAsia="Arial" w:hAnsi="Arial" w:cs="Arial"/>
          <w:i/>
          <w:color w:val="000000"/>
          <w:sz w:val="20"/>
        </w:rPr>
        <w:t>Wright</w:t>
      </w:r>
      <w:r>
        <w:rPr>
          <w:rFonts w:ascii="Arial" w:eastAsia="Arial" w:hAnsi="Arial" w:cs="Arial"/>
          <w:color w:val="000000"/>
          <w:sz w:val="20"/>
        </w:rPr>
        <w:t>, 831 F.3d at 72 (explaining that a reasonable accommodation "need not be 'perfect' or the one 'most strongly preferred' by the [] plaintiff" (alteration in original) (citation omitted)).</w:t>
      </w:r>
    </w:p>
    <w:p w14:paraId="71EE9870" w14:textId="77777777" w:rsidR="002B10A6" w:rsidRDefault="00000000">
      <w:pPr>
        <w:pStyle w:val="Normal1"/>
        <w:widowControl w:val="0"/>
        <w:spacing w:before="120" w:line="260" w:lineRule="atLeast"/>
      </w:pPr>
      <w:r>
        <w:rPr>
          <w:rFonts w:ascii="Arial" w:eastAsia="Arial" w:hAnsi="Arial" w:cs="Arial"/>
          <w:color w:val="000000"/>
          <w:sz w:val="20"/>
        </w:rPr>
        <w:t>2.</w:t>
      </w:r>
    </w:p>
    <w:p w14:paraId="695B0097" w14:textId="77777777" w:rsidR="002B10A6" w:rsidRDefault="00000000">
      <w:pPr>
        <w:pStyle w:val="Normal1"/>
        <w:widowControl w:val="0"/>
        <w:spacing w:before="200" w:line="260" w:lineRule="atLeast"/>
        <w:jc w:val="both"/>
      </w:pPr>
      <w:bookmarkStart w:id="210" w:name="Bookmark_para_23_0"/>
      <w:bookmarkStart w:id="211" w:name="Bookmark_I62XXC7528T4CN0030000400"/>
      <w:bookmarkEnd w:id="210"/>
      <w:bookmarkEnd w:id="211"/>
      <w:r>
        <w:rPr>
          <w:rFonts w:ascii="Arial" w:eastAsia="Arial" w:hAnsi="Arial" w:cs="Arial"/>
          <w:color w:val="000000"/>
          <w:sz w:val="20"/>
        </w:rPr>
        <w:t xml:space="preserve">Next, consider the dispute surrounding Keller's prosthetic leg. We agree with the district court that the closest Keller comes to establishing a genuine dispute about whether he was deprived of jail services is his asserted difficulty using the toilet in his holding cell. The County points out that Keller admits that he was actually able to use the toilet and sink; but the simple fact that he successfully used them does not necessarily mean that he had meaningful access. Other courts have recognized that a plaintiff who succeeds in using a prison restroom only through an excessive or painful effort may have a valid ADA claim. </w:t>
      </w:r>
      <w:r>
        <w:rPr>
          <w:rFonts w:ascii="Arial" w:eastAsia="Arial" w:hAnsi="Arial" w:cs="Arial"/>
          <w:i/>
          <w:color w:val="000000"/>
          <w:sz w:val="20"/>
        </w:rPr>
        <w:t>See, e.g.</w:t>
      </w:r>
      <w:r>
        <w:rPr>
          <w:rFonts w:ascii="Arial" w:eastAsia="Arial" w:hAnsi="Arial" w:cs="Arial"/>
          <w:color w:val="000000"/>
          <w:sz w:val="20"/>
        </w:rPr>
        <w:t xml:space="preserve">, </w:t>
      </w:r>
      <w:bookmarkStart w:id="212" w:name="Bookmark_I62XXC7528T4CN0020000400"/>
      <w:bookmarkEnd w:id="212"/>
      <w:r>
        <w:rPr>
          <w:rFonts w:ascii="Arial" w:eastAsia="Arial" w:hAnsi="Arial" w:cs="Arial"/>
          <w:i/>
          <w:color w:val="000000"/>
          <w:sz w:val="20"/>
        </w:rPr>
        <w:t>Wright</w:t>
      </w:r>
      <w:r>
        <w:rPr>
          <w:rFonts w:ascii="Arial" w:eastAsia="Arial" w:hAnsi="Arial" w:cs="Arial"/>
          <w:color w:val="000000"/>
          <w:sz w:val="20"/>
        </w:rPr>
        <w:t xml:space="preserve">, 831 F.3d at 70, 73; </w:t>
      </w:r>
      <w:bookmarkStart w:id="213" w:name="Bookmark_I62XXC7528T4CN0040000400"/>
      <w:bookmarkEnd w:id="213"/>
      <w:r>
        <w:rPr>
          <w:rFonts w:ascii="Arial" w:eastAsia="Arial" w:hAnsi="Arial" w:cs="Arial"/>
          <w:i/>
          <w:color w:val="000000"/>
          <w:sz w:val="20"/>
        </w:rPr>
        <w:t>Jaros</w:t>
      </w:r>
      <w:r>
        <w:rPr>
          <w:rFonts w:ascii="Arial" w:eastAsia="Arial" w:hAnsi="Arial" w:cs="Arial"/>
          <w:color w:val="000000"/>
          <w:sz w:val="20"/>
        </w:rPr>
        <w:t xml:space="preserve">, 684 F.3d at 672; </w:t>
      </w:r>
      <w:bookmarkStart w:id="214" w:name="Bookmark_I62XXC752HM6VP0010000400"/>
      <w:bookmarkEnd w:id="214"/>
      <w:r>
        <w:rPr>
          <w:rFonts w:ascii="Arial" w:eastAsia="Arial" w:hAnsi="Arial" w:cs="Arial"/>
          <w:i/>
          <w:color w:val="000000"/>
          <w:sz w:val="20"/>
        </w:rPr>
        <w:t>Schmidt v. Odell</w:t>
      </w:r>
      <w:r>
        <w:rPr>
          <w:rFonts w:ascii="Arial" w:eastAsia="Arial" w:hAnsi="Arial" w:cs="Arial"/>
          <w:color w:val="000000"/>
          <w:sz w:val="20"/>
        </w:rPr>
        <w:t>, 64 F. Supp. 2d 1014, 1033 (D. Kan. 1999).</w:t>
      </w:r>
    </w:p>
    <w:p w14:paraId="63327D17" w14:textId="77777777" w:rsidR="002B10A6" w:rsidRDefault="00000000">
      <w:pPr>
        <w:pStyle w:val="Normal1"/>
        <w:widowControl w:val="0"/>
        <w:spacing w:before="200" w:line="260" w:lineRule="atLeast"/>
        <w:jc w:val="both"/>
      </w:pPr>
      <w:bookmarkStart w:id="215" w:name="Bookmark_para_24_0"/>
      <w:bookmarkEnd w:id="215"/>
      <w:r>
        <w:rPr>
          <w:rFonts w:ascii="Arial" w:eastAsia="Arial" w:hAnsi="Arial" w:cs="Arial"/>
          <w:color w:val="000000"/>
          <w:sz w:val="20"/>
        </w:rPr>
        <w:t>Keller's case is lacking, however, because, as the district court correctly observed, Keller "provided very little information" about any difficulty accessing the toilet. Keller's limited testimony on this topic relates solely to the holding cell; he offers [**14]  no evidence that he had trouble reaching the toilet after he was moved to the medical observation cell. Keller testified that he "shuffled" to get to the toilet and sink in the holding cell, but he never explains what that means. Keller's only description of his holding cell was the following:</w:t>
      </w:r>
    </w:p>
    <w:p w14:paraId="22F5CC33" w14:textId="77777777" w:rsidR="002B10A6" w:rsidRDefault="00000000">
      <w:pPr>
        <w:pStyle w:val="Normal1"/>
        <w:widowControl w:val="0"/>
        <w:spacing w:line="260" w:lineRule="atLeast"/>
        <w:ind w:left="400"/>
        <w:jc w:val="both"/>
      </w:pPr>
      <w:bookmarkStart w:id="216" w:name="Bookmark_para_25_0"/>
      <w:bookmarkEnd w:id="216"/>
      <w:r>
        <w:rPr>
          <w:rFonts w:ascii="Arial" w:eastAsia="Arial" w:hAnsi="Arial" w:cs="Arial"/>
          <w:color w:val="000000"/>
          <w:sz w:val="20"/>
        </w:rPr>
        <w:t xml:space="preserve">It was about the size of this room, with I think only one bench in it. . . . </w:t>
      </w:r>
      <w:bookmarkStart w:id="217" w:name="Bookmark_I62XXC752HM6VP0040000400"/>
      <w:bookmarkEnd w:id="217"/>
      <w:r>
        <w:rPr>
          <w:rFonts w:ascii="Arial" w:eastAsia="Arial" w:hAnsi="Arial" w:cs="Arial"/>
          <w:color w:val="000000"/>
          <w:sz w:val="20"/>
        </w:rPr>
        <w:t>And the bench didn't—like say over there there's maybe like—maybe ten feet or something there was the wall and then the bathroom right there.</w:t>
      </w:r>
    </w:p>
    <w:p w14:paraId="4AA78922" w14:textId="77777777" w:rsidR="002B10A6" w:rsidRDefault="00000000">
      <w:pPr>
        <w:pStyle w:val="Normal1"/>
        <w:widowControl w:val="0"/>
        <w:spacing w:before="200" w:line="260" w:lineRule="atLeast"/>
        <w:jc w:val="both"/>
      </w:pPr>
      <w:bookmarkStart w:id="218" w:name="Bookmark_I62XXC752HM6VP0040000400_2"/>
      <w:bookmarkEnd w:id="218"/>
      <w:r>
        <w:rPr>
          <w:rFonts w:ascii="Arial" w:eastAsia="Arial" w:hAnsi="Arial" w:cs="Arial"/>
          <w:color w:val="000000"/>
          <w:sz w:val="20"/>
        </w:rPr>
        <w:t xml:space="preserve">Keller does not clarify what "ten feet" refers to, or what it means that the bathroom was "right there." And, as the district court correctly noted, the record does not reveal whether the cell contained any handrails or other assistive devices. </w:t>
      </w:r>
      <w:bookmarkStart w:id="219" w:name="Bookmark_I62XXC752N1RS20010000400"/>
      <w:bookmarkEnd w:id="219"/>
      <w:r>
        <w:rPr>
          <w:rFonts w:ascii="Arial" w:eastAsia="Arial" w:hAnsi="Arial" w:cs="Arial"/>
          <w:color w:val="000000"/>
          <w:sz w:val="20"/>
        </w:rPr>
        <w:t xml:space="preserve">Keller's vague description of the holding cell is insufficient to meet his burden of "set[ting] forth specific facts showing that there is a genuine issue for trial." </w:t>
      </w:r>
      <w:bookmarkStart w:id="220" w:name="Bookmark_I62XXC752HM6VP0030000400"/>
      <w:bookmarkEnd w:id="220"/>
      <w:r>
        <w:rPr>
          <w:rFonts w:ascii="Arial" w:eastAsia="Arial" w:hAnsi="Arial" w:cs="Arial"/>
          <w:i/>
          <w:color w:val="000000"/>
          <w:sz w:val="20"/>
        </w:rPr>
        <w:t>Anderson v. Liberty Lobby, Inc.</w:t>
      </w:r>
      <w:r>
        <w:rPr>
          <w:rFonts w:ascii="Arial" w:eastAsia="Arial" w:hAnsi="Arial" w:cs="Arial"/>
          <w:color w:val="000000"/>
          <w:sz w:val="20"/>
        </w:rPr>
        <w:t xml:space="preserve">, 477 U.S. 242, 250, 106 S. Ct. 2505, 91 L. Ed. 2d 202 (1986) (citation omitted). </w:t>
      </w:r>
      <w:bookmarkStart w:id="221" w:name="Bookmark_I62XXC752N1RS20010000400_2"/>
      <w:bookmarkEnd w:id="221"/>
      <w:r>
        <w:rPr>
          <w:rFonts w:ascii="Arial" w:eastAsia="Arial" w:hAnsi="Arial" w:cs="Arial"/>
          <w:color w:val="000000"/>
          <w:sz w:val="20"/>
        </w:rPr>
        <w:t xml:space="preserve">We are left only with Keller's bare assertion that he had a "hard time" getting to the toilet. </w:t>
      </w:r>
      <w:bookmarkStart w:id="222" w:name="Bookmark_LNHNREFclscc6_0"/>
      <w:bookmarkEnd w:id="222"/>
      <w:r>
        <w:rPr>
          <w:rFonts w:ascii="Arial" w:eastAsia="Arial" w:hAnsi="Arial" w:cs="Arial"/>
          <w:color w:val="000000"/>
          <w:sz w:val="20"/>
        </w:rPr>
        <w:t xml:space="preserve">But "[c]onclusory statements unadorned with supporting facts are insufficient to establish a factual dispute that will defeat summary judgment." </w:t>
      </w:r>
      <w:bookmarkStart w:id="223" w:name="Bookmark_I62XXC752HM6VP0050000400"/>
      <w:bookmarkEnd w:id="223"/>
      <w:r>
        <w:rPr>
          <w:rFonts w:ascii="Arial" w:eastAsia="Arial" w:hAnsi="Arial" w:cs="Arial"/>
          <w:i/>
          <w:color w:val="000000"/>
          <w:sz w:val="20"/>
        </w:rPr>
        <w:t>Alexander v. CareSource</w:t>
      </w:r>
      <w:r>
        <w:rPr>
          <w:rFonts w:ascii="Arial" w:eastAsia="Arial" w:hAnsi="Arial" w:cs="Arial"/>
          <w:color w:val="000000"/>
          <w:sz w:val="20"/>
        </w:rPr>
        <w:t xml:space="preserve">, 576 F.3d 551, 560 (6th Cir. 2009); </w:t>
      </w:r>
      <w:r>
        <w:rPr>
          <w:rFonts w:ascii="Arial" w:eastAsia="Arial" w:hAnsi="Arial" w:cs="Arial"/>
          <w:i/>
          <w:color w:val="000000"/>
          <w:sz w:val="20"/>
        </w:rPr>
        <w:t xml:space="preserve">cf. </w:t>
      </w:r>
      <w:bookmarkStart w:id="224" w:name="Bookmark_I62XXC752N1RS20020000400"/>
      <w:bookmarkEnd w:id="224"/>
      <w:r>
        <w:rPr>
          <w:rFonts w:ascii="Arial" w:eastAsia="Arial" w:hAnsi="Arial" w:cs="Arial"/>
          <w:i/>
          <w:color w:val="000000"/>
          <w:sz w:val="20"/>
        </w:rPr>
        <w:t>Cotter v. Ajilon Servs.</w:t>
      </w:r>
      <w:r>
        <w:rPr>
          <w:rFonts w:ascii="Arial" w:eastAsia="Arial" w:hAnsi="Arial" w:cs="Arial"/>
          <w:color w:val="000000"/>
          <w:sz w:val="20"/>
        </w:rPr>
        <w:t xml:space="preserve">, 287 F.3d 593, 598 (6th Cir. 2002) (explaining [**15]  that plaintiff's "perfunctory statement" that "his colitis restricts his ability to perform manual tasks such as lifting, bending, standing and carrying things" could not allow "a reasonable jury [to] infer that" he was disabled under the ADA), </w:t>
      </w:r>
      <w:r>
        <w:rPr>
          <w:rFonts w:ascii="Arial" w:eastAsia="Arial" w:hAnsi="Arial" w:cs="Arial"/>
          <w:i/>
          <w:color w:val="000000"/>
          <w:sz w:val="20"/>
        </w:rPr>
        <w:t xml:space="preserve">abrogated in part on other grounds by </w:t>
      </w:r>
      <w:bookmarkStart w:id="225" w:name="Bookmark_I62XXC752N1RS20040000400"/>
      <w:bookmarkEnd w:id="225"/>
      <w:r>
        <w:rPr>
          <w:rFonts w:ascii="Arial" w:eastAsia="Arial" w:hAnsi="Arial" w:cs="Arial"/>
          <w:i/>
          <w:color w:val="000000"/>
          <w:sz w:val="20"/>
        </w:rPr>
        <w:t>Lewis v. Humboldt Acquisition Corp.</w:t>
      </w:r>
      <w:r>
        <w:rPr>
          <w:rFonts w:ascii="Arial" w:eastAsia="Arial" w:hAnsi="Arial" w:cs="Arial"/>
          <w:color w:val="000000"/>
          <w:sz w:val="20"/>
        </w:rPr>
        <w:t xml:space="preserve">, 681 F.3d 312, 314-15 (6th Cir. 2012) (en banc); </w:t>
      </w:r>
      <w:bookmarkStart w:id="226" w:name="Bookmark_I62XXC762N1RS50010000400"/>
      <w:bookmarkEnd w:id="226"/>
      <w:r>
        <w:rPr>
          <w:rFonts w:ascii="Arial" w:eastAsia="Arial" w:hAnsi="Arial" w:cs="Arial"/>
          <w:i/>
          <w:color w:val="000000"/>
          <w:sz w:val="20"/>
        </w:rPr>
        <w:t>Penny v. United Parcel Serv.</w:t>
      </w:r>
      <w:r>
        <w:rPr>
          <w:rFonts w:ascii="Arial" w:eastAsia="Arial" w:hAnsi="Arial" w:cs="Arial"/>
          <w:color w:val="000000"/>
          <w:sz w:val="20"/>
        </w:rPr>
        <w:t>, 128 F.3d 408, 415 (6th Cir. 1997) (similar).</w:t>
      </w:r>
    </w:p>
    <w:p w14:paraId="1844B791" w14:textId="77777777" w:rsidR="002B10A6" w:rsidRDefault="00000000">
      <w:pPr>
        <w:pStyle w:val="Normal1"/>
        <w:widowControl w:val="0"/>
        <w:spacing w:before="200" w:line="260" w:lineRule="atLeast"/>
        <w:jc w:val="both"/>
      </w:pPr>
      <w:bookmarkStart w:id="227" w:name="Bookmark_para_26_0"/>
      <w:bookmarkStart w:id="228" w:name="Bookmark_I62XXC762N1RS50040000400"/>
      <w:bookmarkEnd w:id="227"/>
      <w:bookmarkEnd w:id="228"/>
      <w:r>
        <w:rPr>
          <w:rFonts w:ascii="Arial" w:eastAsia="Arial" w:hAnsi="Arial" w:cs="Arial"/>
          <w:color w:val="000000"/>
          <w:sz w:val="20"/>
        </w:rPr>
        <w:t xml:space="preserve">The record is similarly lacking in evidence that Keller was denied meaningful access to any other jail services, programs, or activities. </w:t>
      </w:r>
      <w:bookmarkStart w:id="229" w:name="Bookmark_I62XXC7628T4CT0030000400"/>
      <w:bookmarkEnd w:id="229"/>
      <w:r>
        <w:rPr>
          <w:rFonts w:ascii="Arial" w:eastAsia="Arial" w:hAnsi="Arial" w:cs="Arial"/>
          <w:color w:val="000000"/>
          <w:sz w:val="20"/>
        </w:rPr>
        <w:t xml:space="preserve">Keller notes that his cellmates brought his meals to him after an officer handed them the trays at the door of the holding cell. To be sure, a public entity that forced a plaintiff to rely on the good graces of a third party in order to enjoy program benefits might run afoul of the ADA. </w:t>
      </w:r>
      <w:r>
        <w:rPr>
          <w:rFonts w:ascii="Arial" w:eastAsia="Arial" w:hAnsi="Arial" w:cs="Arial"/>
          <w:i/>
          <w:color w:val="000000"/>
          <w:sz w:val="20"/>
        </w:rPr>
        <w:t>See, e.g.</w:t>
      </w:r>
      <w:r>
        <w:rPr>
          <w:rFonts w:ascii="Arial" w:eastAsia="Arial" w:hAnsi="Arial" w:cs="Arial"/>
          <w:color w:val="000000"/>
          <w:sz w:val="20"/>
        </w:rPr>
        <w:t xml:space="preserve">, </w:t>
      </w:r>
      <w:bookmarkStart w:id="230" w:name="Bookmark_I62XXC762N1RS50030000400"/>
      <w:bookmarkEnd w:id="230"/>
      <w:r>
        <w:rPr>
          <w:rFonts w:ascii="Arial" w:eastAsia="Arial" w:hAnsi="Arial" w:cs="Arial"/>
          <w:i/>
          <w:color w:val="000000"/>
          <w:sz w:val="20"/>
        </w:rPr>
        <w:t>Wright</w:t>
      </w:r>
      <w:r>
        <w:rPr>
          <w:rFonts w:ascii="Arial" w:eastAsia="Arial" w:hAnsi="Arial" w:cs="Arial"/>
          <w:color w:val="000000"/>
          <w:sz w:val="20"/>
        </w:rPr>
        <w:t xml:space="preserve">, 831 F.3d at 74; </w:t>
      </w:r>
      <w:bookmarkStart w:id="231" w:name="Bookmark_I62XXC762N1RS50050000400"/>
      <w:bookmarkEnd w:id="231"/>
      <w:r>
        <w:rPr>
          <w:rFonts w:ascii="Arial" w:eastAsia="Arial" w:hAnsi="Arial" w:cs="Arial"/>
          <w:i/>
          <w:color w:val="000000"/>
          <w:sz w:val="20"/>
        </w:rPr>
        <w:t>Am. Council of the Blind v.  [*388]  Paulson</w:t>
      </w:r>
      <w:r>
        <w:rPr>
          <w:rFonts w:ascii="Arial" w:eastAsia="Arial" w:hAnsi="Arial" w:cs="Arial"/>
          <w:color w:val="000000"/>
          <w:sz w:val="20"/>
        </w:rPr>
        <w:t xml:space="preserve">, 525 F.3d 1256, 1259, 381 U.S. App. D.C. 162 (D.C. Cir. 2008). But Keller's testimony does not suggest such a scenario. </w:t>
      </w:r>
      <w:bookmarkStart w:id="232" w:name="Bookmark_I62XXC7628T4CT0030000400_2"/>
      <w:bookmarkEnd w:id="232"/>
      <w:r>
        <w:rPr>
          <w:rFonts w:ascii="Arial" w:eastAsia="Arial" w:hAnsi="Arial" w:cs="Arial"/>
          <w:color w:val="000000"/>
          <w:sz w:val="20"/>
        </w:rPr>
        <w:t xml:space="preserve">He offers no evidence that officers would not have handed him meals directly if he had been alone in the holding cell or if his cellmates had not been willing or able. </w:t>
      </w:r>
      <w:r>
        <w:rPr>
          <w:rFonts w:ascii="Arial" w:eastAsia="Arial" w:hAnsi="Arial" w:cs="Arial"/>
          <w:i/>
          <w:color w:val="000000"/>
          <w:sz w:val="20"/>
        </w:rPr>
        <w:t xml:space="preserve">Cf. </w:t>
      </w:r>
      <w:bookmarkStart w:id="233" w:name="Bookmark_I62XXC7628T4CT0020000400"/>
      <w:bookmarkEnd w:id="233"/>
      <w:r>
        <w:rPr>
          <w:rFonts w:ascii="Arial" w:eastAsia="Arial" w:hAnsi="Arial" w:cs="Arial"/>
          <w:i/>
          <w:color w:val="000000"/>
          <w:sz w:val="20"/>
        </w:rPr>
        <w:t>Kiman v. N.H. Dep't of Corr.</w:t>
      </w:r>
      <w:r>
        <w:rPr>
          <w:rFonts w:ascii="Arial" w:eastAsia="Arial" w:hAnsi="Arial" w:cs="Arial"/>
          <w:color w:val="000000"/>
          <w:sz w:val="20"/>
        </w:rPr>
        <w:t>, 451 F.3d 274, 285 (1st Cir. 2006) (finding no exclusion from prison programs or services where the plaintiff's "medical need for [a] cane was not obvious and . . . corrections officers would have been available to help [the plaintiff] on his walk to his shower, [**16]  if he had requested their assistance"). Indeed, the record shows that, when Keller was in the medical observation cell without any cellmates, officers handed him his meals directly. Nor does the record indicate that Keller was ever required to move outside his cell without the use of a wheelchair.</w:t>
      </w:r>
    </w:p>
    <w:p w14:paraId="1F4303D4" w14:textId="77777777" w:rsidR="002B10A6" w:rsidRDefault="00000000">
      <w:pPr>
        <w:pStyle w:val="Normal1"/>
        <w:widowControl w:val="0"/>
        <w:spacing w:before="200" w:line="260" w:lineRule="atLeast"/>
        <w:jc w:val="both"/>
      </w:pPr>
      <w:bookmarkStart w:id="234" w:name="Bookmark_para_27_0"/>
      <w:bookmarkStart w:id="235" w:name="Bookmark_I62XXC7628T4CT0050000400"/>
      <w:bookmarkEnd w:id="234"/>
      <w:bookmarkEnd w:id="235"/>
      <w:r>
        <w:rPr>
          <w:rFonts w:ascii="Arial" w:eastAsia="Arial" w:hAnsi="Arial" w:cs="Arial"/>
          <w:color w:val="000000"/>
          <w:sz w:val="20"/>
        </w:rPr>
        <w:t xml:space="preserve">Simply put, Keller has not created a genuine issue of material fact regarding whether the County denied him meaningful access to "the services, programs, or activities" available to detainees. </w:t>
      </w:r>
      <w:r>
        <w:rPr>
          <w:rFonts w:ascii="Arial" w:eastAsia="Arial" w:hAnsi="Arial" w:cs="Arial"/>
          <w:i/>
          <w:color w:val="000000"/>
          <w:sz w:val="20"/>
        </w:rPr>
        <w:t xml:space="preserve">See </w:t>
      </w:r>
      <w:bookmarkStart w:id="236" w:name="Bookmark_I62XXC7628T4CT0040000400"/>
      <w:bookmarkEnd w:id="236"/>
      <w:r>
        <w:rPr>
          <w:rFonts w:ascii="Arial" w:eastAsia="Arial" w:hAnsi="Arial" w:cs="Arial"/>
          <w:i/>
          <w:color w:val="000000"/>
          <w:sz w:val="20"/>
        </w:rPr>
        <w:t>Baribeau v. City of Minneapolis</w:t>
      </w:r>
      <w:r>
        <w:rPr>
          <w:rFonts w:ascii="Arial" w:eastAsia="Arial" w:hAnsi="Arial" w:cs="Arial"/>
          <w:color w:val="000000"/>
          <w:sz w:val="20"/>
        </w:rPr>
        <w:t xml:space="preserve">, 596 F.3d 465, 484-85 (8th Cir. 2010); </w:t>
      </w:r>
      <w:bookmarkStart w:id="237" w:name="Bookmark_I62XXC7728T4CX0010000400"/>
      <w:bookmarkEnd w:id="237"/>
      <w:r>
        <w:rPr>
          <w:rFonts w:ascii="Arial" w:eastAsia="Arial" w:hAnsi="Arial" w:cs="Arial"/>
          <w:i/>
          <w:color w:val="000000"/>
          <w:sz w:val="20"/>
        </w:rPr>
        <w:t>Moore v. Curtis</w:t>
      </w:r>
      <w:r>
        <w:rPr>
          <w:rFonts w:ascii="Arial" w:eastAsia="Arial" w:hAnsi="Arial" w:cs="Arial"/>
          <w:color w:val="000000"/>
          <w:sz w:val="20"/>
        </w:rPr>
        <w:t>, 68 F. App'x 561, 562-63 (6th Cir. 2003). Therefore, the district court properly awarded summary judgment to the County on his failure-to-accommodate claims.</w:t>
      </w:r>
    </w:p>
    <w:p w14:paraId="68F6A0CC" w14:textId="77777777" w:rsidR="002B10A6" w:rsidRDefault="00000000">
      <w:pPr>
        <w:pStyle w:val="Normal1"/>
        <w:widowControl w:val="0"/>
        <w:spacing w:before="120" w:line="260" w:lineRule="atLeast"/>
      </w:pPr>
      <w:r>
        <w:rPr>
          <w:rFonts w:ascii="Arial" w:eastAsia="Arial" w:hAnsi="Arial" w:cs="Arial"/>
          <w:color w:val="000000"/>
          <w:sz w:val="20"/>
        </w:rPr>
        <w:t>B.</w:t>
      </w:r>
    </w:p>
    <w:p w14:paraId="5883A892" w14:textId="77777777" w:rsidR="002B10A6" w:rsidRDefault="00000000">
      <w:pPr>
        <w:pStyle w:val="Normal1"/>
        <w:widowControl w:val="0"/>
        <w:spacing w:before="200" w:line="260" w:lineRule="atLeast"/>
        <w:jc w:val="both"/>
      </w:pPr>
      <w:bookmarkStart w:id="238" w:name="Bookmark_para_28_0"/>
      <w:bookmarkStart w:id="239" w:name="Bookmark_I7XHJ1VT3PW000065R300004"/>
      <w:bookmarkStart w:id="240" w:name="Bookmark_I62XXC7728T4CX0040000400"/>
      <w:bookmarkEnd w:id="238"/>
      <w:bookmarkEnd w:id="239"/>
      <w:bookmarkEnd w:id="240"/>
      <w:r>
        <w:rPr>
          <w:rFonts w:ascii="Arial" w:eastAsia="Arial" w:hAnsi="Arial" w:cs="Arial"/>
          <w:color w:val="000000"/>
          <w:sz w:val="20"/>
        </w:rPr>
        <w:t xml:space="preserve">We now turn to Keller's claim that the County intentionally discriminated against him based on his disabilities. </w:t>
      </w:r>
      <w:bookmarkStart w:id="241" w:name="Bookmark_LNHNREFclscc7_0"/>
      <w:bookmarkEnd w:id="241"/>
      <w:r>
        <w:rPr>
          <w:rFonts w:ascii="Arial" w:eastAsia="Arial" w:hAnsi="Arial" w:cs="Arial"/>
          <w:color w:val="000000"/>
          <w:sz w:val="20"/>
        </w:rPr>
        <w:t xml:space="preserve">To evaluate a claim of intentional disability discrimination that is based on circumstantial evidence, we apply the </w:t>
      </w:r>
      <w:r>
        <w:rPr>
          <w:rFonts w:ascii="Arial" w:eastAsia="Arial" w:hAnsi="Arial" w:cs="Arial"/>
          <w:i/>
          <w:color w:val="000000"/>
          <w:sz w:val="20"/>
        </w:rPr>
        <w:t>McDonnell Douglas</w:t>
      </w:r>
      <w:r>
        <w:rPr>
          <w:rFonts w:ascii="Arial" w:eastAsia="Arial" w:hAnsi="Arial" w:cs="Arial"/>
          <w:color w:val="000000"/>
          <w:sz w:val="20"/>
        </w:rPr>
        <w:t xml:space="preserve"> burden-shifting framework. </w:t>
      </w:r>
      <w:bookmarkStart w:id="242" w:name="Bookmark_I62XXC7728T4D00030000400"/>
      <w:bookmarkStart w:id="243" w:name="Bookmark_I62XXC7728T4CX0030000400"/>
      <w:bookmarkEnd w:id="242"/>
      <w:bookmarkEnd w:id="243"/>
      <w:r>
        <w:rPr>
          <w:rFonts w:ascii="Arial" w:eastAsia="Arial" w:hAnsi="Arial" w:cs="Arial"/>
          <w:i/>
          <w:color w:val="000000"/>
          <w:sz w:val="20"/>
        </w:rPr>
        <w:t>Anderson</w:t>
      </w:r>
      <w:r>
        <w:rPr>
          <w:rFonts w:ascii="Arial" w:eastAsia="Arial" w:hAnsi="Arial" w:cs="Arial"/>
          <w:color w:val="000000"/>
          <w:sz w:val="20"/>
        </w:rPr>
        <w:t xml:space="preserve">, 798 F.3d at 356 (citing </w:t>
      </w:r>
      <w:bookmarkStart w:id="244" w:name="Bookmark_I62XXC7728T4CX0050000400"/>
      <w:bookmarkEnd w:id="244"/>
      <w:r>
        <w:rPr>
          <w:rFonts w:ascii="Arial" w:eastAsia="Arial" w:hAnsi="Arial" w:cs="Arial"/>
          <w:i/>
          <w:color w:val="000000"/>
          <w:sz w:val="20"/>
        </w:rPr>
        <w:t>McDonnell Douglas Corp. v. Green</w:t>
      </w:r>
      <w:r>
        <w:rPr>
          <w:rFonts w:ascii="Arial" w:eastAsia="Arial" w:hAnsi="Arial" w:cs="Arial"/>
          <w:color w:val="000000"/>
          <w:sz w:val="20"/>
        </w:rPr>
        <w:t xml:space="preserve">, 411 U.S. 792, 93 S. Ct. 1817, 36 L. Ed. 2d 668 (1973)). </w:t>
      </w:r>
      <w:bookmarkStart w:id="245" w:name="Bookmark_I62XXC7728T4D00030000400_2"/>
      <w:bookmarkStart w:id="246" w:name="Bookmark_I7XHJ1VSN9W000065R300002"/>
      <w:bookmarkStart w:id="247" w:name="Bookmark_I62XXC7728T4D00050000400"/>
      <w:bookmarkEnd w:id="245"/>
      <w:bookmarkEnd w:id="246"/>
      <w:bookmarkEnd w:id="247"/>
      <w:r>
        <w:rPr>
          <w:rFonts w:ascii="Arial" w:eastAsia="Arial" w:hAnsi="Arial" w:cs="Arial"/>
          <w:color w:val="000000"/>
          <w:sz w:val="20"/>
        </w:rPr>
        <w:t xml:space="preserve">First, the plaintiff is required to establish a prima facie case of discrimination. </w:t>
      </w:r>
      <w:bookmarkStart w:id="248" w:name="Bookmark_I62XXC7728T4D00020000400"/>
      <w:bookmarkEnd w:id="248"/>
      <w:r>
        <w:rPr>
          <w:rFonts w:ascii="Arial" w:eastAsia="Arial" w:hAnsi="Arial" w:cs="Arial"/>
          <w:i/>
          <w:color w:val="000000"/>
          <w:sz w:val="20"/>
        </w:rPr>
        <w:t>Id.</w:t>
      </w:r>
      <w:r>
        <w:rPr>
          <w:rFonts w:ascii="Arial" w:eastAsia="Arial" w:hAnsi="Arial" w:cs="Arial"/>
          <w:color w:val="000000"/>
          <w:sz w:val="20"/>
        </w:rPr>
        <w:t xml:space="preserve"> at 356-57. </w:t>
      </w:r>
      <w:bookmarkStart w:id="249" w:name="Bookmark_I62XXC7728T4D00050000400_2"/>
      <w:bookmarkEnd w:id="249"/>
      <w:r>
        <w:rPr>
          <w:rFonts w:ascii="Arial" w:eastAsia="Arial" w:hAnsi="Arial" w:cs="Arial"/>
          <w:color w:val="000000"/>
          <w:sz w:val="20"/>
        </w:rPr>
        <w:t xml:space="preserve">To make out a prima facie case, the plaintiff "must show that: (1) [he] has a disability; (2) [he] is otherwise qualified; and (3) [he] was being excluded from participation in, denied the benefits of, or subjected [**17]  to discrimination under the program because of [his] disability." </w:t>
      </w:r>
      <w:bookmarkStart w:id="250" w:name="Bookmark_I62XXC7728T4D00040000400"/>
      <w:bookmarkEnd w:id="250"/>
      <w:r>
        <w:rPr>
          <w:rFonts w:ascii="Arial" w:eastAsia="Arial" w:hAnsi="Arial" w:cs="Arial"/>
          <w:i/>
          <w:color w:val="000000"/>
          <w:sz w:val="20"/>
        </w:rPr>
        <w:t>Id.</w:t>
      </w:r>
      <w:r>
        <w:rPr>
          <w:rFonts w:ascii="Arial" w:eastAsia="Arial" w:hAnsi="Arial" w:cs="Arial"/>
          <w:color w:val="000000"/>
          <w:sz w:val="20"/>
        </w:rPr>
        <w:t xml:space="preserve"> at 357 (footnote omitted). If the plaintiff makes this prima facie showing, the defendant "must then offer a legitimate, nondiscriminatory reason for its challenged action." </w:t>
      </w:r>
      <w:r>
        <w:rPr>
          <w:rFonts w:ascii="Arial" w:eastAsia="Arial" w:hAnsi="Arial" w:cs="Arial"/>
          <w:i/>
          <w:color w:val="000000"/>
          <w:sz w:val="20"/>
        </w:rPr>
        <w:t>Id.</w:t>
      </w:r>
      <w:r>
        <w:rPr>
          <w:rFonts w:ascii="Arial" w:eastAsia="Arial" w:hAnsi="Arial" w:cs="Arial"/>
          <w:color w:val="000000"/>
          <w:sz w:val="20"/>
        </w:rPr>
        <w:t xml:space="preserve"> (internal quotation marks and citation omitted). "If [the defendant] does so—and its burden is merely one of production, not persuasion—[the plaintiff] must then present evidence allowing a jury to find that the [defendant's] explanation is a pretext for unlawful discrimination." </w:t>
      </w:r>
      <w:r>
        <w:rPr>
          <w:rFonts w:ascii="Arial" w:eastAsia="Arial" w:hAnsi="Arial" w:cs="Arial"/>
          <w:i/>
          <w:color w:val="000000"/>
          <w:sz w:val="20"/>
        </w:rPr>
        <w:t>Id.</w:t>
      </w:r>
      <w:r>
        <w:rPr>
          <w:rFonts w:ascii="Arial" w:eastAsia="Arial" w:hAnsi="Arial" w:cs="Arial"/>
          <w:color w:val="000000"/>
          <w:sz w:val="20"/>
        </w:rPr>
        <w:t xml:space="preserve"> (alterations in original) (citation omitted).</w:t>
      </w:r>
    </w:p>
    <w:p w14:paraId="4DE6C98C" w14:textId="77777777" w:rsidR="002B10A6" w:rsidRDefault="00000000">
      <w:pPr>
        <w:pStyle w:val="Normal1"/>
        <w:widowControl w:val="0"/>
        <w:spacing w:before="200" w:line="260" w:lineRule="atLeast"/>
        <w:jc w:val="both"/>
      </w:pPr>
      <w:bookmarkStart w:id="251" w:name="Bookmark_para_29_0"/>
      <w:bookmarkStart w:id="252" w:name="Bookmark_I7XHJ1VS4PY000065R300001"/>
      <w:bookmarkStart w:id="253" w:name="Bookmark_I62XXC772D6NB30020000400"/>
      <w:bookmarkStart w:id="254" w:name="Bookmark_I62XXC772D6NB30040000400"/>
      <w:bookmarkEnd w:id="251"/>
      <w:bookmarkEnd w:id="252"/>
      <w:bookmarkEnd w:id="253"/>
      <w:bookmarkEnd w:id="254"/>
      <w:r>
        <w:rPr>
          <w:rFonts w:ascii="Arial" w:eastAsia="Arial" w:hAnsi="Arial" w:cs="Arial"/>
          <w:color w:val="000000"/>
          <w:sz w:val="20"/>
        </w:rPr>
        <w:t xml:space="preserve">As already described, Keller has not offered evidence that the County excluded him from, or denied him the benefits of, any jail services by confiscating his inhalers and prosthetic leg. Thus, Keller has failed to make a showing that could establish the existence of this essential element of his case, </w:t>
      </w:r>
      <w:r>
        <w:rPr>
          <w:rFonts w:ascii="Arial" w:eastAsia="Arial" w:hAnsi="Arial" w:cs="Arial"/>
          <w:i/>
          <w:color w:val="000000"/>
          <w:sz w:val="20"/>
        </w:rPr>
        <w:t xml:space="preserve">see </w:t>
      </w:r>
      <w:bookmarkStart w:id="255" w:name="Bookmark_I62XXC772D6NB30010000400"/>
      <w:bookmarkEnd w:id="255"/>
      <w:r>
        <w:rPr>
          <w:rFonts w:ascii="Arial" w:eastAsia="Arial" w:hAnsi="Arial" w:cs="Arial"/>
          <w:i/>
          <w:color w:val="000000"/>
          <w:sz w:val="20"/>
        </w:rPr>
        <w:t>Anderson</w:t>
      </w:r>
      <w:r>
        <w:rPr>
          <w:rFonts w:ascii="Arial" w:eastAsia="Arial" w:hAnsi="Arial" w:cs="Arial"/>
          <w:color w:val="000000"/>
          <w:sz w:val="20"/>
        </w:rPr>
        <w:t xml:space="preserve">, 798 F.3d at 357, and the County was entitled to summary judgment on his intentional-discrimination claims. </w:t>
      </w:r>
      <w:r>
        <w:rPr>
          <w:rFonts w:ascii="Arial" w:eastAsia="Arial" w:hAnsi="Arial" w:cs="Arial"/>
          <w:i/>
          <w:color w:val="000000"/>
          <w:sz w:val="20"/>
        </w:rPr>
        <w:t xml:space="preserve">See </w:t>
      </w:r>
      <w:bookmarkStart w:id="256" w:name="Bookmark_I62XXC772D6NB30030000400"/>
      <w:bookmarkEnd w:id="256"/>
      <w:r>
        <w:rPr>
          <w:rFonts w:ascii="Arial" w:eastAsia="Arial" w:hAnsi="Arial" w:cs="Arial"/>
          <w:i/>
          <w:color w:val="000000"/>
          <w:sz w:val="20"/>
        </w:rPr>
        <w:t>Celotex</w:t>
      </w:r>
      <w:r>
        <w:rPr>
          <w:rFonts w:ascii="Arial" w:eastAsia="Arial" w:hAnsi="Arial" w:cs="Arial"/>
          <w:color w:val="000000"/>
          <w:sz w:val="20"/>
        </w:rPr>
        <w:t>, 477 U.S. at 322-23.</w:t>
      </w:r>
    </w:p>
    <w:p w14:paraId="29CED7E7" w14:textId="77777777" w:rsidR="002B10A6" w:rsidRDefault="00000000">
      <w:pPr>
        <w:pStyle w:val="Normal1"/>
        <w:widowControl w:val="0"/>
        <w:spacing w:before="120" w:line="260" w:lineRule="atLeast"/>
      </w:pPr>
      <w:r>
        <w:rPr>
          <w:rFonts w:ascii="Arial" w:eastAsia="Arial" w:hAnsi="Arial" w:cs="Arial"/>
          <w:color w:val="000000"/>
          <w:sz w:val="20"/>
        </w:rPr>
        <w:t>IV.</w:t>
      </w:r>
    </w:p>
    <w:p w14:paraId="7F3D7CCD" w14:textId="77777777" w:rsidR="002B10A6" w:rsidRDefault="00000000">
      <w:pPr>
        <w:pStyle w:val="Normal1"/>
        <w:widowControl w:val="0"/>
        <w:spacing w:before="200" w:line="260" w:lineRule="atLeast"/>
        <w:jc w:val="both"/>
      </w:pPr>
      <w:bookmarkStart w:id="257" w:name="Bookmark_para_30_0"/>
      <w:bookmarkStart w:id="258" w:name="Bookmark_I62XXC772D6NB40010000400"/>
      <w:bookmarkEnd w:id="257"/>
      <w:bookmarkEnd w:id="258"/>
      <w:r>
        <w:rPr>
          <w:rFonts w:ascii="Arial" w:eastAsia="Arial" w:hAnsi="Arial" w:cs="Arial"/>
          <w:color w:val="000000"/>
          <w:sz w:val="20"/>
        </w:rPr>
        <w:t xml:space="preserve">Similar to the ADA, § 504 of the Rehabilitation Act provides that "[n]o otherwise qualified individual with a disability in the United States . . . shall, solely by reason of her or his disability, be excluded from the participation [**18]  in, be denied the benefits of, or be subjected to discrimination under any program or activity receiving Federal financial assistance." 29 U.S.C. § 794(a). Keller's Rehabilitation Act claims fail for the same reasons as his ADA claims. </w:t>
      </w:r>
      <w:r>
        <w:rPr>
          <w:rFonts w:ascii="Arial" w:eastAsia="Arial" w:hAnsi="Arial" w:cs="Arial"/>
          <w:i/>
          <w:color w:val="000000"/>
          <w:sz w:val="20"/>
        </w:rPr>
        <w:t xml:space="preserve">See </w:t>
      </w:r>
      <w:bookmarkStart w:id="259" w:name="Bookmark_I62XXC772D6NB30050000400"/>
      <w:bookmarkEnd w:id="259"/>
      <w:r>
        <w:rPr>
          <w:rFonts w:ascii="Arial" w:eastAsia="Arial" w:hAnsi="Arial" w:cs="Arial"/>
          <w:i/>
          <w:color w:val="000000"/>
          <w:sz w:val="20"/>
        </w:rPr>
        <w:t>Doe v. Woodford Cnty. Bd. of Educ.</w:t>
      </w:r>
      <w:r>
        <w:rPr>
          <w:rFonts w:ascii="Arial" w:eastAsia="Arial" w:hAnsi="Arial" w:cs="Arial"/>
          <w:color w:val="000000"/>
          <w:sz w:val="20"/>
        </w:rPr>
        <w:t xml:space="preserve">, 213 F.3d 921, 924-26 (6th Cir. 2000) (recognizing  [*389]  similarities between the ADA and Rehabilitation Act claims); </w:t>
      </w:r>
      <w:bookmarkStart w:id="260" w:name="Bookmark_I62XXC772D6NB40020000400"/>
      <w:bookmarkEnd w:id="260"/>
      <w:r>
        <w:rPr>
          <w:rFonts w:ascii="Arial" w:eastAsia="Arial" w:hAnsi="Arial" w:cs="Arial"/>
          <w:i/>
          <w:color w:val="000000"/>
          <w:sz w:val="20"/>
        </w:rPr>
        <w:t>McPherson</w:t>
      </w:r>
      <w:r>
        <w:rPr>
          <w:rFonts w:ascii="Arial" w:eastAsia="Arial" w:hAnsi="Arial" w:cs="Arial"/>
          <w:color w:val="000000"/>
          <w:sz w:val="20"/>
        </w:rPr>
        <w:t>, 119 F.3d at 460, 463 (same). As explained above, Keller has not shown a genuine factual dispute about whether he was excluded from or denied the benefits of jail programs or activities, and he has not otherwise shown that he experienced prohibited discrimination. The district court properly granted summary judgment to the County on Keller's Rehabilitation Act claims.</w:t>
      </w:r>
    </w:p>
    <w:p w14:paraId="74E9B40A" w14:textId="77777777" w:rsidR="002B10A6" w:rsidRDefault="00000000">
      <w:pPr>
        <w:pStyle w:val="Normal1"/>
        <w:widowControl w:val="0"/>
        <w:spacing w:before="200" w:line="260" w:lineRule="atLeast"/>
        <w:jc w:val="both"/>
      </w:pPr>
      <w:bookmarkStart w:id="261" w:name="Bookmark_para_31_0"/>
      <w:bookmarkEnd w:id="261"/>
      <w:r>
        <w:rPr>
          <w:rFonts w:ascii="Arial" w:eastAsia="Arial" w:hAnsi="Arial" w:cs="Arial"/>
          <w:color w:val="000000"/>
          <w:sz w:val="20"/>
        </w:rPr>
        <w:t>* * *</w:t>
      </w:r>
    </w:p>
    <w:p w14:paraId="44ACCF4E" w14:textId="77777777" w:rsidR="002B10A6" w:rsidRDefault="00000000">
      <w:pPr>
        <w:pStyle w:val="Normal1"/>
        <w:widowControl w:val="0"/>
        <w:spacing w:before="200" w:line="260" w:lineRule="atLeast"/>
        <w:jc w:val="both"/>
      </w:pPr>
      <w:bookmarkStart w:id="262" w:name="Bookmark_para_32_0"/>
      <w:bookmarkEnd w:id="262"/>
      <w:r>
        <w:rPr>
          <w:rFonts w:ascii="Arial" w:eastAsia="Arial" w:hAnsi="Arial" w:cs="Arial"/>
          <w:color w:val="000000"/>
          <w:sz w:val="20"/>
        </w:rPr>
        <w:t>We AFFIRM.</w:t>
      </w:r>
    </w:p>
    <w:p w14:paraId="3499BDED" w14:textId="77777777" w:rsidR="002B10A6" w:rsidRDefault="002B10A6">
      <w:pPr>
        <w:pStyle w:val="Normal1"/>
      </w:pPr>
    </w:p>
    <w:p w14:paraId="0917F7BB" w14:textId="1C3B17EC" w:rsidR="002B10A6" w:rsidRDefault="00000000">
      <w:pPr>
        <w:pStyle w:val="Normal1"/>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61312" behindDoc="0" locked="0" layoutInCell="1" allowOverlap="1" wp14:anchorId="6CF6A70E" wp14:editId="7BF25F33">
                <wp:simplePos x="0" y="0"/>
                <wp:positionH relativeFrom="column">
                  <wp:posOffset>0</wp:posOffset>
                </wp:positionH>
                <wp:positionV relativeFrom="paragraph">
                  <wp:posOffset>127000</wp:posOffset>
                </wp:positionV>
                <wp:extent cx="6502400" cy="0"/>
                <wp:effectExtent l="9525" t="12700" r="12700" b="6350"/>
                <wp:wrapNone/>
                <wp:docPr id="19119002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8A2DF" id="Line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787711C" w14:textId="77777777" w:rsidR="002B10A6" w:rsidRDefault="002B10A6">
      <w:pPr>
        <w:pStyle w:val="Normal2"/>
        <w:sectPr w:rsidR="002B10A6">
          <w:headerReference w:type="even" r:id="rId18"/>
          <w:headerReference w:type="default" r:id="rId19"/>
          <w:footerReference w:type="even" r:id="rId20"/>
          <w:footerReference w:type="default" r:id="rId21"/>
          <w:headerReference w:type="first" r:id="rId22"/>
          <w:footerReference w:type="first" r:id="rId23"/>
          <w:pgSz w:w="12240" w:h="15840"/>
          <w:pgMar w:top="840" w:right="1000" w:bottom="840" w:left="1000" w:header="400" w:footer="400" w:gutter="0"/>
          <w:cols w:space="720"/>
          <w:titlePg/>
        </w:sectPr>
      </w:pPr>
    </w:p>
    <w:p w14:paraId="220B3782" w14:textId="77777777" w:rsidR="002B10A6" w:rsidRDefault="002B10A6">
      <w:pPr>
        <w:pStyle w:val="Normal2"/>
      </w:pPr>
    </w:p>
    <w:p w14:paraId="235D4547" w14:textId="77777777" w:rsidR="002B10A6" w:rsidRDefault="00000000">
      <w:pPr>
        <w:pStyle w:val="Heading11"/>
        <w:keepNext w:val="0"/>
        <w:widowControl w:val="0"/>
        <w:spacing w:after="200" w:line="340" w:lineRule="atLeast"/>
        <w:jc w:val="center"/>
      </w:pPr>
      <w:r>
        <w:rPr>
          <w:rFonts w:eastAsia="Arial"/>
          <w:color w:val="000000"/>
          <w:sz w:val="28"/>
        </w:rPr>
        <w:t>Perdue v. Sanofi-Aventis U.S., LLC</w:t>
      </w:r>
    </w:p>
    <w:p w14:paraId="4C378078" w14:textId="77777777" w:rsidR="002B10A6" w:rsidRDefault="00000000">
      <w:pPr>
        <w:pStyle w:val="Normal2"/>
        <w:widowControl w:val="0"/>
        <w:spacing w:before="120" w:line="260" w:lineRule="atLeast"/>
        <w:jc w:val="center"/>
      </w:pPr>
      <w:r>
        <w:rPr>
          <w:rFonts w:ascii="Arial" w:eastAsia="Arial" w:hAnsi="Arial" w:cs="Arial"/>
          <w:color w:val="000000"/>
          <w:sz w:val="20"/>
        </w:rPr>
        <w:t>United States Court of Appeals for the Fourth Circuit</w:t>
      </w:r>
    </w:p>
    <w:p w14:paraId="084866F8" w14:textId="77777777" w:rsidR="002B10A6" w:rsidRDefault="00000000">
      <w:pPr>
        <w:pStyle w:val="Normal2"/>
        <w:widowControl w:val="0"/>
        <w:spacing w:before="120" w:line="260" w:lineRule="atLeast"/>
        <w:jc w:val="center"/>
      </w:pPr>
      <w:r>
        <w:rPr>
          <w:rFonts w:ascii="Arial" w:eastAsia="Arial" w:hAnsi="Arial" w:cs="Arial"/>
          <w:color w:val="000000"/>
          <w:sz w:val="20"/>
        </w:rPr>
        <w:t>January 29, 2021, Argued; June 8, 2021, Decided</w:t>
      </w:r>
    </w:p>
    <w:p w14:paraId="5CA2F6BB" w14:textId="77777777" w:rsidR="002B10A6" w:rsidRDefault="00000000">
      <w:pPr>
        <w:pStyle w:val="Normal2"/>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19-2094</w:t>
      </w:r>
    </w:p>
    <w:p w14:paraId="72E05E70" w14:textId="77777777" w:rsidR="002B10A6" w:rsidRDefault="002B10A6">
      <w:pPr>
        <w:pStyle w:val="Normal2"/>
        <w:widowControl w:val="0"/>
        <w:spacing w:line="240" w:lineRule="atLeast"/>
        <w:jc w:val="both"/>
      </w:pPr>
      <w:bookmarkStart w:id="263" w:name="Bookmark_3"/>
      <w:bookmarkEnd w:id="263"/>
    </w:p>
    <w:p w14:paraId="2493EE38" w14:textId="77777777" w:rsidR="002B10A6" w:rsidRDefault="00000000">
      <w:pPr>
        <w:pStyle w:val="Normal2"/>
        <w:widowControl w:val="0"/>
        <w:spacing w:before="200" w:line="240" w:lineRule="atLeast"/>
      </w:pPr>
      <w:bookmarkStart w:id="264" w:name="Reporter_1"/>
      <w:bookmarkEnd w:id="264"/>
      <w:r>
        <w:rPr>
          <w:rFonts w:ascii="Arial" w:eastAsia="Arial" w:hAnsi="Arial" w:cs="Arial"/>
          <w:b/>
          <w:color w:val="000000"/>
          <w:sz w:val="18"/>
        </w:rPr>
        <w:t>Reporter</w:t>
      </w:r>
    </w:p>
    <w:p w14:paraId="5A2693D0" w14:textId="77777777" w:rsidR="002B10A6" w:rsidRDefault="00000000">
      <w:pPr>
        <w:pStyle w:val="Normal2"/>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999 F.3d 954 *; 2021 U.S. App. LEXIS 16993 **</w:t>
      </w:r>
    </w:p>
    <w:p w14:paraId="1501789E" w14:textId="77777777" w:rsidR="002B10A6" w:rsidRDefault="00000000">
      <w:pPr>
        <w:pStyle w:val="Normal2"/>
        <w:widowControl w:val="0"/>
        <w:spacing w:before="120" w:line="260" w:lineRule="atLeast"/>
      </w:pPr>
      <w:r>
        <w:rPr>
          <w:rFonts w:ascii="Arial" w:eastAsia="Arial" w:hAnsi="Arial" w:cs="Arial"/>
          <w:color w:val="000000"/>
          <w:sz w:val="20"/>
        </w:rPr>
        <w:t>JANET PERDUE, Plaintiff - Appellant, v. SANOFI-AVENTIS U.S., LLC, Defendant - Appellee.EQUAL EMPLOYMENT OPPORTUNITY COMMISSION, Amicus Supporting Appellant.</w:t>
      </w:r>
    </w:p>
    <w:p w14:paraId="747D0802" w14:textId="77777777" w:rsidR="002B10A6" w:rsidRDefault="00000000">
      <w:pPr>
        <w:pStyle w:val="Normal2"/>
        <w:widowControl w:val="0"/>
        <w:spacing w:before="240" w:line="260" w:lineRule="atLeast"/>
      </w:pPr>
      <w:bookmarkStart w:id="265" w:name="Subsequent_History_0"/>
      <w:bookmarkEnd w:id="265"/>
      <w:r>
        <w:rPr>
          <w:rFonts w:ascii="Arial" w:eastAsia="Arial" w:hAnsi="Arial" w:cs="Arial"/>
          <w:b/>
          <w:color w:val="000000"/>
          <w:sz w:val="20"/>
        </w:rPr>
        <w:t>Subsequent History:</w:t>
      </w:r>
      <w:r>
        <w:rPr>
          <w:rFonts w:ascii="Arial" w:eastAsia="Arial" w:hAnsi="Arial" w:cs="Arial"/>
          <w:color w:val="000000"/>
          <w:sz w:val="20"/>
        </w:rPr>
        <w:t> Rehearing denied by, En banc Perdue v. Sanofi-Aventis U.S., LLC, 2021 U.S. App. LEXIS 23014 (4th Cir., Aug. 3, 2021)</w:t>
      </w:r>
    </w:p>
    <w:p w14:paraId="7BA920EB" w14:textId="77777777" w:rsidR="002B10A6" w:rsidRDefault="00000000">
      <w:pPr>
        <w:pStyle w:val="Normal2"/>
        <w:widowControl w:val="0"/>
        <w:spacing w:before="120" w:line="260" w:lineRule="atLeast"/>
      </w:pPr>
      <w:r>
        <w:rPr>
          <w:rFonts w:ascii="Arial" w:eastAsia="Arial" w:hAnsi="Arial" w:cs="Arial"/>
          <w:color w:val="000000"/>
          <w:sz w:val="20"/>
        </w:rPr>
        <w:t>US Supreme Court certiorari denied by Perdue v. Sanofi-Aventis United States Llc, 2022 U.S. LEXIS 11 (U.S., Jan. 10, 2022)</w:t>
      </w:r>
    </w:p>
    <w:p w14:paraId="2260E2AA" w14:textId="77777777" w:rsidR="002B10A6" w:rsidRDefault="00000000">
      <w:pPr>
        <w:pStyle w:val="Normal2"/>
        <w:widowControl w:val="0"/>
        <w:spacing w:before="240" w:line="260" w:lineRule="atLeast"/>
        <w:jc w:val="both"/>
      </w:pPr>
      <w:bookmarkStart w:id="266" w:name="Prior_History_1"/>
      <w:bookmarkEnd w:id="266"/>
      <w:r>
        <w:rPr>
          <w:rFonts w:ascii="Arial" w:eastAsia="Arial" w:hAnsi="Arial" w:cs="Arial"/>
          <w:b/>
          <w:color w:val="000000"/>
          <w:sz w:val="20"/>
        </w:rPr>
        <w:t>Prior History:</w:t>
      </w:r>
      <w:r>
        <w:rPr>
          <w:rFonts w:ascii="Arial" w:eastAsia="Arial" w:hAnsi="Arial" w:cs="Arial"/>
          <w:color w:val="000000"/>
          <w:sz w:val="20"/>
        </w:rPr>
        <w:t> </w:t>
      </w:r>
      <w:bookmarkStart w:id="267" w:name="Bookmark_para_1_1"/>
      <w:bookmarkEnd w:id="267"/>
      <w:r>
        <w:rPr>
          <w:rFonts w:ascii="Arial" w:eastAsia="Arial" w:hAnsi="Arial" w:cs="Arial"/>
          <w:color w:val="000000"/>
          <w:sz w:val="20"/>
        </w:rPr>
        <w:t> [**1] Appeal from the United States District Court for the Western District of North Carolina, at Asheville. (1:18-cv-00221-MR-WCM). Martin K. Reidinger, Chief District Judge.</w:t>
      </w:r>
    </w:p>
    <w:p w14:paraId="79E46101" w14:textId="77777777" w:rsidR="002B10A6" w:rsidRDefault="00000000">
      <w:pPr>
        <w:pStyle w:val="Normal2"/>
        <w:widowControl w:val="0"/>
        <w:spacing w:before="120" w:line="260" w:lineRule="atLeast"/>
      </w:pPr>
      <w:r>
        <w:rPr>
          <w:rFonts w:ascii="Arial" w:eastAsia="Arial" w:hAnsi="Arial" w:cs="Arial"/>
          <w:color w:val="000000"/>
          <w:sz w:val="20"/>
        </w:rPr>
        <w:t>Perdue v. Sanofi-Aventis U.S. LLC, 2019 U.S. Dist. LEXIS 171097, 2019 WL 4874815 (W.D.N.C., Oct. 2, 2019)</w:t>
      </w:r>
    </w:p>
    <w:p w14:paraId="496A6DFB" w14:textId="77777777" w:rsidR="002B10A6" w:rsidRDefault="00000000">
      <w:pPr>
        <w:pStyle w:val="Normal2"/>
        <w:widowControl w:val="0"/>
        <w:spacing w:before="240" w:line="260" w:lineRule="atLeast"/>
        <w:jc w:val="both"/>
      </w:pPr>
      <w:bookmarkStart w:id="268" w:name="Disposition_0"/>
      <w:bookmarkEnd w:id="268"/>
      <w:r>
        <w:rPr>
          <w:rFonts w:ascii="Arial" w:eastAsia="Arial" w:hAnsi="Arial" w:cs="Arial"/>
          <w:b/>
          <w:color w:val="000000"/>
          <w:sz w:val="20"/>
        </w:rPr>
        <w:t>Disposition:</w:t>
      </w:r>
      <w:r>
        <w:rPr>
          <w:rFonts w:ascii="Arial" w:eastAsia="Arial" w:hAnsi="Arial" w:cs="Arial"/>
          <w:color w:val="000000"/>
          <w:sz w:val="20"/>
        </w:rPr>
        <w:t> </w:t>
      </w:r>
      <w:bookmarkStart w:id="269" w:name="Bookmark_clspara_4_0"/>
      <w:bookmarkEnd w:id="269"/>
      <w:r>
        <w:rPr>
          <w:rFonts w:ascii="Arial" w:eastAsia="Arial" w:hAnsi="Arial" w:cs="Arial"/>
          <w:color w:val="000000"/>
          <w:sz w:val="20"/>
        </w:rPr>
        <w:t>AFFIRMED.</w:t>
      </w:r>
    </w:p>
    <w:p w14:paraId="130A1186" w14:textId="77777777" w:rsidR="002B10A6" w:rsidRDefault="00000000">
      <w:pPr>
        <w:pStyle w:val="Normal2"/>
        <w:widowControl w:val="0"/>
        <w:spacing w:before="240" w:line="260" w:lineRule="atLeast"/>
      </w:pPr>
      <w:bookmarkStart w:id="270" w:name="Counsel_1"/>
      <w:bookmarkEnd w:id="270"/>
      <w:r>
        <w:rPr>
          <w:rFonts w:ascii="Arial" w:eastAsia="Arial" w:hAnsi="Arial" w:cs="Arial"/>
          <w:b/>
          <w:color w:val="000000"/>
          <w:sz w:val="20"/>
        </w:rPr>
        <w:t>Counsel:</w:t>
      </w:r>
      <w:r>
        <w:rPr>
          <w:rFonts w:ascii="Arial" w:eastAsia="Arial" w:hAnsi="Arial" w:cs="Arial"/>
          <w:color w:val="000000"/>
          <w:sz w:val="20"/>
        </w:rPr>
        <w:t> ARGUED: L. Michelle Gessner, GESSNERLAW, PLLC, Charlotte, North Carolina, for Appellant.</w:t>
      </w:r>
    </w:p>
    <w:p w14:paraId="044F0545" w14:textId="77777777" w:rsidR="002B10A6" w:rsidRDefault="00000000">
      <w:pPr>
        <w:pStyle w:val="Normal2"/>
        <w:widowControl w:val="0"/>
        <w:spacing w:before="120" w:line="260" w:lineRule="atLeast"/>
      </w:pPr>
      <w:r>
        <w:rPr>
          <w:rFonts w:ascii="Arial" w:eastAsia="Arial" w:hAnsi="Arial" w:cs="Arial"/>
          <w:color w:val="000000"/>
          <w:sz w:val="20"/>
        </w:rPr>
        <w:t>Theresa Sprain, WOMBLE BOND DICKINSON (US) LLP, Raleigh, North Carolina, for Appellee.</w:t>
      </w:r>
    </w:p>
    <w:p w14:paraId="6689D565" w14:textId="77777777" w:rsidR="002B10A6" w:rsidRDefault="00000000">
      <w:pPr>
        <w:pStyle w:val="Normal2"/>
        <w:widowControl w:val="0"/>
        <w:spacing w:before="120" w:line="260" w:lineRule="atLeast"/>
      </w:pPr>
      <w:r>
        <w:rPr>
          <w:rFonts w:ascii="Arial" w:eastAsia="Arial" w:hAnsi="Arial" w:cs="Arial"/>
          <w:color w:val="000000"/>
          <w:sz w:val="20"/>
        </w:rPr>
        <w:t>Julie Loraine Gantz, UNITED STATES EQUAL EMPLOYMENT OPPORTUNITY COMMISSION, Washington, D.C., for Amicus Curiae.</w:t>
      </w:r>
    </w:p>
    <w:p w14:paraId="50CC7FC6" w14:textId="77777777" w:rsidR="002B10A6" w:rsidRDefault="00000000">
      <w:pPr>
        <w:pStyle w:val="Normal2"/>
        <w:widowControl w:val="0"/>
        <w:spacing w:before="120" w:line="260" w:lineRule="atLeast"/>
      </w:pPr>
      <w:r>
        <w:rPr>
          <w:rFonts w:ascii="Arial" w:eastAsia="Arial" w:hAnsi="Arial" w:cs="Arial"/>
          <w:color w:val="000000"/>
          <w:sz w:val="20"/>
        </w:rPr>
        <w:t>ON BRIEF: Jonathon D. Townsend, WOMBLE BOND DICKINSON (US) LLP, Raleigh, North Carolina, for Appellee.</w:t>
      </w:r>
    </w:p>
    <w:p w14:paraId="504EA0FA" w14:textId="77777777" w:rsidR="002B10A6" w:rsidRDefault="00000000">
      <w:pPr>
        <w:pStyle w:val="Normal2"/>
        <w:widowControl w:val="0"/>
        <w:spacing w:before="120" w:line="260" w:lineRule="atLeast"/>
      </w:pPr>
      <w:r>
        <w:rPr>
          <w:rFonts w:ascii="Arial" w:eastAsia="Arial" w:hAnsi="Arial" w:cs="Arial"/>
          <w:color w:val="000000"/>
          <w:sz w:val="20"/>
        </w:rPr>
        <w:t>Sharon Fast Gustafson, General Counsel, Jennifer S. Goldstein, Associate General Counsel, Elizabeth E. Theran, Assistant General Counsel, Office of General Counsel, UNITED STATES EQUAL EMPLOYMENT OPPORTUNITY COMMISSION, Washington, D.C., for Amicus Curiae.</w:t>
      </w:r>
    </w:p>
    <w:p w14:paraId="73826CAF" w14:textId="77777777" w:rsidR="002B10A6" w:rsidRDefault="00000000">
      <w:pPr>
        <w:pStyle w:val="Normal2"/>
        <w:widowControl w:val="0"/>
        <w:spacing w:before="240" w:line="260" w:lineRule="atLeast"/>
      </w:pPr>
      <w:bookmarkStart w:id="271" w:name="Judges_1"/>
      <w:bookmarkEnd w:id="271"/>
      <w:r>
        <w:rPr>
          <w:rFonts w:ascii="Arial" w:eastAsia="Arial" w:hAnsi="Arial" w:cs="Arial"/>
          <w:b/>
          <w:color w:val="000000"/>
          <w:sz w:val="20"/>
        </w:rPr>
        <w:t>Judges:</w:t>
      </w:r>
      <w:r>
        <w:rPr>
          <w:rFonts w:ascii="Arial" w:eastAsia="Arial" w:hAnsi="Arial" w:cs="Arial"/>
          <w:color w:val="000000"/>
          <w:sz w:val="20"/>
        </w:rPr>
        <w:t> Before AGEE, RICHARDSON, and RUSHING, Circuit Judges. Judge Richardson wrote the opinion, in which Judge Agee and Judge Rushing joined.</w:t>
      </w:r>
    </w:p>
    <w:p w14:paraId="6D907BEB" w14:textId="77777777" w:rsidR="002B10A6" w:rsidRDefault="00000000">
      <w:pPr>
        <w:pStyle w:val="Normal2"/>
        <w:widowControl w:val="0"/>
        <w:spacing w:before="240" w:line="260" w:lineRule="atLeast"/>
      </w:pPr>
      <w:bookmarkStart w:id="272" w:name="Opinion_by_1"/>
      <w:bookmarkEnd w:id="272"/>
      <w:r>
        <w:rPr>
          <w:rFonts w:ascii="Arial" w:eastAsia="Arial" w:hAnsi="Arial" w:cs="Arial"/>
          <w:b/>
          <w:color w:val="000000"/>
          <w:sz w:val="20"/>
        </w:rPr>
        <w:t>Opinion by:</w:t>
      </w:r>
      <w:r>
        <w:rPr>
          <w:rFonts w:ascii="Arial" w:eastAsia="Arial" w:hAnsi="Arial" w:cs="Arial"/>
          <w:color w:val="000000"/>
          <w:sz w:val="20"/>
        </w:rPr>
        <w:t> RICHARDSON</w:t>
      </w:r>
    </w:p>
    <w:p w14:paraId="5AEEDA6F" w14:textId="77777777" w:rsidR="002B10A6" w:rsidRDefault="00000000">
      <w:pPr>
        <w:pStyle w:val="Normal2"/>
        <w:keepNext/>
        <w:widowControl w:val="0"/>
        <w:spacing w:before="240" w:line="340" w:lineRule="atLeast"/>
      </w:pPr>
      <w:bookmarkStart w:id="273" w:name="Opinion_1"/>
      <w:bookmarkEnd w:id="273"/>
      <w:r>
        <w:rPr>
          <w:rFonts w:ascii="Arial" w:eastAsia="Arial" w:hAnsi="Arial" w:cs="Arial"/>
          <w:b/>
          <w:color w:val="000000"/>
          <w:sz w:val="28"/>
        </w:rPr>
        <w:t>Opinion</w:t>
      </w:r>
    </w:p>
    <w:p w14:paraId="183EBC1A" w14:textId="39EFCE91" w:rsidR="002B10A6" w:rsidRDefault="002D6974">
      <w:pPr>
        <w:pStyle w:val="Normal2"/>
        <w:spacing w:line="60" w:lineRule="exact"/>
      </w:pPr>
      <w:r>
        <w:rPr>
          <w:noProof/>
        </w:rPr>
        <mc:AlternateContent>
          <mc:Choice Requires="wps">
            <w:drawing>
              <wp:anchor distT="0" distB="0" distL="114300" distR="114300" simplePos="0" relativeHeight="251662336" behindDoc="0" locked="0" layoutInCell="1" allowOverlap="1" wp14:anchorId="4D73A4E5" wp14:editId="5EDF5C96">
                <wp:simplePos x="0" y="0"/>
                <wp:positionH relativeFrom="column">
                  <wp:posOffset>0</wp:posOffset>
                </wp:positionH>
                <wp:positionV relativeFrom="paragraph">
                  <wp:posOffset>25400</wp:posOffset>
                </wp:positionV>
                <wp:extent cx="3187700" cy="0"/>
                <wp:effectExtent l="19050" t="15875" r="12700" b="12700"/>
                <wp:wrapTopAndBottom/>
                <wp:docPr id="201852716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0631B"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9C2FAE0" w14:textId="77777777" w:rsidR="002B10A6" w:rsidRDefault="002B10A6">
      <w:pPr>
        <w:pStyle w:val="Normal2"/>
      </w:pPr>
    </w:p>
    <w:p w14:paraId="081F3D84" w14:textId="77777777" w:rsidR="002B10A6" w:rsidRDefault="00000000">
      <w:pPr>
        <w:pStyle w:val="Normal2"/>
        <w:widowControl w:val="0"/>
        <w:spacing w:before="200" w:line="260" w:lineRule="atLeast"/>
        <w:jc w:val="both"/>
      </w:pPr>
      <w:bookmarkStart w:id="274" w:name="Bookmark_para_2_1"/>
      <w:bookmarkEnd w:id="274"/>
      <w:r>
        <w:rPr>
          <w:rFonts w:ascii="Arial" w:eastAsia="Arial" w:hAnsi="Arial" w:cs="Arial"/>
          <w:color w:val="000000"/>
          <w:sz w:val="20"/>
        </w:rPr>
        <w:t> [*956]  RICHARDSON, Circuit Judge:</w:t>
      </w:r>
    </w:p>
    <w:p w14:paraId="3187B823" w14:textId="77777777" w:rsidR="002B10A6" w:rsidRDefault="00000000">
      <w:pPr>
        <w:pStyle w:val="Normal2"/>
        <w:widowControl w:val="0"/>
        <w:spacing w:before="200" w:line="260" w:lineRule="atLeast"/>
        <w:jc w:val="both"/>
      </w:pPr>
      <w:bookmarkStart w:id="275" w:name="Bookmark_para_3_1"/>
      <w:bookmarkEnd w:id="275"/>
      <w:r>
        <w:rPr>
          <w:rFonts w:ascii="Arial" w:eastAsia="Arial" w:hAnsi="Arial" w:cs="Arial"/>
          <w:color w:val="000000"/>
          <w:sz w:val="20"/>
        </w:rPr>
        <w:t xml:space="preserve">We must decide whether "job sharing" a single full-time position with a willing partner qualifies as a reasonable accommodation that an employer must provide under the Americans with Disabilities Act ("ADA"). It does not. </w:t>
      </w:r>
      <w:bookmarkStart w:id="276" w:name="Bookmark_LNHNREFclscc1_1"/>
      <w:bookmarkEnd w:id="276"/>
      <w:r>
        <w:rPr>
          <w:rFonts w:ascii="Arial" w:eastAsia="Arial" w:hAnsi="Arial" w:cs="Arial"/>
          <w:color w:val="000000"/>
          <w:sz w:val="20"/>
        </w:rPr>
        <w:t xml:space="preserve">If the job share in question [**2]  did not </w:t>
      </w:r>
      <w:r>
        <w:rPr>
          <w:rFonts w:ascii="Arial" w:eastAsia="Arial" w:hAnsi="Arial" w:cs="Arial"/>
          <w:i/>
          <w:color w:val="000000"/>
          <w:sz w:val="20"/>
        </w:rPr>
        <w:t>exist</w:t>
      </w:r>
      <w:r>
        <w:rPr>
          <w:rFonts w:ascii="Arial" w:eastAsia="Arial" w:hAnsi="Arial" w:cs="Arial"/>
          <w:color w:val="000000"/>
          <w:sz w:val="20"/>
        </w:rPr>
        <w:t xml:space="preserve"> at the time it was proposed as an accommodation, the ADA does not require the employer to create the new position to accommodate a disabled employee.</w:t>
      </w:r>
    </w:p>
    <w:p w14:paraId="3EAFDF9F" w14:textId="77777777" w:rsidR="002B10A6" w:rsidRDefault="00000000">
      <w:pPr>
        <w:pStyle w:val="Normal2"/>
        <w:widowControl w:val="0"/>
        <w:spacing w:before="200" w:line="260" w:lineRule="atLeast"/>
        <w:jc w:val="both"/>
      </w:pPr>
      <w:bookmarkStart w:id="277" w:name="Bookmark_para_4_1"/>
      <w:bookmarkEnd w:id="277"/>
      <w:r>
        <w:rPr>
          <w:rFonts w:ascii="Arial" w:eastAsia="Arial" w:hAnsi="Arial" w:cs="Arial"/>
          <w:color w:val="000000"/>
          <w:sz w:val="20"/>
        </w:rPr>
        <w:t xml:space="preserve">At Sanofi-Aventis U.S., LLC, a part-time job-share position does not exist unless and until the Area Business Leader approves an employee's proposal. Such a proposal thus asks Sanofi to </w:t>
      </w:r>
      <w:r>
        <w:rPr>
          <w:rFonts w:ascii="Arial" w:eastAsia="Arial" w:hAnsi="Arial" w:cs="Arial"/>
          <w:i/>
          <w:color w:val="000000"/>
          <w:sz w:val="20"/>
        </w:rPr>
        <w:t>create</w:t>
      </w:r>
      <w:r>
        <w:rPr>
          <w:rFonts w:ascii="Arial" w:eastAsia="Arial" w:hAnsi="Arial" w:cs="Arial"/>
          <w:color w:val="000000"/>
          <w:sz w:val="20"/>
        </w:rPr>
        <w:t xml:space="preserve"> a new part-time position. And that is an accommodation the ADA does not mandate. So the plaintiff's claims cannot succeed.</w:t>
      </w:r>
    </w:p>
    <w:p w14:paraId="7C22A67B" w14:textId="77777777" w:rsidR="002B10A6" w:rsidRDefault="00000000">
      <w:pPr>
        <w:pStyle w:val="Normal2"/>
        <w:widowControl w:val="0"/>
        <w:spacing w:before="240" w:line="260" w:lineRule="atLeast"/>
      </w:pPr>
      <w:r>
        <w:br/>
      </w:r>
      <w:r>
        <w:rPr>
          <w:rFonts w:ascii="Arial" w:eastAsia="Arial" w:hAnsi="Arial" w:cs="Arial"/>
          <w:b/>
          <w:color w:val="000000"/>
          <w:sz w:val="20"/>
        </w:rPr>
        <w:t>I. Background</w:t>
      </w:r>
    </w:p>
    <w:p w14:paraId="5859C713" w14:textId="77777777" w:rsidR="002B10A6" w:rsidRDefault="00000000">
      <w:pPr>
        <w:pStyle w:val="Normal2"/>
        <w:widowControl w:val="0"/>
        <w:spacing w:before="240" w:line="260" w:lineRule="atLeast"/>
      </w:pPr>
      <w:r>
        <w:br/>
      </w:r>
      <w:r>
        <w:rPr>
          <w:rFonts w:ascii="Arial" w:eastAsia="Arial" w:hAnsi="Arial" w:cs="Arial"/>
          <w:b/>
          <w:color w:val="000000"/>
          <w:sz w:val="20"/>
        </w:rPr>
        <w:t>A. Perdue's tenure at Sanofi</w:t>
      </w:r>
    </w:p>
    <w:p w14:paraId="073710A1" w14:textId="77777777" w:rsidR="002B10A6" w:rsidRDefault="00000000">
      <w:pPr>
        <w:pStyle w:val="Normal2"/>
        <w:widowControl w:val="0"/>
        <w:spacing w:before="200" w:line="260" w:lineRule="atLeast"/>
        <w:jc w:val="both"/>
      </w:pPr>
      <w:bookmarkStart w:id="278" w:name="Bookmark_para_5_1"/>
      <w:bookmarkEnd w:id="278"/>
      <w:r>
        <w:rPr>
          <w:rFonts w:ascii="Arial" w:eastAsia="Arial" w:hAnsi="Arial" w:cs="Arial"/>
          <w:color w:val="000000"/>
          <w:sz w:val="20"/>
        </w:rPr>
        <w:t>Janet Perdue was hired as a pharmaceutical sales representative at Sanofi in 2001. In that role, she called an average of eight physicians a day and attended medical education programs, which often happened at night or over the weekend. Sales representatives like Perdue spent 50% or more of their time traveling.</w:t>
      </w:r>
    </w:p>
    <w:p w14:paraId="6685931A" w14:textId="77777777" w:rsidR="002B10A6" w:rsidRDefault="00000000">
      <w:pPr>
        <w:pStyle w:val="Normal2"/>
        <w:widowControl w:val="0"/>
        <w:spacing w:before="200" w:line="260" w:lineRule="atLeast"/>
        <w:jc w:val="both"/>
      </w:pPr>
      <w:bookmarkStart w:id="279" w:name="Bookmark_para_6_1"/>
      <w:bookmarkEnd w:id="279"/>
      <w:r>
        <w:rPr>
          <w:rFonts w:ascii="Arial" w:eastAsia="Arial" w:hAnsi="Arial" w:cs="Arial"/>
          <w:color w:val="000000"/>
          <w:sz w:val="20"/>
        </w:rPr>
        <w:t>Perdue first worked in Anderson, South Carolina, but she later transferred to an open position in Greenville where she lived. She appears to have performed well, even winning Sanofi's platinum sales award in 2017.</w:t>
      </w:r>
    </w:p>
    <w:p w14:paraId="2D694981" w14:textId="77777777" w:rsidR="002B10A6" w:rsidRDefault="00000000">
      <w:pPr>
        <w:pStyle w:val="Normal2"/>
        <w:widowControl w:val="0"/>
        <w:spacing w:before="200" w:line="260" w:lineRule="atLeast"/>
        <w:jc w:val="both"/>
      </w:pPr>
      <w:bookmarkStart w:id="280" w:name="Bookmark_para_7_1"/>
      <w:bookmarkEnd w:id="280"/>
      <w:r>
        <w:rPr>
          <w:rFonts w:ascii="Arial" w:eastAsia="Arial" w:hAnsi="Arial" w:cs="Arial"/>
          <w:color w:val="000000"/>
          <w:sz w:val="20"/>
        </w:rPr>
        <w:t>In 2013, Perdue was diagnosed with antisynthetase, an autoimmune disease, and had surgery to remove a benign brain tumor that had impacted her ability to walk [**3]  and see out one eye. Sanofi gave her leave for ten months to recover. At the end of 2013, Perdue returned to work in the Spartanburg territory with a job-share partner. The job share allowed Perdue to split the workload of a normal position with another employee, subject to manager approval. Her job-share partner later resigned, and Perdue began working part time (60% capacity). She eventually returned to work full-time in the Greenville territory.</w:t>
      </w:r>
    </w:p>
    <w:p w14:paraId="3B359369" w14:textId="77777777" w:rsidR="002B10A6" w:rsidRDefault="00000000">
      <w:pPr>
        <w:pStyle w:val="Normal2"/>
        <w:widowControl w:val="0"/>
        <w:spacing w:before="200" w:line="260" w:lineRule="atLeast"/>
        <w:jc w:val="both"/>
      </w:pPr>
      <w:bookmarkStart w:id="281" w:name="Bookmark_para_8_1"/>
      <w:bookmarkEnd w:id="281"/>
      <w:r>
        <w:rPr>
          <w:rFonts w:ascii="Arial" w:eastAsia="Arial" w:hAnsi="Arial" w:cs="Arial"/>
          <w:color w:val="000000"/>
          <w:sz w:val="20"/>
        </w:rPr>
        <w:t>In 2017, Perdue was reassigned to North Carolina's Asheville territory during  [*957]  a company reorganization. This reassignment increased her travel time from two to three hours per day to four hours per day. After the reorganization, the Greenville Area Business Leader told Perdue that a cardiovascular sales representative position might soon open up in Greenville. Perdue believed that her background selling diabetes medication left her unqualified for that job. And she also believed that the job "didn't seem like a good fit," given that she was just starting in the Asheville territory and was "kind of excited" about the new area. J.A. 80-81.</w:t>
      </w:r>
    </w:p>
    <w:p w14:paraId="1164E9CE" w14:textId="77777777" w:rsidR="002B10A6" w:rsidRDefault="00000000">
      <w:pPr>
        <w:pStyle w:val="Normal2"/>
        <w:widowControl w:val="0"/>
        <w:spacing w:before="200" w:line="260" w:lineRule="atLeast"/>
        <w:jc w:val="both"/>
      </w:pPr>
      <w:bookmarkStart w:id="282" w:name="Bookmark_para_9_1"/>
      <w:bookmarkEnd w:id="282"/>
      <w:r>
        <w:rPr>
          <w:rFonts w:ascii="Arial" w:eastAsia="Arial" w:hAnsi="Arial" w:cs="Arial"/>
          <w:color w:val="000000"/>
          <w:sz w:val="20"/>
        </w:rPr>
        <w:t>Within six weeks of starting in the Asheville territory, Perdue noticed problems with joint pain and stiffness [**4]  related to her autoimmune disorder. So the Asheville Area Business Leader raised Perdue's health concerns to the Regional Business Leader, requesting that Perdue be considered for a job share or an open position "within the geography where she lives." J.A. 241.</w:t>
      </w:r>
    </w:p>
    <w:p w14:paraId="676A4253" w14:textId="77777777" w:rsidR="002B10A6" w:rsidRDefault="00000000">
      <w:pPr>
        <w:pStyle w:val="Normal2"/>
        <w:widowControl w:val="0"/>
        <w:spacing w:before="200" w:line="260" w:lineRule="atLeast"/>
        <w:jc w:val="both"/>
      </w:pPr>
      <w:bookmarkStart w:id="283" w:name="Bookmark_para_10_1"/>
      <w:bookmarkEnd w:id="283"/>
      <w:r>
        <w:rPr>
          <w:rFonts w:ascii="Arial" w:eastAsia="Arial" w:hAnsi="Arial" w:cs="Arial"/>
          <w:color w:val="000000"/>
          <w:sz w:val="20"/>
        </w:rPr>
        <w:t>Perdue's doctor soon determined that Perdue was "medically unable to work, effective immediately" for at least three weeks. J.A. 218. Sanofi approved her request for FMLA leave and short-term disability benefits. At the end of the three weeks, her doctor "advised another month off work," explaining that "[s]he should not expect to be able [to] return to full time work if travelling. Could possibly retry full time if local in Greenville but may need to cut hours if local too." J.A. 271-72. Eventually, the doctor imposed permanent medical limitations that prevented Perdue from traveling more than 20 miles from Greenville and restricted her from working more than 30 hours a week. Sanofi was told of these limitations.</w:t>
      </w:r>
    </w:p>
    <w:p w14:paraId="727F56B8" w14:textId="77777777" w:rsidR="002B10A6" w:rsidRDefault="00000000">
      <w:pPr>
        <w:pStyle w:val="Normal2"/>
        <w:widowControl w:val="0"/>
        <w:spacing w:before="200" w:line="260" w:lineRule="atLeast"/>
        <w:jc w:val="both"/>
      </w:pPr>
      <w:bookmarkStart w:id="284" w:name="Bookmark_para_11_1"/>
      <w:bookmarkEnd w:id="284"/>
      <w:r>
        <w:rPr>
          <w:rFonts w:ascii="Arial" w:eastAsia="Arial" w:hAnsi="Arial" w:cs="Arial"/>
          <w:color w:val="000000"/>
          <w:sz w:val="20"/>
        </w:rPr>
        <w:t xml:space="preserve">During this time, Perdue considered applying for a flexible-work arrangement. Sanofi's flexible-work policy permitted telework, flexible hours, part-time work, and job sharing (two employees each handling 50% of a standard [**5]  position) with manager approval. J.A. 128-38; </w:t>
      </w:r>
      <w:r>
        <w:rPr>
          <w:rFonts w:ascii="Arial" w:eastAsia="Arial" w:hAnsi="Arial" w:cs="Arial"/>
          <w:i/>
          <w:color w:val="000000"/>
          <w:sz w:val="20"/>
        </w:rPr>
        <w:t>see also</w:t>
      </w:r>
      <w:r>
        <w:rPr>
          <w:rFonts w:ascii="Arial" w:eastAsia="Arial" w:hAnsi="Arial" w:cs="Arial"/>
          <w:color w:val="000000"/>
          <w:sz w:val="20"/>
        </w:rPr>
        <w:t xml:space="preserve"> J.A. 130 ("Managers will approve or deny a request for Flexible Work Arrangements based on business conditions and the employee's satisfactory performance."). Under that policy, flexible-work arrangements were "not an entitlement," J.A. 137, but were "available for discussion between employees and their managers," J.A. 128. The policy expressly noted that "[n]ot all positions may be suitable [for a flexible-work arrangement] due to the type of work being performed, business needs, or performance concerns." </w:t>
      </w:r>
      <w:r>
        <w:rPr>
          <w:rFonts w:ascii="Arial" w:eastAsia="Arial" w:hAnsi="Arial" w:cs="Arial"/>
          <w:i/>
          <w:color w:val="000000"/>
          <w:sz w:val="20"/>
        </w:rPr>
        <w:t>Id.</w:t>
      </w:r>
      <w:r>
        <w:rPr>
          <w:rFonts w:ascii="Arial" w:eastAsia="Arial" w:hAnsi="Arial" w:cs="Arial"/>
          <w:color w:val="000000"/>
          <w:sz w:val="20"/>
        </w:rPr>
        <w:t xml:space="preserve"> And the Regional Business Leader explained that although Perdue job shared previously in Spartanburg, Sanofi had not approved of "too many" job shares, as they "add[] a nuance that we had to carefully work out between the representative and the manager." J.A. 146; </w:t>
      </w:r>
      <w:r>
        <w:rPr>
          <w:rFonts w:ascii="Arial" w:eastAsia="Arial" w:hAnsi="Arial" w:cs="Arial"/>
          <w:i/>
          <w:color w:val="000000"/>
          <w:sz w:val="20"/>
        </w:rPr>
        <w:t>see also</w:t>
      </w:r>
      <w:r>
        <w:rPr>
          <w:rFonts w:ascii="Arial" w:eastAsia="Arial" w:hAnsi="Arial" w:cs="Arial"/>
          <w:color w:val="000000"/>
          <w:sz w:val="20"/>
        </w:rPr>
        <w:t xml:space="preserve"> J.A. 150 (explaining that a job share will not "necessarily" be approved).</w:t>
      </w:r>
    </w:p>
    <w:p w14:paraId="1A2ED89E" w14:textId="77777777" w:rsidR="002B10A6" w:rsidRDefault="00000000">
      <w:pPr>
        <w:pStyle w:val="Normal2"/>
        <w:widowControl w:val="0"/>
        <w:spacing w:before="200" w:line="260" w:lineRule="atLeast"/>
        <w:jc w:val="both"/>
      </w:pPr>
      <w:bookmarkStart w:id="285" w:name="Bookmark_para_12_1"/>
      <w:bookmarkEnd w:id="285"/>
      <w:r>
        <w:rPr>
          <w:rFonts w:ascii="Arial" w:eastAsia="Arial" w:hAnsi="Arial" w:cs="Arial"/>
          <w:color w:val="000000"/>
          <w:sz w:val="20"/>
        </w:rPr>
        <w:t>Perdue decided to pursue a job-sharing arrangement. She approached Caitlyn Hunt, a sales representative in Greenville to ask if Hunt would be her job-share partner. Hunt eventually agreed. She too appears to have been well regarded within the company, having received a gold sales [**6]  award and an "exceeds expectations" end-of-year rating in 2016.</w:t>
      </w:r>
    </w:p>
    <w:p w14:paraId="1238DDF9" w14:textId="77777777" w:rsidR="002B10A6" w:rsidRDefault="00000000">
      <w:pPr>
        <w:pStyle w:val="Normal2"/>
        <w:widowControl w:val="0"/>
        <w:spacing w:before="200" w:line="260" w:lineRule="atLeast"/>
        <w:jc w:val="both"/>
      </w:pPr>
      <w:bookmarkStart w:id="286" w:name="Bookmark_para_13_1"/>
      <w:bookmarkEnd w:id="286"/>
      <w:r>
        <w:rPr>
          <w:rFonts w:ascii="Arial" w:eastAsia="Arial" w:hAnsi="Arial" w:cs="Arial"/>
          <w:color w:val="000000"/>
          <w:sz w:val="20"/>
        </w:rPr>
        <w:t>So Perdue and Hunt submitted their proposal to job share Hunt's primary-care diabetes representative position in Greenville. They needed the approval of the Greenville Area Business Leader, so they met with her to pitch their proposal. During that meeting, the Leader asked about Perdue's health and Perdue explained the situation. The Leader said that she had concerns about Hunt's competence and attention to detail. As an example, she explained that Hunt had submitted an expense  [*958]  report incorrectly when she had first started working in the Greenville territory that January. And the Business Leader also told Perdue and Hunt that their 2016 end-of-year reviews were not relevant because they were completed by another Area Business Leader.</w:t>
      </w:r>
    </w:p>
    <w:p w14:paraId="2AA85241" w14:textId="77777777" w:rsidR="002B10A6" w:rsidRDefault="00000000">
      <w:pPr>
        <w:pStyle w:val="Normal2"/>
        <w:widowControl w:val="0"/>
        <w:spacing w:before="200" w:line="260" w:lineRule="atLeast"/>
        <w:jc w:val="both"/>
      </w:pPr>
      <w:bookmarkStart w:id="287" w:name="Bookmark_para_14_1"/>
      <w:bookmarkEnd w:id="287"/>
      <w:r>
        <w:rPr>
          <w:rFonts w:ascii="Arial" w:eastAsia="Arial" w:hAnsi="Arial" w:cs="Arial"/>
          <w:color w:val="000000"/>
          <w:sz w:val="20"/>
        </w:rPr>
        <w:t>In early May, Sanofi's human-resources department suggested other accommodations. Sanofi offered "a hotel stay in order to better break up [Perdue's] days and limit her travel." J.A. 243. But Perdue said that "wouldn't help." J.A. 243. Sanofi also asked if Perdue had a comfortable car. But Perdue explained that she liked her Equinox and it was comfortable. Perdue testified at her deposition [**7]  that her doctor said that hotel stays and a new car would not help her symptoms. J.A. 108. Sanofi also suggested that Perdue check for job openings listed on the company's internal portal.</w:t>
      </w:r>
    </w:p>
    <w:p w14:paraId="16685551" w14:textId="77777777" w:rsidR="002B10A6" w:rsidRDefault="00000000">
      <w:pPr>
        <w:pStyle w:val="Normal2"/>
        <w:widowControl w:val="0"/>
        <w:spacing w:before="200" w:line="260" w:lineRule="atLeast"/>
        <w:jc w:val="both"/>
      </w:pPr>
      <w:bookmarkStart w:id="288" w:name="Bookmark_para_15_1"/>
      <w:bookmarkEnd w:id="288"/>
      <w:r>
        <w:rPr>
          <w:rFonts w:ascii="Arial" w:eastAsia="Arial" w:hAnsi="Arial" w:cs="Arial"/>
          <w:color w:val="000000"/>
          <w:sz w:val="20"/>
        </w:rPr>
        <w:t xml:space="preserve">The next day Sanofi—through the Greenville Area Business Leader—denied Perdue and Hunt's request to create the job share, explaining that "the business would not support a job share arrangement" at that time. J.A. 321. The Greenville Area Business Leader added that "at this point in time with all the changes happening at Sanofi, this would not be a good business decision." J.A. 103-04. The Leader stated in her deposition that she was concerned about Hunt being "a good fit at that time for a job share." J.A. 200. She noted that Hunt "had just started reporting to [her], and [she] had concerns about her attention to detail and her meeting metrics." </w:t>
      </w:r>
      <w:r>
        <w:rPr>
          <w:rFonts w:ascii="Arial" w:eastAsia="Arial" w:hAnsi="Arial" w:cs="Arial"/>
          <w:i/>
          <w:color w:val="000000"/>
          <w:sz w:val="20"/>
        </w:rPr>
        <w:t>Id.</w:t>
      </w:r>
      <w:r>
        <w:rPr>
          <w:rFonts w:ascii="Arial" w:eastAsia="Arial" w:hAnsi="Arial" w:cs="Arial"/>
          <w:color w:val="000000"/>
          <w:sz w:val="20"/>
        </w:rPr>
        <w:t xml:space="preserve"> These concerns, she explained, were magnified by the "tense environment within the company" after the recent restructuring and layoffs. The Regional Business Leader approved the decision to deny the job share for similar reasons.</w:t>
      </w:r>
    </w:p>
    <w:p w14:paraId="3B9DC5C4" w14:textId="77777777" w:rsidR="002B10A6" w:rsidRDefault="00000000">
      <w:pPr>
        <w:pStyle w:val="Normal2"/>
        <w:widowControl w:val="0"/>
        <w:spacing w:before="200" w:line="260" w:lineRule="atLeast"/>
        <w:jc w:val="both"/>
      </w:pPr>
      <w:bookmarkStart w:id="289" w:name="Bookmark_para_16_1"/>
      <w:bookmarkEnd w:id="289"/>
      <w:r>
        <w:rPr>
          <w:rFonts w:ascii="Arial" w:eastAsia="Arial" w:hAnsi="Arial" w:cs="Arial"/>
          <w:color w:val="000000"/>
          <w:sz w:val="20"/>
        </w:rPr>
        <w:t>After the job share was denied, Perdue continued on short-term disability leave. With her short-term disability benefits running [**8]  out and no sign that her medical restrictions would be abated, Perdue spoke with human resources about her next steps. This led her to apply for long-term disability. Soon after, she was fired, as Sanofi could not provide her "with an indefinite leave of absence" and there were "no other accommodations that would enable [her] to perform the essential functions of [her] job." J.A. 48.</w:t>
      </w:r>
    </w:p>
    <w:p w14:paraId="2EB8B2AA" w14:textId="77777777" w:rsidR="002B10A6" w:rsidRDefault="00000000">
      <w:pPr>
        <w:pStyle w:val="Normal2"/>
        <w:widowControl w:val="0"/>
        <w:spacing w:before="240" w:line="260" w:lineRule="atLeast"/>
      </w:pPr>
      <w:r>
        <w:br/>
      </w:r>
      <w:r>
        <w:rPr>
          <w:rFonts w:ascii="Arial" w:eastAsia="Arial" w:hAnsi="Arial" w:cs="Arial"/>
          <w:b/>
          <w:color w:val="000000"/>
          <w:sz w:val="20"/>
        </w:rPr>
        <w:t>B. The proceedings below</w:t>
      </w:r>
    </w:p>
    <w:p w14:paraId="7EAB0204" w14:textId="77777777" w:rsidR="002B10A6" w:rsidRDefault="00000000">
      <w:pPr>
        <w:pStyle w:val="Normal2"/>
        <w:widowControl w:val="0"/>
        <w:spacing w:before="200" w:line="260" w:lineRule="atLeast"/>
        <w:jc w:val="both"/>
      </w:pPr>
      <w:bookmarkStart w:id="290" w:name="Bookmark_para_17_1"/>
      <w:bookmarkStart w:id="291" w:name="Bookmark_I62WMJDB28T4NW0020000400"/>
      <w:bookmarkEnd w:id="290"/>
      <w:bookmarkEnd w:id="291"/>
      <w:r>
        <w:rPr>
          <w:rFonts w:ascii="Arial" w:eastAsia="Arial" w:hAnsi="Arial" w:cs="Arial"/>
          <w:color w:val="000000"/>
          <w:sz w:val="20"/>
        </w:rPr>
        <w:t xml:space="preserve">After she was fired, Perdue sued Sanofi in federal district court alleging violations of the ADA, 42 U.S.C. § 12101 </w:t>
      </w:r>
      <w:r>
        <w:rPr>
          <w:rFonts w:ascii="Arial" w:eastAsia="Arial" w:hAnsi="Arial" w:cs="Arial"/>
          <w:i/>
          <w:color w:val="000000"/>
          <w:sz w:val="20"/>
        </w:rPr>
        <w:t>et seq.</w:t>
      </w:r>
      <w:r>
        <w:rPr>
          <w:rFonts w:ascii="Arial" w:eastAsia="Arial" w:hAnsi="Arial" w:cs="Arial"/>
          <w:color w:val="000000"/>
          <w:sz w:val="20"/>
        </w:rPr>
        <w:t xml:space="preserve">, and wrongful discharge under North Carolina law. Sanofi moved for summary judgment on all claims, and Perdue moved for partial summary judgment. The district court granted Sanofi's motion and denied Perdue's. </w:t>
      </w:r>
      <w:r>
        <w:rPr>
          <w:rFonts w:ascii="Arial" w:eastAsia="Arial" w:hAnsi="Arial" w:cs="Arial"/>
          <w:i/>
          <w:color w:val="000000"/>
          <w:sz w:val="20"/>
        </w:rPr>
        <w:t xml:space="preserve">See </w:t>
      </w:r>
      <w:bookmarkStart w:id="292" w:name="Bookmark_I62WMJDB28T4NW0010000400"/>
      <w:bookmarkEnd w:id="292"/>
      <w:r>
        <w:rPr>
          <w:rFonts w:ascii="Arial" w:eastAsia="Arial" w:hAnsi="Arial" w:cs="Arial"/>
          <w:i/>
          <w:color w:val="000000"/>
          <w:sz w:val="20"/>
        </w:rPr>
        <w:t>Perdue v. Sanofi-Aventis U.S. LLC</w:t>
      </w:r>
      <w:r>
        <w:rPr>
          <w:rFonts w:ascii="Arial" w:eastAsia="Arial" w:hAnsi="Arial" w:cs="Arial"/>
          <w:color w:val="000000"/>
          <w:sz w:val="20"/>
        </w:rPr>
        <w:t>, No. 1:18-cv-00221-MR, 2019 U.S. Dist. LEXIS 171097, 2019 WL 4874815, at *16 (W.D.N.C. Oct. 2, 2019). Perdue timely appealed, and we have jurisdiction under 28 U.S.C. § 1291.</w:t>
      </w:r>
    </w:p>
    <w:p w14:paraId="017940A1" w14:textId="77777777" w:rsidR="002B10A6" w:rsidRDefault="00000000">
      <w:pPr>
        <w:pStyle w:val="Normal2"/>
        <w:widowControl w:val="0"/>
        <w:spacing w:before="240" w:line="260" w:lineRule="atLeast"/>
      </w:pPr>
      <w:r>
        <w:br/>
      </w:r>
      <w:r>
        <w:rPr>
          <w:rFonts w:ascii="Arial" w:eastAsia="Arial" w:hAnsi="Arial" w:cs="Arial"/>
          <w:b/>
          <w:color w:val="000000"/>
          <w:sz w:val="20"/>
        </w:rPr>
        <w:t>II. Discussion</w:t>
      </w:r>
    </w:p>
    <w:p w14:paraId="23B106A1" w14:textId="77777777" w:rsidR="002B10A6" w:rsidRDefault="00000000">
      <w:pPr>
        <w:pStyle w:val="Normal2"/>
        <w:widowControl w:val="0"/>
        <w:spacing w:before="200" w:line="260" w:lineRule="atLeast"/>
        <w:jc w:val="both"/>
      </w:pPr>
      <w:bookmarkStart w:id="293" w:name="Bookmark_para_18_1"/>
      <w:bookmarkStart w:id="294" w:name="Bookmark_I62WMJDB28T4NW0040000400"/>
      <w:bookmarkStart w:id="295" w:name="Bookmark_I62WMJDD2D6NM40010000400"/>
      <w:bookmarkStart w:id="296" w:name="Bookmark_LNHNREFclscc2_1"/>
      <w:bookmarkEnd w:id="293"/>
      <w:bookmarkEnd w:id="294"/>
      <w:bookmarkEnd w:id="295"/>
      <w:bookmarkEnd w:id="296"/>
      <w:r>
        <w:rPr>
          <w:rFonts w:ascii="Arial" w:eastAsia="Arial" w:hAnsi="Arial" w:cs="Arial"/>
          <w:color w:val="000000"/>
          <w:sz w:val="20"/>
        </w:rPr>
        <w:t xml:space="preserve">We review a district court's grant of summary judgment de novo, "applying the same standard that the district court was required to apply." </w:t>
      </w:r>
      <w:bookmarkStart w:id="297" w:name="Bookmark_I62WMJDB28T4NW0030000400"/>
      <w:bookmarkEnd w:id="297"/>
      <w:r>
        <w:rPr>
          <w:rFonts w:ascii="Arial" w:eastAsia="Arial" w:hAnsi="Arial" w:cs="Arial"/>
          <w:i/>
          <w:color w:val="000000"/>
          <w:sz w:val="20"/>
        </w:rPr>
        <w:t>Calloway v. Lokey</w:t>
      </w:r>
      <w:r>
        <w:rPr>
          <w:rFonts w:ascii="Arial" w:eastAsia="Arial" w:hAnsi="Arial" w:cs="Arial"/>
          <w:color w:val="000000"/>
          <w:sz w:val="20"/>
        </w:rPr>
        <w:t xml:space="preserve">, 948 F.3d 194, 201 (4th Cir. 2020). Granting summary judgment is appropriate when "the movant shows that there is no genuine dispute as to any material fact and the movant is entitled to judgment as a matter of law." Fed. R. Civ. P. 56(a). We must construe the evidence in the light most favorable to the non-moving party, [**9]  but we may not "weigh the evidence or make credibility determinations." </w:t>
      </w:r>
      <w:bookmarkStart w:id="298" w:name="Bookmark_I62WMJDB28T4NW0050000400"/>
      <w:bookmarkEnd w:id="298"/>
      <w:r>
        <w:rPr>
          <w:rFonts w:ascii="Arial" w:eastAsia="Arial" w:hAnsi="Arial" w:cs="Arial"/>
          <w:i/>
          <w:color w:val="000000"/>
          <w:sz w:val="20"/>
        </w:rPr>
        <w:t>Betton v.  [*959]  Belue</w:t>
      </w:r>
      <w:r>
        <w:rPr>
          <w:rFonts w:ascii="Arial" w:eastAsia="Arial" w:hAnsi="Arial" w:cs="Arial"/>
          <w:color w:val="000000"/>
          <w:sz w:val="20"/>
        </w:rPr>
        <w:t>, 942 F.3d 184, 190 (4th Cir. 2019).</w:t>
      </w:r>
      <w:r>
        <w:rPr>
          <w:rFonts w:ascii="Arial" w:eastAsia="Arial" w:hAnsi="Arial" w:cs="Arial"/>
          <w:vertAlign w:val="superscript"/>
        </w:rPr>
        <w:footnoteReference w:customMarkFollows="1" w:id="7"/>
        <w:t>1</w:t>
      </w:r>
    </w:p>
    <w:p w14:paraId="5958136C" w14:textId="77777777" w:rsidR="002B10A6" w:rsidRDefault="00000000">
      <w:pPr>
        <w:pStyle w:val="Normal2"/>
        <w:widowControl w:val="0"/>
        <w:spacing w:before="200" w:line="260" w:lineRule="atLeast"/>
        <w:jc w:val="both"/>
      </w:pPr>
      <w:bookmarkStart w:id="303" w:name="Bookmark_para_19_1"/>
      <w:bookmarkEnd w:id="303"/>
      <w:r>
        <w:rPr>
          <w:rFonts w:ascii="Arial" w:eastAsia="Arial" w:hAnsi="Arial" w:cs="Arial"/>
          <w:color w:val="000000"/>
          <w:sz w:val="20"/>
        </w:rPr>
        <w:t xml:space="preserve">On appeal, Perdue mainly challenges the district court's disposition of her ADA failure-to-accommodate claim. </w:t>
      </w:r>
      <w:bookmarkStart w:id="304" w:name="Bookmark_LNHNREFclscc4_1"/>
      <w:bookmarkEnd w:id="304"/>
      <w:r>
        <w:rPr>
          <w:rFonts w:ascii="Arial" w:eastAsia="Arial" w:hAnsi="Arial" w:cs="Arial"/>
          <w:color w:val="000000"/>
          <w:sz w:val="20"/>
        </w:rPr>
        <w:t xml:space="preserve">The ADA generally prohibits employers from "discriminat[ing] against a qualified individual on the basis of disability" 42 U.S.C. § 12112(a). One form of discrimination is failing to make "reasonable accommodations" for a disabled employee's "known physical or mental limitations," unless the employer "can demonstrate that the accommodation would impose an undue hardship" on its business. </w:t>
      </w:r>
      <w:r>
        <w:rPr>
          <w:rFonts w:ascii="Arial" w:eastAsia="Arial" w:hAnsi="Arial" w:cs="Arial"/>
          <w:i/>
          <w:color w:val="000000"/>
          <w:sz w:val="20"/>
        </w:rPr>
        <w:t>Id.</w:t>
      </w:r>
      <w:r>
        <w:rPr>
          <w:rFonts w:ascii="Arial" w:eastAsia="Arial" w:hAnsi="Arial" w:cs="Arial"/>
          <w:color w:val="000000"/>
          <w:sz w:val="20"/>
        </w:rPr>
        <w:t xml:space="preserve"> § 12112(b)(5)(A).</w:t>
      </w:r>
    </w:p>
    <w:p w14:paraId="22EDFFC6" w14:textId="77777777" w:rsidR="002B10A6" w:rsidRDefault="00000000">
      <w:pPr>
        <w:pStyle w:val="Normal2"/>
        <w:widowControl w:val="0"/>
        <w:spacing w:before="200" w:line="260" w:lineRule="atLeast"/>
        <w:jc w:val="both"/>
      </w:pPr>
      <w:bookmarkStart w:id="305" w:name="Bookmark_para_20_1"/>
      <w:bookmarkStart w:id="306" w:name="Bookmark_I62WMJDD2D6NM40050000400"/>
      <w:bookmarkStart w:id="307" w:name="Bookmark_LNHNREFclscc5_1"/>
      <w:bookmarkEnd w:id="305"/>
      <w:bookmarkEnd w:id="306"/>
      <w:bookmarkEnd w:id="307"/>
      <w:r>
        <w:rPr>
          <w:rFonts w:ascii="Arial" w:eastAsia="Arial" w:hAnsi="Arial" w:cs="Arial"/>
          <w:color w:val="000000"/>
          <w:sz w:val="20"/>
        </w:rPr>
        <w:t xml:space="preserve">To show an employer's failure to accommodate, the plaintiff must prove: (1) that she had a disability within the statutory meaning; (2) that the employer knew of her disability; (3) that a reasonable accommodation would permit her to perform the essential functions of the position; and (4) that the employer refused to make the accommodation. </w:t>
      </w:r>
      <w:bookmarkStart w:id="308" w:name="Bookmark_I62WMJDD28T4P50020000400"/>
      <w:bookmarkStart w:id="309" w:name="Bookmark_I62WMJDD2D6NM40040000400"/>
      <w:bookmarkEnd w:id="308"/>
      <w:bookmarkEnd w:id="309"/>
      <w:r>
        <w:rPr>
          <w:rFonts w:ascii="Arial" w:eastAsia="Arial" w:hAnsi="Arial" w:cs="Arial"/>
          <w:i/>
          <w:color w:val="000000"/>
          <w:sz w:val="20"/>
        </w:rPr>
        <w:t>Wilson v. Dollar Gen. Corp.</w:t>
      </w:r>
      <w:r>
        <w:rPr>
          <w:rFonts w:ascii="Arial" w:eastAsia="Arial" w:hAnsi="Arial" w:cs="Arial"/>
          <w:color w:val="000000"/>
          <w:sz w:val="20"/>
        </w:rPr>
        <w:t xml:space="preserve">, 717 F.3d 337, 345 (4th Cir. 2013). But even if the plaintiff makes this showing, the employer can still defeat the failure-to-accommodate claim by demonstrating that the reasonable accommodations would impose an undue hardship. </w:t>
      </w:r>
      <w:bookmarkStart w:id="310" w:name="Bookmark_I62WMJDD28T4P50020000400_2"/>
      <w:bookmarkStart w:id="311" w:name="Bookmark_I62WMJDD28T4P50010000400"/>
      <w:bookmarkEnd w:id="310"/>
      <w:bookmarkEnd w:id="311"/>
      <w:r>
        <w:rPr>
          <w:rFonts w:ascii="Arial" w:eastAsia="Arial" w:hAnsi="Arial" w:cs="Arial"/>
          <w:i/>
          <w:color w:val="000000"/>
          <w:sz w:val="20"/>
        </w:rPr>
        <w:t>US Airways, Inc. v. Barnett</w:t>
      </w:r>
      <w:r>
        <w:rPr>
          <w:rFonts w:ascii="Arial" w:eastAsia="Arial" w:hAnsi="Arial" w:cs="Arial"/>
          <w:color w:val="000000"/>
          <w:sz w:val="20"/>
        </w:rPr>
        <w:t>, 535 U.S. 391, 395, 122 S. Ct. 1516, 152 L. Ed. 2d 589 (2002) (quoting § 12112(b)(5)(A)). This appeal focuses on the plaintiff's third element: whether Perdue identified [**10]  a "reasonable accommodation" that would enable her to perform her job.</w:t>
      </w:r>
      <w:r>
        <w:rPr>
          <w:rFonts w:ascii="Arial" w:eastAsia="Arial" w:hAnsi="Arial" w:cs="Arial"/>
          <w:vertAlign w:val="superscript"/>
        </w:rPr>
        <w:footnoteReference w:customMarkFollows="1" w:id="8"/>
        <w:t>2</w:t>
      </w:r>
    </w:p>
    <w:p w14:paraId="1F7A0F85" w14:textId="77777777" w:rsidR="002B10A6" w:rsidRDefault="00000000">
      <w:pPr>
        <w:pStyle w:val="Normal2"/>
        <w:widowControl w:val="0"/>
        <w:spacing w:before="200" w:line="260" w:lineRule="atLeast"/>
        <w:jc w:val="both"/>
      </w:pPr>
      <w:bookmarkStart w:id="317" w:name="Bookmark_para_21_1"/>
      <w:bookmarkStart w:id="318" w:name="Bookmark_I62WMJDF2N1RRC0030000400"/>
      <w:bookmarkStart w:id="319" w:name="Bookmark_LNHNREFclscc7_1"/>
      <w:bookmarkEnd w:id="317"/>
      <w:bookmarkEnd w:id="318"/>
      <w:bookmarkEnd w:id="319"/>
      <w:r>
        <w:rPr>
          <w:rFonts w:ascii="Arial" w:eastAsia="Arial" w:hAnsi="Arial" w:cs="Arial"/>
          <w:color w:val="000000"/>
          <w:sz w:val="20"/>
        </w:rPr>
        <w:t xml:space="preserve">A "reasonable accommodation" includes a "[m]odification[] or adjustment[] to the work environment, or to the manner or circumstances under which the position held or desired is customarily performed, that enable an individual with a disability who is qualified to perform the essential functions of that position." 29 C.F.R. § 1630.2(o)(1)(ii). The ADA includes a non-exhaustive list of accommodation examples: "job restructuring, part-time or modified work schedules, reassignment to a  [*960]  vacant position, acquisition or modification of equipment or devices, appropriate adjustment or modifications of examinations, training materials or policies, the provision of qualified readers or interpreters, [or] other similar accommodations for individuals with disabilities." 42 U.S.C. § 12111(9)(B); </w:t>
      </w:r>
      <w:r>
        <w:rPr>
          <w:rFonts w:ascii="Arial" w:eastAsia="Arial" w:hAnsi="Arial" w:cs="Arial"/>
          <w:i/>
          <w:color w:val="000000"/>
          <w:sz w:val="20"/>
        </w:rPr>
        <w:t>see also</w:t>
      </w:r>
      <w:r>
        <w:rPr>
          <w:rFonts w:ascii="Arial" w:eastAsia="Arial" w:hAnsi="Arial" w:cs="Arial"/>
          <w:color w:val="000000"/>
          <w:sz w:val="20"/>
        </w:rPr>
        <w:t xml:space="preserve"> 29 C.F.R. § 1630.2(o)(2)(ii). To carry her burden on summary judgment, Perdue need only "present evidence from which a jury may infer that the [identified] accommodation is 'reasonable on its face, </w:t>
      </w:r>
      <w:r>
        <w:rPr>
          <w:rFonts w:ascii="Arial" w:eastAsia="Arial" w:hAnsi="Arial" w:cs="Arial"/>
          <w:i/>
          <w:color w:val="000000"/>
          <w:sz w:val="20"/>
        </w:rPr>
        <w:t>i.e.</w:t>
      </w:r>
      <w:r>
        <w:rPr>
          <w:rFonts w:ascii="Arial" w:eastAsia="Arial" w:hAnsi="Arial" w:cs="Arial"/>
          <w:color w:val="000000"/>
          <w:sz w:val="20"/>
        </w:rPr>
        <w:t xml:space="preserve">, ordinarily or in the run of cases.'" </w:t>
      </w:r>
      <w:bookmarkStart w:id="320" w:name="Bookmark_I62WMJDF2N1RRC0020000400"/>
      <w:bookmarkEnd w:id="320"/>
      <w:r>
        <w:rPr>
          <w:rFonts w:ascii="Arial" w:eastAsia="Arial" w:hAnsi="Arial" w:cs="Arial"/>
          <w:i/>
          <w:color w:val="000000"/>
          <w:sz w:val="20"/>
        </w:rPr>
        <w:t>Halpern v. Wake Forest Univ. Health Scis.</w:t>
      </w:r>
      <w:r>
        <w:rPr>
          <w:rFonts w:ascii="Arial" w:eastAsia="Arial" w:hAnsi="Arial" w:cs="Arial"/>
          <w:color w:val="000000"/>
          <w:sz w:val="20"/>
        </w:rPr>
        <w:t xml:space="preserve">, 669 F.3d 454, 464 (4th Cir. 2012) (quoting </w:t>
      </w:r>
      <w:bookmarkStart w:id="321" w:name="Bookmark_I62WMJDF2N1RRC0040000400"/>
      <w:bookmarkEnd w:id="321"/>
      <w:r>
        <w:rPr>
          <w:rFonts w:ascii="Arial" w:eastAsia="Arial" w:hAnsi="Arial" w:cs="Arial"/>
          <w:i/>
          <w:color w:val="000000"/>
          <w:sz w:val="20"/>
        </w:rPr>
        <w:t>Barnett</w:t>
      </w:r>
      <w:r>
        <w:rPr>
          <w:rFonts w:ascii="Arial" w:eastAsia="Arial" w:hAnsi="Arial" w:cs="Arial"/>
          <w:color w:val="000000"/>
          <w:sz w:val="20"/>
        </w:rPr>
        <w:t>, 535 U.S. at 401-02).</w:t>
      </w:r>
    </w:p>
    <w:p w14:paraId="28B22AD3" w14:textId="77777777" w:rsidR="002B10A6" w:rsidRDefault="00000000">
      <w:pPr>
        <w:pStyle w:val="Normal2"/>
        <w:widowControl w:val="0"/>
        <w:spacing w:before="200" w:line="260" w:lineRule="atLeast"/>
        <w:jc w:val="both"/>
      </w:pPr>
      <w:bookmarkStart w:id="322" w:name="Bookmark_para_22_1"/>
      <w:bookmarkEnd w:id="322"/>
      <w:r>
        <w:rPr>
          <w:rFonts w:ascii="Arial" w:eastAsia="Arial" w:hAnsi="Arial" w:cs="Arial"/>
          <w:color w:val="000000"/>
          <w:sz w:val="20"/>
        </w:rPr>
        <w:t>The only accommodation Perdue argues Sanofi had a duty to provide is the job share [**11]  of Hunt's position in the Greenville territory.</w:t>
      </w:r>
      <w:r>
        <w:rPr>
          <w:rFonts w:ascii="Arial" w:eastAsia="Arial" w:hAnsi="Arial" w:cs="Arial"/>
          <w:vertAlign w:val="superscript"/>
        </w:rPr>
        <w:footnoteReference w:customMarkFollows="1" w:id="9"/>
        <w:t>3</w:t>
      </w:r>
      <w:r>
        <w:rPr>
          <w:rFonts w:ascii="Arial" w:eastAsia="Arial" w:hAnsi="Arial" w:cs="Arial"/>
          <w:color w:val="000000"/>
          <w:sz w:val="20"/>
        </w:rPr>
        <w:t xml:space="preserve"> Accepting her job-share proposal, she argues, would have been a "reassignment to a vacant position," which is an accommodation required by statute and regulation. </w:t>
      </w:r>
      <w:r>
        <w:rPr>
          <w:rFonts w:ascii="Arial" w:eastAsia="Arial" w:hAnsi="Arial" w:cs="Arial"/>
          <w:i/>
          <w:color w:val="000000"/>
          <w:sz w:val="20"/>
        </w:rPr>
        <w:t>See</w:t>
      </w:r>
      <w:r>
        <w:rPr>
          <w:rFonts w:ascii="Arial" w:eastAsia="Arial" w:hAnsi="Arial" w:cs="Arial"/>
          <w:color w:val="000000"/>
          <w:sz w:val="20"/>
        </w:rPr>
        <w:t xml:space="preserve"> 42 U.S.C. § 12111(9)(B); 29 C.F.R. § 1630.2(o)(2)(ii).</w:t>
      </w:r>
    </w:p>
    <w:p w14:paraId="56219B65" w14:textId="77777777" w:rsidR="002B10A6" w:rsidRDefault="00000000">
      <w:pPr>
        <w:pStyle w:val="Normal2"/>
        <w:widowControl w:val="0"/>
        <w:spacing w:before="200" w:line="260" w:lineRule="atLeast"/>
        <w:jc w:val="both"/>
      </w:pPr>
      <w:bookmarkStart w:id="327" w:name="Bookmark_para_23_1"/>
      <w:bookmarkStart w:id="328" w:name="Bookmark_I62WMJDG2SF7Y60010000400"/>
      <w:bookmarkStart w:id="329" w:name="Bookmark_I62WMJDG2SF7Y60030000400"/>
      <w:bookmarkEnd w:id="327"/>
      <w:bookmarkEnd w:id="328"/>
      <w:bookmarkEnd w:id="329"/>
      <w:r>
        <w:rPr>
          <w:rFonts w:ascii="Arial" w:eastAsia="Arial" w:hAnsi="Arial" w:cs="Arial"/>
          <w:color w:val="000000"/>
          <w:sz w:val="20"/>
        </w:rPr>
        <w:t xml:space="preserve">But the proposed job share is not an accommodation required by the ADA. That conclusion lies at the intersection of two limiting principles. </w:t>
      </w:r>
      <w:bookmarkStart w:id="330" w:name="Bookmark_LNHNREFclscc8_0"/>
      <w:bookmarkEnd w:id="330"/>
      <w:r>
        <w:rPr>
          <w:rFonts w:ascii="Arial" w:eastAsia="Arial" w:hAnsi="Arial" w:cs="Arial"/>
          <w:color w:val="000000"/>
          <w:sz w:val="20"/>
        </w:rPr>
        <w:t xml:space="preserve">First, the ADA only requires "reassignment to a </w:t>
      </w:r>
      <w:r>
        <w:rPr>
          <w:rFonts w:ascii="Arial" w:eastAsia="Arial" w:hAnsi="Arial" w:cs="Arial"/>
          <w:i/>
          <w:color w:val="000000"/>
          <w:sz w:val="20"/>
        </w:rPr>
        <w:t>vacant</w:t>
      </w:r>
      <w:r>
        <w:rPr>
          <w:rFonts w:ascii="Arial" w:eastAsia="Arial" w:hAnsi="Arial" w:cs="Arial"/>
          <w:color w:val="000000"/>
          <w:sz w:val="20"/>
        </w:rPr>
        <w:t xml:space="preserve"> position" as an accommodation for an employee with a disability. 42 U.S.C. § 12111(9)(B) (emphasis added); </w:t>
      </w:r>
      <w:r>
        <w:rPr>
          <w:rFonts w:ascii="Arial" w:eastAsia="Arial" w:hAnsi="Arial" w:cs="Arial"/>
          <w:i/>
          <w:color w:val="000000"/>
          <w:sz w:val="20"/>
        </w:rPr>
        <w:t>see also</w:t>
      </w:r>
      <w:r>
        <w:rPr>
          <w:rFonts w:ascii="Arial" w:eastAsia="Arial" w:hAnsi="Arial" w:cs="Arial"/>
          <w:color w:val="000000"/>
          <w:sz w:val="20"/>
        </w:rPr>
        <w:t xml:space="preserve"> 29 C.F.R. § 1630.2(o)(2)(ii); </w:t>
      </w:r>
      <w:bookmarkStart w:id="331" w:name="Bookmark_I62WMJDF2D6NM90050000400"/>
      <w:bookmarkEnd w:id="331"/>
      <w:r>
        <w:rPr>
          <w:rFonts w:ascii="Arial" w:eastAsia="Arial" w:hAnsi="Arial" w:cs="Arial"/>
          <w:i/>
          <w:color w:val="000000"/>
          <w:sz w:val="20"/>
        </w:rPr>
        <w:t>E.E.O.C. v. Sara Lee Corp.</w:t>
      </w:r>
      <w:r>
        <w:rPr>
          <w:rFonts w:ascii="Arial" w:eastAsia="Arial" w:hAnsi="Arial" w:cs="Arial"/>
          <w:color w:val="000000"/>
          <w:sz w:val="20"/>
        </w:rPr>
        <w:t xml:space="preserve">, 237 F.3d 349, 355 (4th Cir. 2001) ("The ADA does not require reassignment when it would mandate that the employer bump another employee out of a particular position."). And second, the position must already exist because "the ADA does not require that an employer create a new position for a disabled employee." </w:t>
      </w:r>
      <w:bookmarkStart w:id="332" w:name="Bookmark_I62WMJDG2SF7Y60020000400"/>
      <w:bookmarkEnd w:id="332"/>
      <w:r>
        <w:rPr>
          <w:rFonts w:ascii="Arial" w:eastAsia="Arial" w:hAnsi="Arial" w:cs="Arial"/>
          <w:i/>
          <w:color w:val="000000"/>
          <w:sz w:val="20"/>
        </w:rPr>
        <w:t>Laird v. Fairfax Cnty.</w:t>
      </w:r>
      <w:r>
        <w:rPr>
          <w:rFonts w:ascii="Arial" w:eastAsia="Arial" w:hAnsi="Arial" w:cs="Arial"/>
          <w:color w:val="000000"/>
          <w:sz w:val="20"/>
        </w:rPr>
        <w:t xml:space="preserve">, 978 F.3d 887, 892 n.3 (4th Cir. 2020); </w:t>
      </w:r>
      <w:r>
        <w:rPr>
          <w:rFonts w:ascii="Arial" w:eastAsia="Arial" w:hAnsi="Arial" w:cs="Arial"/>
          <w:i/>
          <w:color w:val="000000"/>
          <w:sz w:val="20"/>
        </w:rPr>
        <w:t xml:space="preserve">see also </w:t>
      </w:r>
      <w:bookmarkStart w:id="333" w:name="Bookmark_I62WMJDG2SF7Y60040000400"/>
      <w:bookmarkEnd w:id="333"/>
      <w:r>
        <w:rPr>
          <w:rFonts w:ascii="Arial" w:eastAsia="Arial" w:hAnsi="Arial" w:cs="Arial"/>
          <w:i/>
          <w:color w:val="000000"/>
          <w:sz w:val="20"/>
        </w:rPr>
        <w:t>Smith v. Midland Brake, Inc., a Div. of Echlin, Inc.</w:t>
      </w:r>
      <w:r>
        <w:rPr>
          <w:rFonts w:ascii="Arial" w:eastAsia="Arial" w:hAnsi="Arial" w:cs="Arial"/>
          <w:color w:val="000000"/>
          <w:sz w:val="20"/>
        </w:rPr>
        <w:t>, 180 F.3d 1154, 1174 (10th Cir. 1999) (collecting cases).</w:t>
      </w:r>
      <w:r>
        <w:rPr>
          <w:rFonts w:ascii="Arial" w:eastAsia="Arial" w:hAnsi="Arial" w:cs="Arial"/>
          <w:vertAlign w:val="superscript"/>
        </w:rPr>
        <w:footnoteReference w:customMarkFollows="1" w:id="10"/>
        <w:t>4</w:t>
      </w:r>
      <w:r>
        <w:rPr>
          <w:rFonts w:ascii="Arial" w:eastAsia="Arial" w:hAnsi="Arial" w:cs="Arial"/>
          <w:color w:val="000000"/>
          <w:sz w:val="20"/>
        </w:rPr>
        <w:t xml:space="preserve"> So to prevail on her reasonable-accommodation claim, Perdue must show that the job-share position she sought was both vacant and existing. This she cannot do.</w:t>
      </w:r>
    </w:p>
    <w:p w14:paraId="62535B1D" w14:textId="77777777" w:rsidR="002B10A6" w:rsidRDefault="00000000">
      <w:pPr>
        <w:pStyle w:val="Normal2"/>
        <w:widowControl w:val="0"/>
        <w:spacing w:before="200" w:line="260" w:lineRule="atLeast"/>
        <w:jc w:val="both"/>
      </w:pPr>
      <w:bookmarkStart w:id="339" w:name="Bookmark_para_24_1"/>
      <w:bookmarkStart w:id="340" w:name="Bookmark_I62WMJDH2SF7YG0010000400"/>
      <w:bookmarkEnd w:id="339"/>
      <w:bookmarkEnd w:id="340"/>
      <w:r>
        <w:rPr>
          <w:rFonts w:ascii="Arial" w:eastAsia="Arial" w:hAnsi="Arial" w:cs="Arial"/>
          <w:color w:val="000000"/>
          <w:sz w:val="20"/>
        </w:rPr>
        <w:t xml:space="preserve">The district court focused on whether the job-share position was "vacant." </w:t>
      </w:r>
      <w:r>
        <w:rPr>
          <w:rFonts w:ascii="Arial" w:eastAsia="Arial" w:hAnsi="Arial" w:cs="Arial"/>
          <w:i/>
          <w:color w:val="000000"/>
          <w:sz w:val="20"/>
        </w:rPr>
        <w:t xml:space="preserve">See </w:t>
      </w:r>
      <w:bookmarkStart w:id="341" w:name="Bookmark_I62WMJDH2N1RRM0050000400"/>
      <w:bookmarkEnd w:id="341"/>
      <w:r>
        <w:rPr>
          <w:rFonts w:ascii="Arial" w:eastAsia="Arial" w:hAnsi="Arial" w:cs="Arial"/>
          <w:i/>
          <w:color w:val="000000"/>
          <w:sz w:val="20"/>
        </w:rPr>
        <w:t>Duvall v. Ga.-Pac. Consumer Prods., L.P.</w:t>
      </w:r>
      <w:r>
        <w:rPr>
          <w:rFonts w:ascii="Arial" w:eastAsia="Arial" w:hAnsi="Arial" w:cs="Arial"/>
          <w:color w:val="000000"/>
          <w:sz w:val="20"/>
        </w:rPr>
        <w:t>, 607 F.3d 1255, 1262 (10th Cir. 2010) (</w:t>
      </w:r>
      <w:bookmarkStart w:id="342" w:name="Bookmark_LNHNREFclscc10_0"/>
      <w:bookmarkEnd w:id="342"/>
      <w:r>
        <w:rPr>
          <w:rFonts w:ascii="Arial" w:eastAsia="Arial" w:hAnsi="Arial" w:cs="Arial"/>
          <w:color w:val="000000"/>
          <w:sz w:val="20"/>
        </w:rPr>
        <w:t>"In the employment context, . . . a position is 'vacant' with respect to a disabled employee for the purposes of the ADA if it [**12]  would be available for a similarly-situated non-disabled employee to apply for and obtain."). But this inquiry skips over the logically preceding question of whether the position existed. For a position cannot be vacant unless it already exists. And here, under Sanofi's undisputed policies, no job-share position existed unless and until the Area Business Leader approved Perdue's proposal to create the position.</w:t>
      </w:r>
    </w:p>
    <w:p w14:paraId="32DB572E" w14:textId="77777777" w:rsidR="002B10A6" w:rsidRDefault="00000000">
      <w:pPr>
        <w:pStyle w:val="Normal2"/>
        <w:widowControl w:val="0"/>
        <w:spacing w:before="200" w:line="260" w:lineRule="atLeast"/>
        <w:jc w:val="both"/>
      </w:pPr>
      <w:bookmarkStart w:id="343" w:name="Bookmark_para_25_1"/>
      <w:bookmarkEnd w:id="343"/>
      <w:r>
        <w:rPr>
          <w:rFonts w:ascii="Arial" w:eastAsia="Arial" w:hAnsi="Arial" w:cs="Arial"/>
          <w:color w:val="000000"/>
          <w:sz w:val="20"/>
        </w:rPr>
        <w:t xml:space="preserve"> [*961]  Sanofi employees, with and without disabilities, may apply to create a job-share position. But when Perdue sought the job-share position, it did not exist. One full-time position in the Greenville territory, not two part-time positions, existed. Hunt's willingness to job share with Perdue does not mean that a new job-share position came into existence. </w:t>
      </w:r>
      <w:bookmarkStart w:id="344" w:name="Bookmark_I62WMJDH2SF7YG0030000400"/>
      <w:bookmarkEnd w:id="344"/>
      <w:r>
        <w:rPr>
          <w:rFonts w:ascii="Arial" w:eastAsia="Arial" w:hAnsi="Arial" w:cs="Arial"/>
          <w:color w:val="000000"/>
          <w:sz w:val="20"/>
        </w:rPr>
        <w:t xml:space="preserve">The uncontradicted evidence established, even if construed in the light most favorable to Perdue, that splitting Hunt's existing position into two required Sanofi's agreement. And that agreement is something the ADA does not demand. </w:t>
      </w:r>
      <w:bookmarkStart w:id="345" w:name="Bookmark_I62WMJDH2SF7YG0020000400"/>
      <w:bookmarkEnd w:id="345"/>
      <w:r>
        <w:rPr>
          <w:rFonts w:ascii="Arial" w:eastAsia="Arial" w:hAnsi="Arial" w:cs="Arial"/>
          <w:i/>
          <w:color w:val="000000"/>
          <w:sz w:val="20"/>
        </w:rPr>
        <w:t>Laird</w:t>
      </w:r>
      <w:r>
        <w:rPr>
          <w:rFonts w:ascii="Arial" w:eastAsia="Arial" w:hAnsi="Arial" w:cs="Arial"/>
          <w:color w:val="000000"/>
          <w:sz w:val="20"/>
        </w:rPr>
        <w:t xml:space="preserve">, 978 F.3d at 892 n.3; </w:t>
      </w:r>
      <w:r>
        <w:rPr>
          <w:rFonts w:ascii="Arial" w:eastAsia="Arial" w:hAnsi="Arial" w:cs="Arial"/>
          <w:i/>
          <w:color w:val="000000"/>
          <w:sz w:val="20"/>
        </w:rPr>
        <w:t xml:space="preserve">see also </w:t>
      </w:r>
      <w:bookmarkStart w:id="346" w:name="Bookmark_I62WMJDH2SF7YG0040000400"/>
      <w:bookmarkEnd w:id="346"/>
      <w:r>
        <w:rPr>
          <w:rFonts w:ascii="Arial" w:eastAsia="Arial" w:hAnsi="Arial" w:cs="Arial"/>
          <w:i/>
          <w:color w:val="000000"/>
          <w:sz w:val="20"/>
        </w:rPr>
        <w:t>Terrell</w:t>
      </w:r>
      <w:r>
        <w:rPr>
          <w:rFonts w:ascii="Arial" w:eastAsia="Arial" w:hAnsi="Arial" w:cs="Arial"/>
          <w:color w:val="000000"/>
          <w:sz w:val="20"/>
        </w:rPr>
        <w:t xml:space="preserve">, 132 F.3d at 626-27 ("Whether a company will staff itself with part-time workers, full-time workers, or a mix of both is a core management policy with which the ADA was not intended to interfere."); </w:t>
      </w:r>
      <w:bookmarkStart w:id="347" w:name="Bookmark_I62WMJDH2D6NMK0010000400"/>
      <w:bookmarkEnd w:id="347"/>
      <w:r>
        <w:rPr>
          <w:rFonts w:ascii="Arial" w:eastAsia="Arial" w:hAnsi="Arial" w:cs="Arial"/>
          <w:i/>
          <w:color w:val="000000"/>
          <w:sz w:val="20"/>
        </w:rPr>
        <w:t>Fjellestad v. Pizza Hut of Am., Inc.</w:t>
      </w:r>
      <w:r>
        <w:rPr>
          <w:rFonts w:ascii="Arial" w:eastAsia="Arial" w:hAnsi="Arial" w:cs="Arial"/>
          <w:color w:val="000000"/>
          <w:sz w:val="20"/>
        </w:rPr>
        <w:t>, 188 F.3d 944, 950 (8th Cir. 1999) (requiring [**13]  a company to create a permanent co-manager position was not a reasonable accommodation).</w:t>
      </w:r>
    </w:p>
    <w:p w14:paraId="23AC4BEA" w14:textId="77777777" w:rsidR="002B10A6" w:rsidRDefault="00000000">
      <w:pPr>
        <w:pStyle w:val="Normal2"/>
        <w:widowControl w:val="0"/>
        <w:spacing w:before="200" w:line="260" w:lineRule="atLeast"/>
        <w:jc w:val="both"/>
      </w:pPr>
      <w:bookmarkStart w:id="348" w:name="Bookmark_para_26_1"/>
      <w:bookmarkEnd w:id="348"/>
      <w:r>
        <w:rPr>
          <w:rFonts w:ascii="Arial" w:eastAsia="Arial" w:hAnsi="Arial" w:cs="Arial"/>
          <w:color w:val="000000"/>
          <w:sz w:val="20"/>
        </w:rPr>
        <w:t xml:space="preserve">Perdue argues that because Sanofi once permitted her to job share as she worked her way back from her initial diagnosis and brain surgery, it could have done so in Greenville. But this prior decision does not require Sanofi to do the same thing when Perdue proposed the new job-share position with Hunt. We applaud Sanofi for going beyond its legal obligation under the ADA in accommodating Perdue's recovery. </w:t>
      </w:r>
      <w:bookmarkStart w:id="349" w:name="Bookmark_I62WMJDH2D6NMK0040000400"/>
      <w:bookmarkEnd w:id="349"/>
      <w:r>
        <w:rPr>
          <w:rFonts w:ascii="Arial" w:eastAsia="Arial" w:hAnsi="Arial" w:cs="Arial"/>
          <w:color w:val="000000"/>
          <w:sz w:val="20"/>
        </w:rPr>
        <w:t xml:space="preserve">And Sanofi appears willing to consider flexible-employment situations. But its generosity and overall flexibility does not raise the legal standard. </w:t>
      </w:r>
      <w:r>
        <w:rPr>
          <w:rFonts w:ascii="Arial" w:eastAsia="Arial" w:hAnsi="Arial" w:cs="Arial"/>
          <w:i/>
          <w:color w:val="000000"/>
          <w:sz w:val="20"/>
        </w:rPr>
        <w:t xml:space="preserve">See </w:t>
      </w:r>
      <w:bookmarkStart w:id="350" w:name="Bookmark_I62WMJDH2D6NMK0030000400"/>
      <w:bookmarkEnd w:id="350"/>
      <w:r>
        <w:rPr>
          <w:rFonts w:ascii="Arial" w:eastAsia="Arial" w:hAnsi="Arial" w:cs="Arial"/>
          <w:i/>
          <w:color w:val="000000"/>
          <w:sz w:val="20"/>
        </w:rPr>
        <w:t>Vande Zande v. State of Wis. Dep't of Admin.</w:t>
      </w:r>
      <w:r>
        <w:rPr>
          <w:rFonts w:ascii="Arial" w:eastAsia="Arial" w:hAnsi="Arial" w:cs="Arial"/>
          <w:color w:val="000000"/>
          <w:sz w:val="20"/>
        </w:rPr>
        <w:t xml:space="preserve">, 44 F.3d 538, 545 (7th Cir. 1995) (An employer that "bends over backwards to accommodate a disabled worker . . . must not be punished for its generosity by being deemed to have conceded the reasonableness of so far-reaching an accommodation."); </w:t>
      </w:r>
      <w:r>
        <w:rPr>
          <w:rFonts w:ascii="Arial" w:eastAsia="Arial" w:hAnsi="Arial" w:cs="Arial"/>
          <w:i/>
          <w:color w:val="000000"/>
          <w:sz w:val="20"/>
        </w:rPr>
        <w:t xml:space="preserve">see also </w:t>
      </w:r>
      <w:bookmarkStart w:id="351" w:name="Bookmark_I62WMJDH2D6NMK0050000400"/>
      <w:bookmarkEnd w:id="351"/>
      <w:r>
        <w:rPr>
          <w:rFonts w:ascii="Arial" w:eastAsia="Arial" w:hAnsi="Arial" w:cs="Arial"/>
          <w:i/>
          <w:color w:val="000000"/>
          <w:sz w:val="20"/>
        </w:rPr>
        <w:t>Myers v. Hose</w:t>
      </w:r>
      <w:r>
        <w:rPr>
          <w:rFonts w:ascii="Arial" w:eastAsia="Arial" w:hAnsi="Arial" w:cs="Arial"/>
          <w:color w:val="000000"/>
          <w:sz w:val="20"/>
        </w:rPr>
        <w:t>, 50 F.3d 278, 284 (4th Cir. 1995) ("Discouraging discretionary accommodations would undermine Congress' stated purpose of eradicating discrimination against disabled persons.").</w:t>
      </w:r>
    </w:p>
    <w:p w14:paraId="23E91F6F" w14:textId="77777777" w:rsidR="002B10A6" w:rsidRDefault="00000000">
      <w:pPr>
        <w:pStyle w:val="Normal2"/>
        <w:widowControl w:val="0"/>
        <w:spacing w:before="200" w:line="260" w:lineRule="atLeast"/>
        <w:jc w:val="both"/>
      </w:pPr>
      <w:bookmarkStart w:id="352" w:name="Bookmark_para_27_1"/>
      <w:bookmarkStart w:id="353" w:name="Bookmark_I62WMJDJ2SF7YJ0030000400"/>
      <w:bookmarkStart w:id="354" w:name="Bookmark_I62WMJDJ2SF7YJ0050000400"/>
      <w:bookmarkEnd w:id="352"/>
      <w:bookmarkEnd w:id="353"/>
      <w:bookmarkEnd w:id="354"/>
      <w:r>
        <w:rPr>
          <w:rFonts w:ascii="Arial" w:eastAsia="Arial" w:hAnsi="Arial" w:cs="Arial"/>
          <w:color w:val="000000"/>
          <w:sz w:val="20"/>
        </w:rPr>
        <w:t xml:space="preserve">The parties dispute how </w:t>
      </w:r>
      <w:bookmarkStart w:id="355" w:name="Bookmark_I62WMJDJ2SF7YJ0020000400"/>
      <w:bookmarkEnd w:id="355"/>
      <w:r>
        <w:rPr>
          <w:rFonts w:ascii="Arial" w:eastAsia="Arial" w:hAnsi="Arial" w:cs="Arial"/>
          <w:i/>
          <w:color w:val="000000"/>
          <w:sz w:val="20"/>
        </w:rPr>
        <w:t>US Airways, Inc. v. Barnett</w:t>
      </w:r>
      <w:r>
        <w:rPr>
          <w:rFonts w:ascii="Arial" w:eastAsia="Arial" w:hAnsi="Arial" w:cs="Arial"/>
          <w:color w:val="000000"/>
          <w:sz w:val="20"/>
        </w:rPr>
        <w:t xml:space="preserve">, 535 U.S. 391, 122 S. Ct. 1516, 152 L. Ed. 2d 589 (2002), applies to Sanofi's policy that a job share will be permitted only if the Area Business Leader approves. </w:t>
      </w:r>
      <w:bookmarkStart w:id="356" w:name="Bookmark_I62WMJDJ2SF7YK0020000400"/>
      <w:bookmarkEnd w:id="356"/>
      <w:r>
        <w:rPr>
          <w:rFonts w:ascii="Arial" w:eastAsia="Arial" w:hAnsi="Arial" w:cs="Arial"/>
          <w:i/>
          <w:color w:val="000000"/>
          <w:sz w:val="20"/>
        </w:rPr>
        <w:t>Barnett</w:t>
      </w:r>
      <w:r>
        <w:rPr>
          <w:rFonts w:ascii="Arial" w:eastAsia="Arial" w:hAnsi="Arial" w:cs="Arial"/>
          <w:color w:val="000000"/>
          <w:sz w:val="20"/>
        </w:rPr>
        <w:t xml:space="preserve"> addressed whether reassignment to a vacant position [**14]  was reasonable in the ordinary run of cases when that reassignment would trump the company's established neutral seniority system. </w:t>
      </w:r>
      <w:bookmarkStart w:id="357" w:name="Bookmark_I62WMJDJ2SF7YJ0040000400"/>
      <w:bookmarkEnd w:id="357"/>
      <w:r>
        <w:rPr>
          <w:rFonts w:ascii="Arial" w:eastAsia="Arial" w:hAnsi="Arial" w:cs="Arial"/>
          <w:i/>
          <w:color w:val="000000"/>
          <w:sz w:val="20"/>
        </w:rPr>
        <w:t>Id.</w:t>
      </w:r>
      <w:r>
        <w:rPr>
          <w:rFonts w:ascii="Arial" w:eastAsia="Arial" w:hAnsi="Arial" w:cs="Arial"/>
          <w:color w:val="000000"/>
          <w:sz w:val="20"/>
        </w:rPr>
        <w:t xml:space="preserve"> at 393-94. </w:t>
      </w:r>
      <w:bookmarkStart w:id="358" w:name="Bookmark_I62WMJDJ2SF7YK0020000400_2"/>
      <w:bookmarkStart w:id="359" w:name="Bookmark_I6P801B2YY10000643300002"/>
      <w:bookmarkStart w:id="360" w:name="Bookmark_I62WMJDJ2SF7YK0040000400"/>
      <w:bookmarkEnd w:id="358"/>
      <w:bookmarkEnd w:id="359"/>
      <w:bookmarkEnd w:id="360"/>
      <w:r>
        <w:rPr>
          <w:rFonts w:ascii="Arial" w:eastAsia="Arial" w:hAnsi="Arial" w:cs="Arial"/>
          <w:color w:val="000000"/>
          <w:sz w:val="20"/>
        </w:rPr>
        <w:t xml:space="preserve">The Court said that it was not, unless the plaintiff "present[ed] evidence of special circumstances that make 'reasonable' a seniority rule exception in the particular case." </w:t>
      </w:r>
      <w:bookmarkStart w:id="361" w:name="Bookmark_I62WMJDJ2SF7YK0010000400"/>
      <w:bookmarkEnd w:id="361"/>
      <w:r>
        <w:rPr>
          <w:rFonts w:ascii="Arial" w:eastAsia="Arial" w:hAnsi="Arial" w:cs="Arial"/>
          <w:i/>
          <w:color w:val="000000"/>
          <w:sz w:val="20"/>
        </w:rPr>
        <w:t>Id.</w:t>
      </w:r>
      <w:r>
        <w:rPr>
          <w:rFonts w:ascii="Arial" w:eastAsia="Arial" w:hAnsi="Arial" w:cs="Arial"/>
          <w:color w:val="000000"/>
          <w:sz w:val="20"/>
        </w:rPr>
        <w:t xml:space="preserve"> at 394. </w:t>
      </w:r>
      <w:bookmarkStart w:id="362" w:name="Bookmark_I62WMJDJ2SF7YK0040000400_2"/>
      <w:bookmarkEnd w:id="362"/>
      <w:r>
        <w:rPr>
          <w:rFonts w:ascii="Arial" w:eastAsia="Arial" w:hAnsi="Arial" w:cs="Arial"/>
          <w:color w:val="000000"/>
          <w:sz w:val="20"/>
        </w:rPr>
        <w:t xml:space="preserve">We recently extended </w:t>
      </w:r>
      <w:r>
        <w:rPr>
          <w:rFonts w:ascii="Arial" w:eastAsia="Arial" w:hAnsi="Arial" w:cs="Arial"/>
          <w:i/>
          <w:color w:val="000000"/>
          <w:sz w:val="20"/>
        </w:rPr>
        <w:t>Barnett</w:t>
      </w:r>
      <w:r>
        <w:rPr>
          <w:rFonts w:ascii="Arial" w:eastAsia="Arial" w:hAnsi="Arial" w:cs="Arial"/>
          <w:color w:val="000000"/>
          <w:sz w:val="20"/>
        </w:rPr>
        <w:t xml:space="preserve">'s reasoning to hold that reassignment in violation of a company's "best-qualified" hiring policy is not reasonable in the ordinary run of cases. </w:t>
      </w:r>
      <w:bookmarkStart w:id="363" w:name="Bookmark_I62WMJDJ2SF7YK0030000400"/>
      <w:bookmarkEnd w:id="363"/>
      <w:r>
        <w:rPr>
          <w:rFonts w:ascii="Arial" w:eastAsia="Arial" w:hAnsi="Arial" w:cs="Arial"/>
          <w:i/>
          <w:color w:val="000000"/>
          <w:sz w:val="20"/>
        </w:rPr>
        <w:t>Elledge</w:t>
      </w:r>
      <w:r>
        <w:rPr>
          <w:rFonts w:ascii="Arial" w:eastAsia="Arial" w:hAnsi="Arial" w:cs="Arial"/>
          <w:color w:val="000000"/>
          <w:sz w:val="20"/>
        </w:rPr>
        <w:t>, 979 F.3d at 1016.</w:t>
      </w:r>
    </w:p>
    <w:p w14:paraId="4167AD7B" w14:textId="77777777" w:rsidR="002B10A6" w:rsidRDefault="00000000">
      <w:pPr>
        <w:pStyle w:val="Normal2"/>
        <w:widowControl w:val="0"/>
        <w:spacing w:before="200" w:line="260" w:lineRule="atLeast"/>
        <w:jc w:val="both"/>
      </w:pPr>
      <w:bookmarkStart w:id="364" w:name="Bookmark_para_28_1"/>
      <w:bookmarkEnd w:id="364"/>
      <w:r>
        <w:rPr>
          <w:rFonts w:ascii="Arial" w:eastAsia="Arial" w:hAnsi="Arial" w:cs="Arial"/>
          <w:color w:val="000000"/>
          <w:sz w:val="20"/>
        </w:rPr>
        <w:t xml:space="preserve">But </w:t>
      </w:r>
      <w:r>
        <w:rPr>
          <w:rFonts w:ascii="Arial" w:eastAsia="Arial" w:hAnsi="Arial" w:cs="Arial"/>
          <w:i/>
          <w:color w:val="000000"/>
          <w:sz w:val="20"/>
        </w:rPr>
        <w:t>Barnett</w:t>
      </w:r>
      <w:r>
        <w:rPr>
          <w:rFonts w:ascii="Arial" w:eastAsia="Arial" w:hAnsi="Arial" w:cs="Arial"/>
          <w:color w:val="000000"/>
          <w:sz w:val="20"/>
        </w:rPr>
        <w:t xml:space="preserve"> and its Fourth Circuit progeny do not apply here. Those cases discuss the superiority of company policies that determine how to fill vacant </w:t>
      </w:r>
      <w:r>
        <w:rPr>
          <w:rFonts w:ascii="Arial" w:eastAsia="Arial" w:hAnsi="Arial" w:cs="Arial"/>
          <w:i/>
          <w:color w:val="000000"/>
          <w:sz w:val="20"/>
        </w:rPr>
        <w:t>existing</w:t>
      </w:r>
      <w:r>
        <w:rPr>
          <w:rFonts w:ascii="Arial" w:eastAsia="Arial" w:hAnsi="Arial" w:cs="Arial"/>
          <w:color w:val="000000"/>
          <w:sz w:val="20"/>
        </w:rPr>
        <w:t xml:space="preserve"> positions over ADA accommodations. </w:t>
      </w:r>
      <w:bookmarkStart w:id="365" w:name="Bookmark_I6P801B2M6K0000643300001"/>
      <w:bookmarkStart w:id="366" w:name="Bookmark_I62WMJDJ2N1RRW0010000400"/>
      <w:bookmarkEnd w:id="365"/>
      <w:bookmarkEnd w:id="366"/>
      <w:r>
        <w:rPr>
          <w:rFonts w:ascii="Arial" w:eastAsia="Arial" w:hAnsi="Arial" w:cs="Arial"/>
          <w:color w:val="000000"/>
          <w:sz w:val="20"/>
        </w:rPr>
        <w:t xml:space="preserve">Sanofi's policy instead dictates when a new position can be created. </w:t>
      </w:r>
      <w:bookmarkStart w:id="367" w:name="Bookmark_LNHNREFclscc11_0"/>
      <w:bookmarkEnd w:id="367"/>
      <w:r>
        <w:rPr>
          <w:rFonts w:ascii="Arial" w:eastAsia="Arial" w:hAnsi="Arial" w:cs="Arial"/>
          <w:color w:val="000000"/>
          <w:sz w:val="20"/>
        </w:rPr>
        <w:t xml:space="preserve">The ADA can, in "special circumstances," influence how a company fills its positions, even if that requires overriding otherwise neutral company policies. </w:t>
      </w:r>
      <w:bookmarkStart w:id="368" w:name="Bookmark_I62WMJDJ2SF7YK0050000400"/>
      <w:bookmarkEnd w:id="368"/>
      <w:r>
        <w:rPr>
          <w:rFonts w:ascii="Arial" w:eastAsia="Arial" w:hAnsi="Arial" w:cs="Arial"/>
          <w:i/>
          <w:color w:val="000000"/>
          <w:sz w:val="20"/>
        </w:rPr>
        <w:t>Barnett</w:t>
      </w:r>
      <w:r>
        <w:rPr>
          <w:rFonts w:ascii="Arial" w:eastAsia="Arial" w:hAnsi="Arial" w:cs="Arial"/>
          <w:color w:val="000000"/>
          <w:sz w:val="20"/>
        </w:rPr>
        <w:t>, 535 U.S. at 397. But it cannot require the company to create new positions.</w:t>
      </w:r>
    </w:p>
    <w:p w14:paraId="41771E73" w14:textId="77777777" w:rsidR="002B10A6" w:rsidRDefault="00000000">
      <w:pPr>
        <w:pStyle w:val="Normal2"/>
        <w:widowControl w:val="0"/>
        <w:spacing w:before="200" w:line="260" w:lineRule="atLeast"/>
        <w:jc w:val="both"/>
      </w:pPr>
      <w:bookmarkStart w:id="369" w:name="Bookmark_para_29_1"/>
      <w:bookmarkEnd w:id="369"/>
      <w:r>
        <w:rPr>
          <w:rFonts w:ascii="Arial" w:eastAsia="Arial" w:hAnsi="Arial" w:cs="Arial"/>
          <w:color w:val="000000"/>
          <w:sz w:val="20"/>
        </w:rPr>
        <w:t xml:space="preserve">So providing Perdue a job-share position with Hunt in the Greenville territory was not a reasonable accommodation required by the ADA—not because the position was not "vacant" but because the position she sought did not exist. </w:t>
      </w:r>
      <w:bookmarkStart w:id="370" w:name="Bookmark_LNHNREFclscc12_0"/>
      <w:bookmarkEnd w:id="370"/>
      <w:r>
        <w:rPr>
          <w:rFonts w:ascii="Arial" w:eastAsia="Arial" w:hAnsi="Arial" w:cs="Arial"/>
          <w:color w:val="000000"/>
          <w:sz w:val="20"/>
        </w:rPr>
        <w:t>The ADA [**15]  does not require employers to create new positions  [*962]  to accommodate their employees with disabilities. It is on this ground that summary judgment should have been granted to Sanofi on Perdue's ADA failure-to-accommodate claim.</w:t>
      </w:r>
    </w:p>
    <w:p w14:paraId="11D808A8" w14:textId="77777777" w:rsidR="002B10A6" w:rsidRDefault="00000000">
      <w:pPr>
        <w:pStyle w:val="Normal2"/>
        <w:widowControl w:val="0"/>
        <w:spacing w:before="200" w:line="260" w:lineRule="atLeast"/>
        <w:jc w:val="both"/>
      </w:pPr>
      <w:bookmarkStart w:id="371" w:name="Bookmark_para_30_1"/>
      <w:bookmarkStart w:id="372" w:name="Bookmark_I62WMJDJ2N1RRW0030000400"/>
      <w:bookmarkStart w:id="373" w:name="Bookmark_I62WMJDJ2HM5PY0020000400"/>
      <w:bookmarkEnd w:id="371"/>
      <w:bookmarkEnd w:id="372"/>
      <w:bookmarkEnd w:id="373"/>
      <w:r>
        <w:rPr>
          <w:rFonts w:ascii="Arial" w:eastAsia="Arial" w:hAnsi="Arial" w:cs="Arial"/>
          <w:color w:val="000000"/>
          <w:sz w:val="20"/>
        </w:rPr>
        <w:t xml:space="preserve">Perdue separately argues that Sanofi should be liable for failing to engage with her in an interactive process. </w:t>
      </w:r>
      <w:bookmarkStart w:id="374" w:name="Bookmark_LNHNREFclscc13"/>
      <w:bookmarkEnd w:id="374"/>
      <w:r>
        <w:rPr>
          <w:rFonts w:ascii="Arial" w:eastAsia="Arial" w:hAnsi="Arial" w:cs="Arial"/>
          <w:color w:val="000000"/>
          <w:sz w:val="20"/>
        </w:rPr>
        <w:t xml:space="preserve">But "the interactive process 'is not an end in itself'" but a "means for determining what reasonable accommodations are available to allow a disabled individual to perform the essential job functions of the position sought." </w:t>
      </w:r>
      <w:bookmarkStart w:id="375" w:name="Bookmark_I62WMJDJ2N1RRW0020000400"/>
      <w:bookmarkEnd w:id="375"/>
      <w:r>
        <w:rPr>
          <w:rFonts w:ascii="Arial" w:eastAsia="Arial" w:hAnsi="Arial" w:cs="Arial"/>
          <w:i/>
          <w:color w:val="000000"/>
          <w:sz w:val="20"/>
        </w:rPr>
        <w:t>Wilson</w:t>
      </w:r>
      <w:r>
        <w:rPr>
          <w:rFonts w:ascii="Arial" w:eastAsia="Arial" w:hAnsi="Arial" w:cs="Arial"/>
          <w:color w:val="000000"/>
          <w:sz w:val="20"/>
        </w:rPr>
        <w:t xml:space="preserve">, 717 F.3d at 347 (quoting </w:t>
      </w:r>
      <w:bookmarkStart w:id="376" w:name="Bookmark_I62WMJDJ2N1RRW0040000400"/>
      <w:bookmarkEnd w:id="376"/>
      <w:r>
        <w:rPr>
          <w:rFonts w:ascii="Arial" w:eastAsia="Arial" w:hAnsi="Arial" w:cs="Arial"/>
          <w:i/>
          <w:color w:val="000000"/>
          <w:sz w:val="20"/>
        </w:rPr>
        <w:t>Rehling v. City of Chi.</w:t>
      </w:r>
      <w:r>
        <w:rPr>
          <w:rFonts w:ascii="Arial" w:eastAsia="Arial" w:hAnsi="Arial" w:cs="Arial"/>
          <w:color w:val="000000"/>
          <w:sz w:val="20"/>
        </w:rPr>
        <w:t xml:space="preserve">, 207 F.3d 1009, 1015 (7th Cir. 2000)). So "an employer will not be liable for failure to engage in the interactive process if the employee ultimately fails to demonstrate the existence of a reasonable accommodation that would allow her to perform the essential functions of the position." </w:t>
      </w:r>
      <w:bookmarkStart w:id="377" w:name="Bookmark_I62WMJDJ2HM5PY0010000400"/>
      <w:bookmarkEnd w:id="377"/>
      <w:r>
        <w:rPr>
          <w:rFonts w:ascii="Arial" w:eastAsia="Arial" w:hAnsi="Arial" w:cs="Arial"/>
          <w:i/>
          <w:color w:val="000000"/>
          <w:sz w:val="20"/>
        </w:rPr>
        <w:t>Jacobs v. N.C. Admin. Off. of the Cts.</w:t>
      </w:r>
      <w:r>
        <w:rPr>
          <w:rFonts w:ascii="Arial" w:eastAsia="Arial" w:hAnsi="Arial" w:cs="Arial"/>
          <w:color w:val="000000"/>
          <w:sz w:val="20"/>
        </w:rPr>
        <w:t>, 780 F.3d 562, 581 (4th Cir. 2015). As Perdue fails to demonstrate the existence of a reasonable accommodation, Sanofi cannot separately be liable for failing to engage in the interactive process.</w:t>
      </w:r>
    </w:p>
    <w:p w14:paraId="27D0D792" w14:textId="77777777" w:rsidR="002B10A6" w:rsidRDefault="00000000">
      <w:pPr>
        <w:pStyle w:val="Normal2"/>
        <w:widowControl w:val="0"/>
        <w:spacing w:before="200" w:line="260" w:lineRule="atLeast"/>
        <w:jc w:val="both"/>
      </w:pPr>
      <w:bookmarkStart w:id="378" w:name="Bookmark_para_31_1"/>
      <w:bookmarkEnd w:id="378"/>
      <w:r>
        <w:rPr>
          <w:rFonts w:ascii="Arial" w:eastAsia="Arial" w:hAnsi="Arial" w:cs="Arial"/>
          <w:color w:val="000000"/>
          <w:sz w:val="20"/>
        </w:rPr>
        <w:t>* * *</w:t>
      </w:r>
    </w:p>
    <w:p w14:paraId="11EABAE8" w14:textId="77777777" w:rsidR="002B10A6" w:rsidRDefault="00000000">
      <w:pPr>
        <w:pStyle w:val="Normal2"/>
        <w:widowControl w:val="0"/>
        <w:spacing w:before="200" w:line="260" w:lineRule="atLeast"/>
        <w:jc w:val="both"/>
      </w:pPr>
      <w:bookmarkStart w:id="379" w:name="Bookmark_para_32_1"/>
      <w:bookmarkStart w:id="380" w:name="Bookmark_LNHNREFclscc14"/>
      <w:bookmarkEnd w:id="379"/>
      <w:bookmarkEnd w:id="380"/>
      <w:r>
        <w:rPr>
          <w:rFonts w:ascii="Arial" w:eastAsia="Arial" w:hAnsi="Arial" w:cs="Arial"/>
          <w:color w:val="000000"/>
          <w:sz w:val="20"/>
        </w:rPr>
        <w:t>We hold today that a part-time job-share position that requires managerial approval to create is not a reasonable accommodation in the ordinary run of cases because the ADA does not require companies to create [**16]  new positions to accommodate their employees with disabilities. With that conclusion, the rest of Perdue's claims cannot succeed.</w:t>
      </w:r>
      <w:r>
        <w:rPr>
          <w:rFonts w:ascii="Arial" w:eastAsia="Arial" w:hAnsi="Arial" w:cs="Arial"/>
          <w:vertAlign w:val="superscript"/>
        </w:rPr>
        <w:footnoteReference w:customMarkFollows="1" w:id="11"/>
        <w:t>5</w:t>
      </w:r>
      <w:r>
        <w:rPr>
          <w:rFonts w:ascii="Arial" w:eastAsia="Arial" w:hAnsi="Arial" w:cs="Arial"/>
          <w:color w:val="000000"/>
          <w:sz w:val="20"/>
        </w:rPr>
        <w:t xml:space="preserve"> Accordingly, the district court's grant of summary judgment to Sanofi is</w:t>
      </w:r>
    </w:p>
    <w:p w14:paraId="751118F7" w14:textId="77777777" w:rsidR="002B10A6" w:rsidRDefault="00000000">
      <w:pPr>
        <w:pStyle w:val="Normal2"/>
        <w:widowControl w:val="0"/>
        <w:spacing w:before="200" w:line="260" w:lineRule="atLeast"/>
        <w:jc w:val="both"/>
      </w:pPr>
      <w:bookmarkStart w:id="390" w:name="Bookmark_para_33_0"/>
      <w:bookmarkEnd w:id="390"/>
      <w:r>
        <w:rPr>
          <w:rFonts w:ascii="Arial" w:eastAsia="Arial" w:hAnsi="Arial" w:cs="Arial"/>
          <w:color w:val="000000"/>
          <w:sz w:val="20"/>
        </w:rPr>
        <w:t>AFFIRMED.</w:t>
      </w:r>
    </w:p>
    <w:p w14:paraId="2BF7AEE6" w14:textId="77777777" w:rsidR="002B10A6" w:rsidRDefault="002B10A6">
      <w:pPr>
        <w:pStyle w:val="Normal2"/>
      </w:pPr>
    </w:p>
    <w:p w14:paraId="57FD6813" w14:textId="44224E7E" w:rsidR="002B10A6" w:rsidRDefault="00000000">
      <w:pPr>
        <w:pStyle w:val="Normal2"/>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63360" behindDoc="0" locked="0" layoutInCell="1" allowOverlap="1" wp14:anchorId="6889B2BD" wp14:editId="77CE65BF">
                <wp:simplePos x="0" y="0"/>
                <wp:positionH relativeFrom="column">
                  <wp:posOffset>0</wp:posOffset>
                </wp:positionH>
                <wp:positionV relativeFrom="paragraph">
                  <wp:posOffset>127000</wp:posOffset>
                </wp:positionV>
                <wp:extent cx="6502400" cy="0"/>
                <wp:effectExtent l="9525" t="12700" r="12700" b="6350"/>
                <wp:wrapNone/>
                <wp:docPr id="149125157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58F6FD" id="Line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F8E756C" w14:textId="77777777" w:rsidR="002B10A6" w:rsidRDefault="002B10A6">
      <w:pPr>
        <w:pStyle w:val="Normal3"/>
        <w:sectPr w:rsidR="002B10A6">
          <w:headerReference w:type="even" r:id="rId24"/>
          <w:headerReference w:type="default" r:id="rId25"/>
          <w:footerReference w:type="even" r:id="rId26"/>
          <w:footerReference w:type="default" r:id="rId27"/>
          <w:headerReference w:type="first" r:id="rId28"/>
          <w:footerReference w:type="first" r:id="rId29"/>
          <w:pgSz w:w="12240" w:h="15840"/>
          <w:pgMar w:top="840" w:right="1000" w:bottom="840" w:left="1000" w:header="400" w:footer="400" w:gutter="0"/>
          <w:cols w:space="720"/>
          <w:titlePg/>
        </w:sectPr>
      </w:pPr>
    </w:p>
    <w:p w14:paraId="073B85E2" w14:textId="77777777" w:rsidR="002B10A6" w:rsidRDefault="002B10A6">
      <w:pPr>
        <w:pStyle w:val="Normal3"/>
      </w:pPr>
    </w:p>
    <w:p w14:paraId="118BD3D2" w14:textId="77777777" w:rsidR="002B10A6" w:rsidRDefault="00000000">
      <w:pPr>
        <w:pStyle w:val="Heading12"/>
        <w:keepNext w:val="0"/>
        <w:widowControl w:val="0"/>
        <w:spacing w:after="200" w:line="340" w:lineRule="atLeast"/>
        <w:jc w:val="center"/>
      </w:pPr>
      <w:r>
        <w:rPr>
          <w:rFonts w:eastAsia="Arial"/>
          <w:color w:val="000000"/>
          <w:sz w:val="28"/>
        </w:rPr>
        <w:t>Castelino v. Rose-Hulman Inst. of Tech.</w:t>
      </w:r>
    </w:p>
    <w:p w14:paraId="3C49D2EA" w14:textId="77777777" w:rsidR="002B10A6" w:rsidRDefault="00000000">
      <w:pPr>
        <w:pStyle w:val="Normal3"/>
        <w:widowControl w:val="0"/>
        <w:spacing w:before="120" w:line="260" w:lineRule="atLeast"/>
        <w:jc w:val="center"/>
      </w:pPr>
      <w:r>
        <w:rPr>
          <w:rFonts w:ascii="Arial" w:eastAsia="Arial" w:hAnsi="Arial" w:cs="Arial"/>
          <w:color w:val="000000"/>
          <w:sz w:val="20"/>
        </w:rPr>
        <w:t>United States Court of Appeals for the Seventh Circuit</w:t>
      </w:r>
    </w:p>
    <w:p w14:paraId="772D3A9D" w14:textId="77777777" w:rsidR="002B10A6" w:rsidRDefault="00000000">
      <w:pPr>
        <w:pStyle w:val="Normal3"/>
        <w:widowControl w:val="0"/>
        <w:spacing w:before="120" w:line="260" w:lineRule="atLeast"/>
        <w:jc w:val="center"/>
      </w:pPr>
      <w:r>
        <w:rPr>
          <w:rFonts w:ascii="Arial" w:eastAsia="Arial" w:hAnsi="Arial" w:cs="Arial"/>
          <w:color w:val="000000"/>
          <w:sz w:val="20"/>
        </w:rPr>
        <w:t>September 29, 2020, Submitted</w:t>
      </w:r>
      <w:r>
        <w:rPr>
          <w:rFonts w:ascii="Arial" w:eastAsia="Arial" w:hAnsi="Arial" w:cs="Arial"/>
          <w:vertAlign w:val="superscript"/>
        </w:rPr>
        <w:footnoteReference w:customMarkFollows="1" w:id="12"/>
        <w:t>*</w:t>
      </w:r>
      <w:r>
        <w:rPr>
          <w:rFonts w:ascii="Arial" w:eastAsia="Arial" w:hAnsi="Arial" w:cs="Arial"/>
          <w:color w:val="000000"/>
          <w:sz w:val="20"/>
        </w:rPr>
        <w:t>; June 3, 2021, Decided</w:t>
      </w:r>
    </w:p>
    <w:p w14:paraId="1D2E908C" w14:textId="77777777" w:rsidR="002B10A6" w:rsidRDefault="00000000">
      <w:pPr>
        <w:pStyle w:val="Normal3"/>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19-1905</w:t>
      </w:r>
    </w:p>
    <w:p w14:paraId="1E6C19E9" w14:textId="77777777" w:rsidR="002B10A6" w:rsidRDefault="002B10A6">
      <w:pPr>
        <w:pStyle w:val="Normal3"/>
        <w:widowControl w:val="0"/>
        <w:spacing w:line="240" w:lineRule="atLeast"/>
        <w:jc w:val="both"/>
      </w:pPr>
      <w:bookmarkStart w:id="392" w:name="Bookmark_4"/>
      <w:bookmarkEnd w:id="392"/>
    </w:p>
    <w:p w14:paraId="342ACB53" w14:textId="77777777" w:rsidR="002B10A6" w:rsidRDefault="00000000">
      <w:pPr>
        <w:pStyle w:val="Normal3"/>
        <w:widowControl w:val="0"/>
        <w:spacing w:before="200" w:line="240" w:lineRule="atLeast"/>
      </w:pPr>
      <w:bookmarkStart w:id="393" w:name="Reporter_2"/>
      <w:bookmarkEnd w:id="393"/>
      <w:r>
        <w:rPr>
          <w:rFonts w:ascii="Arial" w:eastAsia="Arial" w:hAnsi="Arial" w:cs="Arial"/>
          <w:b/>
          <w:color w:val="000000"/>
          <w:sz w:val="18"/>
        </w:rPr>
        <w:t>Reporter</w:t>
      </w:r>
    </w:p>
    <w:p w14:paraId="68C6F429" w14:textId="77777777" w:rsidR="002B10A6" w:rsidRDefault="00000000">
      <w:pPr>
        <w:pStyle w:val="Normal3"/>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999 F.3d 1031 *; 2021 U.S. App. LEXIS 16626 **; 109 Fed. R. Serv. 3d (Callaghan) 1303</w:t>
      </w:r>
    </w:p>
    <w:p w14:paraId="3391ADE6" w14:textId="77777777" w:rsidR="002B10A6" w:rsidRDefault="00000000">
      <w:pPr>
        <w:pStyle w:val="Normal3"/>
        <w:widowControl w:val="0"/>
        <w:spacing w:before="120" w:line="260" w:lineRule="atLeast"/>
      </w:pPr>
      <w:r>
        <w:rPr>
          <w:rFonts w:ascii="Arial" w:eastAsia="Arial" w:hAnsi="Arial" w:cs="Arial"/>
          <w:color w:val="000000"/>
          <w:sz w:val="20"/>
        </w:rPr>
        <w:t>JUSTIN CASTELINO, Plaintiff-Appellant, v. ROSE-HULMAN INSTITUTE OF TECHNOLOGY, Defendant-Appellee.</w:t>
      </w:r>
    </w:p>
    <w:p w14:paraId="76C924B2" w14:textId="77777777" w:rsidR="002B10A6" w:rsidRDefault="00000000">
      <w:pPr>
        <w:pStyle w:val="Normal3"/>
        <w:widowControl w:val="0"/>
        <w:spacing w:before="240" w:line="260" w:lineRule="atLeast"/>
        <w:jc w:val="both"/>
      </w:pPr>
      <w:bookmarkStart w:id="394" w:name="Prior_History_2"/>
      <w:bookmarkEnd w:id="394"/>
      <w:r>
        <w:rPr>
          <w:rFonts w:ascii="Arial" w:eastAsia="Arial" w:hAnsi="Arial" w:cs="Arial"/>
          <w:b/>
          <w:color w:val="000000"/>
          <w:sz w:val="20"/>
        </w:rPr>
        <w:t>Prior History:</w:t>
      </w:r>
      <w:r>
        <w:rPr>
          <w:rFonts w:ascii="Arial" w:eastAsia="Arial" w:hAnsi="Arial" w:cs="Arial"/>
          <w:color w:val="000000"/>
          <w:sz w:val="20"/>
        </w:rPr>
        <w:t> </w:t>
      </w:r>
      <w:bookmarkStart w:id="395" w:name="Bookmark_para_1_2"/>
      <w:bookmarkEnd w:id="395"/>
      <w:r>
        <w:rPr>
          <w:rFonts w:ascii="Arial" w:eastAsia="Arial" w:hAnsi="Arial" w:cs="Arial"/>
          <w:color w:val="000000"/>
          <w:sz w:val="20"/>
        </w:rPr>
        <w:t> [**1] Appeal from the United States District Court for the Southern District of Indiana, Terre Haute Division. No. 17 CV 139 — William T. Lawrence, Judge.</w:t>
      </w:r>
    </w:p>
    <w:p w14:paraId="1D91C032" w14:textId="77777777" w:rsidR="002B10A6" w:rsidRDefault="00000000">
      <w:pPr>
        <w:pStyle w:val="Normal3"/>
        <w:widowControl w:val="0"/>
        <w:spacing w:before="240" w:line="260" w:lineRule="atLeast"/>
      </w:pPr>
      <w:bookmarkStart w:id="396" w:name="Counsel_2"/>
      <w:bookmarkEnd w:id="396"/>
      <w:r>
        <w:rPr>
          <w:rFonts w:ascii="Arial" w:eastAsia="Arial" w:hAnsi="Arial" w:cs="Arial"/>
          <w:b/>
          <w:color w:val="000000"/>
          <w:sz w:val="20"/>
        </w:rPr>
        <w:t>Counsel:</w:t>
      </w:r>
      <w:r>
        <w:rPr>
          <w:rFonts w:ascii="Arial" w:eastAsia="Arial" w:hAnsi="Arial" w:cs="Arial"/>
          <w:color w:val="000000"/>
          <w:sz w:val="20"/>
        </w:rPr>
        <w:t> JUSTIN PHILIP CASTELINO, Plaintiff - Appellant, Pro se, Stamford, CT.</w:t>
      </w:r>
    </w:p>
    <w:p w14:paraId="7B86F7A1" w14:textId="77777777" w:rsidR="002B10A6" w:rsidRDefault="00000000">
      <w:pPr>
        <w:pStyle w:val="Normal3"/>
        <w:widowControl w:val="0"/>
        <w:spacing w:before="120" w:line="260" w:lineRule="atLeast"/>
      </w:pPr>
      <w:r>
        <w:rPr>
          <w:rFonts w:ascii="Arial" w:eastAsia="Arial" w:hAnsi="Arial" w:cs="Arial"/>
          <w:color w:val="000000"/>
          <w:sz w:val="20"/>
        </w:rPr>
        <w:t>For ROSE-HULMAN INSTITUTE OF TECHNOLOGY, Defendant - Appellee: Holly Ann Reedy, Attorney, WILKINSON, GOELLER, MODESITT, WILKINSON &amp; DRUMMY, Terre Haute, IN.</w:t>
      </w:r>
    </w:p>
    <w:p w14:paraId="03D6E7E8" w14:textId="77777777" w:rsidR="002B10A6" w:rsidRDefault="00000000">
      <w:pPr>
        <w:pStyle w:val="Normal3"/>
        <w:widowControl w:val="0"/>
        <w:spacing w:before="240" w:line="260" w:lineRule="atLeast"/>
      </w:pPr>
      <w:bookmarkStart w:id="397" w:name="Judges_2"/>
      <w:bookmarkEnd w:id="397"/>
      <w:r>
        <w:rPr>
          <w:rFonts w:ascii="Arial" w:eastAsia="Arial" w:hAnsi="Arial" w:cs="Arial"/>
          <w:b/>
          <w:color w:val="000000"/>
          <w:sz w:val="20"/>
        </w:rPr>
        <w:t>Judges:</w:t>
      </w:r>
      <w:r>
        <w:rPr>
          <w:rFonts w:ascii="Arial" w:eastAsia="Arial" w:hAnsi="Arial" w:cs="Arial"/>
          <w:color w:val="000000"/>
          <w:sz w:val="20"/>
        </w:rPr>
        <w:t> Before ROVNER, BRENNAN, and SCUDDER, Circuit Judges.</w:t>
      </w:r>
    </w:p>
    <w:p w14:paraId="668B720A" w14:textId="77777777" w:rsidR="002B10A6" w:rsidRDefault="00000000">
      <w:pPr>
        <w:pStyle w:val="Normal3"/>
        <w:widowControl w:val="0"/>
        <w:spacing w:before="240" w:line="260" w:lineRule="atLeast"/>
      </w:pPr>
      <w:bookmarkStart w:id="398" w:name="Opinion_by_2"/>
      <w:bookmarkEnd w:id="398"/>
      <w:r>
        <w:rPr>
          <w:rFonts w:ascii="Arial" w:eastAsia="Arial" w:hAnsi="Arial" w:cs="Arial"/>
          <w:b/>
          <w:color w:val="000000"/>
          <w:sz w:val="20"/>
        </w:rPr>
        <w:t>Opinion by:</w:t>
      </w:r>
      <w:r>
        <w:rPr>
          <w:rFonts w:ascii="Arial" w:eastAsia="Arial" w:hAnsi="Arial" w:cs="Arial"/>
          <w:color w:val="000000"/>
          <w:sz w:val="20"/>
        </w:rPr>
        <w:t> ROVNER</w:t>
      </w:r>
    </w:p>
    <w:p w14:paraId="0EA2E3C5" w14:textId="77777777" w:rsidR="002B10A6" w:rsidRDefault="00000000">
      <w:pPr>
        <w:pStyle w:val="Normal3"/>
        <w:keepNext/>
        <w:widowControl w:val="0"/>
        <w:spacing w:before="240" w:line="340" w:lineRule="atLeast"/>
      </w:pPr>
      <w:bookmarkStart w:id="399" w:name="Opinion_2"/>
      <w:bookmarkEnd w:id="399"/>
      <w:r>
        <w:rPr>
          <w:rFonts w:ascii="Arial" w:eastAsia="Arial" w:hAnsi="Arial" w:cs="Arial"/>
          <w:b/>
          <w:color w:val="000000"/>
          <w:sz w:val="28"/>
        </w:rPr>
        <w:t>Opinion</w:t>
      </w:r>
    </w:p>
    <w:p w14:paraId="1A08B2E4" w14:textId="3CA00AE2" w:rsidR="002B10A6" w:rsidRDefault="002D6974">
      <w:pPr>
        <w:pStyle w:val="Normal3"/>
        <w:spacing w:line="60" w:lineRule="exact"/>
      </w:pPr>
      <w:r>
        <w:rPr>
          <w:noProof/>
        </w:rPr>
        <mc:AlternateContent>
          <mc:Choice Requires="wps">
            <w:drawing>
              <wp:anchor distT="0" distB="0" distL="114300" distR="114300" simplePos="0" relativeHeight="251664384" behindDoc="0" locked="0" layoutInCell="1" allowOverlap="1" wp14:anchorId="059AFCCB" wp14:editId="51F199A4">
                <wp:simplePos x="0" y="0"/>
                <wp:positionH relativeFrom="column">
                  <wp:posOffset>0</wp:posOffset>
                </wp:positionH>
                <wp:positionV relativeFrom="paragraph">
                  <wp:posOffset>25400</wp:posOffset>
                </wp:positionV>
                <wp:extent cx="3187700" cy="0"/>
                <wp:effectExtent l="19050" t="15875" r="12700" b="12700"/>
                <wp:wrapTopAndBottom/>
                <wp:docPr id="82348990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FA01D" id="Line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AC3A2C1" w14:textId="77777777" w:rsidR="002B10A6" w:rsidRDefault="002B10A6">
      <w:pPr>
        <w:pStyle w:val="Normal3"/>
      </w:pPr>
    </w:p>
    <w:p w14:paraId="1E479C5C" w14:textId="77777777" w:rsidR="002B10A6" w:rsidRDefault="00000000">
      <w:pPr>
        <w:pStyle w:val="Normal3"/>
        <w:widowControl w:val="0"/>
        <w:spacing w:before="200" w:line="260" w:lineRule="atLeast"/>
        <w:jc w:val="both"/>
      </w:pPr>
      <w:bookmarkStart w:id="400" w:name="Bookmark_para_2_2"/>
      <w:bookmarkEnd w:id="400"/>
      <w:r>
        <w:rPr>
          <w:rFonts w:ascii="Arial" w:eastAsia="Arial" w:hAnsi="Arial" w:cs="Arial"/>
          <w:color w:val="000000"/>
          <w:sz w:val="20"/>
        </w:rPr>
        <w:t xml:space="preserve"> [*1033]  </w:t>
      </w:r>
      <w:r>
        <w:rPr>
          <w:rFonts w:ascii="Arial" w:eastAsia="Arial" w:hAnsi="Arial" w:cs="Arial"/>
          <w:smallCaps/>
          <w:color w:val="000000"/>
          <w:sz w:val="20"/>
        </w:rPr>
        <w:t>Rovner</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xml:space="preserve">. Justin Castelino was suspended from Rose-Hulman Institute of Technology for a semester for academic misconduct. When he applied to return the following spring, Rose-Hulman denied his requests for readmission and also informed him that he would not be permitted to reapply in the future. Castelino then sued Rose-Hulman, alleging that his suspension violated the Americans with Disabilities Act, 42 U.S.C. § 12101 </w:t>
      </w:r>
      <w:r>
        <w:rPr>
          <w:rFonts w:ascii="Arial" w:eastAsia="Arial" w:hAnsi="Arial" w:cs="Arial"/>
          <w:i/>
          <w:color w:val="000000"/>
          <w:sz w:val="20"/>
        </w:rPr>
        <w:t>et seq.</w:t>
      </w:r>
      <w:r>
        <w:rPr>
          <w:rFonts w:ascii="Arial" w:eastAsia="Arial" w:hAnsi="Arial" w:cs="Arial"/>
          <w:color w:val="000000"/>
          <w:sz w:val="20"/>
        </w:rPr>
        <w:t xml:space="preserve"> ("ADA"), and also asserting claims against Rose-Hulman for breach of contract, defamation, false advertising, invasion of privacy, and malice. The district court entered summary judgment for Rose-Hulman on all counts and also granted Rose-Hulman's motion for sanctions based on Castelino's failure to comply with a scheduling order. Castelino appeals, but we affirm.</w:t>
      </w:r>
    </w:p>
    <w:p w14:paraId="3C462B85" w14:textId="77777777" w:rsidR="002B10A6" w:rsidRDefault="00000000">
      <w:pPr>
        <w:pStyle w:val="Normal3"/>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6B006CB3" w14:textId="77777777" w:rsidR="002B10A6" w:rsidRDefault="00000000">
      <w:pPr>
        <w:pStyle w:val="Normal3"/>
        <w:widowControl w:val="0"/>
        <w:spacing w:before="200" w:line="260" w:lineRule="atLeast"/>
        <w:jc w:val="both"/>
      </w:pPr>
      <w:bookmarkStart w:id="401" w:name="Bookmark_para_3_2"/>
      <w:bookmarkEnd w:id="401"/>
      <w:r>
        <w:rPr>
          <w:rFonts w:ascii="Arial" w:eastAsia="Arial" w:hAnsi="Arial" w:cs="Arial"/>
          <w:color w:val="000000"/>
          <w:sz w:val="20"/>
        </w:rPr>
        <w:t>We note at the outset that [**2]  Castelino's brief falls short of compliance with Federal Rule of Appellate Procedure 28 in many respects.</w:t>
      </w:r>
      <w:r>
        <w:rPr>
          <w:rFonts w:ascii="Arial" w:eastAsia="Arial" w:hAnsi="Arial" w:cs="Arial"/>
          <w:vertAlign w:val="superscript"/>
        </w:rPr>
        <w:footnoteReference w:customMarkFollows="1" w:id="13"/>
        <w:t>1</w:t>
      </w:r>
      <w:r>
        <w:rPr>
          <w:rFonts w:ascii="Arial" w:eastAsia="Arial" w:hAnsi="Arial" w:cs="Arial"/>
          <w:color w:val="000000"/>
          <w:sz w:val="20"/>
        </w:rPr>
        <w:t xml:space="preserve"> Thus, although we construe the facts in the light most favorable to Castelino, we rely for the details on Rose-Hulman's brief and the record, which more clearly, objectively, and accurately set forth the factual background. In the fall of 2012, Castelino enrolled as a transfer student at Rose-Hulman Institute of Technology, a private engineering,  [*1034]  mathematics, and science college in Terre Haute, Indiana. As a student at Rose-Hulman, Castelino received certain accommodations based on what he identifies in his brief on appeal as a "documented auditory processing disorder." Specifically, Castelino provided Rose-Hulman with a neuropsychological report diagnosing him with attention-deficit/hyperactivity disorder ("ADHD") and a learning disorder. Rose-Hulman granted Castelino an accommodation that allowed him to receive 100% extended time on tests and quizzes, which he was allowed to take in a distraction-free environment.</w:t>
      </w:r>
    </w:p>
    <w:p w14:paraId="0A56F1A3" w14:textId="77777777" w:rsidR="002B10A6" w:rsidRDefault="00000000">
      <w:pPr>
        <w:pStyle w:val="Normal3"/>
        <w:widowControl w:val="0"/>
        <w:spacing w:before="200" w:line="260" w:lineRule="atLeast"/>
        <w:jc w:val="both"/>
      </w:pPr>
      <w:bookmarkStart w:id="403" w:name="Bookmark_para_4_2"/>
      <w:bookmarkEnd w:id="403"/>
      <w:r>
        <w:rPr>
          <w:rFonts w:ascii="Arial" w:eastAsia="Arial" w:hAnsi="Arial" w:cs="Arial"/>
          <w:color w:val="000000"/>
          <w:sz w:val="20"/>
        </w:rPr>
        <w:t>While at Rose-Hulman, Castelino was reprimanded several times for academic misconduct. In 2013, one of Castelino's professors, Dr. James Hanson, saw him copying from another student's homework. Dr. Hanson [**3]  issued a letter of academic misconduct following the incident. Castelino appealed the letter to the college's Rules and Discipline Committee, but the Committee allowed the letter to remain in Castelino's file. The following year Castelino received another letter of academic misconduct. This time he and another student submitted duplicate work in a course taught by Dr. Jeremy Chapman. The head of the Civil Engineering Department, Dr. Kevin Sutterer, met with Castelino about the incident. After hearing his explanation, Dr. Sutterer decided it was possible that Castelino had submitted the duplicate work as the result of a misunderstanding. Thus, although the Civil Engineering Department ordinarily requests a student's suspension after a second incident of academic misconduct, Dr. Sutterer did not refer Castelino for suspension. Instead, Dr. Sutterer warned Castelino that he risked dismissal from Rose-Hulman if any further incidents of academic misconduct occurred.</w:t>
      </w:r>
    </w:p>
    <w:p w14:paraId="4480AF30" w14:textId="77777777" w:rsidR="002B10A6" w:rsidRDefault="00000000">
      <w:pPr>
        <w:pStyle w:val="Normal3"/>
        <w:widowControl w:val="0"/>
        <w:spacing w:before="200" w:line="260" w:lineRule="atLeast"/>
        <w:jc w:val="both"/>
      </w:pPr>
      <w:bookmarkStart w:id="404" w:name="Bookmark_para_5_2"/>
      <w:bookmarkEnd w:id="404"/>
      <w:r>
        <w:rPr>
          <w:rFonts w:ascii="Arial" w:eastAsia="Arial" w:hAnsi="Arial" w:cs="Arial"/>
          <w:color w:val="000000"/>
          <w:sz w:val="20"/>
        </w:rPr>
        <w:t>The third and final incident of alleged academic misconduct occurred in April 2015. At that time, Castelino was taking Dr. Chapman's course again after having dropped it the previous year. In the interim, Dr. Chapman had changed [**4]  his policy regarding the use of notes on exams. Although he had previously allowed students to use typed notes when taking exams, he began requiring hand-written notes after discovering students were often simply using course slides that they had cut and pasted. Dr. Chapman announced this policy at the beginning of the quarter, and then reminded students of the policy on Thursday, April 2 in anticipation of an exam the next day.</w:t>
      </w:r>
    </w:p>
    <w:p w14:paraId="17CDAE64" w14:textId="77777777" w:rsidR="002B10A6" w:rsidRDefault="00000000">
      <w:pPr>
        <w:pStyle w:val="Normal3"/>
        <w:widowControl w:val="0"/>
        <w:spacing w:before="200" w:line="260" w:lineRule="atLeast"/>
        <w:jc w:val="both"/>
      </w:pPr>
      <w:bookmarkStart w:id="405" w:name="Bookmark_para_6_2"/>
      <w:bookmarkEnd w:id="405"/>
      <w:r>
        <w:rPr>
          <w:rFonts w:ascii="Arial" w:eastAsia="Arial" w:hAnsi="Arial" w:cs="Arial"/>
          <w:color w:val="000000"/>
          <w:sz w:val="20"/>
        </w:rPr>
        <w:t>After class, Castelino asked if he could use his typed notes from the previous semester and assured Dr. Chapman that they were not cut and pasted course slides. After Dr. Chapman rejected that proposal, Castelino met with the Director of Disability Services, Karen DeGrange, and Dr. Sutterer about the situation. He explained that his poor handwriting would make the hand-written note requirement too difficult for him. DeGrange then contacted the campus Learning Center to ask if a tutor could transcribe Castelino's notes for him.</w:t>
      </w:r>
    </w:p>
    <w:p w14:paraId="48A7DFA9" w14:textId="77777777" w:rsidR="002B10A6" w:rsidRDefault="00000000">
      <w:pPr>
        <w:pStyle w:val="Normal3"/>
        <w:widowControl w:val="0"/>
        <w:spacing w:before="200" w:line="260" w:lineRule="atLeast"/>
        <w:jc w:val="both"/>
      </w:pPr>
      <w:bookmarkStart w:id="406" w:name="Bookmark_para_7_2"/>
      <w:bookmarkEnd w:id="406"/>
      <w:r>
        <w:rPr>
          <w:rFonts w:ascii="Arial" w:eastAsia="Arial" w:hAnsi="Arial" w:cs="Arial"/>
          <w:color w:val="000000"/>
          <w:sz w:val="20"/>
        </w:rPr>
        <w:t>Although there was a tutor in the Learning Center available to transcribe Castelino's notes then, by the time Castelino arrived there close to 5 p.m., there was no one there to transcribe for him. After Castelino advised DeGrange that he [**5]  could not get a tutor to transcribe his notes, she and Dr. Sutterer met and concluded that Castelino would be allowed to use his typed notes for this one exam.</w:t>
      </w:r>
    </w:p>
    <w:p w14:paraId="6B3C2C1C" w14:textId="77777777" w:rsidR="002B10A6" w:rsidRDefault="00000000">
      <w:pPr>
        <w:pStyle w:val="Normal3"/>
        <w:widowControl w:val="0"/>
        <w:spacing w:before="200" w:line="260" w:lineRule="atLeast"/>
        <w:jc w:val="both"/>
      </w:pPr>
      <w:bookmarkStart w:id="407" w:name="Bookmark_para_8_2"/>
      <w:bookmarkEnd w:id="407"/>
      <w:r>
        <w:rPr>
          <w:rFonts w:ascii="Arial" w:eastAsia="Arial" w:hAnsi="Arial" w:cs="Arial"/>
          <w:color w:val="000000"/>
          <w:sz w:val="20"/>
        </w:rPr>
        <w:t>Castelino took his exam in the Learning Center, and when he turned in his notes afterward (as all students are required to do), it came to light that they contained twenty-six cut and pasted course slides. This prompted Dr. Chapman to write a  [*1035]  letter of academic misconduct explaining that by using the course slides with his notes, Castelino had both violated Dr. Chapman's explicit instructions as well as lied to Dr. Chapman, DeGrange, and Sutterer by claiming that his typed notes did not contain cut and pasted slides. Dr. Chapman also noted that the letter was the second of its kind in his course based on Castelino's unethical conduct.</w:t>
      </w:r>
    </w:p>
    <w:p w14:paraId="7E752694" w14:textId="77777777" w:rsidR="002B10A6" w:rsidRDefault="00000000">
      <w:pPr>
        <w:pStyle w:val="Normal3"/>
        <w:widowControl w:val="0"/>
        <w:spacing w:before="200" w:line="260" w:lineRule="atLeast"/>
        <w:jc w:val="both"/>
      </w:pPr>
      <w:bookmarkStart w:id="408" w:name="Bookmark_para_9_2"/>
      <w:bookmarkEnd w:id="408"/>
      <w:r>
        <w:rPr>
          <w:rFonts w:ascii="Arial" w:eastAsia="Arial" w:hAnsi="Arial" w:cs="Arial"/>
          <w:color w:val="000000"/>
          <w:sz w:val="20"/>
        </w:rPr>
        <w:t xml:space="preserve">Because this was Castelino's third documented case of academic misconduct, the Dean of Students, Pete Gustafson, forwarded it to the Rules and Discipline Committee for review. The Rules and Discipline Committee met on May 13, 2015 to consider the allegations of academic misconduct against Castelino. He claimed at the hearing that he had never told Dr. Chapman that his notes did not contain </w:t>
      </w:r>
      <w:r>
        <w:rPr>
          <w:rFonts w:ascii="Arial" w:eastAsia="Arial" w:hAnsi="Arial" w:cs="Arial"/>
          <w:i/>
          <w:color w:val="000000"/>
          <w:sz w:val="20"/>
        </w:rPr>
        <w:t>any</w:t>
      </w:r>
      <w:r>
        <w:rPr>
          <w:rFonts w:ascii="Arial" w:eastAsia="Arial" w:hAnsi="Arial" w:cs="Arial"/>
          <w:color w:val="000000"/>
          <w:sz w:val="20"/>
        </w:rPr>
        <w:t xml:space="preserve"> cut [**6]  and pasted course slides, only that his notes were not "just" cut and pasted slides. Castelino's fiancée, who had been waiting for him outside the classroom when he spoke to Dr. Chapman, also testified. When Dr. Chapman asked her whether she had overheard Castelino tell him that "nothing was copy-and-pasted," she said "yeah" and explained that she had heard him ask to use his notecard from the previous year because it "wasn't just copy and paste."</w:t>
      </w:r>
    </w:p>
    <w:p w14:paraId="6F55F812" w14:textId="77777777" w:rsidR="002B10A6" w:rsidRDefault="00000000">
      <w:pPr>
        <w:pStyle w:val="Normal3"/>
        <w:widowControl w:val="0"/>
        <w:spacing w:before="200" w:line="260" w:lineRule="atLeast"/>
        <w:jc w:val="both"/>
      </w:pPr>
      <w:bookmarkStart w:id="409" w:name="Bookmark_para_10_2"/>
      <w:bookmarkEnd w:id="409"/>
      <w:r>
        <w:rPr>
          <w:rFonts w:ascii="Arial" w:eastAsia="Arial" w:hAnsi="Arial" w:cs="Arial"/>
          <w:color w:val="000000"/>
          <w:sz w:val="20"/>
        </w:rPr>
        <w:t>Ultimately the Rules and Discipline Committee concluded that Castelino was guilty of repeated acts of academic misconduct. He was suspended for one quarter, after which he could apply for readmission. The committee's suspension decision was upheld on Castelino's appeal to the full faculty. As part of that process, Castelino met with the President of Rose-Hulman, James Conwell, to discuss the appeal procedures. Dr. Conwell reported that during that meeting Castelino yelled and accused him of unfairly configuring the disciplinary hearing. After asking Castelino to calm down, Dr. Conwell had to ask him to leave and not return in-person to his office.</w:t>
      </w:r>
    </w:p>
    <w:p w14:paraId="501AB191" w14:textId="77777777" w:rsidR="002B10A6" w:rsidRDefault="00000000">
      <w:pPr>
        <w:pStyle w:val="Normal3"/>
        <w:widowControl w:val="0"/>
        <w:spacing w:before="200" w:line="260" w:lineRule="atLeast"/>
        <w:jc w:val="both"/>
      </w:pPr>
      <w:bookmarkStart w:id="410" w:name="Bookmark_para_11_2"/>
      <w:bookmarkEnd w:id="410"/>
      <w:r>
        <w:rPr>
          <w:rFonts w:ascii="Arial" w:eastAsia="Arial" w:hAnsi="Arial" w:cs="Arial"/>
          <w:color w:val="000000"/>
          <w:sz w:val="20"/>
        </w:rPr>
        <w:t>Castelino applied for readmission multiple times. The readmission process starts with a written [**7]  petition to the Dean of Students, Erik Hayes, who submits a recommendation to the Admissions and Standing Committee. That Committee meets with the student to consider his readmission request and determine whether he can be a successful member of the Rose-Hulman community. Castelino did not apply for readmission when he first became eligible in the winter quarter 2015-2016, but he did apply in January 2016. In his letter to the Admissions and Standing Committee, Dean Hayes did not recommend readmission. He based his recommendation on Castelino's failure to accept responsibility for his actions as well as his long history of behavioral issues while at Rose-Hulman. These incidents ranged from altercations and rude conduct on campus to complaints by female students that he was taking their photographs without permission.</w:t>
      </w:r>
    </w:p>
    <w:p w14:paraId="2B1AD83A" w14:textId="77777777" w:rsidR="002B10A6" w:rsidRDefault="00000000">
      <w:pPr>
        <w:pStyle w:val="Normal3"/>
        <w:widowControl w:val="0"/>
        <w:spacing w:before="200" w:line="260" w:lineRule="atLeast"/>
        <w:jc w:val="both"/>
      </w:pPr>
      <w:bookmarkStart w:id="411" w:name="Bookmark_para_12_2"/>
      <w:bookmarkEnd w:id="411"/>
      <w:r>
        <w:rPr>
          <w:rFonts w:ascii="Arial" w:eastAsia="Arial" w:hAnsi="Arial" w:cs="Arial"/>
          <w:color w:val="000000"/>
          <w:sz w:val="20"/>
        </w:rPr>
        <w:t>At the hearing itself, Castelino was unable to say what courses he would be taking if readmitted, despite the fact that classes began the following day. The Committee denied Castelino's readmission request (along with three other students requesting readmission that quarter), both because of his failure to accept responsibility for his actions and because there was no academic [**8]  benefit for him to start that semester instead of the next.</w:t>
      </w:r>
    </w:p>
    <w:p w14:paraId="3FE5E6A9" w14:textId="77777777" w:rsidR="002B10A6" w:rsidRDefault="00000000">
      <w:pPr>
        <w:pStyle w:val="Normal3"/>
        <w:widowControl w:val="0"/>
        <w:spacing w:before="200" w:line="260" w:lineRule="atLeast"/>
        <w:jc w:val="both"/>
      </w:pPr>
      <w:bookmarkStart w:id="412" w:name="Bookmark_para_13_2"/>
      <w:bookmarkEnd w:id="412"/>
      <w:r>
        <w:rPr>
          <w:rFonts w:ascii="Arial" w:eastAsia="Arial" w:hAnsi="Arial" w:cs="Arial"/>
          <w:color w:val="000000"/>
          <w:sz w:val="20"/>
        </w:rPr>
        <w:t>Castelino then applied for readmission and was rejected again in June 2016. While Castelino was suspended, the Committee had become aware that he had been arrested the previous year in Connecticut for breach of peace, cultivation, possession, and sale of marijuana, as well as operation of a drug factory and possession of a hallucinogen. At his hearing, Castelino provided  [*1036]  a number of conflicting explanations for the news article describing his arrest, ranging from the claim that his fiancée had "stuff" on her to assertions that the article was part of a cover-up for the fact that he was a confidential informant. The Committee again rejected Castelino's request for readmission.</w:t>
      </w:r>
    </w:p>
    <w:p w14:paraId="71CEC712" w14:textId="77777777" w:rsidR="002B10A6" w:rsidRDefault="00000000">
      <w:pPr>
        <w:pStyle w:val="Normal3"/>
        <w:widowControl w:val="0"/>
        <w:spacing w:before="200" w:line="260" w:lineRule="atLeast"/>
        <w:jc w:val="both"/>
      </w:pPr>
      <w:bookmarkStart w:id="413" w:name="Bookmark_para_14_2"/>
      <w:bookmarkEnd w:id="413"/>
      <w:r>
        <w:rPr>
          <w:rFonts w:ascii="Arial" w:eastAsia="Arial" w:hAnsi="Arial" w:cs="Arial"/>
          <w:color w:val="000000"/>
          <w:sz w:val="20"/>
        </w:rPr>
        <w:t>In March 2017, Castelino sued Rose-Hulman in federal court, alleging disability discrimination in violation of Title III of the ADA as well as state-law claims for breach of contract, defamation, false advertising, invasion of privacy, and harassment. He later amended his complaint, alleging malice and requesting punitive damages.</w:t>
      </w:r>
    </w:p>
    <w:p w14:paraId="24B7EA0A" w14:textId="77777777" w:rsidR="002B10A6" w:rsidRDefault="00000000">
      <w:pPr>
        <w:pStyle w:val="Normal3"/>
        <w:widowControl w:val="0"/>
        <w:spacing w:before="200" w:line="260" w:lineRule="atLeast"/>
        <w:jc w:val="both"/>
      </w:pPr>
      <w:bookmarkStart w:id="414" w:name="Bookmark_para_15_2"/>
      <w:bookmarkEnd w:id="414"/>
      <w:r>
        <w:rPr>
          <w:rFonts w:ascii="Arial" w:eastAsia="Arial" w:hAnsi="Arial" w:cs="Arial"/>
          <w:color w:val="000000"/>
          <w:sz w:val="20"/>
        </w:rPr>
        <w:t>In August, the case was referred to a magistrate judge for a settlement conference. The settlement conference order required Castelino to serve an [**9]  updated settlement demand fourteen days prior to the conference, and for the parties to email the court a confidential settlement statement three days before the conference. Despite a reminder e-mail from Rose-Hulman, Castelino failed to do either until the day before the settlement conference. After the conference, both parties moved for sanctions. The magistrate judge recommended granting Rose-Hulman's motion for sanctions and denying Castelino's. The district court adopted the magistrate judge's recommendation. Thereafter, both parties moved for summary judgment. In considering the parties' motions, the district court observed that it had "been hindered by the manner in which Castelino briefed his own motion and his opposition to Rose-Hulman's motion." Notwithstanding this, the district court thoroughly and carefully considered the parties' arguments and granted summary judgment to Rose-Hulman.</w:t>
      </w:r>
    </w:p>
    <w:p w14:paraId="3E9A35B5" w14:textId="77777777" w:rsidR="002B10A6" w:rsidRDefault="00000000">
      <w:pPr>
        <w:pStyle w:val="Normal3"/>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3D0B43CF" w14:textId="77777777" w:rsidR="002B10A6" w:rsidRDefault="00000000">
      <w:pPr>
        <w:pStyle w:val="Normal3"/>
        <w:widowControl w:val="0"/>
        <w:spacing w:before="200" w:line="260" w:lineRule="atLeast"/>
        <w:jc w:val="both"/>
      </w:pPr>
      <w:bookmarkStart w:id="415" w:name="Bookmark_para_16_2"/>
      <w:bookmarkStart w:id="416" w:name="Bookmark_I62W0MD92SF8DN0020000400"/>
      <w:bookmarkEnd w:id="415"/>
      <w:bookmarkEnd w:id="416"/>
      <w:r>
        <w:rPr>
          <w:rFonts w:ascii="Arial" w:eastAsia="Arial" w:hAnsi="Arial" w:cs="Arial"/>
          <w:color w:val="000000"/>
          <w:sz w:val="20"/>
        </w:rPr>
        <w:t xml:space="preserve">On appeal, Castelino asks us to reverse the district court's grant of summary judgment to Rose-Hulman and grant judgment in his favor. He also requests that we impose sanctions against Rose-Hulman. </w:t>
      </w:r>
      <w:bookmarkStart w:id="417" w:name="Bookmark_I62W0MD92SF8DN0040000400"/>
      <w:bookmarkStart w:id="418" w:name="Bookmark_LNHNREFclscc1_2"/>
      <w:bookmarkEnd w:id="417"/>
      <w:bookmarkEnd w:id="418"/>
      <w:r>
        <w:rPr>
          <w:rFonts w:ascii="Arial" w:eastAsia="Arial" w:hAnsi="Arial" w:cs="Arial"/>
          <w:color w:val="000000"/>
          <w:sz w:val="20"/>
        </w:rPr>
        <w:t xml:space="preserve">We review the district court's ruling on the parties' cross motions for summary judgment [**10]  de novo, viewing the facts and drawing reasonable inferences in favor of "the party against whom the motion at issue was made." </w:t>
      </w:r>
      <w:bookmarkStart w:id="419" w:name="Bookmark_I62W0MD92SF8DN0010000400"/>
      <w:bookmarkEnd w:id="419"/>
      <w:r>
        <w:rPr>
          <w:rFonts w:ascii="Arial" w:eastAsia="Arial" w:hAnsi="Arial" w:cs="Arial"/>
          <w:i/>
          <w:color w:val="000000"/>
          <w:sz w:val="20"/>
        </w:rPr>
        <w:t>Woodring v. Jackson Cty. Ind.</w:t>
      </w:r>
      <w:r>
        <w:rPr>
          <w:rFonts w:ascii="Arial" w:eastAsia="Arial" w:hAnsi="Arial" w:cs="Arial"/>
          <w:color w:val="000000"/>
          <w:sz w:val="20"/>
        </w:rPr>
        <w:t xml:space="preserve">, 986 F.3d 979, 984 (7th Cir. 2021) (quotations and internal citation omitted). </w:t>
      </w:r>
      <w:bookmarkStart w:id="420" w:name="Bookmark_I62W0MD92SF8DN0040000400_2"/>
      <w:bookmarkEnd w:id="420"/>
      <w:r>
        <w:rPr>
          <w:rFonts w:ascii="Arial" w:eastAsia="Arial" w:hAnsi="Arial" w:cs="Arial"/>
          <w:color w:val="000000"/>
          <w:sz w:val="20"/>
        </w:rPr>
        <w:t>At the outset, it is worth noting that, like the district court, our ability to analyze Castelino's claims is severely limited by his presentation of them. The district court noted that although Castelino "points to a large number of exhibits throughout his briefs, he often fails to articulate in any coherent manner how he believes those exhibits, coupled with the applicable law, demonstrate that he is entitled to (or Rose-Hulman is not entitled to) summary judgment on an issue." The district court's observations apply with equal force to Castelino's briefs on appeal. Thus, we consider Castelino's claims to the extent possible, while echoing the district court's reminder that, "'It is not the obligation of th[e] court to research and construct the legal arguments open to parties, especially when they are represented by counsel.'"</w:t>
      </w:r>
      <w:r>
        <w:rPr>
          <w:rFonts w:ascii="Arial" w:eastAsia="Arial" w:hAnsi="Arial" w:cs="Arial"/>
          <w:vertAlign w:val="superscript"/>
        </w:rPr>
        <w:footnoteReference w:customMarkFollows="1" w:id="14"/>
        <w:t>2</w:t>
      </w:r>
      <w:r>
        <w:rPr>
          <w:rFonts w:ascii="Arial" w:eastAsia="Arial" w:hAnsi="Arial" w:cs="Arial"/>
          <w:color w:val="000000"/>
          <w:sz w:val="20"/>
        </w:rPr>
        <w:t xml:space="preserve"> </w:t>
      </w:r>
      <w:bookmarkStart w:id="422" w:name="Bookmark_I62W0MD92SF8DN0030000400"/>
      <w:bookmarkEnd w:id="422"/>
      <w:r>
        <w:rPr>
          <w:rFonts w:ascii="Arial" w:eastAsia="Arial" w:hAnsi="Arial" w:cs="Arial"/>
          <w:i/>
          <w:color w:val="000000"/>
          <w:sz w:val="20"/>
        </w:rPr>
        <w:t>Riley v. City of Kokomo</w:t>
      </w:r>
      <w:r>
        <w:rPr>
          <w:rFonts w:ascii="Arial" w:eastAsia="Arial" w:hAnsi="Arial" w:cs="Arial"/>
          <w:color w:val="000000"/>
          <w:sz w:val="20"/>
        </w:rPr>
        <w:t xml:space="preserve">, 909 F.3d 182, 190 [*1037]  (7th Cir. 2018) (quoting </w:t>
      </w:r>
      <w:bookmarkStart w:id="423" w:name="Bookmark_I62W0MD92SF8DN0050000400"/>
      <w:bookmarkEnd w:id="423"/>
      <w:r>
        <w:rPr>
          <w:rFonts w:ascii="Arial" w:eastAsia="Arial" w:hAnsi="Arial" w:cs="Arial"/>
          <w:i/>
          <w:color w:val="000000"/>
          <w:sz w:val="20"/>
        </w:rPr>
        <w:t>Beard v. Whitley Cty. REMC</w:t>
      </w:r>
      <w:r>
        <w:rPr>
          <w:rFonts w:ascii="Arial" w:eastAsia="Arial" w:hAnsi="Arial" w:cs="Arial"/>
          <w:color w:val="000000"/>
          <w:sz w:val="20"/>
        </w:rPr>
        <w:t>, 840 F.2d 405, 408-09 (7th Cir. 1988)).</w:t>
      </w:r>
    </w:p>
    <w:p w14:paraId="74353AFB" w14:textId="77777777" w:rsidR="002B10A6" w:rsidRDefault="00000000">
      <w:pPr>
        <w:pStyle w:val="Normal3"/>
        <w:widowControl w:val="0"/>
        <w:spacing w:before="240" w:line="260" w:lineRule="atLeast"/>
      </w:pPr>
      <w:r>
        <w:br/>
      </w:r>
      <w:r>
        <w:rPr>
          <w:rFonts w:ascii="Arial" w:eastAsia="Arial" w:hAnsi="Arial" w:cs="Arial"/>
          <w:b/>
          <w:color w:val="000000"/>
          <w:sz w:val="20"/>
        </w:rPr>
        <w:t>ADA Claim</w:t>
      </w:r>
    </w:p>
    <w:p w14:paraId="3924A6C5" w14:textId="77777777" w:rsidR="002B10A6" w:rsidRDefault="00000000">
      <w:pPr>
        <w:pStyle w:val="Normal3"/>
        <w:widowControl w:val="0"/>
        <w:spacing w:before="200" w:line="260" w:lineRule="atLeast"/>
        <w:jc w:val="both"/>
      </w:pPr>
      <w:bookmarkStart w:id="424" w:name="Bookmark_para_17_2"/>
      <w:bookmarkStart w:id="425" w:name="Bookmark_LNHNREFclscc2_2"/>
      <w:bookmarkEnd w:id="424"/>
      <w:bookmarkEnd w:id="425"/>
      <w:r>
        <w:rPr>
          <w:rFonts w:ascii="Arial" w:eastAsia="Arial" w:hAnsi="Arial" w:cs="Arial"/>
          <w:color w:val="000000"/>
          <w:sz w:val="20"/>
        </w:rPr>
        <w:t>Castelino claimed Rose-Hulman violated Title III of the ADA, which provides that "[n]o individual shall be discriminated against on the basis of disability in the full and equal enjoyment [**11]  of the goods, services, facilities, privileges, advantages, or accommodations of any place of public accommodation[.]" 42 U.S.C. § 12182(a). As relevant here, discrimination under Title III of the ADA includes "a failure to make reasonable modifications in policies, practices, or procedures, when such modifications are necessary to afford such goods, services, facilities, privileges, advantages, or accommodations to individuals with disabilities[.]" 42 U.S.C. § 12182(b)(2)(A)(ii).</w:t>
      </w:r>
    </w:p>
    <w:p w14:paraId="4E1EA982" w14:textId="77777777" w:rsidR="002B10A6" w:rsidRDefault="00000000">
      <w:pPr>
        <w:pStyle w:val="Normal3"/>
        <w:widowControl w:val="0"/>
        <w:spacing w:before="200" w:line="260" w:lineRule="atLeast"/>
        <w:jc w:val="both"/>
      </w:pPr>
      <w:bookmarkStart w:id="426" w:name="Bookmark_para_18_2"/>
      <w:bookmarkStart w:id="427" w:name="Bookmark_I62W0MDC28T3X20030000400"/>
      <w:bookmarkEnd w:id="426"/>
      <w:bookmarkEnd w:id="427"/>
      <w:r>
        <w:rPr>
          <w:rFonts w:ascii="Arial" w:eastAsia="Arial" w:hAnsi="Arial" w:cs="Arial"/>
          <w:color w:val="000000"/>
          <w:sz w:val="20"/>
        </w:rPr>
        <w:t xml:space="preserve">The district court first concluded that some of Castelino's claims under the ADA were barred by the statute of limitations. </w:t>
      </w:r>
      <w:bookmarkStart w:id="428" w:name="Bookmark_I62W0MDC2SF8DT0020000400"/>
      <w:bookmarkStart w:id="429" w:name="Bookmark_LNHNREFclscc3_2"/>
      <w:bookmarkEnd w:id="428"/>
      <w:bookmarkEnd w:id="429"/>
      <w:r>
        <w:rPr>
          <w:rFonts w:ascii="Arial" w:eastAsia="Arial" w:hAnsi="Arial" w:cs="Arial"/>
          <w:color w:val="000000"/>
          <w:sz w:val="20"/>
        </w:rPr>
        <w:t xml:space="preserve">Because the ADA does not contain its own limitation period, "'the most appropriate state limitations period applies.'" </w:t>
      </w:r>
      <w:bookmarkStart w:id="430" w:name="Bookmark_I62W0MDC28T3X20020000400"/>
      <w:bookmarkEnd w:id="430"/>
      <w:r>
        <w:rPr>
          <w:rFonts w:ascii="Arial" w:eastAsia="Arial" w:hAnsi="Arial" w:cs="Arial"/>
          <w:i/>
          <w:color w:val="000000"/>
          <w:sz w:val="20"/>
        </w:rPr>
        <w:t>Scherr v. Marriott Int'l, Inc. et al.</w:t>
      </w:r>
      <w:r>
        <w:rPr>
          <w:rFonts w:ascii="Arial" w:eastAsia="Arial" w:hAnsi="Arial" w:cs="Arial"/>
          <w:color w:val="000000"/>
          <w:sz w:val="20"/>
        </w:rPr>
        <w:t xml:space="preserve">, 703 F.3d 1069, 1075 (7th Cir. 2013) (quoting </w:t>
      </w:r>
      <w:bookmarkStart w:id="431" w:name="Bookmark_I62W0MDC28T3X20040000400"/>
      <w:bookmarkEnd w:id="431"/>
      <w:r>
        <w:rPr>
          <w:rFonts w:ascii="Arial" w:eastAsia="Arial" w:hAnsi="Arial" w:cs="Arial"/>
          <w:i/>
          <w:color w:val="000000"/>
          <w:sz w:val="20"/>
        </w:rPr>
        <w:t>Soignier v. Am. Bd. of Plastic Surgery</w:t>
      </w:r>
      <w:r>
        <w:rPr>
          <w:rFonts w:ascii="Arial" w:eastAsia="Arial" w:hAnsi="Arial" w:cs="Arial"/>
          <w:color w:val="000000"/>
          <w:sz w:val="20"/>
        </w:rPr>
        <w:t xml:space="preserve">, 92 F.3d 547, 550 (7th Cir. 1996)). Thus, we apply Indiana's two-year statute of limitations for personal injury claims. </w:t>
      </w:r>
      <w:bookmarkStart w:id="432" w:name="Bookmark_I62W0MDC2SF8DT0020000400_2"/>
      <w:bookmarkEnd w:id="432"/>
      <w:r>
        <w:rPr>
          <w:rFonts w:ascii="Arial" w:eastAsia="Arial" w:hAnsi="Arial" w:cs="Arial"/>
          <w:color w:val="000000"/>
          <w:sz w:val="20"/>
        </w:rPr>
        <w:t xml:space="preserve">Ind. Code § 34-11-2-4(a) (West 2013); </w:t>
      </w:r>
      <w:bookmarkStart w:id="433" w:name="Bookmark_I62W0MDC2SF8DT0010000400"/>
      <w:bookmarkEnd w:id="433"/>
      <w:r>
        <w:rPr>
          <w:rFonts w:ascii="Arial" w:eastAsia="Arial" w:hAnsi="Arial" w:cs="Arial"/>
          <w:i/>
          <w:color w:val="000000"/>
          <w:sz w:val="20"/>
        </w:rPr>
        <w:t>Soignier</w:t>
      </w:r>
      <w:r>
        <w:rPr>
          <w:rFonts w:ascii="Arial" w:eastAsia="Arial" w:hAnsi="Arial" w:cs="Arial"/>
          <w:color w:val="000000"/>
          <w:sz w:val="20"/>
        </w:rPr>
        <w:t>, 92 F.3d at 551 n.3. As the district court recognized, this means that Castelino's ADA claims based on events occurring prior to March 28, 2015 would be time-barred based on his complaint filed on March 28, 2017.</w:t>
      </w:r>
    </w:p>
    <w:p w14:paraId="0959C72F" w14:textId="77777777" w:rsidR="002B10A6" w:rsidRDefault="00000000">
      <w:pPr>
        <w:pStyle w:val="Normal3"/>
        <w:widowControl w:val="0"/>
        <w:spacing w:before="200" w:line="260" w:lineRule="atLeast"/>
        <w:jc w:val="both"/>
      </w:pPr>
      <w:bookmarkStart w:id="434" w:name="Bookmark_para_19_2"/>
      <w:bookmarkEnd w:id="434"/>
      <w:r>
        <w:rPr>
          <w:rFonts w:ascii="Arial" w:eastAsia="Arial" w:hAnsi="Arial" w:cs="Arial"/>
          <w:color w:val="000000"/>
          <w:sz w:val="20"/>
        </w:rPr>
        <w:t>Although Castelino's brief mixes and matches his various claims indiscriminately throughout, it is clear that his ADA claim is premised on what he characterizes as a failure to accommodate his disability by both Dr. Hanson and Dr. Chapman. [**12]  As described above, Dr. Hanson issued a letter of academic misconduct in 2013, well outside the applicable statute of limitations. Likewise, the May, 2014 report of academic misconduct by Dr. Chapman falls outside the statute of limitations.</w:t>
      </w:r>
    </w:p>
    <w:p w14:paraId="543AF937" w14:textId="77777777" w:rsidR="002B10A6" w:rsidRDefault="00000000">
      <w:pPr>
        <w:pStyle w:val="Normal3"/>
        <w:widowControl w:val="0"/>
        <w:spacing w:before="200" w:line="260" w:lineRule="atLeast"/>
        <w:jc w:val="both"/>
      </w:pPr>
      <w:bookmarkStart w:id="435" w:name="Bookmark_para_20_2"/>
      <w:bookmarkEnd w:id="435"/>
      <w:r>
        <w:rPr>
          <w:rFonts w:ascii="Arial" w:eastAsia="Arial" w:hAnsi="Arial" w:cs="Arial"/>
          <w:color w:val="000000"/>
          <w:sz w:val="20"/>
        </w:rPr>
        <w:t xml:space="preserve">Castelino attempts to salvage his time-barred claims with two unpersuasive arguments. </w:t>
      </w:r>
      <w:bookmarkStart w:id="436" w:name="Bookmark_I62W0MDC2SF8DT0040000400"/>
      <w:bookmarkEnd w:id="436"/>
      <w:r>
        <w:rPr>
          <w:rFonts w:ascii="Arial" w:eastAsia="Arial" w:hAnsi="Arial" w:cs="Arial"/>
          <w:color w:val="000000"/>
          <w:sz w:val="20"/>
        </w:rPr>
        <w:t xml:space="preserve">He first suggests that his claims are governed not by Indiana's two-year personal injury statute of limitations, but by the four-year catch-all statute of limitations for federal claims found in 28 U.S.C. § 1658. </w:t>
      </w:r>
      <w:bookmarkStart w:id="437" w:name="Bookmark_LNHNREFclscc4_2"/>
      <w:bookmarkEnd w:id="437"/>
      <w:r>
        <w:rPr>
          <w:rFonts w:ascii="Arial" w:eastAsia="Arial" w:hAnsi="Arial" w:cs="Arial"/>
          <w:color w:val="000000"/>
          <w:sz w:val="20"/>
        </w:rPr>
        <w:t xml:space="preserve">In 2004, the Supreme Court held that § 1658 applies to claims "made possible by a post-1990 enactment" as well as claims made possible by a post-1990 amendment to an existing statute. </w:t>
      </w:r>
      <w:bookmarkStart w:id="438" w:name="Bookmark_I62W0MDD2D6MV70010000400"/>
      <w:bookmarkEnd w:id="438"/>
      <w:r>
        <w:rPr>
          <w:rFonts w:ascii="Arial" w:eastAsia="Arial" w:hAnsi="Arial" w:cs="Arial"/>
          <w:i/>
          <w:color w:val="000000"/>
          <w:sz w:val="20"/>
        </w:rPr>
        <w:t xml:space="preserve">See </w:t>
      </w:r>
      <w:bookmarkStart w:id="439" w:name="Bookmark_I62W0MDC2SF8DT0030000400"/>
      <w:bookmarkEnd w:id="439"/>
      <w:r>
        <w:rPr>
          <w:rFonts w:ascii="Arial" w:eastAsia="Arial" w:hAnsi="Arial" w:cs="Arial"/>
          <w:i/>
          <w:color w:val="000000"/>
          <w:sz w:val="20"/>
        </w:rPr>
        <w:t>Jones v. R.R. Donnelley &amp; Sons, Co.</w:t>
      </w:r>
      <w:r>
        <w:rPr>
          <w:rFonts w:ascii="Arial" w:eastAsia="Arial" w:hAnsi="Arial" w:cs="Arial"/>
          <w:color w:val="000000"/>
          <w:sz w:val="20"/>
        </w:rPr>
        <w:t xml:space="preserve">, 541 U.S. 369, 382, 124 S. Ct. 1836, 158 L. Ed. 2d 645 (2004) (noting that "[a]ltering statutory definitions, or adding new definitions of terms previously undefined, is a common way of amending statutes") (citation and internal quotations omitted). </w:t>
      </w:r>
      <w:bookmarkStart w:id="440" w:name="Bookmark_3RS7M7M1F20000D3SF00001"/>
      <w:bookmarkStart w:id="441" w:name="Bookmark_I62W0MDD2D6MV70010000400_2"/>
      <w:bookmarkStart w:id="442" w:name="Bookmark_I57HK2X2M30000066NT0001H"/>
      <w:bookmarkStart w:id="443" w:name="Bookmark_I62W0MDD2D6MV70030000400"/>
      <w:bookmarkEnd w:id="440"/>
      <w:bookmarkEnd w:id="441"/>
      <w:bookmarkEnd w:id="442"/>
      <w:bookmarkEnd w:id="443"/>
      <w:r>
        <w:rPr>
          <w:rFonts w:ascii="Arial" w:eastAsia="Arial" w:hAnsi="Arial" w:cs="Arial"/>
          <w:color w:val="000000"/>
          <w:sz w:val="20"/>
        </w:rPr>
        <w:t xml:space="preserve">Although the ADA was amended effective January 1, 2009 to "carry out the ADA's objectives" by "reinstating a broad scope of protection," </w:t>
      </w:r>
      <w:r>
        <w:rPr>
          <w:rFonts w:ascii="Arial" w:eastAsia="Arial" w:hAnsi="Arial" w:cs="Arial"/>
          <w:i/>
          <w:color w:val="000000"/>
          <w:sz w:val="20"/>
        </w:rPr>
        <w:t>see</w:t>
      </w:r>
      <w:r>
        <w:rPr>
          <w:rFonts w:ascii="Arial" w:eastAsia="Arial" w:hAnsi="Arial" w:cs="Arial"/>
          <w:color w:val="000000"/>
          <w:sz w:val="20"/>
        </w:rPr>
        <w:t xml:space="preserve"> ADA Amendments Act of 2008 ("ADAAA"), Pub. L. No. 110-325, 122 Stat. 3553 (2008), Castelino fails to explain how those amendments made his claim possible. He states without elaboration that the ADAAA overturned </w:t>
      </w:r>
      <w:bookmarkStart w:id="444" w:name="Bookmark_I62W0MDC2SF8DT0050000400"/>
      <w:bookmarkEnd w:id="444"/>
      <w:r>
        <w:rPr>
          <w:rFonts w:ascii="Arial" w:eastAsia="Arial" w:hAnsi="Arial" w:cs="Arial"/>
          <w:i/>
          <w:color w:val="000000"/>
          <w:sz w:val="20"/>
        </w:rPr>
        <w:t>Sutton v. United Air Lines Inc.</w:t>
      </w:r>
      <w:r>
        <w:rPr>
          <w:rFonts w:ascii="Arial" w:eastAsia="Arial" w:hAnsi="Arial" w:cs="Arial"/>
          <w:color w:val="000000"/>
          <w:sz w:val="20"/>
        </w:rPr>
        <w:t xml:space="preserve">, 527 U.S. 471, 119 S. Ct. 2139, 144 L. Ed. 2d 450 (1999), and redefined "disability" and [**13]  "major life activity" and that because of this his perceptual disorder falls into the new categories. </w:t>
      </w:r>
      <w:bookmarkStart w:id="445" w:name="Bookmark_I62W0MDD2D6MV70030000400_2"/>
      <w:bookmarkEnd w:id="445"/>
      <w:r>
        <w:rPr>
          <w:rFonts w:ascii="Arial" w:eastAsia="Arial" w:hAnsi="Arial" w:cs="Arial"/>
          <w:color w:val="000000"/>
          <w:sz w:val="20"/>
        </w:rPr>
        <w:t xml:space="preserve">True as it  [*1038]  may be that the ADAAA rejected </w:t>
      </w:r>
      <w:bookmarkStart w:id="446" w:name="Bookmark_I62W0MDD2D6MV70030000400_3"/>
      <w:bookmarkStart w:id="447" w:name="Bookmark_I62W0MDD2D6MV70020000400"/>
      <w:bookmarkEnd w:id="446"/>
      <w:bookmarkEnd w:id="447"/>
      <w:r>
        <w:rPr>
          <w:rFonts w:ascii="Arial" w:eastAsia="Arial" w:hAnsi="Arial" w:cs="Arial"/>
          <w:i/>
          <w:color w:val="000000"/>
          <w:sz w:val="20"/>
        </w:rPr>
        <w:t>Sutton's</w:t>
      </w:r>
      <w:r>
        <w:rPr>
          <w:rFonts w:ascii="Arial" w:eastAsia="Arial" w:hAnsi="Arial" w:cs="Arial"/>
          <w:color w:val="000000"/>
          <w:sz w:val="20"/>
        </w:rPr>
        <w:t xml:space="preserve"> narrow definitions of "disability" (rejecting disabilities that could be ameliorated by medication, assistive technology, or adaptation) and "major life activity" (requiring substantial limitations in multiple life activities), Castelino fails in any way to connect those changes to his claim.</w:t>
      </w:r>
    </w:p>
    <w:p w14:paraId="75779416" w14:textId="77777777" w:rsidR="002B10A6" w:rsidRDefault="00000000">
      <w:pPr>
        <w:pStyle w:val="Normal3"/>
        <w:widowControl w:val="0"/>
        <w:spacing w:before="200" w:line="260" w:lineRule="atLeast"/>
        <w:jc w:val="both"/>
      </w:pPr>
      <w:bookmarkStart w:id="448" w:name="Bookmark_para_21_2"/>
      <w:bookmarkStart w:id="449" w:name="Bookmark_I62W0MDD2D6MV70050000400"/>
      <w:bookmarkEnd w:id="448"/>
      <w:bookmarkEnd w:id="449"/>
      <w:r>
        <w:rPr>
          <w:rFonts w:ascii="Arial" w:eastAsia="Arial" w:hAnsi="Arial" w:cs="Arial"/>
          <w:color w:val="000000"/>
          <w:sz w:val="20"/>
        </w:rPr>
        <w:t xml:space="preserve">Castelino also summarily contends that Indiana's "continuing wrong" doctrine would apply to toll the statute of limitations because Rose-Hulman engaged in a "course of conduct" that began while he was a student and continued to injure him after his suspension. </w:t>
      </w:r>
      <w:bookmarkStart w:id="450" w:name="Bookmark_LNHNREFclscc5_2"/>
      <w:bookmarkEnd w:id="450"/>
      <w:r>
        <w:rPr>
          <w:rFonts w:ascii="Arial" w:eastAsia="Arial" w:hAnsi="Arial" w:cs="Arial"/>
          <w:color w:val="000000"/>
          <w:sz w:val="20"/>
        </w:rPr>
        <w:t xml:space="preserve">This claim, too, goes nowhere because it is well-established that the statute of limitations starts to run upon the "discovery of the original act of discrimination, </w:t>
      </w:r>
      <w:r>
        <w:rPr>
          <w:rFonts w:ascii="Arial" w:eastAsia="Arial" w:hAnsi="Arial" w:cs="Arial"/>
          <w:i/>
          <w:color w:val="000000"/>
          <w:sz w:val="20"/>
        </w:rPr>
        <w:t>not</w:t>
      </w:r>
      <w:r>
        <w:rPr>
          <w:rFonts w:ascii="Arial" w:eastAsia="Arial" w:hAnsi="Arial" w:cs="Arial"/>
          <w:color w:val="000000"/>
          <w:sz w:val="20"/>
        </w:rPr>
        <w:t xml:space="preserve"> future confirmation of the injury or determination that the injury is unlawful." </w:t>
      </w:r>
      <w:r>
        <w:rPr>
          <w:rFonts w:ascii="Arial" w:eastAsia="Arial" w:hAnsi="Arial" w:cs="Arial"/>
          <w:i/>
          <w:color w:val="000000"/>
          <w:sz w:val="20"/>
        </w:rPr>
        <w:t xml:space="preserve">See </w:t>
      </w:r>
      <w:bookmarkStart w:id="451" w:name="Bookmark_I62W0MDD2D6MV70040000400"/>
      <w:bookmarkEnd w:id="451"/>
      <w:r>
        <w:rPr>
          <w:rFonts w:ascii="Arial" w:eastAsia="Arial" w:hAnsi="Arial" w:cs="Arial"/>
          <w:i/>
          <w:color w:val="000000"/>
          <w:sz w:val="20"/>
        </w:rPr>
        <w:t>Soignier</w:t>
      </w:r>
      <w:r>
        <w:rPr>
          <w:rFonts w:ascii="Arial" w:eastAsia="Arial" w:hAnsi="Arial" w:cs="Arial"/>
          <w:color w:val="000000"/>
          <w:sz w:val="20"/>
        </w:rPr>
        <w:t xml:space="preserve">, 92 F.3d at 551 (emphasis in original) (collecting cases); </w:t>
      </w:r>
      <w:r>
        <w:rPr>
          <w:rFonts w:ascii="Arial" w:eastAsia="Arial" w:hAnsi="Arial" w:cs="Arial"/>
          <w:i/>
          <w:color w:val="000000"/>
          <w:sz w:val="20"/>
        </w:rPr>
        <w:t xml:space="preserve">cf. </w:t>
      </w:r>
      <w:bookmarkStart w:id="452" w:name="Bookmark_I62W0MDD2D6MV80010000400"/>
      <w:bookmarkEnd w:id="452"/>
      <w:r>
        <w:rPr>
          <w:rFonts w:ascii="Arial" w:eastAsia="Arial" w:hAnsi="Arial" w:cs="Arial"/>
          <w:i/>
          <w:color w:val="000000"/>
          <w:sz w:val="20"/>
        </w:rPr>
        <w:t>Del. State Coll. v. Ricks</w:t>
      </w:r>
      <w:r>
        <w:rPr>
          <w:rFonts w:ascii="Arial" w:eastAsia="Arial" w:hAnsi="Arial" w:cs="Arial"/>
          <w:color w:val="000000"/>
          <w:sz w:val="20"/>
        </w:rPr>
        <w:t xml:space="preserve">, 449 U.S. 250, 258, 101 S. Ct. 498, 66 L. Ed. 2d 431 (1988) ("[T]he proper focus is upon the time of the </w:t>
      </w:r>
      <w:r>
        <w:rPr>
          <w:rFonts w:ascii="Arial" w:eastAsia="Arial" w:hAnsi="Arial" w:cs="Arial"/>
          <w:i/>
          <w:color w:val="000000"/>
          <w:sz w:val="20"/>
        </w:rPr>
        <w:t>discriminatory acts</w:t>
      </w:r>
      <w:r>
        <w:rPr>
          <w:rFonts w:ascii="Arial" w:eastAsia="Arial" w:hAnsi="Arial" w:cs="Arial"/>
          <w:color w:val="000000"/>
          <w:sz w:val="20"/>
        </w:rPr>
        <w:t xml:space="preserve">, not upon the time at which the </w:t>
      </w:r>
      <w:r>
        <w:rPr>
          <w:rFonts w:ascii="Arial" w:eastAsia="Arial" w:hAnsi="Arial" w:cs="Arial"/>
          <w:i/>
          <w:color w:val="000000"/>
          <w:sz w:val="20"/>
        </w:rPr>
        <w:t>consequences</w:t>
      </w:r>
      <w:r>
        <w:rPr>
          <w:rFonts w:ascii="Arial" w:eastAsia="Arial" w:hAnsi="Arial" w:cs="Arial"/>
          <w:color w:val="000000"/>
          <w:sz w:val="20"/>
        </w:rPr>
        <w:t xml:space="preserve"> of the acts became most painful.") (citations omitted) (emphasis in original).</w:t>
      </w:r>
    </w:p>
    <w:p w14:paraId="0778F96C" w14:textId="77777777" w:rsidR="002B10A6" w:rsidRDefault="00000000">
      <w:pPr>
        <w:pStyle w:val="Normal3"/>
        <w:widowControl w:val="0"/>
        <w:spacing w:before="200" w:line="260" w:lineRule="atLeast"/>
        <w:jc w:val="both"/>
      </w:pPr>
      <w:bookmarkStart w:id="453" w:name="Bookmark_para_22_2"/>
      <w:bookmarkEnd w:id="453"/>
      <w:r>
        <w:rPr>
          <w:rFonts w:ascii="Arial" w:eastAsia="Arial" w:hAnsi="Arial" w:cs="Arial"/>
          <w:color w:val="000000"/>
          <w:sz w:val="20"/>
        </w:rPr>
        <w:t> [**14] That leaves Castelino's ADA claims premised on conduct occurring after March 28, 2015. To avoid summary judgment on his claim based on what he refers to as "the notecard incident," Castelino would need to demonstrate that Rose-Hulman discriminated against him by failing to make a reasonable accommodation for his disability. Instead of making any attempt to explain why the exception allowing him to use his typed notes failed to accommodate his disability, Castelino makes a series of largely irrelevant attacks on the district court's opinion.</w:t>
      </w:r>
    </w:p>
    <w:p w14:paraId="4705473A" w14:textId="77777777" w:rsidR="002B10A6" w:rsidRDefault="00000000">
      <w:pPr>
        <w:pStyle w:val="Normal3"/>
        <w:widowControl w:val="0"/>
        <w:spacing w:before="200" w:line="260" w:lineRule="atLeast"/>
        <w:jc w:val="both"/>
      </w:pPr>
      <w:bookmarkStart w:id="454" w:name="Bookmark_para_23_2"/>
      <w:bookmarkStart w:id="455" w:name="Bookmark_I57HK2X1JM6000066NT0001G"/>
      <w:bookmarkStart w:id="456" w:name="Bookmark_I62W0MDD2D6MV80040000400"/>
      <w:bookmarkEnd w:id="454"/>
      <w:bookmarkEnd w:id="455"/>
      <w:bookmarkEnd w:id="456"/>
      <w:r>
        <w:rPr>
          <w:rFonts w:ascii="Arial" w:eastAsia="Arial" w:hAnsi="Arial" w:cs="Arial"/>
          <w:color w:val="000000"/>
          <w:sz w:val="20"/>
        </w:rPr>
        <w:t xml:space="preserve">For instance, in response to the district court's observation that nothing suggested that Dr. Chapman intentionally omitted the new policy about notes from the syllabus, Castelino points to testimony from his disciplinary hearing that he claims establishes that Dr. Chapman intentionally omitted the policy from his syllabus. Castelino then asserts that Chapman had "no authority to enforce the new policy on one day's notice." Without explanation, Castelino points to 42 U.S.C. § 12182(b)(1)(A)(iii) and </w:t>
      </w:r>
      <w:bookmarkStart w:id="457" w:name="Bookmark_I62W0MDD2D6MV80030000400"/>
      <w:bookmarkEnd w:id="457"/>
      <w:r>
        <w:rPr>
          <w:rFonts w:ascii="Arial" w:eastAsia="Arial" w:hAnsi="Arial" w:cs="Arial"/>
          <w:i/>
          <w:color w:val="000000"/>
          <w:sz w:val="20"/>
        </w:rPr>
        <w:t>Guckenberger v. Boston University</w:t>
      </w:r>
      <w:r>
        <w:rPr>
          <w:rFonts w:ascii="Arial" w:eastAsia="Arial" w:hAnsi="Arial" w:cs="Arial"/>
          <w:color w:val="000000"/>
          <w:sz w:val="20"/>
        </w:rPr>
        <w:t xml:space="preserve">, 957 F. Supp. 306 (D. Mass. 1997), as supposed support for his assertion. The portion of the ADA he refers to simply prohibits the provision of separate benefits to disabled individuals. And </w:t>
      </w:r>
      <w:r>
        <w:rPr>
          <w:rFonts w:ascii="Arial" w:eastAsia="Arial" w:hAnsi="Arial" w:cs="Arial"/>
          <w:i/>
          <w:color w:val="000000"/>
          <w:sz w:val="20"/>
        </w:rPr>
        <w:t>Guckenberger</w:t>
      </w:r>
      <w:r>
        <w:rPr>
          <w:rFonts w:ascii="Arial" w:eastAsia="Arial" w:hAnsi="Arial" w:cs="Arial"/>
          <w:color w:val="000000"/>
          <w:sz w:val="20"/>
        </w:rPr>
        <w:t xml:space="preserve"> is a class-action [**15]  suit by university students with ADHD. The page Castelino cites concludes that the university's strict eligibility criteria for professionals evaluating whether students had a learning disability could screen out some individuals with a learning disability. Neither of these citations tends to show that Rose-Hulman or Dr. Chapman discriminated against Castelino on the basis of his ADHD (and other diagnosed learning disabilities) by changing his testing policy to require hand-written notes, and then allowing Castelino to use his typed notecards when he could not find anyone to transcribe them before the exam.</w:t>
      </w:r>
    </w:p>
    <w:p w14:paraId="308A4F3E" w14:textId="77777777" w:rsidR="002B10A6" w:rsidRDefault="00000000">
      <w:pPr>
        <w:pStyle w:val="Normal3"/>
        <w:widowControl w:val="0"/>
        <w:spacing w:before="200" w:line="260" w:lineRule="atLeast"/>
        <w:jc w:val="both"/>
      </w:pPr>
      <w:bookmarkStart w:id="458" w:name="Bookmark_para_24_2"/>
      <w:bookmarkStart w:id="459" w:name="Bookmark_I57HK2X1G00000066NT0001F"/>
      <w:bookmarkStart w:id="460" w:name="Bookmark_I62W0MDD2D6MVB0010000400"/>
      <w:bookmarkEnd w:id="458"/>
      <w:bookmarkEnd w:id="459"/>
      <w:bookmarkEnd w:id="460"/>
      <w:r>
        <w:rPr>
          <w:rFonts w:ascii="Arial" w:eastAsia="Arial" w:hAnsi="Arial" w:cs="Arial"/>
          <w:color w:val="000000"/>
          <w:sz w:val="20"/>
        </w:rPr>
        <w:t xml:space="preserve">The rest of Castelino's arguments as to how he has shown discrimination under the ADA are similarly inscrutable. He points to the district court's citation of </w:t>
      </w:r>
      <w:bookmarkStart w:id="461" w:name="Bookmark_I62W0MDD2D6MV80050000400"/>
      <w:bookmarkEnd w:id="461"/>
      <w:r>
        <w:rPr>
          <w:rFonts w:ascii="Arial" w:eastAsia="Arial" w:hAnsi="Arial" w:cs="Arial"/>
          <w:i/>
          <w:color w:val="000000"/>
          <w:sz w:val="20"/>
        </w:rPr>
        <w:t>Amaya v. Brater</w:t>
      </w:r>
      <w:r>
        <w:rPr>
          <w:rFonts w:ascii="Arial" w:eastAsia="Arial" w:hAnsi="Arial" w:cs="Arial"/>
          <w:color w:val="000000"/>
          <w:sz w:val="20"/>
        </w:rPr>
        <w:t xml:space="preserve">, 981 N.E.2d 1235 (Ind. App. 2013), for the proposition that the sole function of the courts is to determine whether an educational institution acted illegally, arbitrarily, or in bad faith. The district court cited </w:t>
      </w:r>
      <w:r>
        <w:rPr>
          <w:rFonts w:ascii="Arial" w:eastAsia="Arial" w:hAnsi="Arial" w:cs="Arial"/>
          <w:i/>
          <w:color w:val="000000"/>
          <w:sz w:val="20"/>
        </w:rPr>
        <w:t>Amaya</w:t>
      </w:r>
      <w:r>
        <w:rPr>
          <w:rFonts w:ascii="Arial" w:eastAsia="Arial" w:hAnsi="Arial" w:cs="Arial"/>
          <w:color w:val="000000"/>
          <w:sz w:val="20"/>
        </w:rPr>
        <w:t xml:space="preserve">, a case setting out the standard under Indiana law for a breach of contract claim against a university, in analyzing Castelino's breach of contract claim. Castelino, however, inexplicably cites </w:t>
      </w:r>
      <w:r>
        <w:rPr>
          <w:rFonts w:ascii="Arial" w:eastAsia="Arial" w:hAnsi="Arial" w:cs="Arial"/>
          <w:i/>
          <w:color w:val="000000"/>
          <w:sz w:val="20"/>
        </w:rPr>
        <w:t>Amaya</w:t>
      </w:r>
      <w:r>
        <w:rPr>
          <w:rFonts w:ascii="Arial" w:eastAsia="Arial" w:hAnsi="Arial" w:cs="Arial"/>
          <w:color w:val="000000"/>
          <w:sz w:val="20"/>
        </w:rPr>
        <w:t xml:space="preserve"> as support for his claim  [*1039]  that Dr. Chapman [**16]  acted "arbitrarily and capriciously" (Appellant's Br. 21), by attempting to enforce his notecard policy, as did Rose-Hulman and Dr. DeGrange by permitting him to use his old typed notes. He reasons that the typed notecards "earned him a -0- on the exam" and that Rose-Hulman's "ratification of those charges by its guilty finding in spite of Dr. DeGrange's guarantee ... perpetuated Dr. Chapman's discrimination" which, taken together, lead to the "only justifiable conclusion" that "Dr. Chapman's enforcement of a new policy denied Castelino of an accommodation which the district court found reasonable." (Appellant Br. 22)</w:t>
      </w:r>
    </w:p>
    <w:p w14:paraId="450EC8D4" w14:textId="77777777" w:rsidR="002B10A6" w:rsidRDefault="00000000">
      <w:pPr>
        <w:pStyle w:val="Normal3"/>
        <w:widowControl w:val="0"/>
        <w:spacing w:before="200" w:line="260" w:lineRule="atLeast"/>
        <w:jc w:val="both"/>
      </w:pPr>
      <w:bookmarkStart w:id="462" w:name="Bookmark_para_25_2"/>
      <w:bookmarkEnd w:id="462"/>
      <w:r>
        <w:rPr>
          <w:rFonts w:ascii="Arial" w:eastAsia="Arial" w:hAnsi="Arial" w:cs="Arial"/>
          <w:color w:val="000000"/>
          <w:sz w:val="20"/>
        </w:rPr>
        <w:t>Castelino's argument, to the extent there is one, is rendered nearly incomprehensible with reference to the wrong legal standards (as recounted above) and unsupported legal conclusions and factual claims. As described above, there is no relationship between the "arbitrary and capricious" standard applicable to contract claims and the question of whether an accommodation is reasonable under the ADA.</w:t>
      </w:r>
    </w:p>
    <w:p w14:paraId="633B358B" w14:textId="77777777" w:rsidR="002B10A6" w:rsidRDefault="00000000">
      <w:pPr>
        <w:pStyle w:val="Normal3"/>
        <w:widowControl w:val="0"/>
        <w:spacing w:before="200" w:line="260" w:lineRule="atLeast"/>
        <w:jc w:val="both"/>
      </w:pPr>
      <w:bookmarkStart w:id="463" w:name="Bookmark_para_26_2"/>
      <w:bookmarkEnd w:id="463"/>
      <w:r>
        <w:rPr>
          <w:rFonts w:ascii="Arial" w:eastAsia="Arial" w:hAnsi="Arial" w:cs="Arial"/>
          <w:color w:val="000000"/>
          <w:sz w:val="20"/>
        </w:rPr>
        <w:t>Moreover, Castelino's argument is based on a non-sequiter: that it was being allowed to use his typed notecards (the accommodation) that led to his failing exam score and subsequent [**17]  discipline. Notably absent from Castelino's argument is any information calling into question the undisputed fact that he used twenty-six cut and pasted slides on his notecard in violation of what he now apparently concedes was a reasonable accommodation. It was this prohibited use of cut and pasted class slides that led to him receiving a zero on the exam, not the fact that he was allowed to use typed notes when the rest of the class had to write out their notes in longhand. In short, Castelino fails to identify any facts in the record establishing that Rose-Hulman or any of its professors failed to accommodate his learning disability. Instead, the undisputed facts establish that he was suspended and then ultimately denied readmission based on several instances of academic misconduct and other behavioral issues that have no link to his learning disabilities or need for accommodations from Rose-Hulman. Summary judgment for Rose-Hulman was thus proper on Castelino's ADA claim.</w:t>
      </w:r>
    </w:p>
    <w:p w14:paraId="71820F1A" w14:textId="77777777" w:rsidR="002B10A6" w:rsidRDefault="00000000">
      <w:pPr>
        <w:pStyle w:val="Normal3"/>
        <w:widowControl w:val="0"/>
        <w:spacing w:before="240" w:line="260" w:lineRule="atLeast"/>
      </w:pPr>
      <w:r>
        <w:br/>
      </w:r>
      <w:r>
        <w:rPr>
          <w:rFonts w:ascii="Arial" w:eastAsia="Arial" w:hAnsi="Arial" w:cs="Arial"/>
          <w:b/>
          <w:color w:val="000000"/>
          <w:sz w:val="20"/>
        </w:rPr>
        <w:t>Breach of Contract</w:t>
      </w:r>
    </w:p>
    <w:p w14:paraId="258A5115" w14:textId="77777777" w:rsidR="002B10A6" w:rsidRDefault="00000000">
      <w:pPr>
        <w:pStyle w:val="Normal3"/>
        <w:widowControl w:val="0"/>
        <w:spacing w:before="200" w:line="260" w:lineRule="atLeast"/>
        <w:jc w:val="both"/>
      </w:pPr>
      <w:bookmarkStart w:id="464" w:name="Bookmark_para_27_2"/>
      <w:bookmarkEnd w:id="464"/>
      <w:r>
        <w:rPr>
          <w:rFonts w:ascii="Arial" w:eastAsia="Arial" w:hAnsi="Arial" w:cs="Arial"/>
          <w:color w:val="000000"/>
          <w:sz w:val="20"/>
        </w:rPr>
        <w:t xml:space="preserve">Castelino approaches his breach of contract claim in largely the same way as his ADA claim: he quotes the district court's opinion at length and then flatly asserts that it is erroneous without [**18]  any coherent explanation as to why. Castelino's claim generally is premised on his belief that Rose-Hulman failed to follow its own rules and procedures when disciplining, suspending, and ultimately denying him readmission. </w:t>
      </w:r>
      <w:bookmarkStart w:id="465" w:name="Bookmark_I62W0MDD2D6MVB0030000400"/>
      <w:bookmarkEnd w:id="465"/>
      <w:r>
        <w:rPr>
          <w:rFonts w:ascii="Arial" w:eastAsia="Arial" w:hAnsi="Arial" w:cs="Arial"/>
          <w:color w:val="000000"/>
          <w:sz w:val="20"/>
        </w:rPr>
        <w:t xml:space="preserve">The district court considered each of Castelino's claims in detail and concluded that he had failed to produce any evidence of bad faith on the part of Rose-Hulman that would sustain a cause of action for breach of contract. We assume for purposes of this appeal that Castelino demonstrated the existence of an implied contract between him and Rose-Hulman based on the Student Handbook and Faculty Handbook. </w:t>
      </w:r>
      <w:r>
        <w:rPr>
          <w:rFonts w:ascii="Arial" w:eastAsia="Arial" w:hAnsi="Arial" w:cs="Arial"/>
          <w:i/>
          <w:color w:val="000000"/>
          <w:sz w:val="20"/>
        </w:rPr>
        <w:t xml:space="preserve">See </w:t>
      </w:r>
      <w:bookmarkStart w:id="466" w:name="Bookmark_I62W0MDD2D6MVB0020000400"/>
      <w:bookmarkEnd w:id="466"/>
      <w:r>
        <w:rPr>
          <w:rFonts w:ascii="Arial" w:eastAsia="Arial" w:hAnsi="Arial" w:cs="Arial"/>
          <w:i/>
          <w:color w:val="000000"/>
          <w:sz w:val="20"/>
        </w:rPr>
        <w:t>Ross v. Creighton Univ.</w:t>
      </w:r>
      <w:r>
        <w:rPr>
          <w:rFonts w:ascii="Arial" w:eastAsia="Arial" w:hAnsi="Arial" w:cs="Arial"/>
          <w:color w:val="000000"/>
          <w:sz w:val="20"/>
        </w:rPr>
        <w:t>, 957 F.2d 410, 416 (7th Cir. 1992) ("It is generally held in the United States that the basic legal relation between a student and a private university or college is contractual in nature.") (internal citations omitted).</w:t>
      </w:r>
    </w:p>
    <w:p w14:paraId="46555730" w14:textId="77777777" w:rsidR="002B10A6" w:rsidRDefault="00000000">
      <w:pPr>
        <w:pStyle w:val="Normal3"/>
        <w:widowControl w:val="0"/>
        <w:spacing w:before="200" w:line="260" w:lineRule="atLeast"/>
        <w:jc w:val="both"/>
      </w:pPr>
      <w:bookmarkStart w:id="467" w:name="Bookmark_para_28_2"/>
      <w:bookmarkEnd w:id="467"/>
      <w:r>
        <w:rPr>
          <w:rFonts w:ascii="Arial" w:eastAsia="Arial" w:hAnsi="Arial" w:cs="Arial"/>
          <w:color w:val="000000"/>
          <w:sz w:val="20"/>
        </w:rPr>
        <w:t xml:space="preserve">Assuming the existence of such a contract, we turn to Castelino's claim that Rose-Hulman violated its terms by failing to comply with its own policies in his disciplinary and readmission hearings. </w:t>
      </w:r>
      <w:bookmarkStart w:id="468" w:name="Bookmark_I62W0MDD2D6MVB0050000400"/>
      <w:bookmarkEnd w:id="468"/>
      <w:r>
        <w:rPr>
          <w:rFonts w:ascii="Arial" w:eastAsia="Arial" w:hAnsi="Arial" w:cs="Arial"/>
          <w:color w:val="000000"/>
          <w:sz w:val="20"/>
        </w:rPr>
        <w:t xml:space="preserve">Castelino claims in his brief that certain citations to unspecified portions of the Rose-Hulman Student Handbook and the Faculty  [*1040]  Handbook identify "five material contract promises that [**19]  Rose-Hulman wrote down, provided to Castelino, and broke." (Appellant's Br. 28.) What these five promises are, however, is not at all clear. </w:t>
      </w:r>
      <w:bookmarkStart w:id="469" w:name="Bookmark_LNHNREFclscc6_2"/>
      <w:bookmarkEnd w:id="469"/>
      <w:r>
        <w:rPr>
          <w:rFonts w:ascii="Arial" w:eastAsia="Arial" w:hAnsi="Arial" w:cs="Arial"/>
          <w:color w:val="000000"/>
          <w:sz w:val="20"/>
        </w:rPr>
        <w:t xml:space="preserve">In considering a motion for summary judgment the court is not "'obligated ... to assume the truth of a nonmovant's conclusory allegations on faith or to scour the record to unearth material factual disputes.'" </w:t>
      </w:r>
      <w:bookmarkStart w:id="470" w:name="Bookmark_I62W0MDD2D6MVB0040000400"/>
      <w:bookmarkEnd w:id="470"/>
      <w:r>
        <w:rPr>
          <w:rFonts w:ascii="Arial" w:eastAsia="Arial" w:hAnsi="Arial" w:cs="Arial"/>
          <w:i/>
          <w:color w:val="000000"/>
          <w:sz w:val="20"/>
        </w:rPr>
        <w:t>Skiba v. Ill. Cent. R.R. Co.</w:t>
      </w:r>
      <w:r>
        <w:rPr>
          <w:rFonts w:ascii="Arial" w:eastAsia="Arial" w:hAnsi="Arial" w:cs="Arial"/>
          <w:color w:val="000000"/>
          <w:sz w:val="20"/>
        </w:rPr>
        <w:t xml:space="preserve">, 884 F.3d 708, 722-23 (7th Cir. 2018) (quoting </w:t>
      </w:r>
      <w:bookmarkStart w:id="471" w:name="Bookmark_I62W0MDF28T3X80010000400"/>
      <w:bookmarkEnd w:id="471"/>
      <w:r>
        <w:rPr>
          <w:rFonts w:ascii="Arial" w:eastAsia="Arial" w:hAnsi="Arial" w:cs="Arial"/>
          <w:i/>
          <w:color w:val="000000"/>
          <w:sz w:val="20"/>
        </w:rPr>
        <w:t>Carter v. Am. Oil Co.</w:t>
      </w:r>
      <w:r>
        <w:rPr>
          <w:rFonts w:ascii="Arial" w:eastAsia="Arial" w:hAnsi="Arial" w:cs="Arial"/>
          <w:color w:val="000000"/>
          <w:sz w:val="20"/>
        </w:rPr>
        <w:t>, 139 F.3d 1158, 1163 (7th Cir. 1998)).</w:t>
      </w:r>
    </w:p>
    <w:p w14:paraId="52FEADFE" w14:textId="77777777" w:rsidR="002B10A6" w:rsidRDefault="00000000">
      <w:pPr>
        <w:pStyle w:val="Normal3"/>
        <w:widowControl w:val="0"/>
        <w:spacing w:before="200" w:line="260" w:lineRule="atLeast"/>
        <w:jc w:val="both"/>
      </w:pPr>
      <w:bookmarkStart w:id="472" w:name="Bookmark_para_29_2"/>
      <w:bookmarkEnd w:id="472"/>
      <w:r>
        <w:rPr>
          <w:rFonts w:ascii="Arial" w:eastAsia="Arial" w:hAnsi="Arial" w:cs="Arial"/>
          <w:color w:val="000000"/>
          <w:sz w:val="20"/>
        </w:rPr>
        <w:t xml:space="preserve">What is clear is that all of the alleged breaches of contract identified by Castelino relate to what he characterizes as Rose-Hulman's failure to precisely comply with certain disciplinary procedures in handling his alleged misconduct, suspension, and ultimate denial of readmission. </w:t>
      </w:r>
      <w:bookmarkStart w:id="473" w:name="Bookmark_I62W0MDF28T3X80040000400"/>
      <w:bookmarkEnd w:id="473"/>
      <w:r>
        <w:rPr>
          <w:rFonts w:ascii="Arial" w:eastAsia="Arial" w:hAnsi="Arial" w:cs="Arial"/>
          <w:color w:val="000000"/>
          <w:sz w:val="20"/>
        </w:rPr>
        <w:t xml:space="preserve">It may be that Rose-Hulman failed to comply to the letter with its own policies, but that itself does not establish a breach of contract. </w:t>
      </w:r>
      <w:bookmarkStart w:id="474" w:name="Bookmark_I62W0MDF2D6MVD0010000400"/>
      <w:bookmarkStart w:id="475" w:name="Bookmark_LNHNREFclscc7_2"/>
      <w:bookmarkEnd w:id="474"/>
      <w:bookmarkEnd w:id="475"/>
      <w:r>
        <w:rPr>
          <w:rFonts w:ascii="Arial" w:eastAsia="Arial" w:hAnsi="Arial" w:cs="Arial"/>
          <w:color w:val="000000"/>
          <w:sz w:val="20"/>
        </w:rPr>
        <w:t xml:space="preserve">Indiana courts take a flexible approach to the contractual relationship between students and universities. </w:t>
      </w:r>
      <w:bookmarkStart w:id="476" w:name="Bookmark_I62W0MDF2D6MVD0030000400"/>
      <w:bookmarkEnd w:id="476"/>
      <w:r>
        <w:rPr>
          <w:rFonts w:ascii="Arial" w:eastAsia="Arial" w:hAnsi="Arial" w:cs="Arial"/>
          <w:i/>
          <w:color w:val="000000"/>
          <w:sz w:val="20"/>
        </w:rPr>
        <w:t xml:space="preserve">See </w:t>
      </w:r>
      <w:bookmarkStart w:id="477" w:name="Bookmark_I62W0MDF28T3X80030000400"/>
      <w:bookmarkEnd w:id="477"/>
      <w:r>
        <w:rPr>
          <w:rFonts w:ascii="Arial" w:eastAsia="Arial" w:hAnsi="Arial" w:cs="Arial"/>
          <w:i/>
          <w:color w:val="000000"/>
          <w:sz w:val="20"/>
        </w:rPr>
        <w:t>Sung Park v. Ind. Univ. Sch. of Dentistry</w:t>
      </w:r>
      <w:r>
        <w:rPr>
          <w:rFonts w:ascii="Arial" w:eastAsia="Arial" w:hAnsi="Arial" w:cs="Arial"/>
          <w:color w:val="000000"/>
          <w:sz w:val="20"/>
        </w:rPr>
        <w:t xml:space="preserve">, 692 F.3d 828, 831 (7th Cir. 2012). </w:t>
      </w:r>
      <w:bookmarkStart w:id="478" w:name="Bookmark_I62W0MDF2D6MVD0030000400_2"/>
      <w:bookmarkStart w:id="479" w:name="Bookmark_I62W0MDF2D6MVD0010000400_2"/>
      <w:bookmarkEnd w:id="478"/>
      <w:bookmarkEnd w:id="479"/>
      <w:r>
        <w:rPr>
          <w:rFonts w:ascii="Arial" w:eastAsia="Arial" w:hAnsi="Arial" w:cs="Arial"/>
          <w:color w:val="000000"/>
          <w:sz w:val="20"/>
        </w:rPr>
        <w:t xml:space="preserve">In an attempt to avoid interfering with the "subjective professional judgment of trained educators, courts have quite properly exercised the utmost restraint in applying traditional legal rules to disputes within the academic community." </w:t>
      </w:r>
      <w:bookmarkStart w:id="480" w:name="Bookmark_I62W0MDF28T3X80050000400"/>
      <w:bookmarkEnd w:id="480"/>
      <w:r>
        <w:rPr>
          <w:rFonts w:ascii="Arial" w:eastAsia="Arial" w:hAnsi="Arial" w:cs="Arial"/>
          <w:i/>
          <w:color w:val="000000"/>
          <w:sz w:val="20"/>
        </w:rPr>
        <w:t>Gordon v. Purdue Univ.</w:t>
      </w:r>
      <w:r>
        <w:rPr>
          <w:rFonts w:ascii="Arial" w:eastAsia="Arial" w:hAnsi="Arial" w:cs="Arial"/>
          <w:color w:val="000000"/>
          <w:sz w:val="20"/>
        </w:rPr>
        <w:t xml:space="preserve">, 862 N.E.2d 1244, 1251 (Ind. Ct. App. 2007) (citation and internal quotations omitted). Accordingly, "the sole [**20]  function of courts is to determine whether the educational institution acted illegally, arbitrarily, capriciously, or in bad faith." </w:t>
      </w:r>
      <w:bookmarkStart w:id="481" w:name="Bookmark_I62W0MDF2D6MVD0020000400"/>
      <w:bookmarkEnd w:id="481"/>
      <w:r>
        <w:rPr>
          <w:rFonts w:ascii="Arial" w:eastAsia="Arial" w:hAnsi="Arial" w:cs="Arial"/>
          <w:i/>
          <w:color w:val="000000"/>
          <w:sz w:val="20"/>
        </w:rPr>
        <w:t>Amaya</w:t>
      </w:r>
      <w:r>
        <w:rPr>
          <w:rFonts w:ascii="Arial" w:eastAsia="Arial" w:hAnsi="Arial" w:cs="Arial"/>
          <w:color w:val="000000"/>
          <w:sz w:val="20"/>
        </w:rPr>
        <w:t xml:space="preserve">, 981 N.E.2d at 1240; </w:t>
      </w:r>
      <w:r>
        <w:rPr>
          <w:rFonts w:ascii="Arial" w:eastAsia="Arial" w:hAnsi="Arial" w:cs="Arial"/>
          <w:i/>
          <w:color w:val="000000"/>
          <w:sz w:val="20"/>
        </w:rPr>
        <w:t xml:space="preserve">see also </w:t>
      </w:r>
      <w:bookmarkStart w:id="482" w:name="Bookmark_I62W0MDF2D6MVD0040000400"/>
      <w:bookmarkEnd w:id="482"/>
      <w:r>
        <w:rPr>
          <w:rFonts w:ascii="Arial" w:eastAsia="Arial" w:hAnsi="Arial" w:cs="Arial"/>
          <w:i/>
          <w:color w:val="000000"/>
          <w:sz w:val="20"/>
        </w:rPr>
        <w:t>Gordon</w:t>
      </w:r>
      <w:r>
        <w:rPr>
          <w:rFonts w:ascii="Arial" w:eastAsia="Arial" w:hAnsi="Arial" w:cs="Arial"/>
          <w:color w:val="000000"/>
          <w:sz w:val="20"/>
        </w:rPr>
        <w:t xml:space="preserve">, 862 N.E.2d at 1251 ("[A]bsent a showing of bad faith on the part of the University or a professor, the Court will not interfere.") (quoting </w:t>
      </w:r>
      <w:bookmarkStart w:id="483" w:name="Bookmark_I62W0MDF2D6MVD0030000400_3"/>
      <w:bookmarkEnd w:id="483"/>
      <w:r>
        <w:rPr>
          <w:rFonts w:ascii="Arial" w:eastAsia="Arial" w:hAnsi="Arial" w:cs="Arial"/>
          <w:i/>
          <w:color w:val="000000"/>
          <w:sz w:val="20"/>
        </w:rPr>
        <w:t>Note, Contract Law &amp; the Student-Univ. Relationship</w:t>
      </w:r>
      <w:r>
        <w:rPr>
          <w:rFonts w:ascii="Arial" w:eastAsia="Arial" w:hAnsi="Arial" w:cs="Arial"/>
          <w:color w:val="000000"/>
          <w:sz w:val="20"/>
        </w:rPr>
        <w:t>, 48 Ind. L.J. 253, 263 (1973)).</w:t>
      </w:r>
    </w:p>
    <w:p w14:paraId="0F65D626" w14:textId="77777777" w:rsidR="002B10A6" w:rsidRDefault="00000000">
      <w:pPr>
        <w:pStyle w:val="Normal3"/>
        <w:widowControl w:val="0"/>
        <w:spacing w:before="200" w:line="260" w:lineRule="atLeast"/>
        <w:jc w:val="both"/>
      </w:pPr>
      <w:bookmarkStart w:id="484" w:name="Bookmark_para_30_2"/>
      <w:bookmarkEnd w:id="484"/>
      <w:r>
        <w:rPr>
          <w:rFonts w:ascii="Arial" w:eastAsia="Arial" w:hAnsi="Arial" w:cs="Arial"/>
          <w:color w:val="000000"/>
          <w:sz w:val="20"/>
        </w:rPr>
        <w:t>The alleged "breaches of contract" Castelino discusses fall well within the bounds of Rose-Hulman's academic judgment.</w:t>
      </w:r>
      <w:r>
        <w:rPr>
          <w:rFonts w:ascii="Arial" w:eastAsia="Arial" w:hAnsi="Arial" w:cs="Arial"/>
          <w:vertAlign w:val="superscript"/>
        </w:rPr>
        <w:footnoteReference w:customMarkFollows="1" w:id="15"/>
        <w:t>3</w:t>
      </w:r>
      <w:r>
        <w:rPr>
          <w:rFonts w:ascii="Arial" w:eastAsia="Arial" w:hAnsi="Arial" w:cs="Arial"/>
          <w:color w:val="000000"/>
          <w:sz w:val="20"/>
        </w:rPr>
        <w:t xml:space="preserve"> For instance, Castelino seems to be arguing that the Student Handbook prevented the Rules and Discipline Committee from considering multiple acts of academic misconduct because the Handbook provides that, "Guilt or innocence in </w:t>
      </w:r>
      <w:r>
        <w:rPr>
          <w:rFonts w:ascii="Arial" w:eastAsia="Arial" w:hAnsi="Arial" w:cs="Arial"/>
          <w:i/>
          <w:color w:val="000000"/>
          <w:sz w:val="20"/>
        </w:rPr>
        <w:t>a case</w:t>
      </w:r>
      <w:r>
        <w:rPr>
          <w:rFonts w:ascii="Arial" w:eastAsia="Arial" w:hAnsi="Arial" w:cs="Arial"/>
          <w:color w:val="000000"/>
          <w:sz w:val="20"/>
        </w:rPr>
        <w:t xml:space="preserve"> shall be determined solely on </w:t>
      </w:r>
      <w:r>
        <w:rPr>
          <w:rFonts w:ascii="Arial" w:eastAsia="Arial" w:hAnsi="Arial" w:cs="Arial"/>
          <w:i/>
          <w:color w:val="000000"/>
          <w:sz w:val="20"/>
        </w:rPr>
        <w:t>the merits of that case</w:t>
      </w:r>
      <w:r>
        <w:rPr>
          <w:rFonts w:ascii="Arial" w:eastAsia="Arial" w:hAnsi="Arial" w:cs="Arial"/>
          <w:color w:val="000000"/>
          <w:sz w:val="20"/>
        </w:rPr>
        <w:t>." (Appellant's Br. 33.). That same rule forbids the Committee from reviewing the accused's previous disciplinary record before the hearing or permitting it to be introduced in the hearing. Student Handbook at 54, IV. Hearings Before the Institute Rules and Discipline Committee, General Proc., 6. As Castelino sees it, the use of the word "case" in Rule 6 prohibits the Rules and Discipline Committee from considering multiple acts of disciplinary misconduct in a single hearing. [**21] </w:t>
      </w:r>
    </w:p>
    <w:p w14:paraId="50D5205C" w14:textId="77777777" w:rsidR="002B10A6" w:rsidRDefault="00000000">
      <w:pPr>
        <w:pStyle w:val="Normal3"/>
        <w:widowControl w:val="0"/>
        <w:spacing w:before="200" w:line="260" w:lineRule="atLeast"/>
        <w:jc w:val="both"/>
      </w:pPr>
      <w:bookmarkStart w:id="486" w:name="Bookmark_para_31_2"/>
      <w:bookmarkEnd w:id="486"/>
      <w:r>
        <w:rPr>
          <w:rFonts w:ascii="Arial" w:eastAsia="Arial" w:hAnsi="Arial" w:cs="Arial"/>
          <w:color w:val="000000"/>
          <w:sz w:val="20"/>
        </w:rPr>
        <w:t xml:space="preserve">Rose-Hulman provided evidence establishing the history leading up to Castelino's  [*1041]  hearing: Castelino appealed his first case of academic misconduct in 2013 to the Committee, which upheld Dr. Hanson's finding. Castelino was again accused of academic misconduct in 2014 by Dr. Chapman, who did not request a hearing. Then following the incident in Dr. Chapman's class in 2015, Dean Gustafson referred Castelino to the Rules and Disciplinary Committee under a portion of the Student Handbook providing that the Dean of Students may bring a case to the Rules and Discipline Committee if the student is "involved in more than one instance of Academic Misconduct." </w:t>
      </w:r>
      <w:r>
        <w:rPr>
          <w:rFonts w:ascii="Arial" w:eastAsia="Arial" w:hAnsi="Arial" w:cs="Arial"/>
          <w:i/>
          <w:color w:val="000000"/>
          <w:sz w:val="20"/>
        </w:rPr>
        <w:t>Id.</w:t>
      </w:r>
      <w:r>
        <w:rPr>
          <w:rFonts w:ascii="Arial" w:eastAsia="Arial" w:hAnsi="Arial" w:cs="Arial"/>
          <w:color w:val="000000"/>
          <w:sz w:val="20"/>
        </w:rPr>
        <w:t xml:space="preserve"> at 53 III. Academic Misconduct, Bringing a Case to the Rules and Discipline Committee, 3. When Castelino discovered that he had been referred by Dean Gustafson to the Committee for multiple acts of academic misconduct, he asked to have both the 2014 and 2015 findings of academic misconduct reviewed. Dr. Ditteon scheduled an initial hearing to allow Castelino to appeal the individual acts of misconduct and a second hearing to determine if additional penalties were appropriate depending on the outcome of the first hearing. Castelino himself [**22]  then requested a single hearing, which led to the May 13 Committee hearing.</w:t>
      </w:r>
    </w:p>
    <w:p w14:paraId="1B4737E0" w14:textId="77777777" w:rsidR="002B10A6" w:rsidRDefault="00000000">
      <w:pPr>
        <w:pStyle w:val="Normal3"/>
        <w:widowControl w:val="0"/>
        <w:spacing w:before="200" w:line="260" w:lineRule="atLeast"/>
        <w:jc w:val="both"/>
      </w:pPr>
      <w:bookmarkStart w:id="487" w:name="Bookmark_para_32_2"/>
      <w:bookmarkEnd w:id="487"/>
      <w:r>
        <w:rPr>
          <w:rFonts w:ascii="Arial" w:eastAsia="Arial" w:hAnsi="Arial" w:cs="Arial"/>
          <w:color w:val="000000"/>
          <w:sz w:val="20"/>
        </w:rPr>
        <w:t>At that hearing, Castelino presented witnesses and evidence to support his version of events, but the Committee voted to suspend Castelino for a quarter. Castelino cites several cases (none in the educational context) for the unremarkable proposition that contracts must be read in their entirety in an attempt to harmonize differing contractual provisions. But there is no logical reason to believe that the "General Procedures" section of the Handbook describing permissible evidence at a hearing somehow overrides the specific procedures applicable when there are multiple acts of academic misconduct as described elsewhere in the Handbook. Moreover, even assuming the Committee's decision to consider Castelino's multiple acts of misconduct violated the Handbook provision he identifies, he presents no evidence that the alleged deviation was arbitrary, capricious, or undertaken in bad faith.</w:t>
      </w:r>
    </w:p>
    <w:p w14:paraId="163746AC" w14:textId="77777777" w:rsidR="002B10A6" w:rsidRDefault="00000000">
      <w:pPr>
        <w:pStyle w:val="Normal3"/>
        <w:widowControl w:val="0"/>
        <w:spacing w:before="200" w:line="260" w:lineRule="atLeast"/>
        <w:jc w:val="both"/>
      </w:pPr>
      <w:bookmarkStart w:id="488" w:name="Bookmark_para_33_1"/>
      <w:bookmarkEnd w:id="488"/>
      <w:r>
        <w:rPr>
          <w:rFonts w:ascii="Arial" w:eastAsia="Arial" w:hAnsi="Arial" w:cs="Arial"/>
          <w:color w:val="000000"/>
          <w:sz w:val="20"/>
        </w:rPr>
        <w:t>Castelino also characterizes it as a breach of contract for the Committee to have considered his conduct while suspended when he sought readmission (a second time) before the Admissions and Standing Committee in June 2016. Moreover, [**23]  he claims that the presence of Dr. Conwell, the University President, at that same hearing amounted to a breach of contract. Tellingly, Castelino cites no specific Handbook provisions preventing Dr. Conwell from attending the read-mission hearing. He argues that Dr. Conwell "disregarded the constitutional limits" of the Standing Committee's authority by describing Castelino's arrest after his suspension. Without citing anything in the record, Castelino insists that the Standing Committee had "no authority" to consider that evidence, and suggests that the "lengths" Dr. Conwell went to in an attempt "to persuade the wrong committee to suspend Castelino permanently when it did not have the authority to do so" is "itself dishonest" and "must raise the question" whether Dr. Conwell acted in bad faith. (Appellant's Br. 44.) Not only is Castelino unable to point to any policy preventing the Standing Committee from considering his behavior while suspended, he ignores Rose-Hulman's citation to the section of the Student Handbook explaining that it "values its reputation for moral leadership" and "expects all persons associated with it to maintain this reputation." Nor can Castelino offer any [**24]  explanation as to why Rose-Hulman could not reasonably apply its stated policy that it expects students "to be responsible and to behave at all times with honor and integrity" when considering him for readmission.</w:t>
      </w:r>
    </w:p>
    <w:p w14:paraId="619EF419" w14:textId="77777777" w:rsidR="002B10A6" w:rsidRDefault="00000000">
      <w:pPr>
        <w:pStyle w:val="Normal3"/>
        <w:widowControl w:val="0"/>
        <w:spacing w:before="200" w:line="260" w:lineRule="atLeast"/>
        <w:jc w:val="both"/>
      </w:pPr>
      <w:bookmarkStart w:id="489" w:name="Bookmark_para_34_0"/>
      <w:bookmarkEnd w:id="489"/>
      <w:r>
        <w:rPr>
          <w:rFonts w:ascii="Arial" w:eastAsia="Arial" w:hAnsi="Arial" w:cs="Arial"/>
          <w:color w:val="000000"/>
          <w:sz w:val="20"/>
        </w:rPr>
        <w:t> [*1042]  Rose-Hulman presented evidence that Castelino consistently engaged in aggressive behavior while a student, and his arrest while suspended was in many respects simply a continuation of the sort of poor judgment he had repeatedly shown as a student. He also provides no evidence that any of his behavior was related to his ADHD or perceptual disability. Rose-Hulman's assessment of whether Castelino should be readmitted in light of his behavior while suspended is precisely the sort of expert academic judgment to which we defer.</w:t>
      </w:r>
    </w:p>
    <w:p w14:paraId="2A074517" w14:textId="77777777" w:rsidR="002B10A6" w:rsidRDefault="00000000">
      <w:pPr>
        <w:pStyle w:val="Normal3"/>
        <w:widowControl w:val="0"/>
        <w:spacing w:before="200" w:line="260" w:lineRule="atLeast"/>
        <w:jc w:val="both"/>
      </w:pPr>
      <w:bookmarkStart w:id="490" w:name="Bookmark_para_35_0"/>
      <w:bookmarkStart w:id="491" w:name="Bookmark_I62W0MDF2HM66C0020000400"/>
      <w:bookmarkStart w:id="492" w:name="Bookmark_LNHNREFclscc8_1"/>
      <w:bookmarkEnd w:id="490"/>
      <w:bookmarkEnd w:id="491"/>
      <w:bookmarkEnd w:id="492"/>
      <w:r>
        <w:rPr>
          <w:rFonts w:ascii="Arial" w:eastAsia="Arial" w:hAnsi="Arial" w:cs="Arial"/>
          <w:color w:val="000000"/>
          <w:sz w:val="20"/>
        </w:rPr>
        <w:t xml:space="preserve">As noted in </w:t>
      </w:r>
      <w:r>
        <w:rPr>
          <w:rFonts w:ascii="Arial" w:eastAsia="Arial" w:hAnsi="Arial" w:cs="Arial"/>
          <w:i/>
          <w:color w:val="000000"/>
          <w:sz w:val="20"/>
        </w:rPr>
        <w:t>Amaya</w:t>
      </w:r>
      <w:r>
        <w:rPr>
          <w:rFonts w:ascii="Arial" w:eastAsia="Arial" w:hAnsi="Arial" w:cs="Arial"/>
          <w:color w:val="000000"/>
          <w:sz w:val="20"/>
        </w:rPr>
        <w:t xml:space="preserve">, judicial deference is warranted in light of the institution's duty to the public as well as the student. </w:t>
      </w:r>
      <w:bookmarkStart w:id="493" w:name="Bookmark_I62W0MDF2HM66C0010000400"/>
      <w:bookmarkEnd w:id="493"/>
      <w:r>
        <w:rPr>
          <w:rFonts w:ascii="Arial" w:eastAsia="Arial" w:hAnsi="Arial" w:cs="Arial"/>
          <w:color w:val="000000"/>
          <w:sz w:val="20"/>
        </w:rPr>
        <w:t>981 N.E.2d at 1242. Given the underlying academic misconduct as well as Castelino's record of behavior both on and off campus, Rose-Hulman was entitled to exercise its professional judgment to conclude that Castelino was not entitled to readmission.</w:t>
      </w:r>
    </w:p>
    <w:p w14:paraId="73F24D4F" w14:textId="77777777" w:rsidR="002B10A6" w:rsidRDefault="00000000">
      <w:pPr>
        <w:pStyle w:val="Normal3"/>
        <w:widowControl w:val="0"/>
        <w:spacing w:before="200" w:line="260" w:lineRule="atLeast"/>
        <w:jc w:val="both"/>
      </w:pPr>
      <w:bookmarkStart w:id="494" w:name="Bookmark_para_36_0"/>
      <w:bookmarkStart w:id="495" w:name="Bookmark_I62W0MDF2HM66C0040000400"/>
      <w:bookmarkStart w:id="496" w:name="Bookmark_I62W0MDF28T3XB0010000400"/>
      <w:bookmarkEnd w:id="494"/>
      <w:bookmarkEnd w:id="495"/>
      <w:bookmarkEnd w:id="496"/>
      <w:r>
        <w:rPr>
          <w:rFonts w:ascii="Arial" w:eastAsia="Arial" w:hAnsi="Arial" w:cs="Arial"/>
          <w:color w:val="000000"/>
          <w:sz w:val="20"/>
        </w:rPr>
        <w:t xml:space="preserve">Finally, Castelino's claim that "Rose-Hulman's falling short of any of its procedures is arbitrary or capricious, [**25]  by definition" (Appellant's Br. 38) finds no support whatsoever in the case law. Instead, the cases establish that deviations from University policy alone will </w:t>
      </w:r>
      <w:r>
        <w:rPr>
          <w:rFonts w:ascii="Arial" w:eastAsia="Arial" w:hAnsi="Arial" w:cs="Arial"/>
          <w:i/>
          <w:color w:val="000000"/>
          <w:sz w:val="20"/>
        </w:rPr>
        <w:t>not</w:t>
      </w:r>
      <w:r>
        <w:rPr>
          <w:rFonts w:ascii="Arial" w:eastAsia="Arial" w:hAnsi="Arial" w:cs="Arial"/>
          <w:color w:val="000000"/>
          <w:sz w:val="20"/>
        </w:rPr>
        <w:t xml:space="preserve"> establish a claim for breach of contract. </w:t>
      </w:r>
      <w:r>
        <w:rPr>
          <w:rFonts w:ascii="Arial" w:eastAsia="Arial" w:hAnsi="Arial" w:cs="Arial"/>
          <w:i/>
          <w:color w:val="000000"/>
          <w:sz w:val="20"/>
        </w:rPr>
        <w:t xml:space="preserve">See </w:t>
      </w:r>
      <w:bookmarkStart w:id="497" w:name="Bookmark_I62W0MDF2HM66C0030000400"/>
      <w:bookmarkEnd w:id="497"/>
      <w:r>
        <w:rPr>
          <w:rFonts w:ascii="Arial" w:eastAsia="Arial" w:hAnsi="Arial" w:cs="Arial"/>
          <w:i/>
          <w:color w:val="000000"/>
          <w:sz w:val="20"/>
        </w:rPr>
        <w:t>Amaya</w:t>
      </w:r>
      <w:r>
        <w:rPr>
          <w:rFonts w:ascii="Arial" w:eastAsia="Arial" w:hAnsi="Arial" w:cs="Arial"/>
          <w:color w:val="000000"/>
          <w:sz w:val="20"/>
        </w:rPr>
        <w:t xml:space="preserve">, 981 N.E.2d at 1241 ("[E]ven assuming that IUSM failed to strictly follow the procedures outlined in all its handbooks and codes or to publish its procedures in specific accordance with accreditation standards as asserted by Amaya, that does not automatically lead to a finding of breach of contract on the part of IUSM.") At best, Castelino provided evidence of inconsequential deviations from various procedures in the Student and Faculty Handbooks. He has failed to identify any facts in the record that could plausibly lead to the conclusion that Rose-Hulman undertook "the conscious doing of a wrong because of dishonest purpose or moral obliquity" or had "a state of mind affirmatively operating with furtive design or ill will." </w:t>
      </w:r>
      <w:bookmarkStart w:id="498" w:name="Bookmark_I62W0MDF2HM66C0050000400"/>
      <w:bookmarkEnd w:id="498"/>
      <w:r>
        <w:rPr>
          <w:rFonts w:ascii="Arial" w:eastAsia="Arial" w:hAnsi="Arial" w:cs="Arial"/>
          <w:i/>
          <w:color w:val="000000"/>
          <w:sz w:val="20"/>
        </w:rPr>
        <w:t>Id.</w:t>
      </w:r>
      <w:r>
        <w:rPr>
          <w:rFonts w:ascii="Arial" w:eastAsia="Arial" w:hAnsi="Arial" w:cs="Arial"/>
          <w:color w:val="000000"/>
          <w:sz w:val="20"/>
        </w:rPr>
        <w:t xml:space="preserve"> at 1242 (quoting </w:t>
      </w:r>
      <w:bookmarkStart w:id="499" w:name="Bookmark_I62W0MDF28T3XB0020000400"/>
      <w:bookmarkEnd w:id="499"/>
      <w:r>
        <w:rPr>
          <w:rFonts w:ascii="Arial" w:eastAsia="Arial" w:hAnsi="Arial" w:cs="Arial"/>
          <w:i/>
          <w:color w:val="000000"/>
          <w:sz w:val="20"/>
        </w:rPr>
        <w:t>Gordon</w:t>
      </w:r>
      <w:r>
        <w:rPr>
          <w:rFonts w:ascii="Arial" w:eastAsia="Arial" w:hAnsi="Arial" w:cs="Arial"/>
          <w:color w:val="000000"/>
          <w:sz w:val="20"/>
        </w:rPr>
        <w:t>, 862 N.E.2d at 1253). Rose-Hulman is thus entitled to summary judgment on Castelino's breach of contract claims.</w:t>
      </w:r>
    </w:p>
    <w:p w14:paraId="318CB441" w14:textId="77777777" w:rsidR="002B10A6" w:rsidRDefault="00000000">
      <w:pPr>
        <w:pStyle w:val="Normal3"/>
        <w:widowControl w:val="0"/>
        <w:spacing w:before="200" w:line="260" w:lineRule="atLeast"/>
        <w:jc w:val="both"/>
      </w:pPr>
      <w:bookmarkStart w:id="500" w:name="Bookmark_para_37"/>
      <w:bookmarkEnd w:id="500"/>
      <w:r>
        <w:rPr>
          <w:rFonts w:ascii="Arial" w:eastAsia="Arial" w:hAnsi="Arial" w:cs="Arial"/>
          <w:color w:val="000000"/>
          <w:sz w:val="20"/>
        </w:rPr>
        <w:t>Castelino's remaining arguments are even more insubstantial, and we consider them only briefly, bearing in mind his failure to develop them in any meaningful way.</w:t>
      </w:r>
    </w:p>
    <w:p w14:paraId="7DEBF275" w14:textId="77777777" w:rsidR="002B10A6" w:rsidRDefault="00000000">
      <w:pPr>
        <w:pStyle w:val="Normal3"/>
        <w:widowControl w:val="0"/>
        <w:spacing w:before="240" w:line="260" w:lineRule="atLeast"/>
      </w:pPr>
      <w:r>
        <w:br/>
      </w:r>
      <w:r>
        <w:rPr>
          <w:rFonts w:ascii="Arial" w:eastAsia="Arial" w:hAnsi="Arial" w:cs="Arial"/>
          <w:b/>
          <w:color w:val="000000"/>
          <w:sz w:val="20"/>
        </w:rPr>
        <w:t>Defamation</w:t>
      </w:r>
      <w:r>
        <w:rPr>
          <w:rFonts w:ascii="Arial" w:eastAsia="Arial" w:hAnsi="Arial" w:cs="Arial"/>
          <w:color w:val="000000"/>
          <w:sz w:val="20"/>
        </w:rPr>
        <w:t> [**26] </w:t>
      </w:r>
    </w:p>
    <w:p w14:paraId="5FC17254" w14:textId="77777777" w:rsidR="002B10A6" w:rsidRDefault="00000000">
      <w:pPr>
        <w:pStyle w:val="Normal3"/>
        <w:widowControl w:val="0"/>
        <w:spacing w:before="200" w:line="260" w:lineRule="atLeast"/>
        <w:jc w:val="both"/>
      </w:pPr>
      <w:bookmarkStart w:id="501" w:name="Bookmark_para_38"/>
      <w:bookmarkEnd w:id="501"/>
      <w:r>
        <w:rPr>
          <w:rFonts w:ascii="Arial" w:eastAsia="Arial" w:hAnsi="Arial" w:cs="Arial"/>
          <w:color w:val="000000"/>
          <w:sz w:val="20"/>
        </w:rPr>
        <w:t>Castelino argues (1) that including the word "suspended" on his transcripts (shared with other schools) amounted to libel per se; (2) that Dr. Chapman defamed him in the letter accusing him of academic misconduct for using the cut and pasted slides; and (3) that Dr. Sutterer defamed Castelino by lying to the Rules and Discipline Committee about a signature on Castelino's course drop sheet.</w:t>
      </w:r>
    </w:p>
    <w:p w14:paraId="1B4BFC3A" w14:textId="77777777" w:rsidR="002B10A6" w:rsidRDefault="00000000">
      <w:pPr>
        <w:pStyle w:val="Normal3"/>
        <w:widowControl w:val="0"/>
        <w:spacing w:before="200" w:line="260" w:lineRule="atLeast"/>
        <w:jc w:val="both"/>
      </w:pPr>
      <w:bookmarkStart w:id="502" w:name="Bookmark_para_39"/>
      <w:bookmarkStart w:id="503" w:name="Bookmark_I62W0MDF28T3XB0050000400"/>
      <w:bookmarkEnd w:id="502"/>
      <w:bookmarkEnd w:id="503"/>
      <w:r>
        <w:rPr>
          <w:rFonts w:ascii="Arial" w:eastAsia="Arial" w:hAnsi="Arial" w:cs="Arial"/>
          <w:color w:val="000000"/>
          <w:sz w:val="20"/>
        </w:rPr>
        <w:t xml:space="preserve">The district court concluded that, assuming Dr. Chapman's letter was defamatory, it was protected by privilege. </w:t>
      </w:r>
      <w:bookmarkStart w:id="504" w:name="Bookmark_LNHNREFclscc9_1"/>
      <w:bookmarkEnd w:id="504"/>
      <w:r>
        <w:rPr>
          <w:rFonts w:ascii="Arial" w:eastAsia="Arial" w:hAnsi="Arial" w:cs="Arial"/>
          <w:color w:val="000000"/>
          <w:sz w:val="20"/>
        </w:rPr>
        <w:t xml:space="preserve">Under Indiana law, qualified privilege is a defense to a defamation action and applies to "communications made in good faith on any subject matter in which the party making the communication has an interest or in reference to which he has a duty, either public or private, either legal, moral, or social, if made to a person having a corresponding interest or duty." </w:t>
      </w:r>
      <w:bookmarkStart w:id="505" w:name="Bookmark_I62W0MDF28T3XB0040000400"/>
      <w:bookmarkEnd w:id="505"/>
      <w:r>
        <w:rPr>
          <w:rFonts w:ascii="Arial" w:eastAsia="Arial" w:hAnsi="Arial" w:cs="Arial"/>
          <w:i/>
          <w:color w:val="000000"/>
          <w:sz w:val="20"/>
        </w:rPr>
        <w:t>Bals v. Verduzco</w:t>
      </w:r>
      <w:r>
        <w:rPr>
          <w:rFonts w:ascii="Arial" w:eastAsia="Arial" w:hAnsi="Arial" w:cs="Arial"/>
          <w:color w:val="000000"/>
          <w:sz w:val="20"/>
        </w:rPr>
        <w:t>, 600 N.E.2d 1353, 1356 (Ind. 1992) (internal quotations and citation omitted). As a professor, Dr. Chapman was obligated to hold students accountable for academic misconduct and also obligated to provide certain Rose-Hulman employees copies of any letters accusing a student of such misconduct. Accordingly, such a letter would be protected by qualified privilege [**27]  absent some evidence that Dr. Chapman wrote and published it without belief or grounds for belief in its truth. The district  [*1043]  court concluded that Castelino had produced no such evidence, and thus his defamation claim based on Dr. Chapman's letter failed as a matter of law.</w:t>
      </w:r>
    </w:p>
    <w:p w14:paraId="4D17EC46" w14:textId="77777777" w:rsidR="002B10A6" w:rsidRDefault="00000000">
      <w:pPr>
        <w:pStyle w:val="Normal3"/>
        <w:widowControl w:val="0"/>
        <w:spacing w:before="200" w:line="260" w:lineRule="atLeast"/>
        <w:jc w:val="both"/>
      </w:pPr>
      <w:bookmarkStart w:id="506" w:name="Bookmark_para_40"/>
      <w:bookmarkEnd w:id="506"/>
      <w:r>
        <w:rPr>
          <w:rFonts w:ascii="Arial" w:eastAsia="Arial" w:hAnsi="Arial" w:cs="Arial"/>
          <w:color w:val="000000"/>
          <w:sz w:val="20"/>
        </w:rPr>
        <w:t xml:space="preserve">Castelino's arguments about defamation ultimately amount to his own conclusory statements that he was defamed. </w:t>
      </w:r>
      <w:bookmarkStart w:id="507" w:name="Bookmark_I62W0MDG2N1PYK0020000400"/>
      <w:bookmarkEnd w:id="507"/>
      <w:r>
        <w:rPr>
          <w:rFonts w:ascii="Arial" w:eastAsia="Arial" w:hAnsi="Arial" w:cs="Arial"/>
          <w:color w:val="000000"/>
          <w:sz w:val="20"/>
        </w:rPr>
        <w:t xml:space="preserve">He makes no attempt to explain why Dr. Chapman's letter would not be protected by qualified privilege, fails to elaborate on why the word "suspended" on his transcripts was defamatory (he had been suspended after all), or identify any specific evidence tending to demonstrate defamation by Dr. Sutterer at Castelino's Rules and Discipline hearing. In short, he has waived any contention that the district court erred by granting summary judgment to Rose-Hulman on his state-law defamation claim. </w:t>
      </w:r>
      <w:r>
        <w:rPr>
          <w:rFonts w:ascii="Arial" w:eastAsia="Arial" w:hAnsi="Arial" w:cs="Arial"/>
          <w:i/>
          <w:color w:val="000000"/>
          <w:sz w:val="20"/>
        </w:rPr>
        <w:t xml:space="preserve">See, e.g., </w:t>
      </w:r>
      <w:bookmarkStart w:id="508" w:name="Bookmark_I62W0MDG2N1PYK0010000400"/>
      <w:bookmarkEnd w:id="508"/>
      <w:r>
        <w:rPr>
          <w:rFonts w:ascii="Arial" w:eastAsia="Arial" w:hAnsi="Arial" w:cs="Arial"/>
          <w:i/>
          <w:color w:val="000000"/>
          <w:sz w:val="20"/>
        </w:rPr>
        <w:t>Schaefer v. Universal Scaffolding &amp; Equip., LLC</w:t>
      </w:r>
      <w:r>
        <w:rPr>
          <w:rFonts w:ascii="Arial" w:eastAsia="Arial" w:hAnsi="Arial" w:cs="Arial"/>
          <w:color w:val="000000"/>
          <w:sz w:val="20"/>
        </w:rPr>
        <w:t>, 839 F.3d 599, 607 (7th Cir. 2016) ("Perfunctory and undeveloped arguments are waived, as are arguments unsupported by legal authority.").</w:t>
      </w:r>
    </w:p>
    <w:p w14:paraId="29D023E8" w14:textId="77777777" w:rsidR="002B10A6" w:rsidRDefault="00000000">
      <w:pPr>
        <w:pStyle w:val="Normal3"/>
        <w:widowControl w:val="0"/>
        <w:spacing w:before="240" w:line="260" w:lineRule="atLeast"/>
      </w:pPr>
      <w:r>
        <w:br/>
      </w:r>
      <w:r>
        <w:rPr>
          <w:rFonts w:ascii="Arial" w:eastAsia="Arial" w:hAnsi="Arial" w:cs="Arial"/>
          <w:b/>
          <w:color w:val="000000"/>
          <w:sz w:val="20"/>
        </w:rPr>
        <w:t>Harassment</w:t>
      </w:r>
    </w:p>
    <w:p w14:paraId="30FE3307" w14:textId="77777777" w:rsidR="002B10A6" w:rsidRDefault="00000000">
      <w:pPr>
        <w:pStyle w:val="Normal3"/>
        <w:widowControl w:val="0"/>
        <w:spacing w:before="200" w:line="260" w:lineRule="atLeast"/>
        <w:jc w:val="both"/>
      </w:pPr>
      <w:bookmarkStart w:id="509" w:name="Bookmark_para_41"/>
      <w:bookmarkEnd w:id="509"/>
      <w:r>
        <w:rPr>
          <w:rFonts w:ascii="Arial" w:eastAsia="Arial" w:hAnsi="Arial" w:cs="Arial"/>
          <w:color w:val="000000"/>
          <w:sz w:val="20"/>
        </w:rPr>
        <w:t xml:space="preserve">Castelino's claim for harassment is likewise so undeveloped as to be waived. </w:t>
      </w:r>
      <w:r>
        <w:rPr>
          <w:rFonts w:ascii="Arial" w:eastAsia="Arial" w:hAnsi="Arial" w:cs="Arial"/>
          <w:i/>
          <w:color w:val="000000"/>
          <w:sz w:val="20"/>
        </w:rPr>
        <w:t>Id.</w:t>
      </w:r>
      <w:r>
        <w:rPr>
          <w:rFonts w:ascii="Arial" w:eastAsia="Arial" w:hAnsi="Arial" w:cs="Arial"/>
          <w:color w:val="000000"/>
          <w:sz w:val="20"/>
        </w:rPr>
        <w:t xml:space="preserve"> He asserts confusingly and without authority that Indiana's "criminal statute" imposed a duty and a standard of care [**28]  for what he characterizes as the Indiana tort of "harassment." He makes no attempt to provide any specifics, and instead makes the blanket assertion that faculty correspondence about him "proves that Rose-Hulman's substandard behavior proximately resulted in Castelino's suspension." (Appellant's Br. 47.) On the contrary, the record establishes that Rose-Hulman substantially complied with its own policies and procedures in its correspondence about Castelino's behavior.</w:t>
      </w:r>
    </w:p>
    <w:p w14:paraId="22F872C7" w14:textId="77777777" w:rsidR="002B10A6" w:rsidRDefault="00000000">
      <w:pPr>
        <w:pStyle w:val="Normal3"/>
        <w:widowControl w:val="0"/>
        <w:spacing w:before="240" w:line="260" w:lineRule="atLeast"/>
      </w:pPr>
      <w:r>
        <w:br/>
      </w:r>
      <w:r>
        <w:rPr>
          <w:rFonts w:ascii="Arial" w:eastAsia="Arial" w:hAnsi="Arial" w:cs="Arial"/>
          <w:b/>
          <w:color w:val="000000"/>
          <w:sz w:val="20"/>
        </w:rPr>
        <w:t>False Advertising</w:t>
      </w:r>
    </w:p>
    <w:p w14:paraId="305810F7" w14:textId="77777777" w:rsidR="002B10A6" w:rsidRDefault="00000000">
      <w:pPr>
        <w:pStyle w:val="Normal3"/>
        <w:widowControl w:val="0"/>
        <w:spacing w:before="200" w:line="260" w:lineRule="atLeast"/>
        <w:jc w:val="both"/>
      </w:pPr>
      <w:bookmarkStart w:id="510" w:name="Bookmark_para_42"/>
      <w:bookmarkEnd w:id="510"/>
      <w:r>
        <w:rPr>
          <w:rFonts w:ascii="Arial" w:eastAsia="Arial" w:hAnsi="Arial" w:cs="Arial"/>
          <w:color w:val="000000"/>
          <w:sz w:val="20"/>
        </w:rPr>
        <w:t>Castelino advanced a claim of false advertising in the district court based on an advertisement for Rose-Hulman claiming that the university "offers individual and small group tutoring." Castelino's claim hinged on his belief that advertising the availability of tutoring amounted to "fraudulent inducement" because Rose-Hulman did not offer tutors for upperclassmen. The district court concluded Castelino's claim fell "far short" of a "cogent, properly supported argument" and granted summary judgment to Rose-Hulman.</w:t>
      </w:r>
    </w:p>
    <w:p w14:paraId="3D8F90F3" w14:textId="77777777" w:rsidR="002B10A6" w:rsidRDefault="00000000">
      <w:pPr>
        <w:pStyle w:val="Normal3"/>
        <w:widowControl w:val="0"/>
        <w:spacing w:before="200" w:line="260" w:lineRule="atLeast"/>
        <w:jc w:val="both"/>
      </w:pPr>
      <w:bookmarkStart w:id="511" w:name="Bookmark_para_43"/>
      <w:bookmarkStart w:id="512" w:name="Bookmark_I62W0MDG2N1PYK0040000400"/>
      <w:bookmarkEnd w:id="511"/>
      <w:bookmarkEnd w:id="512"/>
      <w:r>
        <w:rPr>
          <w:rFonts w:ascii="Arial" w:eastAsia="Arial" w:hAnsi="Arial" w:cs="Arial"/>
          <w:color w:val="000000"/>
          <w:sz w:val="20"/>
        </w:rPr>
        <w:t xml:space="preserve">Nothing Castelino says on appeal provides any reason to revisit the district court's conclusion that he waived this argument by failing to properly develop it. He cites 15 U.S.C. § 1125(a) (prohibiting false and [**29]  misleading representations of fact) in an attempt to shore up his claim, but fails to acknowledge that the protections of the Lanham Act are not available to consumers. </w:t>
      </w:r>
      <w:bookmarkStart w:id="513" w:name="Bookmark_I62W0MDG2N1PYK0030000400"/>
      <w:bookmarkEnd w:id="513"/>
      <w:r>
        <w:rPr>
          <w:rFonts w:ascii="Arial" w:eastAsia="Arial" w:hAnsi="Arial" w:cs="Arial"/>
          <w:i/>
          <w:color w:val="000000"/>
          <w:sz w:val="20"/>
        </w:rPr>
        <w:t>Lexmark Int'l, Inc. v. Static Control Components, Inc.</w:t>
      </w:r>
      <w:r>
        <w:rPr>
          <w:rFonts w:ascii="Arial" w:eastAsia="Arial" w:hAnsi="Arial" w:cs="Arial"/>
          <w:color w:val="000000"/>
          <w:sz w:val="20"/>
        </w:rPr>
        <w:t>, 572 U.S. 118, 132, 134 S. Ct. 1377, 188 L. Ed. 2d 392 (2014) (noting that Lanham Act does not apply even when a consumer is "hoodwinked" into buying an inadequate product).</w:t>
      </w:r>
    </w:p>
    <w:p w14:paraId="47B87D1D" w14:textId="77777777" w:rsidR="002B10A6" w:rsidRDefault="00000000">
      <w:pPr>
        <w:pStyle w:val="Normal3"/>
        <w:widowControl w:val="0"/>
        <w:spacing w:before="240" w:line="260" w:lineRule="atLeast"/>
      </w:pPr>
      <w:r>
        <w:br/>
      </w:r>
      <w:r>
        <w:rPr>
          <w:rFonts w:ascii="Arial" w:eastAsia="Arial" w:hAnsi="Arial" w:cs="Arial"/>
          <w:b/>
          <w:color w:val="000000"/>
          <w:sz w:val="20"/>
        </w:rPr>
        <w:t>Sanctions</w:t>
      </w:r>
    </w:p>
    <w:p w14:paraId="0BA49C47" w14:textId="77777777" w:rsidR="002B10A6" w:rsidRDefault="00000000">
      <w:pPr>
        <w:pStyle w:val="Normal3"/>
        <w:widowControl w:val="0"/>
        <w:spacing w:before="200" w:line="260" w:lineRule="atLeast"/>
        <w:jc w:val="both"/>
      </w:pPr>
      <w:bookmarkStart w:id="514" w:name="Bookmark_para_44"/>
      <w:bookmarkStart w:id="515" w:name="Bookmark_I62W0MDG2SF8F40010000400"/>
      <w:bookmarkEnd w:id="514"/>
      <w:bookmarkEnd w:id="515"/>
      <w:r>
        <w:rPr>
          <w:rFonts w:ascii="Arial" w:eastAsia="Arial" w:hAnsi="Arial" w:cs="Arial"/>
          <w:color w:val="000000"/>
          <w:sz w:val="20"/>
        </w:rPr>
        <w:t xml:space="preserve">That leaves the matter of the sanctions imposed against Castelino under Fed. R. Civ. P. 16(f). </w:t>
      </w:r>
      <w:bookmarkStart w:id="516" w:name="Bookmark_LNHNREFclscc10_1"/>
      <w:bookmarkEnd w:id="516"/>
      <w:r>
        <w:rPr>
          <w:rFonts w:ascii="Arial" w:eastAsia="Arial" w:hAnsi="Arial" w:cs="Arial"/>
          <w:color w:val="000000"/>
          <w:sz w:val="20"/>
        </w:rPr>
        <w:t xml:space="preserve">We review the district court's imposition of sanctions only for abuse of discretion. </w:t>
      </w:r>
      <w:bookmarkStart w:id="517" w:name="Bookmark_I62W0MDG2N1PYK0050000400"/>
      <w:bookmarkEnd w:id="517"/>
      <w:r>
        <w:rPr>
          <w:rFonts w:ascii="Arial" w:eastAsia="Arial" w:hAnsi="Arial" w:cs="Arial"/>
          <w:i/>
          <w:color w:val="000000"/>
          <w:sz w:val="20"/>
        </w:rPr>
        <w:t>Koehn v. Tobias</w:t>
      </w:r>
      <w:r>
        <w:rPr>
          <w:rFonts w:ascii="Arial" w:eastAsia="Arial" w:hAnsi="Arial" w:cs="Arial"/>
          <w:color w:val="000000"/>
          <w:sz w:val="20"/>
        </w:rPr>
        <w:t xml:space="preserve">, 866 F.3d 750, 752 (7th Cir. 2017). As described above, despite an e-mail reminder a week in advance from Rose-Hulman's counsel, Castelino's counsel ignored the district court's scheduling order and waited until the night before the settlement conference to serve Castelino's updated settlement demand on Rose-Hulman. </w:t>
      </w:r>
      <w:bookmarkStart w:id="518" w:name="Bookmark_LNHNREFclscc11_1"/>
      <w:bookmarkEnd w:id="518"/>
      <w:r>
        <w:rPr>
          <w:rFonts w:ascii="Arial" w:eastAsia="Arial" w:hAnsi="Arial" w:cs="Arial"/>
          <w:color w:val="000000"/>
          <w:sz w:val="20"/>
        </w:rPr>
        <w:t xml:space="preserve">Rule 16(f)(1)(C) authorizes the district court to impose sanctions "if a party or its attorney ... fails to obey a scheduling or other pretrial order." Given Castelino's admitted  [*1044]  failure to comply with the scheduling order, the district court was well within its discretion to sanction his counsel. Castelino seems to admit as much, but then argues inexplicably that the district court was obligated to sanction Rose-Hulman as well. We see nothing in the record to suggest sanctions [**30]  were required or warranted against Rose-Hulman. </w:t>
      </w:r>
      <w:bookmarkStart w:id="519" w:name="Bookmark_I62W0MDG2SF8F40030000400"/>
      <w:bookmarkEnd w:id="519"/>
      <w:r>
        <w:rPr>
          <w:rFonts w:ascii="Arial" w:eastAsia="Arial" w:hAnsi="Arial" w:cs="Arial"/>
          <w:color w:val="000000"/>
          <w:sz w:val="20"/>
        </w:rPr>
        <w:t xml:space="preserve">Indeed, we are inclined to sanction Castelino's attorney John Thrasher for his brief and arguments on appeal. Rose-Hulman, however, has not requested sanctions, so we will close with an observation and warning to Castelino's counsel that the brief he submitted was deficient, and that future filings of this sort will result in an order to show cause why he should not be sanctioned. </w:t>
      </w:r>
      <w:r>
        <w:rPr>
          <w:rFonts w:ascii="Arial" w:eastAsia="Arial" w:hAnsi="Arial" w:cs="Arial"/>
          <w:i/>
          <w:color w:val="000000"/>
          <w:sz w:val="20"/>
        </w:rPr>
        <w:t xml:space="preserve">See </w:t>
      </w:r>
      <w:bookmarkStart w:id="520" w:name="Bookmark_I62W0MDG2SF8F40020000400"/>
      <w:bookmarkEnd w:id="520"/>
      <w:r>
        <w:rPr>
          <w:rFonts w:ascii="Arial" w:eastAsia="Arial" w:hAnsi="Arial" w:cs="Arial"/>
          <w:i/>
          <w:color w:val="000000"/>
          <w:sz w:val="20"/>
        </w:rPr>
        <w:t>Veal-Hill v. Comm'r of IRS</w:t>
      </w:r>
      <w:r>
        <w:rPr>
          <w:rFonts w:ascii="Arial" w:eastAsia="Arial" w:hAnsi="Arial" w:cs="Arial"/>
          <w:color w:val="000000"/>
          <w:sz w:val="20"/>
        </w:rPr>
        <w:t>, 826 Fed. Appx. 565 (7th Cir. Oct. 14, 2020) (unpublished order) (issuing order to show cause for attorneys' briefs "practically devoid of coherent legal argument").</w:t>
      </w:r>
    </w:p>
    <w:p w14:paraId="450C01FF" w14:textId="77777777" w:rsidR="002B10A6" w:rsidRDefault="00000000">
      <w:pPr>
        <w:pStyle w:val="Normal3"/>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14:paraId="78B561EF" w14:textId="77777777" w:rsidR="002B10A6" w:rsidRDefault="00000000">
      <w:pPr>
        <w:pStyle w:val="Normal3"/>
        <w:widowControl w:val="0"/>
        <w:spacing w:before="200" w:line="260" w:lineRule="atLeast"/>
        <w:jc w:val="both"/>
      </w:pPr>
      <w:bookmarkStart w:id="521" w:name="Bookmark_para_45"/>
      <w:bookmarkEnd w:id="521"/>
      <w:r>
        <w:rPr>
          <w:rFonts w:ascii="Arial" w:eastAsia="Arial" w:hAnsi="Arial" w:cs="Arial"/>
          <w:color w:val="000000"/>
          <w:sz w:val="20"/>
        </w:rPr>
        <w:t>For the foregoing reasons, we AFFIRM the district court's grant of summary judgment.</w:t>
      </w:r>
    </w:p>
    <w:p w14:paraId="617B06E8" w14:textId="77777777" w:rsidR="002B10A6" w:rsidRDefault="002B10A6">
      <w:pPr>
        <w:pStyle w:val="Normal3"/>
      </w:pPr>
    </w:p>
    <w:p w14:paraId="47C4E080" w14:textId="654D667F" w:rsidR="002B10A6" w:rsidRDefault="00000000">
      <w:pPr>
        <w:pStyle w:val="Normal3"/>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65408" behindDoc="0" locked="0" layoutInCell="1" allowOverlap="1" wp14:anchorId="25E09C17" wp14:editId="15BBEBAF">
                <wp:simplePos x="0" y="0"/>
                <wp:positionH relativeFrom="column">
                  <wp:posOffset>0</wp:posOffset>
                </wp:positionH>
                <wp:positionV relativeFrom="paragraph">
                  <wp:posOffset>127000</wp:posOffset>
                </wp:positionV>
                <wp:extent cx="6502400" cy="0"/>
                <wp:effectExtent l="9525" t="12700" r="12700" b="6350"/>
                <wp:wrapNone/>
                <wp:docPr id="72784790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B5A0D"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6E56FC1" w14:textId="77777777" w:rsidR="002B10A6" w:rsidRDefault="002B10A6">
      <w:pPr>
        <w:pStyle w:val="Normal4"/>
        <w:sectPr w:rsidR="002B10A6">
          <w:headerReference w:type="even" r:id="rId30"/>
          <w:headerReference w:type="default" r:id="rId31"/>
          <w:footerReference w:type="even" r:id="rId32"/>
          <w:footerReference w:type="default" r:id="rId33"/>
          <w:headerReference w:type="first" r:id="rId34"/>
          <w:footerReference w:type="first" r:id="rId35"/>
          <w:pgSz w:w="12240" w:h="15840"/>
          <w:pgMar w:top="840" w:right="1000" w:bottom="840" w:left="1000" w:header="400" w:footer="400" w:gutter="0"/>
          <w:cols w:space="720"/>
          <w:titlePg/>
        </w:sectPr>
      </w:pPr>
    </w:p>
    <w:p w14:paraId="0AFD367A" w14:textId="77777777" w:rsidR="002B10A6" w:rsidRDefault="002B10A6">
      <w:pPr>
        <w:pStyle w:val="Normal4"/>
      </w:pPr>
    </w:p>
    <w:p w14:paraId="2F1FA75C" w14:textId="77777777" w:rsidR="002B10A6" w:rsidRDefault="00000000">
      <w:pPr>
        <w:pStyle w:val="Heading13"/>
        <w:keepNext w:val="0"/>
        <w:widowControl w:val="0"/>
        <w:spacing w:after="200" w:line="340" w:lineRule="atLeast"/>
        <w:jc w:val="center"/>
      </w:pPr>
      <w:r>
        <w:rPr>
          <w:rFonts w:eastAsia="Arial"/>
          <w:color w:val="000000"/>
          <w:sz w:val="28"/>
        </w:rPr>
        <w:t>Kennedy v. Floridian Hotel, Inc.</w:t>
      </w:r>
    </w:p>
    <w:p w14:paraId="6C64415F" w14:textId="77777777" w:rsidR="002B10A6" w:rsidRDefault="00000000">
      <w:pPr>
        <w:pStyle w:val="Normal4"/>
        <w:widowControl w:val="0"/>
        <w:spacing w:before="120" w:line="260" w:lineRule="atLeast"/>
        <w:jc w:val="center"/>
      </w:pPr>
      <w:r>
        <w:rPr>
          <w:rFonts w:ascii="Arial" w:eastAsia="Arial" w:hAnsi="Arial" w:cs="Arial"/>
          <w:color w:val="000000"/>
          <w:sz w:val="20"/>
        </w:rPr>
        <w:t>United States Court of Appeals for the Eleventh Circuit</w:t>
      </w:r>
    </w:p>
    <w:p w14:paraId="5D2CC841" w14:textId="77777777" w:rsidR="002B10A6" w:rsidRDefault="00000000">
      <w:pPr>
        <w:pStyle w:val="Normal4"/>
        <w:widowControl w:val="0"/>
        <w:spacing w:before="120" w:line="260" w:lineRule="atLeast"/>
        <w:jc w:val="center"/>
      </w:pPr>
      <w:r>
        <w:rPr>
          <w:rFonts w:ascii="Arial" w:eastAsia="Arial" w:hAnsi="Arial" w:cs="Arial"/>
          <w:color w:val="000000"/>
          <w:sz w:val="20"/>
        </w:rPr>
        <w:t>May 27, 2021, Decided</w:t>
      </w:r>
    </w:p>
    <w:p w14:paraId="1A0B5170" w14:textId="77777777" w:rsidR="002B10A6" w:rsidRDefault="00000000">
      <w:pPr>
        <w:pStyle w:val="Normal4"/>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20-10648</w:t>
      </w:r>
    </w:p>
    <w:p w14:paraId="3F3FF7C6" w14:textId="77777777" w:rsidR="002B10A6" w:rsidRDefault="002B10A6">
      <w:pPr>
        <w:pStyle w:val="Normal4"/>
        <w:widowControl w:val="0"/>
        <w:spacing w:line="240" w:lineRule="atLeast"/>
        <w:jc w:val="both"/>
      </w:pPr>
      <w:bookmarkStart w:id="522" w:name="Bookmark_5"/>
      <w:bookmarkEnd w:id="522"/>
    </w:p>
    <w:p w14:paraId="141148B7" w14:textId="77777777" w:rsidR="002B10A6" w:rsidRDefault="00000000">
      <w:pPr>
        <w:pStyle w:val="Normal4"/>
        <w:widowControl w:val="0"/>
        <w:spacing w:before="200" w:line="240" w:lineRule="atLeast"/>
      </w:pPr>
      <w:bookmarkStart w:id="523" w:name="Reporter_3"/>
      <w:bookmarkEnd w:id="523"/>
      <w:r>
        <w:rPr>
          <w:rFonts w:ascii="Arial" w:eastAsia="Arial" w:hAnsi="Arial" w:cs="Arial"/>
          <w:b/>
          <w:color w:val="000000"/>
          <w:sz w:val="18"/>
        </w:rPr>
        <w:t>Reporter</w:t>
      </w:r>
    </w:p>
    <w:p w14:paraId="761F4987" w14:textId="77777777" w:rsidR="002B10A6" w:rsidRDefault="00000000">
      <w:pPr>
        <w:pStyle w:val="Normal4"/>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998 F.3d 1221 *; 2021 U.S. App. LEXIS 15865 **; 28 Fla. L. Weekly Fed. C 2956</w:t>
      </w:r>
    </w:p>
    <w:p w14:paraId="2954B0F6" w14:textId="77777777" w:rsidR="002B10A6" w:rsidRDefault="00000000">
      <w:pPr>
        <w:pStyle w:val="Normal4"/>
        <w:widowControl w:val="0"/>
        <w:spacing w:before="120" w:line="260" w:lineRule="atLeast"/>
      </w:pPr>
      <w:r>
        <w:rPr>
          <w:rFonts w:ascii="Arial" w:eastAsia="Arial" w:hAnsi="Arial" w:cs="Arial"/>
          <w:color w:val="000000"/>
          <w:sz w:val="20"/>
        </w:rPr>
        <w:t>PATRICIA KENNEDY, Plaintiff-Appellant, versus FLORIDIAN HOTEL, INC., Defendant-Appellee.</w:t>
      </w:r>
    </w:p>
    <w:p w14:paraId="31159D04" w14:textId="77777777" w:rsidR="002B10A6" w:rsidRDefault="00000000">
      <w:pPr>
        <w:pStyle w:val="Normal4"/>
        <w:widowControl w:val="0"/>
        <w:spacing w:before="240" w:line="260" w:lineRule="atLeast"/>
        <w:jc w:val="both"/>
      </w:pPr>
      <w:bookmarkStart w:id="524" w:name="Prior_History_3"/>
      <w:bookmarkEnd w:id="524"/>
      <w:r>
        <w:rPr>
          <w:rFonts w:ascii="Arial" w:eastAsia="Arial" w:hAnsi="Arial" w:cs="Arial"/>
          <w:b/>
          <w:color w:val="000000"/>
          <w:sz w:val="20"/>
        </w:rPr>
        <w:t>Prior History:</w:t>
      </w:r>
      <w:r>
        <w:rPr>
          <w:rFonts w:ascii="Arial" w:eastAsia="Arial" w:hAnsi="Arial" w:cs="Arial"/>
          <w:color w:val="000000"/>
          <w:sz w:val="20"/>
        </w:rPr>
        <w:t> </w:t>
      </w:r>
      <w:bookmarkStart w:id="525" w:name="Bookmark_para_1_3"/>
      <w:bookmarkEnd w:id="525"/>
      <w:r>
        <w:rPr>
          <w:rFonts w:ascii="Arial" w:eastAsia="Arial" w:hAnsi="Arial" w:cs="Arial"/>
          <w:color w:val="000000"/>
          <w:sz w:val="20"/>
        </w:rPr>
        <w:t> [**1] Appeal from the United States District Court for the Southern District of Florida. D.C. Docket No. 0:18-cv-62486-UU.</w:t>
      </w:r>
    </w:p>
    <w:p w14:paraId="25357F84" w14:textId="77777777" w:rsidR="002B10A6" w:rsidRDefault="00000000">
      <w:pPr>
        <w:pStyle w:val="Normal4"/>
        <w:widowControl w:val="0"/>
        <w:spacing w:before="120" w:line="260" w:lineRule="atLeast"/>
      </w:pPr>
      <w:r>
        <w:rPr>
          <w:rFonts w:ascii="Arial" w:eastAsia="Arial" w:hAnsi="Arial" w:cs="Arial"/>
          <w:color w:val="000000"/>
          <w:sz w:val="20"/>
        </w:rPr>
        <w:t>Kennedy v. Floridian Hotel, 2020 U.S. Dist. LEXIS 255164, 2020 WL 9762992 (S.D. Fla., Jan. 28, 2020)</w:t>
      </w:r>
    </w:p>
    <w:p w14:paraId="1069B55C" w14:textId="77777777" w:rsidR="002B10A6" w:rsidRDefault="00000000">
      <w:pPr>
        <w:pStyle w:val="Normal4"/>
        <w:widowControl w:val="0"/>
        <w:spacing w:before="120" w:line="260" w:lineRule="atLeast"/>
      </w:pPr>
      <w:r>
        <w:rPr>
          <w:rFonts w:ascii="Arial" w:eastAsia="Arial" w:hAnsi="Arial" w:cs="Arial"/>
          <w:color w:val="000000"/>
          <w:sz w:val="20"/>
        </w:rPr>
        <w:t>Kennedy v. Floridian Hotel, Inc., 2019 U.S. Dist. LEXIS 58422, 2019 WL 13260528 (S.D. Fla., Apr. 3, 2019)</w:t>
      </w:r>
    </w:p>
    <w:p w14:paraId="425F4C0F" w14:textId="77777777" w:rsidR="002B10A6" w:rsidRDefault="00000000">
      <w:pPr>
        <w:pStyle w:val="Normal4"/>
        <w:widowControl w:val="0"/>
        <w:spacing w:before="240" w:line="260" w:lineRule="atLeast"/>
        <w:jc w:val="both"/>
      </w:pPr>
      <w:bookmarkStart w:id="526" w:name="Disposition_1"/>
      <w:bookmarkEnd w:id="526"/>
      <w:r>
        <w:rPr>
          <w:rFonts w:ascii="Arial" w:eastAsia="Arial" w:hAnsi="Arial" w:cs="Arial"/>
          <w:b/>
          <w:color w:val="000000"/>
          <w:sz w:val="20"/>
        </w:rPr>
        <w:t>Disposition:</w:t>
      </w:r>
      <w:r>
        <w:rPr>
          <w:rFonts w:ascii="Arial" w:eastAsia="Arial" w:hAnsi="Arial" w:cs="Arial"/>
          <w:color w:val="000000"/>
          <w:sz w:val="20"/>
        </w:rPr>
        <w:t> </w:t>
      </w:r>
      <w:bookmarkStart w:id="527" w:name="Bookmark_clspara_4_1"/>
      <w:bookmarkEnd w:id="527"/>
      <w:r>
        <w:rPr>
          <w:rFonts w:ascii="Arial" w:eastAsia="Arial" w:hAnsi="Arial" w:cs="Arial"/>
          <w:color w:val="000000"/>
          <w:sz w:val="20"/>
        </w:rPr>
        <w:t>AFFIRMED AND REMANDED.</w:t>
      </w:r>
    </w:p>
    <w:p w14:paraId="5CF5B9C8" w14:textId="77777777" w:rsidR="002B10A6" w:rsidRDefault="00000000">
      <w:pPr>
        <w:pStyle w:val="Normal4"/>
        <w:widowControl w:val="0"/>
        <w:spacing w:before="240" w:line="260" w:lineRule="atLeast"/>
      </w:pPr>
      <w:bookmarkStart w:id="528" w:name="Counsel_3"/>
      <w:bookmarkEnd w:id="528"/>
      <w:r>
        <w:rPr>
          <w:rFonts w:ascii="Arial" w:eastAsia="Arial" w:hAnsi="Arial" w:cs="Arial"/>
          <w:b/>
          <w:color w:val="000000"/>
          <w:sz w:val="20"/>
        </w:rPr>
        <w:t>Counsel:</w:t>
      </w:r>
      <w:r>
        <w:rPr>
          <w:rFonts w:ascii="Arial" w:eastAsia="Arial" w:hAnsi="Arial" w:cs="Arial"/>
          <w:color w:val="000000"/>
          <w:sz w:val="20"/>
        </w:rPr>
        <w:t> For PATRICIA KENNEDY, Plaintiff - Appellant: Thomas B. Bacon, Thomas B. Bacon, PA, MOUNT DORA, FL; Philip Michael Cullen III, Philip Michael Cullen, III, Chartered, FORT LAUDERDALE, FL.</w:t>
      </w:r>
    </w:p>
    <w:p w14:paraId="59E521CB" w14:textId="77777777" w:rsidR="002B10A6" w:rsidRDefault="00000000">
      <w:pPr>
        <w:pStyle w:val="Normal4"/>
        <w:widowControl w:val="0"/>
        <w:spacing w:before="120" w:line="260" w:lineRule="atLeast"/>
      </w:pPr>
      <w:r>
        <w:rPr>
          <w:rFonts w:ascii="Arial" w:eastAsia="Arial" w:hAnsi="Arial" w:cs="Arial"/>
          <w:color w:val="000000"/>
          <w:sz w:val="20"/>
        </w:rPr>
        <w:t>For FLORIDIAN HOTEL, INC., Defendant - Appellee: Kenneth Louis Minerley, Minerley Fein, PA, BOCA RATON, FL; Jennifer Marie Murillo-Hurtado, Minerley Fein, PA, BOCA RATON, FL.</w:t>
      </w:r>
    </w:p>
    <w:p w14:paraId="464E576A" w14:textId="77777777" w:rsidR="002B10A6" w:rsidRDefault="00000000">
      <w:pPr>
        <w:pStyle w:val="Normal4"/>
        <w:widowControl w:val="0"/>
        <w:spacing w:before="240" w:line="260" w:lineRule="atLeast"/>
      </w:pPr>
      <w:bookmarkStart w:id="529" w:name="Judges_3"/>
      <w:bookmarkEnd w:id="529"/>
      <w:r>
        <w:rPr>
          <w:rFonts w:ascii="Arial" w:eastAsia="Arial" w:hAnsi="Arial" w:cs="Arial"/>
          <w:b/>
          <w:color w:val="000000"/>
          <w:sz w:val="20"/>
        </w:rPr>
        <w:t>Judges:</w:t>
      </w:r>
      <w:r>
        <w:rPr>
          <w:rFonts w:ascii="Arial" w:eastAsia="Arial" w:hAnsi="Arial" w:cs="Arial"/>
          <w:color w:val="000000"/>
          <w:sz w:val="20"/>
        </w:rPr>
        <w:t> Before LAGOA, HULL and MARCUS, Circuit Judges.</w:t>
      </w:r>
    </w:p>
    <w:p w14:paraId="467C6236" w14:textId="77777777" w:rsidR="002B10A6" w:rsidRDefault="00000000">
      <w:pPr>
        <w:pStyle w:val="Normal4"/>
        <w:widowControl w:val="0"/>
        <w:spacing w:before="240" w:line="260" w:lineRule="atLeast"/>
      </w:pPr>
      <w:bookmarkStart w:id="530" w:name="Opinion_by_3"/>
      <w:bookmarkEnd w:id="530"/>
      <w:r>
        <w:rPr>
          <w:rFonts w:ascii="Arial" w:eastAsia="Arial" w:hAnsi="Arial" w:cs="Arial"/>
          <w:b/>
          <w:color w:val="000000"/>
          <w:sz w:val="20"/>
        </w:rPr>
        <w:t>Opinion by:</w:t>
      </w:r>
      <w:r>
        <w:rPr>
          <w:rFonts w:ascii="Arial" w:eastAsia="Arial" w:hAnsi="Arial" w:cs="Arial"/>
          <w:color w:val="000000"/>
          <w:sz w:val="20"/>
        </w:rPr>
        <w:t> HULL</w:t>
      </w:r>
    </w:p>
    <w:p w14:paraId="2CD09041" w14:textId="77777777" w:rsidR="002B10A6" w:rsidRDefault="00000000">
      <w:pPr>
        <w:pStyle w:val="Normal4"/>
        <w:keepNext/>
        <w:widowControl w:val="0"/>
        <w:spacing w:before="240" w:line="340" w:lineRule="atLeast"/>
      </w:pPr>
      <w:bookmarkStart w:id="531" w:name="Opinion_3"/>
      <w:bookmarkEnd w:id="531"/>
      <w:r>
        <w:rPr>
          <w:rFonts w:ascii="Arial" w:eastAsia="Arial" w:hAnsi="Arial" w:cs="Arial"/>
          <w:b/>
          <w:color w:val="000000"/>
          <w:sz w:val="28"/>
        </w:rPr>
        <w:t>Opinion</w:t>
      </w:r>
    </w:p>
    <w:p w14:paraId="583AD0E6" w14:textId="7658026C" w:rsidR="002B10A6" w:rsidRDefault="002D6974">
      <w:pPr>
        <w:pStyle w:val="Normal4"/>
        <w:spacing w:line="60" w:lineRule="exact"/>
      </w:pPr>
      <w:r>
        <w:rPr>
          <w:noProof/>
        </w:rPr>
        <mc:AlternateContent>
          <mc:Choice Requires="wps">
            <w:drawing>
              <wp:anchor distT="0" distB="0" distL="114300" distR="114300" simplePos="0" relativeHeight="251666432" behindDoc="0" locked="0" layoutInCell="1" allowOverlap="1" wp14:anchorId="34D0D581" wp14:editId="14AE1B3F">
                <wp:simplePos x="0" y="0"/>
                <wp:positionH relativeFrom="column">
                  <wp:posOffset>0</wp:posOffset>
                </wp:positionH>
                <wp:positionV relativeFrom="paragraph">
                  <wp:posOffset>25400</wp:posOffset>
                </wp:positionV>
                <wp:extent cx="3187700" cy="0"/>
                <wp:effectExtent l="19050" t="15875" r="12700" b="12700"/>
                <wp:wrapTopAndBottom/>
                <wp:docPr id="201276460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2146A4"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36CE5BD" w14:textId="77777777" w:rsidR="002B10A6" w:rsidRDefault="002B10A6">
      <w:pPr>
        <w:pStyle w:val="Normal4"/>
      </w:pPr>
    </w:p>
    <w:p w14:paraId="63B669DC" w14:textId="77777777" w:rsidR="002B10A6" w:rsidRDefault="00000000">
      <w:pPr>
        <w:pStyle w:val="Normal4"/>
        <w:widowControl w:val="0"/>
        <w:spacing w:before="200" w:line="260" w:lineRule="atLeast"/>
        <w:jc w:val="both"/>
      </w:pPr>
      <w:bookmarkStart w:id="532" w:name="Bookmark_para_2_3"/>
      <w:bookmarkEnd w:id="532"/>
      <w:r>
        <w:rPr>
          <w:rFonts w:ascii="Arial" w:eastAsia="Arial" w:hAnsi="Arial" w:cs="Arial"/>
          <w:color w:val="000000"/>
          <w:sz w:val="20"/>
        </w:rPr>
        <w:t> [*1225]  HULL, Circuit Judge:</w:t>
      </w:r>
    </w:p>
    <w:p w14:paraId="680813D5" w14:textId="77777777" w:rsidR="002B10A6" w:rsidRDefault="00000000">
      <w:pPr>
        <w:pStyle w:val="Normal4"/>
        <w:widowControl w:val="0"/>
        <w:spacing w:before="200" w:line="260" w:lineRule="atLeast"/>
        <w:jc w:val="both"/>
      </w:pPr>
      <w:bookmarkStart w:id="533" w:name="Bookmark_para_3_3"/>
      <w:bookmarkEnd w:id="533"/>
      <w:r>
        <w:rPr>
          <w:rFonts w:ascii="Arial" w:eastAsia="Arial" w:hAnsi="Arial" w:cs="Arial"/>
          <w:color w:val="000000"/>
          <w:sz w:val="20"/>
        </w:rPr>
        <w:t>Patricia Kennedy ("Kennedy") appeals the district court's dismissal of her complaint against Floridian Hotel, Inc. ("Floridian"), a hotel owner and operator. Kennedy, who has a disability, alleged Floridian violated Title III of the Americans with Disabilities Act ("ADA") based on barriers to access she encountered at the hotel property (Count I) and deficiencies in its online reservation system (Count II). This is Kennedy's second ADA lawsuit against Floridian as to its online reservation system.</w:t>
      </w:r>
    </w:p>
    <w:p w14:paraId="18EDB656" w14:textId="77777777" w:rsidR="002B10A6" w:rsidRDefault="00000000">
      <w:pPr>
        <w:pStyle w:val="Normal4"/>
        <w:widowControl w:val="0"/>
        <w:spacing w:before="200" w:line="260" w:lineRule="atLeast"/>
        <w:jc w:val="both"/>
      </w:pPr>
      <w:bookmarkStart w:id="534" w:name="Bookmark_para_4_3"/>
      <w:bookmarkEnd w:id="534"/>
      <w:r>
        <w:rPr>
          <w:rFonts w:ascii="Arial" w:eastAsia="Arial" w:hAnsi="Arial" w:cs="Arial"/>
          <w:color w:val="000000"/>
          <w:sz w:val="20"/>
        </w:rPr>
        <w:t>Early in this second lawsuit, the district court dismissed Count II for improper claim splitting, given that Kennedy had made a claim in her first lawsuit about Floridian's online reservation [**2]  system. Later, after some discovery, the district court dismissed Count I with prejudice for lack of subject matter jurisdiction, concluding Kennedy did not have standing to seek injunctive relief. After careful review and with the benefit of oral argument, we affirm both dismissals by the district court, but remand for the sole purpose of the  [*1226]  district court's revising the dismissal of Count I to be without prejudice.</w:t>
      </w:r>
    </w:p>
    <w:p w14:paraId="7278C08E" w14:textId="77777777" w:rsidR="002B10A6" w:rsidRDefault="00000000">
      <w:pPr>
        <w:pStyle w:val="Normal4"/>
        <w:widowControl w:val="0"/>
        <w:spacing w:before="240" w:line="260" w:lineRule="atLeast"/>
      </w:pPr>
      <w:r>
        <w:br/>
      </w:r>
      <w:r>
        <w:rPr>
          <w:rFonts w:ascii="Arial" w:eastAsia="Arial" w:hAnsi="Arial" w:cs="Arial"/>
          <w:b/>
          <w:color w:val="000000"/>
          <w:sz w:val="20"/>
        </w:rPr>
        <w:t>I. PRIOR LAWSUIT</w:t>
      </w:r>
    </w:p>
    <w:p w14:paraId="1D7FF416" w14:textId="77777777" w:rsidR="002B10A6" w:rsidRDefault="00000000">
      <w:pPr>
        <w:pStyle w:val="Normal4"/>
        <w:widowControl w:val="0"/>
        <w:spacing w:before="200" w:line="260" w:lineRule="atLeast"/>
        <w:jc w:val="both"/>
      </w:pPr>
      <w:bookmarkStart w:id="535" w:name="Bookmark_para_5_3"/>
      <w:bookmarkStart w:id="536" w:name="Bookmark_I62TXS222HM6XN0020000400"/>
      <w:bookmarkEnd w:id="535"/>
      <w:bookmarkEnd w:id="536"/>
      <w:r>
        <w:rPr>
          <w:rFonts w:ascii="Arial" w:eastAsia="Arial" w:hAnsi="Arial" w:cs="Arial"/>
          <w:color w:val="000000"/>
          <w:sz w:val="20"/>
        </w:rPr>
        <w:t xml:space="preserve">In March 2018, Kennedy filed her first ADA action against Floridian (hereinafter </w:t>
      </w:r>
      <w:r>
        <w:rPr>
          <w:rFonts w:ascii="Arial" w:eastAsia="Arial" w:hAnsi="Arial" w:cs="Arial"/>
          <w:color w:val="000000"/>
          <w:sz w:val="20"/>
          <w:u w:val="single"/>
        </w:rPr>
        <w:t>Floridian I</w:t>
      </w:r>
      <w:r>
        <w:rPr>
          <w:rFonts w:ascii="Arial" w:eastAsia="Arial" w:hAnsi="Arial" w:cs="Arial"/>
          <w:color w:val="000000"/>
          <w:sz w:val="20"/>
        </w:rPr>
        <w:t>).</w:t>
      </w:r>
      <w:r>
        <w:rPr>
          <w:rFonts w:ascii="Arial" w:eastAsia="Arial" w:hAnsi="Arial" w:cs="Arial"/>
          <w:vertAlign w:val="superscript"/>
        </w:rPr>
        <w:footnoteReference w:customMarkFollows="1" w:id="16"/>
        <w:t>1</w:t>
      </w:r>
      <w:r>
        <w:rPr>
          <w:rFonts w:ascii="Arial" w:eastAsia="Arial" w:hAnsi="Arial" w:cs="Arial"/>
          <w:color w:val="000000"/>
          <w:sz w:val="20"/>
        </w:rPr>
        <w:t xml:space="preserve"> In her amended complaint in </w:t>
      </w:r>
      <w:r>
        <w:rPr>
          <w:rFonts w:ascii="Arial" w:eastAsia="Arial" w:hAnsi="Arial" w:cs="Arial"/>
          <w:color w:val="000000"/>
          <w:sz w:val="20"/>
          <w:u w:val="single"/>
        </w:rPr>
        <w:t>Floridian I</w:t>
      </w:r>
      <w:r>
        <w:rPr>
          <w:rFonts w:ascii="Arial" w:eastAsia="Arial" w:hAnsi="Arial" w:cs="Arial"/>
          <w:color w:val="000000"/>
          <w:sz w:val="20"/>
        </w:rPr>
        <w:t>, Kennedy alleged that Floridian's online reservation system, operated through the floridianhotel.com website, was not in compliance with the ADA and guidelines covering hotel reservation systems in 28 C.F.R. § 36.302(e)(1), because it failed to indicate whether hotel guest rooms, common areas, and amenities were accessible to individuals with disabilities.</w:t>
      </w:r>
      <w:r>
        <w:rPr>
          <w:rFonts w:ascii="Arial" w:eastAsia="Arial" w:hAnsi="Arial" w:cs="Arial"/>
          <w:vertAlign w:val="superscript"/>
        </w:rPr>
        <w:footnoteReference w:customMarkFollows="1" w:id="17"/>
        <w:t>2</w:t>
      </w:r>
      <w:r>
        <w:rPr>
          <w:rFonts w:ascii="Arial" w:eastAsia="Arial" w:hAnsi="Arial" w:cs="Arial"/>
          <w:color w:val="000000"/>
          <w:sz w:val="20"/>
        </w:rPr>
        <w:t xml:space="preserve"> Kennedy sought declaratory and injunctive relief as well as attorney's fees and costs.</w:t>
      </w:r>
    </w:p>
    <w:p w14:paraId="50C3A411" w14:textId="77777777" w:rsidR="002B10A6" w:rsidRDefault="00000000">
      <w:pPr>
        <w:pStyle w:val="Normal4"/>
        <w:widowControl w:val="0"/>
        <w:spacing w:before="200" w:line="260" w:lineRule="atLeast"/>
        <w:jc w:val="both"/>
      </w:pPr>
      <w:bookmarkStart w:id="541" w:name="Bookmark_para_6_3"/>
      <w:bookmarkEnd w:id="541"/>
      <w:r>
        <w:rPr>
          <w:rFonts w:ascii="Arial" w:eastAsia="Arial" w:hAnsi="Arial" w:cs="Arial"/>
          <w:color w:val="000000"/>
          <w:sz w:val="20"/>
        </w:rPr>
        <w:t xml:space="preserve">In December 2018, the district court dismissed </w:t>
      </w:r>
      <w:r>
        <w:rPr>
          <w:rFonts w:ascii="Arial" w:eastAsia="Arial" w:hAnsi="Arial" w:cs="Arial"/>
          <w:color w:val="000000"/>
          <w:sz w:val="20"/>
          <w:u w:val="single"/>
        </w:rPr>
        <w:t>Floridian I</w:t>
      </w:r>
      <w:r>
        <w:rPr>
          <w:rFonts w:ascii="Arial" w:eastAsia="Arial" w:hAnsi="Arial" w:cs="Arial"/>
          <w:color w:val="000000"/>
          <w:sz w:val="20"/>
        </w:rPr>
        <w:t xml:space="preserve"> for lack of jurisdiction. The district court concluded Kennedy lacked standing to pursue injunctive relief under the ADA because she had failed [**3]  to demonstrate a real and immediate threat of future injury. Kennedy appealed the </w:t>
      </w:r>
      <w:r>
        <w:rPr>
          <w:rFonts w:ascii="Arial" w:eastAsia="Arial" w:hAnsi="Arial" w:cs="Arial"/>
          <w:color w:val="000000"/>
          <w:sz w:val="20"/>
          <w:u w:val="single"/>
        </w:rPr>
        <w:t>Floridian I</w:t>
      </w:r>
      <w:r>
        <w:rPr>
          <w:rFonts w:ascii="Arial" w:eastAsia="Arial" w:hAnsi="Arial" w:cs="Arial"/>
          <w:color w:val="000000"/>
          <w:sz w:val="20"/>
        </w:rPr>
        <w:t xml:space="preserve"> dismissal order, but she later voluntarily dismissed her appeal.</w:t>
      </w:r>
    </w:p>
    <w:p w14:paraId="7C7A033A" w14:textId="77777777" w:rsidR="002B10A6" w:rsidRDefault="00000000">
      <w:pPr>
        <w:pStyle w:val="Normal4"/>
        <w:widowControl w:val="0"/>
        <w:spacing w:before="240" w:line="260" w:lineRule="atLeast"/>
      </w:pPr>
      <w:r>
        <w:br/>
      </w:r>
      <w:r>
        <w:rPr>
          <w:rFonts w:ascii="Arial" w:eastAsia="Arial" w:hAnsi="Arial" w:cs="Arial"/>
          <w:b/>
          <w:color w:val="000000"/>
          <w:sz w:val="20"/>
        </w:rPr>
        <w:t>II. INSTANT LAWSUIT</w:t>
      </w:r>
    </w:p>
    <w:p w14:paraId="6FDACD37" w14:textId="77777777" w:rsidR="002B10A6" w:rsidRDefault="00000000">
      <w:pPr>
        <w:pStyle w:val="Normal4"/>
        <w:widowControl w:val="0"/>
        <w:spacing w:before="200" w:line="260" w:lineRule="atLeast"/>
        <w:jc w:val="both"/>
      </w:pPr>
      <w:bookmarkStart w:id="542" w:name="Bookmark_para_7_3"/>
      <w:bookmarkEnd w:id="542"/>
      <w:r>
        <w:rPr>
          <w:rFonts w:ascii="Arial" w:eastAsia="Arial" w:hAnsi="Arial" w:cs="Arial"/>
          <w:color w:val="000000"/>
          <w:sz w:val="20"/>
        </w:rPr>
        <w:t xml:space="preserve">While the first lawsuit was pending, Kennedy filed the instant lawsuit in October 2018. The record in the instant lawsuit includes Kennedy's 2018 deposition testimony from her prior action in </w:t>
      </w:r>
      <w:r>
        <w:rPr>
          <w:rFonts w:ascii="Arial" w:eastAsia="Arial" w:hAnsi="Arial" w:cs="Arial"/>
          <w:color w:val="000000"/>
          <w:sz w:val="20"/>
          <w:u w:val="single"/>
        </w:rPr>
        <w:t>Floridian I</w:t>
      </w:r>
      <w:r>
        <w:rPr>
          <w:rFonts w:ascii="Arial" w:eastAsia="Arial" w:hAnsi="Arial" w:cs="Arial"/>
          <w:color w:val="000000"/>
          <w:sz w:val="20"/>
        </w:rPr>
        <w:t xml:space="preserve"> and her 2019 deposition testimony and her three declarations filed in this action.</w:t>
      </w:r>
    </w:p>
    <w:p w14:paraId="37FFAEA4" w14:textId="77777777" w:rsidR="002B10A6" w:rsidRDefault="00000000">
      <w:pPr>
        <w:pStyle w:val="Normal4"/>
        <w:widowControl w:val="0"/>
        <w:spacing w:before="240" w:line="260" w:lineRule="atLeast"/>
      </w:pPr>
      <w:r>
        <w:br/>
      </w:r>
      <w:r>
        <w:rPr>
          <w:rFonts w:ascii="Arial" w:eastAsia="Arial" w:hAnsi="Arial" w:cs="Arial"/>
          <w:b/>
          <w:color w:val="000000"/>
          <w:sz w:val="20"/>
        </w:rPr>
        <w:t>A. Parties</w:t>
      </w:r>
    </w:p>
    <w:p w14:paraId="66DBA690" w14:textId="77777777" w:rsidR="002B10A6" w:rsidRDefault="00000000">
      <w:pPr>
        <w:pStyle w:val="Normal4"/>
        <w:widowControl w:val="0"/>
        <w:spacing w:before="200" w:line="260" w:lineRule="atLeast"/>
        <w:jc w:val="both"/>
      </w:pPr>
      <w:bookmarkStart w:id="543" w:name="Bookmark_para_8_3"/>
      <w:bookmarkEnd w:id="543"/>
      <w:r>
        <w:rPr>
          <w:rFonts w:ascii="Arial" w:eastAsia="Arial" w:hAnsi="Arial" w:cs="Arial"/>
          <w:color w:val="000000"/>
          <w:sz w:val="20"/>
        </w:rPr>
        <w:t>Kennedy is an individual with a disability within the meaning of the ADA. As the result of a spinal injury, she cannot walk more than a few steps or stand without assistance. She must use a wheelchair, cane, or other support. Kennedy is an ADA advocate and a "tester" who visits places of public accommodation to monitor their compliance with the ADA. The district court took judicial notice of her filing more than 250 ADA cases in the Southern District of Florida since this lawsuit was filed in October 2018.</w:t>
      </w:r>
    </w:p>
    <w:p w14:paraId="1391CC1D" w14:textId="77777777" w:rsidR="002B10A6" w:rsidRDefault="00000000">
      <w:pPr>
        <w:pStyle w:val="Normal4"/>
        <w:widowControl w:val="0"/>
        <w:spacing w:before="200" w:line="260" w:lineRule="atLeast"/>
        <w:jc w:val="both"/>
      </w:pPr>
      <w:bookmarkStart w:id="544" w:name="Bookmark_para_9_3"/>
      <w:bookmarkEnd w:id="544"/>
      <w:r>
        <w:rPr>
          <w:rFonts w:ascii="Arial" w:eastAsia="Arial" w:hAnsi="Arial" w:cs="Arial"/>
          <w:color w:val="000000"/>
          <w:sz w:val="20"/>
        </w:rPr>
        <w:t>Floridian owns and operates the Floridian Hotel (the "Hotel") in Homestead, Florida, which is a place of public accommodation under the ADA. Through its website, floridianhotel.com, and third-party websites, Floridian [**4]  operates an online reservation system ("ORS") that allows individuals to book rooms and obtain information about the Hotel. Kennedy resides in Tamarac, Florida, which is about 50 to 60 miles from the Hotel.</w:t>
      </w:r>
    </w:p>
    <w:p w14:paraId="5B503A4B" w14:textId="77777777" w:rsidR="002B10A6" w:rsidRDefault="00000000">
      <w:pPr>
        <w:pStyle w:val="Normal4"/>
        <w:widowControl w:val="0"/>
        <w:spacing w:before="240" w:line="260" w:lineRule="atLeast"/>
      </w:pPr>
      <w:r>
        <w:br/>
      </w:r>
      <w:r>
        <w:rPr>
          <w:rFonts w:ascii="Arial" w:eastAsia="Arial" w:hAnsi="Arial" w:cs="Arial"/>
          <w:b/>
          <w:color w:val="000000"/>
          <w:sz w:val="20"/>
        </w:rPr>
        <w:t>B. Hotel and Website Visits</w:t>
      </w:r>
    </w:p>
    <w:p w14:paraId="2FD92D35" w14:textId="77777777" w:rsidR="002B10A6" w:rsidRDefault="00000000">
      <w:pPr>
        <w:pStyle w:val="Normal4"/>
        <w:widowControl w:val="0"/>
        <w:spacing w:before="200" w:line="260" w:lineRule="atLeast"/>
        <w:jc w:val="both"/>
      </w:pPr>
      <w:bookmarkStart w:id="545" w:name="Bookmark_para_10_3"/>
      <w:bookmarkEnd w:id="545"/>
      <w:r>
        <w:rPr>
          <w:rFonts w:ascii="Arial" w:eastAsia="Arial" w:hAnsi="Arial" w:cs="Arial"/>
          <w:color w:val="000000"/>
          <w:sz w:val="20"/>
        </w:rPr>
        <w:t xml:space="preserve">Prior to filing </w:t>
      </w:r>
      <w:r>
        <w:rPr>
          <w:rFonts w:ascii="Arial" w:eastAsia="Arial" w:hAnsi="Arial" w:cs="Arial"/>
          <w:color w:val="000000"/>
          <w:sz w:val="20"/>
          <w:u w:val="single"/>
        </w:rPr>
        <w:t>Floridian I</w:t>
      </w:r>
      <w:r>
        <w:rPr>
          <w:rFonts w:ascii="Arial" w:eastAsia="Arial" w:hAnsi="Arial" w:cs="Arial"/>
          <w:color w:val="000000"/>
          <w:sz w:val="20"/>
        </w:rPr>
        <w:t xml:space="preserve">, Kennedy visited Floridian's website because she "needed to go down to Miami" to visit a friend "in the Keys" and was searching for a place to stay. At her deposition in </w:t>
      </w:r>
      <w:r>
        <w:rPr>
          <w:rFonts w:ascii="Arial" w:eastAsia="Arial" w:hAnsi="Arial" w:cs="Arial"/>
          <w:color w:val="000000"/>
          <w:sz w:val="20"/>
          <w:u w:val="single"/>
        </w:rPr>
        <w:t>Floridian I</w:t>
      </w:r>
      <w:r>
        <w:rPr>
          <w:rFonts w:ascii="Arial" w:eastAsia="Arial" w:hAnsi="Arial" w:cs="Arial"/>
          <w:color w:val="000000"/>
          <w:sz w:val="20"/>
        </w:rPr>
        <w:t>, she could not recall the friend's name or when she was planning to visit, and she could not provide his exact location. Kennedy cancelled the trip and did not make firm plans to reschedule it.</w:t>
      </w:r>
    </w:p>
    <w:p w14:paraId="39A81B8D" w14:textId="77777777" w:rsidR="002B10A6" w:rsidRDefault="00000000">
      <w:pPr>
        <w:pStyle w:val="Normal4"/>
        <w:widowControl w:val="0"/>
        <w:spacing w:before="200" w:line="260" w:lineRule="atLeast"/>
        <w:jc w:val="both"/>
      </w:pPr>
      <w:bookmarkStart w:id="546" w:name="Bookmark_para_11_3"/>
      <w:bookmarkEnd w:id="546"/>
      <w:r>
        <w:rPr>
          <w:rFonts w:ascii="Arial" w:eastAsia="Arial" w:hAnsi="Arial" w:cs="Arial"/>
          <w:color w:val="000000"/>
          <w:sz w:val="20"/>
        </w:rPr>
        <w:t> [*1227]  On October 8-9, 2018—just before filing this lawsuit—Kennedy visited the Hotel in person for the first time. Kennedy spent approximately two to three hours at the Hotel. Kennedy testified that she visited the Hotel because it was in Homestead, and that she had been trying to go to the Redlands Blues and Barbecue Festival (the "blues festival") in Homestead—which is held in April—for several years. When asked why she visited the Hotel in October if the blues festival was in April, Kennedy testified she did not recall.</w:t>
      </w:r>
    </w:p>
    <w:p w14:paraId="0135CD23" w14:textId="77777777" w:rsidR="002B10A6" w:rsidRDefault="00000000">
      <w:pPr>
        <w:pStyle w:val="Normal4"/>
        <w:widowControl w:val="0"/>
        <w:spacing w:before="200" w:line="260" w:lineRule="atLeast"/>
        <w:jc w:val="both"/>
      </w:pPr>
      <w:bookmarkStart w:id="547" w:name="Bookmark_para_12_3"/>
      <w:bookmarkEnd w:id="547"/>
      <w:r>
        <w:rPr>
          <w:rFonts w:ascii="Arial" w:eastAsia="Arial" w:hAnsi="Arial" w:cs="Arial"/>
          <w:color w:val="000000"/>
          <w:sz w:val="20"/>
        </w:rPr>
        <w:t>On October 11, 2018, Kennedy attempted to [**5]  make an online reservation at the Hotel for April 6-7, 2019. She was unable to do so and called the Hotel, which advised her that she could not book a room online that far in advance. Kennedy acknowledges that this October reservation attempt was not connected to her decision to attend the blues festival.</w:t>
      </w:r>
    </w:p>
    <w:p w14:paraId="080B7430" w14:textId="77777777" w:rsidR="002B10A6" w:rsidRDefault="00000000">
      <w:pPr>
        <w:pStyle w:val="Normal4"/>
        <w:widowControl w:val="0"/>
        <w:spacing w:before="240" w:line="260" w:lineRule="atLeast"/>
      </w:pPr>
      <w:r>
        <w:br/>
      </w:r>
      <w:r>
        <w:rPr>
          <w:rFonts w:ascii="Arial" w:eastAsia="Arial" w:hAnsi="Arial" w:cs="Arial"/>
          <w:b/>
          <w:color w:val="000000"/>
          <w:sz w:val="20"/>
        </w:rPr>
        <w:t>C. Blues Festival and Travel to Homestead</w:t>
      </w:r>
    </w:p>
    <w:p w14:paraId="3A74F8F5" w14:textId="77777777" w:rsidR="002B10A6" w:rsidRDefault="00000000">
      <w:pPr>
        <w:pStyle w:val="Normal4"/>
        <w:widowControl w:val="0"/>
        <w:spacing w:before="200" w:line="260" w:lineRule="atLeast"/>
        <w:jc w:val="both"/>
      </w:pPr>
      <w:bookmarkStart w:id="548" w:name="Bookmark_para_13_3"/>
      <w:bookmarkEnd w:id="548"/>
      <w:r>
        <w:rPr>
          <w:rFonts w:ascii="Arial" w:eastAsia="Arial" w:hAnsi="Arial" w:cs="Arial"/>
          <w:color w:val="000000"/>
          <w:sz w:val="20"/>
        </w:rPr>
        <w:t>Kennedy never purchased tickets for the 2019 blues festival and could not remember when she first heard of it or exactly where it was held. Kennedy did not attend the 2019 blues festival due to illness. Kennedy testified that she intended to go back to the Hotel "[f]or that Blues and Barbecue thing for sure" and wanted to go in 2020, but it would depend on how she was feeling.</w:t>
      </w:r>
    </w:p>
    <w:p w14:paraId="347F91BB" w14:textId="77777777" w:rsidR="002B10A6" w:rsidRDefault="00000000">
      <w:pPr>
        <w:pStyle w:val="Normal4"/>
        <w:widowControl w:val="0"/>
        <w:spacing w:before="200" w:line="260" w:lineRule="atLeast"/>
        <w:jc w:val="both"/>
      </w:pPr>
      <w:bookmarkStart w:id="549" w:name="Bookmark_para_14_3"/>
      <w:bookmarkEnd w:id="549"/>
      <w:r>
        <w:rPr>
          <w:rFonts w:ascii="Arial" w:eastAsia="Arial" w:hAnsi="Arial" w:cs="Arial"/>
          <w:color w:val="000000"/>
          <w:sz w:val="20"/>
        </w:rPr>
        <w:t xml:space="preserve">As of September 2018, Kennedy had not stayed at any hotel in Homestead within the past year and was unsure if she had ever stayed before at a hotel in Homestead. In her 2019 deposition, Kennedy testified that: (1) she did not visit Homestead often because it was "a ways" from her home; (2) she had not returned to the Hotel or the Homestead area since October 2018; and (3) since filing </w:t>
      </w:r>
      <w:r>
        <w:rPr>
          <w:rFonts w:ascii="Arial" w:eastAsia="Arial" w:hAnsi="Arial" w:cs="Arial"/>
          <w:color w:val="000000"/>
          <w:sz w:val="20"/>
          <w:u w:val="single"/>
        </w:rPr>
        <w:t>Floridian I</w:t>
      </w:r>
      <w:r>
        <w:rPr>
          <w:rFonts w:ascii="Arial" w:eastAsia="Arial" w:hAnsi="Arial" w:cs="Arial"/>
          <w:color w:val="000000"/>
          <w:sz w:val="20"/>
        </w:rPr>
        <w:t>, she had never visited her friend in the Keys, whose name she could still [**6]  not remember.</w:t>
      </w:r>
    </w:p>
    <w:p w14:paraId="1D067014" w14:textId="77777777" w:rsidR="002B10A6" w:rsidRDefault="00000000">
      <w:pPr>
        <w:pStyle w:val="Normal4"/>
        <w:widowControl w:val="0"/>
        <w:spacing w:before="200" w:line="260" w:lineRule="atLeast"/>
        <w:jc w:val="both"/>
      </w:pPr>
      <w:bookmarkStart w:id="550" w:name="Bookmark_para_15_3"/>
      <w:bookmarkEnd w:id="550"/>
      <w:r>
        <w:rPr>
          <w:rFonts w:ascii="Arial" w:eastAsia="Arial" w:hAnsi="Arial" w:cs="Arial"/>
          <w:color w:val="000000"/>
          <w:sz w:val="20"/>
        </w:rPr>
        <w:t>In a declaration, however, Kennedy stated that she "frequently travel[s] throughout Florida including Miami-Dade County and Homestead," and that she has "been to Homestead approximately 100 times." She also stated that when she travels any distance she will "normally spend the night in local hotels."</w:t>
      </w:r>
    </w:p>
    <w:p w14:paraId="1B066B23" w14:textId="77777777" w:rsidR="002B10A6" w:rsidRDefault="00000000">
      <w:pPr>
        <w:pStyle w:val="Normal4"/>
        <w:widowControl w:val="0"/>
        <w:spacing w:before="240" w:line="260" w:lineRule="atLeast"/>
      </w:pPr>
      <w:r>
        <w:br/>
      </w:r>
      <w:r>
        <w:rPr>
          <w:rFonts w:ascii="Arial" w:eastAsia="Arial" w:hAnsi="Arial" w:cs="Arial"/>
          <w:b/>
          <w:color w:val="000000"/>
          <w:sz w:val="20"/>
        </w:rPr>
        <w:t>D. Hotel and Website Revisits as ADA Tester</w:t>
      </w:r>
    </w:p>
    <w:p w14:paraId="6048D636" w14:textId="77777777" w:rsidR="002B10A6" w:rsidRDefault="00000000">
      <w:pPr>
        <w:pStyle w:val="Normal4"/>
        <w:widowControl w:val="0"/>
        <w:spacing w:before="200" w:line="260" w:lineRule="atLeast"/>
        <w:jc w:val="both"/>
      </w:pPr>
      <w:bookmarkStart w:id="551" w:name="Bookmark_para_16_3"/>
      <w:bookmarkEnd w:id="551"/>
      <w:r>
        <w:rPr>
          <w:rFonts w:ascii="Arial" w:eastAsia="Arial" w:hAnsi="Arial" w:cs="Arial"/>
          <w:color w:val="000000"/>
          <w:sz w:val="20"/>
        </w:rPr>
        <w:t>At her deposition in this lawsuit, Kennedy testified that she keeps a list on her computer of all lawsuits in the Southern District of Florida that she has been involved in, and that the list includes an approximation of when she returned to each subject property or website. She knows to go back and check websites based on settlement agreements stored on her computer, but she has no calendar system in place reminding her to revisit. She will revisit a property when she "need[s] to."</w:t>
      </w:r>
    </w:p>
    <w:p w14:paraId="654EADCE" w14:textId="77777777" w:rsidR="002B10A6" w:rsidRDefault="00000000">
      <w:pPr>
        <w:pStyle w:val="Normal4"/>
        <w:widowControl w:val="0"/>
        <w:spacing w:before="200" w:line="260" w:lineRule="atLeast"/>
        <w:jc w:val="both"/>
      </w:pPr>
      <w:bookmarkStart w:id="552" w:name="Bookmark_para_17_3"/>
      <w:bookmarkEnd w:id="552"/>
      <w:r>
        <w:rPr>
          <w:rFonts w:ascii="Arial" w:eastAsia="Arial" w:hAnsi="Arial" w:cs="Arial"/>
          <w:color w:val="000000"/>
          <w:sz w:val="20"/>
        </w:rPr>
        <w:t>In her declarations, Kennedy stated that as an ADA tester, she will "subsequently revisit each property or website to ascertain whether the ADA violations have been fixed." In her third declaration, Kennedy further explained that in 2019, she implemented an improved system for tracking her cases, which included the case name and number, the "name and address [**7]  of the property, [the] date the suit was commenced and closed," and the fact of her return. Under this system, Kennedy stated, she was confident of her ability to ensure she returns "to absolutely every property" she sues. Also in her third declaration, Kennedy stated that although visiting the Hotel would be a futile gesture unless she was willing to suffer discrimination again, she nevertheless was planning to do so. "I will be revisiting the hotel in  [*1228]  the near future because I said I would and because I have a system in place that ensures I will," she stated.</w:t>
      </w:r>
    </w:p>
    <w:p w14:paraId="166EB006" w14:textId="77777777" w:rsidR="002B10A6" w:rsidRDefault="00000000">
      <w:pPr>
        <w:pStyle w:val="Normal4"/>
        <w:widowControl w:val="0"/>
        <w:spacing w:before="240" w:line="260" w:lineRule="atLeast"/>
      </w:pPr>
      <w:r>
        <w:br/>
      </w:r>
      <w:r>
        <w:rPr>
          <w:rFonts w:ascii="Arial" w:eastAsia="Arial" w:hAnsi="Arial" w:cs="Arial"/>
          <w:b/>
          <w:color w:val="000000"/>
          <w:sz w:val="20"/>
        </w:rPr>
        <w:t>III. PROCEDURAL HISTORY</w:t>
      </w:r>
    </w:p>
    <w:p w14:paraId="2F639725" w14:textId="77777777" w:rsidR="002B10A6" w:rsidRDefault="00000000">
      <w:pPr>
        <w:pStyle w:val="Normal4"/>
        <w:widowControl w:val="0"/>
        <w:spacing w:before="240" w:line="260" w:lineRule="atLeast"/>
      </w:pPr>
      <w:r>
        <w:br/>
      </w:r>
      <w:r>
        <w:rPr>
          <w:rFonts w:ascii="Arial" w:eastAsia="Arial" w:hAnsi="Arial" w:cs="Arial"/>
          <w:b/>
          <w:color w:val="000000"/>
          <w:sz w:val="20"/>
        </w:rPr>
        <w:t>A. Complaint</w:t>
      </w:r>
    </w:p>
    <w:p w14:paraId="1AAA2C6D" w14:textId="77777777" w:rsidR="002B10A6" w:rsidRDefault="00000000">
      <w:pPr>
        <w:pStyle w:val="Normal4"/>
        <w:widowControl w:val="0"/>
        <w:spacing w:before="200" w:line="260" w:lineRule="atLeast"/>
        <w:jc w:val="both"/>
      </w:pPr>
      <w:bookmarkStart w:id="553" w:name="Bookmark_para_18_3"/>
      <w:bookmarkEnd w:id="553"/>
      <w:r>
        <w:rPr>
          <w:rFonts w:ascii="Arial" w:eastAsia="Arial" w:hAnsi="Arial" w:cs="Arial"/>
          <w:color w:val="000000"/>
          <w:sz w:val="20"/>
        </w:rPr>
        <w:t xml:space="preserve">On October 17, 2018, Kennedy filed the current two-count complaint, seeking declaratory and injunctive relief. In Count I, she alleged Floridian violated the ADA, 42 U.S.C. §§ 12182 and 12183, based on barriers to access she encountered at the Hotel. She alleged Floridian failed to make the Hotel property accessible to individuals with disabilities by, </w:t>
      </w:r>
      <w:r>
        <w:rPr>
          <w:rFonts w:ascii="Arial" w:eastAsia="Arial" w:hAnsi="Arial" w:cs="Arial"/>
          <w:color w:val="000000"/>
          <w:sz w:val="20"/>
          <w:u w:val="single"/>
        </w:rPr>
        <w:t>inter alia</w:t>
      </w:r>
      <w:r>
        <w:rPr>
          <w:rFonts w:ascii="Arial" w:eastAsia="Arial" w:hAnsi="Arial" w:cs="Arial"/>
          <w:color w:val="000000"/>
          <w:sz w:val="20"/>
        </w:rPr>
        <w:t>, failing to provide sufficient accessible parking spaces, an accessible route from disabled parking spaces to the Hotel, sufficient accessible guest rooms, and a pool lift. Kennedy alleged that she planned to return to the Hotel within eight months.</w:t>
      </w:r>
    </w:p>
    <w:p w14:paraId="0D771E1A" w14:textId="77777777" w:rsidR="002B10A6" w:rsidRDefault="00000000">
      <w:pPr>
        <w:pStyle w:val="Normal4"/>
        <w:widowControl w:val="0"/>
        <w:spacing w:before="200" w:line="260" w:lineRule="atLeast"/>
        <w:jc w:val="both"/>
      </w:pPr>
      <w:bookmarkStart w:id="554" w:name="Bookmark_para_19_3"/>
      <w:bookmarkEnd w:id="554"/>
      <w:r>
        <w:rPr>
          <w:rFonts w:ascii="Arial" w:eastAsia="Arial" w:hAnsi="Arial" w:cs="Arial"/>
          <w:color w:val="000000"/>
          <w:sz w:val="20"/>
        </w:rPr>
        <w:t>In Count [**8]  II, Kennedy again challenged Floridian's ORS under the ADA and 28 C.F.R. § 36.302(e)(1). She alleged that Floridian's ORS through floridianhotel.com failed to identify accessible guest rooms or provide information about accessible features at the Hotel, and additionally, did not allow for the booking of accessible rooms. Kennedy further alleged that Floridian's ORS, operated through third-party websites such as expedia.com and kayak.com, also did not comply with the ADA. Some of these third-party websites failed to identify accessible guest rooms or allow for their booking. While other websites claimed certain guest rooms were accessible, they omitted information about non-compliant features of the rooms, other barriers to access at the Hotel—such as a step blocking pool access—and the accessibility of amenities at the Hotel.</w:t>
      </w:r>
    </w:p>
    <w:p w14:paraId="2DCA9061" w14:textId="77777777" w:rsidR="002B10A6" w:rsidRDefault="00000000">
      <w:pPr>
        <w:pStyle w:val="Normal4"/>
        <w:widowControl w:val="0"/>
        <w:spacing w:before="200" w:line="260" w:lineRule="atLeast"/>
        <w:jc w:val="both"/>
      </w:pPr>
      <w:bookmarkStart w:id="555" w:name="Bookmark_para_20_3"/>
      <w:bookmarkEnd w:id="555"/>
      <w:r>
        <w:rPr>
          <w:rFonts w:ascii="Arial" w:eastAsia="Arial" w:hAnsi="Arial" w:cs="Arial"/>
          <w:color w:val="000000"/>
          <w:sz w:val="20"/>
        </w:rPr>
        <w:t xml:space="preserve">In subsequent declarations, Kennedy stated that Floridian "revised" its own website sometime after </w:t>
      </w:r>
      <w:r>
        <w:rPr>
          <w:rFonts w:ascii="Arial" w:eastAsia="Arial" w:hAnsi="Arial" w:cs="Arial"/>
          <w:color w:val="000000"/>
          <w:sz w:val="20"/>
          <w:u w:val="single"/>
        </w:rPr>
        <w:t>Floridian I</w:t>
      </w:r>
      <w:r>
        <w:rPr>
          <w:rFonts w:ascii="Arial" w:eastAsia="Arial" w:hAnsi="Arial" w:cs="Arial"/>
          <w:color w:val="000000"/>
          <w:sz w:val="20"/>
        </w:rPr>
        <w:t xml:space="preserve"> was filed and "made various claims of accessibility" that were false and misleading. Kennedy reviewed the ORS several times but does not state when she did so. She attempted to reserve a room only on October 11, 2018, but does not state what website she used. Her complaint and [**9]  declarations do not indicate when she first encountered the allegedly deficient information on floridianhotel.com or the third-party websites. Kennedy alleged that she planned to revisit Floridian's websites in the "near future" to test them for ADA compliance or reserve a guest room, but again does not specify which ones.</w:t>
      </w:r>
    </w:p>
    <w:p w14:paraId="4F11B746" w14:textId="77777777" w:rsidR="002B10A6" w:rsidRDefault="00000000">
      <w:pPr>
        <w:pStyle w:val="Normal4"/>
        <w:widowControl w:val="0"/>
        <w:spacing w:before="240" w:line="260" w:lineRule="atLeast"/>
      </w:pPr>
      <w:r>
        <w:br/>
      </w:r>
      <w:r>
        <w:rPr>
          <w:rFonts w:ascii="Arial" w:eastAsia="Arial" w:hAnsi="Arial" w:cs="Arial"/>
          <w:b/>
          <w:color w:val="000000"/>
          <w:sz w:val="20"/>
        </w:rPr>
        <w:t>B. Motion to Dismiss</w:t>
      </w:r>
    </w:p>
    <w:p w14:paraId="75B0D0B1" w14:textId="77777777" w:rsidR="002B10A6" w:rsidRDefault="00000000">
      <w:pPr>
        <w:pStyle w:val="Normal4"/>
        <w:widowControl w:val="0"/>
        <w:spacing w:before="200" w:line="260" w:lineRule="atLeast"/>
        <w:jc w:val="both"/>
      </w:pPr>
      <w:bookmarkStart w:id="556" w:name="Bookmark_para_21_3"/>
      <w:bookmarkEnd w:id="556"/>
      <w:r>
        <w:rPr>
          <w:rFonts w:ascii="Arial" w:eastAsia="Arial" w:hAnsi="Arial" w:cs="Arial"/>
          <w:color w:val="000000"/>
          <w:sz w:val="20"/>
        </w:rPr>
        <w:t xml:space="preserve">In November 2018, while </w:t>
      </w:r>
      <w:r>
        <w:rPr>
          <w:rFonts w:ascii="Arial" w:eastAsia="Arial" w:hAnsi="Arial" w:cs="Arial"/>
          <w:color w:val="000000"/>
          <w:sz w:val="20"/>
          <w:u w:val="single"/>
        </w:rPr>
        <w:t>Floridian I</w:t>
      </w:r>
      <w:r>
        <w:rPr>
          <w:rFonts w:ascii="Arial" w:eastAsia="Arial" w:hAnsi="Arial" w:cs="Arial"/>
          <w:color w:val="000000"/>
          <w:sz w:val="20"/>
        </w:rPr>
        <w:t xml:space="preserve"> was still pending, Floridian moved to dismiss the instant complaint for failure to state a claim and on various other grounds. On April 3, 2019—several months after </w:t>
      </w:r>
      <w:r>
        <w:rPr>
          <w:rFonts w:ascii="Arial" w:eastAsia="Arial" w:hAnsi="Arial" w:cs="Arial"/>
          <w:color w:val="000000"/>
          <w:sz w:val="20"/>
          <w:u w:val="single"/>
        </w:rPr>
        <w:t>Floridian I</w:t>
      </w:r>
      <w:r>
        <w:rPr>
          <w:rFonts w:ascii="Arial" w:eastAsia="Arial" w:hAnsi="Arial" w:cs="Arial"/>
          <w:color w:val="000000"/>
          <w:sz w:val="20"/>
        </w:rPr>
        <w:t xml:space="preserve"> was dismissed for lack of standing—the district court granted in part and denied in part Floridian's motion to dismiss this second case.</w:t>
      </w:r>
    </w:p>
    <w:p w14:paraId="1B431575" w14:textId="77777777" w:rsidR="002B10A6" w:rsidRDefault="00000000">
      <w:pPr>
        <w:pStyle w:val="Normal4"/>
        <w:widowControl w:val="0"/>
        <w:spacing w:before="200" w:line="260" w:lineRule="atLeast"/>
        <w:jc w:val="both"/>
      </w:pPr>
      <w:bookmarkStart w:id="557" w:name="Bookmark_para_22_3"/>
      <w:bookmarkEnd w:id="557"/>
      <w:r>
        <w:rPr>
          <w:rFonts w:ascii="Arial" w:eastAsia="Arial" w:hAnsi="Arial" w:cs="Arial"/>
          <w:color w:val="000000"/>
          <w:sz w:val="20"/>
        </w:rPr>
        <w:t xml:space="preserve">Relevant here, the court dismissed Count II (the ORS claim) with prejudice for improper claim splitting because it: (1) involved the same parties as </w:t>
      </w:r>
      <w:r>
        <w:rPr>
          <w:rFonts w:ascii="Arial" w:eastAsia="Arial" w:hAnsi="Arial" w:cs="Arial"/>
          <w:color w:val="000000"/>
          <w:sz w:val="20"/>
          <w:u w:val="single"/>
        </w:rPr>
        <w:t>Floridian I</w:t>
      </w:r>
      <w:r>
        <w:rPr>
          <w:rFonts w:ascii="Arial" w:eastAsia="Arial" w:hAnsi="Arial" w:cs="Arial"/>
          <w:color w:val="000000"/>
          <w:sz w:val="20"/>
        </w:rPr>
        <w:t>, and (2) arose from the same nucleus of operative facts.</w:t>
      </w:r>
    </w:p>
    <w:p w14:paraId="779AE66B" w14:textId="77777777" w:rsidR="002B10A6" w:rsidRDefault="00000000">
      <w:pPr>
        <w:pStyle w:val="Normal4"/>
        <w:widowControl w:val="0"/>
        <w:spacing w:before="200" w:line="260" w:lineRule="atLeast"/>
        <w:jc w:val="both"/>
      </w:pPr>
      <w:bookmarkStart w:id="558" w:name="Bookmark_para_23_3"/>
      <w:bookmarkEnd w:id="558"/>
      <w:r>
        <w:rPr>
          <w:rFonts w:ascii="Arial" w:eastAsia="Arial" w:hAnsi="Arial" w:cs="Arial"/>
          <w:color w:val="000000"/>
          <w:sz w:val="20"/>
        </w:rPr>
        <w:t>The court dismissed a portion of Count I for failure to state claim but otherwise denied Floridian's motion to dismiss the barriers-to-access claim in Count I.</w:t>
      </w:r>
    </w:p>
    <w:p w14:paraId="0C868A90" w14:textId="77777777" w:rsidR="002B10A6" w:rsidRDefault="00000000">
      <w:pPr>
        <w:pStyle w:val="Normal4"/>
        <w:widowControl w:val="0"/>
        <w:spacing w:before="240" w:line="260" w:lineRule="atLeast"/>
      </w:pPr>
      <w:r>
        <w:br/>
      </w:r>
      <w:r>
        <w:rPr>
          <w:rFonts w:ascii="Arial" w:eastAsia="Arial" w:hAnsi="Arial" w:cs="Arial"/>
          <w:b/>
          <w:color w:val="000000"/>
          <w:sz w:val="20"/>
        </w:rPr>
        <w:t>C. Subsequent Motions as to Count I</w:t>
      </w:r>
    </w:p>
    <w:p w14:paraId="207E7B2D" w14:textId="77777777" w:rsidR="002B10A6" w:rsidRDefault="00000000">
      <w:pPr>
        <w:pStyle w:val="Normal4"/>
        <w:widowControl w:val="0"/>
        <w:spacing w:before="200" w:line="260" w:lineRule="atLeast"/>
        <w:jc w:val="both"/>
      </w:pPr>
      <w:bookmarkStart w:id="559" w:name="Bookmark_para_24_3"/>
      <w:bookmarkEnd w:id="559"/>
      <w:r>
        <w:rPr>
          <w:rFonts w:ascii="Arial" w:eastAsia="Arial" w:hAnsi="Arial" w:cs="Arial"/>
          <w:color w:val="000000"/>
          <w:sz w:val="20"/>
        </w:rPr>
        <w:t>As to the remaining parts of the barriers-to-access claim in Count I, the parties filed cross-motions [**10]  for summary judgment. Floridian focused solely on Kennedy's standing to pursue injunctive relief, arguing that she failed to demonstrate a real and immediate threat of future injury.</w:t>
      </w:r>
    </w:p>
    <w:p w14:paraId="2F481E0D" w14:textId="77777777" w:rsidR="002B10A6" w:rsidRDefault="00000000">
      <w:pPr>
        <w:pStyle w:val="Normal4"/>
        <w:widowControl w:val="0"/>
        <w:spacing w:before="200" w:line="260" w:lineRule="atLeast"/>
        <w:jc w:val="both"/>
      </w:pPr>
      <w:bookmarkStart w:id="560" w:name="Bookmark_para_25_3"/>
      <w:bookmarkEnd w:id="560"/>
      <w:r>
        <w:rPr>
          <w:rFonts w:ascii="Arial" w:eastAsia="Arial" w:hAnsi="Arial" w:cs="Arial"/>
          <w:color w:val="000000"/>
          <w:sz w:val="20"/>
        </w:rPr>
        <w:t>The district court construed Floridian's summary judgment motion as a motion to dismiss for lack of subject matter jurisdiction  [*1229]  under Federal Rule of Civil Procedure 12(b)(1). The court determined that Floridian's standing challenge was "purely jurisdictional" and separate from the merits of Kennedy's ADA claims. The court therefore applied the Rule 12(b)(1) standard governing factual attacks on jurisdiction, which allows courts to weigh independently the evidence. Further, the court determined it was not required to hold a hearing because, among other reasons, the record was well developed.</w:t>
      </w:r>
    </w:p>
    <w:p w14:paraId="7CB5B51B" w14:textId="77777777" w:rsidR="002B10A6" w:rsidRDefault="00000000">
      <w:pPr>
        <w:pStyle w:val="Normal4"/>
        <w:widowControl w:val="0"/>
        <w:spacing w:before="200" w:line="260" w:lineRule="atLeast"/>
        <w:jc w:val="both"/>
      </w:pPr>
      <w:bookmarkStart w:id="561" w:name="Bookmark_para_26_3"/>
      <w:bookmarkStart w:id="562" w:name="Bookmark_I62TXS222HM6XN0040000400"/>
      <w:bookmarkEnd w:id="561"/>
      <w:bookmarkEnd w:id="562"/>
      <w:r>
        <w:rPr>
          <w:rFonts w:ascii="Arial" w:eastAsia="Arial" w:hAnsi="Arial" w:cs="Arial"/>
          <w:color w:val="000000"/>
          <w:sz w:val="20"/>
        </w:rPr>
        <w:t xml:space="preserve">As to Kennedy's standing to pursue injunctive relief in Count I, the court examined the totality of the circumstances and the four factors set forth in </w:t>
      </w:r>
      <w:bookmarkStart w:id="563" w:name="Bookmark_I62TXS222HM6XN0030000400"/>
      <w:bookmarkEnd w:id="563"/>
      <w:r>
        <w:rPr>
          <w:rFonts w:ascii="Arial" w:eastAsia="Arial" w:hAnsi="Arial" w:cs="Arial"/>
          <w:color w:val="000000"/>
          <w:sz w:val="20"/>
          <w:u w:val="single"/>
        </w:rPr>
        <w:t>Houston v. Marod Supermarkets, Inc.</w:t>
      </w:r>
      <w:r>
        <w:rPr>
          <w:rFonts w:ascii="Arial" w:eastAsia="Arial" w:hAnsi="Arial" w:cs="Arial"/>
          <w:color w:val="000000"/>
          <w:sz w:val="20"/>
        </w:rPr>
        <w:t>, 733 F.3d 1323, 1337 n.6 (11th Cir. 2013), to determine whether Kennedy had shown a real and immediate threat of future injury. The court focused its analysis on the third factor—the definiteness of Kennedy's plan to return to Floridian's Hotel in Homestead.</w:t>
      </w:r>
    </w:p>
    <w:p w14:paraId="61F1CB96" w14:textId="77777777" w:rsidR="002B10A6" w:rsidRDefault="00000000">
      <w:pPr>
        <w:pStyle w:val="Normal4"/>
        <w:widowControl w:val="0"/>
        <w:spacing w:before="200" w:line="260" w:lineRule="atLeast"/>
        <w:jc w:val="both"/>
      </w:pPr>
      <w:bookmarkStart w:id="564" w:name="Bookmark_para_27_3"/>
      <w:bookmarkEnd w:id="564"/>
      <w:r>
        <w:rPr>
          <w:rFonts w:ascii="Arial" w:eastAsia="Arial" w:hAnsi="Arial" w:cs="Arial"/>
          <w:color w:val="000000"/>
          <w:sz w:val="20"/>
        </w:rPr>
        <w:t>First, the district court declined to credit Kennedy's claims that she intends to stay at the Hotel in the [**11]  future when she: (1) visits her unidentified friend in the Keys, or (2) attends the blues festival. The court noted that Kennedy had never attended or purchased tickets for the festival and had expressed only a "some day" intention to attend. The court recognized that Kennedy's status as an ADA tester could support her intent to return to Floridian's Hotel. But it concluded that she had not provided "any adequate assurance of immediate revisitation," notwithstanding her system for tracking cases.</w:t>
      </w:r>
    </w:p>
    <w:p w14:paraId="141C2039" w14:textId="77777777" w:rsidR="002B10A6" w:rsidRDefault="00000000">
      <w:pPr>
        <w:pStyle w:val="Normal4"/>
        <w:widowControl w:val="0"/>
        <w:spacing w:before="200" w:line="260" w:lineRule="atLeast"/>
        <w:jc w:val="both"/>
      </w:pPr>
      <w:bookmarkStart w:id="565" w:name="Bookmark_para_28_3"/>
      <w:bookmarkEnd w:id="565"/>
      <w:r>
        <w:rPr>
          <w:rFonts w:ascii="Arial" w:eastAsia="Arial" w:hAnsi="Arial" w:cs="Arial"/>
          <w:color w:val="000000"/>
          <w:sz w:val="20"/>
        </w:rPr>
        <w:t>Because Kennedy failed to demonstrate a real and immediate threat of future injury, the court concluded that she lacked standing to seek injunctive relief as to her barriers-to-access claim in Count I. The Court dismissed Count I with prejudice.</w:t>
      </w:r>
    </w:p>
    <w:p w14:paraId="160CDF4F" w14:textId="77777777" w:rsidR="002B10A6" w:rsidRDefault="00000000">
      <w:pPr>
        <w:pStyle w:val="Normal4"/>
        <w:widowControl w:val="0"/>
        <w:spacing w:before="240" w:line="260" w:lineRule="atLeast"/>
      </w:pPr>
      <w:r>
        <w:br/>
      </w:r>
      <w:r>
        <w:rPr>
          <w:rFonts w:ascii="Arial" w:eastAsia="Arial" w:hAnsi="Arial" w:cs="Arial"/>
          <w:b/>
          <w:color w:val="000000"/>
          <w:sz w:val="20"/>
        </w:rPr>
        <w:t>IV. DISMISSAL OF COUNT I FOR LACK OF SUBJECT MATTER JURISDICTION UNDER RULE 12(b)(1)</w:t>
      </w:r>
    </w:p>
    <w:p w14:paraId="06DFA0CF" w14:textId="77777777" w:rsidR="002B10A6" w:rsidRDefault="00000000">
      <w:pPr>
        <w:pStyle w:val="Normal4"/>
        <w:widowControl w:val="0"/>
        <w:spacing w:before="240" w:line="260" w:lineRule="atLeast"/>
      </w:pPr>
      <w:r>
        <w:br/>
      </w:r>
      <w:r>
        <w:rPr>
          <w:rFonts w:ascii="Arial" w:eastAsia="Arial" w:hAnsi="Arial" w:cs="Arial"/>
          <w:b/>
          <w:color w:val="000000"/>
          <w:sz w:val="20"/>
        </w:rPr>
        <w:t>A. Article III Standing Principles</w:t>
      </w:r>
    </w:p>
    <w:p w14:paraId="4C28E723" w14:textId="77777777" w:rsidR="002B10A6" w:rsidRDefault="00000000">
      <w:pPr>
        <w:pStyle w:val="Normal4"/>
        <w:widowControl w:val="0"/>
        <w:spacing w:before="200" w:line="260" w:lineRule="atLeast"/>
        <w:jc w:val="both"/>
      </w:pPr>
      <w:bookmarkStart w:id="566" w:name="Bookmark_para_29_3"/>
      <w:bookmarkStart w:id="567" w:name="Bookmark_I62TXS232N1RNV0010000400"/>
      <w:bookmarkStart w:id="568" w:name="Bookmark_I62TXS232N1RNV0030000400"/>
      <w:bookmarkStart w:id="569" w:name="Bookmark_LNHNREFclscc2_3"/>
      <w:bookmarkEnd w:id="566"/>
      <w:bookmarkEnd w:id="567"/>
      <w:bookmarkEnd w:id="568"/>
      <w:bookmarkEnd w:id="569"/>
      <w:r>
        <w:rPr>
          <w:rFonts w:ascii="Arial" w:eastAsia="Arial" w:hAnsi="Arial" w:cs="Arial"/>
          <w:color w:val="000000"/>
          <w:sz w:val="20"/>
        </w:rPr>
        <w:t xml:space="preserve">Under Article III of the Constitution, our jurisdiction is limited to "cases" and "controversies." U.S. Const. art. III, § 2; </w:t>
      </w:r>
      <w:bookmarkStart w:id="570" w:name="Bookmark_I62TXS222HM6XN0050000400"/>
      <w:bookmarkEnd w:id="570"/>
      <w:r>
        <w:rPr>
          <w:rFonts w:ascii="Arial" w:eastAsia="Arial" w:hAnsi="Arial" w:cs="Arial"/>
          <w:color w:val="000000"/>
          <w:sz w:val="20"/>
          <w:u w:val="single"/>
        </w:rPr>
        <w:t>Christian Coal. of Fla., Inc. v. United States</w:t>
      </w:r>
      <w:r>
        <w:rPr>
          <w:rFonts w:ascii="Arial" w:eastAsia="Arial" w:hAnsi="Arial" w:cs="Arial"/>
          <w:color w:val="000000"/>
          <w:sz w:val="20"/>
        </w:rPr>
        <w:t xml:space="preserve">, 662 F.3d 1182, 1189 (11th Cir. 2011). The standing doctrine "stems directly from Article III's 'case or controversy' requirement" and "implicates our subject matter jurisdiction." </w:t>
      </w:r>
      <w:bookmarkStart w:id="571" w:name="Bookmark_I62TXS232N1RNV0020000400"/>
      <w:bookmarkEnd w:id="571"/>
      <w:r>
        <w:rPr>
          <w:rFonts w:ascii="Arial" w:eastAsia="Arial" w:hAnsi="Arial" w:cs="Arial"/>
          <w:color w:val="000000"/>
          <w:sz w:val="20"/>
          <w:u w:val="single"/>
        </w:rPr>
        <w:t>Bochese v. Town of Ponce Inlet</w:t>
      </w:r>
      <w:r>
        <w:rPr>
          <w:rFonts w:ascii="Arial" w:eastAsia="Arial" w:hAnsi="Arial" w:cs="Arial"/>
          <w:color w:val="000000"/>
          <w:sz w:val="20"/>
        </w:rPr>
        <w:t>, 405 F.3d 964, 974 (11th Cir. 2005) (quotation marks omitted).</w:t>
      </w:r>
    </w:p>
    <w:p w14:paraId="5837FD8F" w14:textId="77777777" w:rsidR="002B10A6" w:rsidRDefault="00000000">
      <w:pPr>
        <w:pStyle w:val="Normal4"/>
        <w:widowControl w:val="0"/>
        <w:spacing w:before="200" w:line="260" w:lineRule="atLeast"/>
        <w:jc w:val="both"/>
      </w:pPr>
      <w:bookmarkStart w:id="572" w:name="Bookmark_para_30_3"/>
      <w:bookmarkStart w:id="573" w:name="Bookmark_I62TXS232N1RNV0050000400"/>
      <w:bookmarkStart w:id="574" w:name="Bookmark_I62TXS242D6NGJ0040000400"/>
      <w:bookmarkStart w:id="575" w:name="Bookmark_LNHNREFclscc3_3"/>
      <w:bookmarkEnd w:id="572"/>
      <w:bookmarkEnd w:id="573"/>
      <w:bookmarkEnd w:id="574"/>
      <w:bookmarkEnd w:id="575"/>
      <w:r>
        <w:rPr>
          <w:rFonts w:ascii="Arial" w:eastAsia="Arial" w:hAnsi="Arial" w:cs="Arial"/>
          <w:color w:val="000000"/>
          <w:sz w:val="20"/>
        </w:rPr>
        <w:t xml:space="preserve">To establish standing under Article III, a plaintiff must demonstrate: (1) an injury-in-fact; (2) a causal connection between [**12]  the asserted injury-in-fact and the defendant's actions; and (3) that "the injury will be redressed by a favorable decision." </w:t>
      </w:r>
      <w:bookmarkStart w:id="576" w:name="Bookmark_I62TXS232N1RNV0040000400"/>
      <w:bookmarkEnd w:id="576"/>
      <w:r>
        <w:rPr>
          <w:rFonts w:ascii="Arial" w:eastAsia="Arial" w:hAnsi="Arial" w:cs="Arial"/>
          <w:color w:val="000000"/>
          <w:sz w:val="20"/>
          <w:u w:val="single"/>
        </w:rPr>
        <w:t>Shotz v. Cates</w:t>
      </w:r>
      <w:r>
        <w:rPr>
          <w:rFonts w:ascii="Arial" w:eastAsia="Arial" w:hAnsi="Arial" w:cs="Arial"/>
          <w:color w:val="000000"/>
          <w:sz w:val="20"/>
        </w:rPr>
        <w:t xml:space="preserve">, 256 F.3d 1077, 1081 (11th Cir. 2001) (quoting </w:t>
      </w:r>
      <w:bookmarkStart w:id="577" w:name="Bookmark_I62TXS242D6NGJ0010000400"/>
      <w:bookmarkEnd w:id="577"/>
      <w:r>
        <w:rPr>
          <w:rFonts w:ascii="Arial" w:eastAsia="Arial" w:hAnsi="Arial" w:cs="Arial"/>
          <w:color w:val="000000"/>
          <w:sz w:val="20"/>
          <w:u w:val="single"/>
        </w:rPr>
        <w:t>Lujan v. Defs. of Wildlife</w:t>
      </w:r>
      <w:r>
        <w:rPr>
          <w:rFonts w:ascii="Arial" w:eastAsia="Arial" w:hAnsi="Arial" w:cs="Arial"/>
          <w:color w:val="000000"/>
          <w:sz w:val="20"/>
        </w:rPr>
        <w:t xml:space="preserve">, 504 U.S. 555, 561, 112 S. Ct. 2130, 2136, 119 L. Ed. 2d 351 (1992)). An injury-in-fact is the "invasion of a legally protected interest which is (a) concrete and particularized; and (b) actual or imminent, not conjectural or hypothetical." </w:t>
      </w:r>
      <w:bookmarkStart w:id="578" w:name="Bookmark_I62TXS242D6NGJ0030000400"/>
      <w:bookmarkEnd w:id="578"/>
      <w:r>
        <w:rPr>
          <w:rFonts w:ascii="Arial" w:eastAsia="Arial" w:hAnsi="Arial" w:cs="Arial"/>
          <w:color w:val="000000"/>
          <w:sz w:val="20"/>
          <w:u w:val="single"/>
        </w:rPr>
        <w:t>Lujan</w:t>
      </w:r>
      <w:r>
        <w:rPr>
          <w:rFonts w:ascii="Arial" w:eastAsia="Arial" w:hAnsi="Arial" w:cs="Arial"/>
          <w:color w:val="000000"/>
          <w:sz w:val="20"/>
        </w:rPr>
        <w:t>, 504 U.S. at 560, 112 S. Ct. at 2136 (quotation marks and citations omitted).</w:t>
      </w:r>
    </w:p>
    <w:p w14:paraId="77073A9A" w14:textId="77777777" w:rsidR="002B10A6" w:rsidRDefault="00000000">
      <w:pPr>
        <w:pStyle w:val="Normal4"/>
        <w:widowControl w:val="0"/>
        <w:spacing w:before="200" w:line="260" w:lineRule="atLeast"/>
        <w:jc w:val="both"/>
      </w:pPr>
      <w:bookmarkStart w:id="579" w:name="Bookmark_para_31_3"/>
      <w:bookmarkStart w:id="580" w:name="Bookmark_I62TXS242N1RNX0010000400"/>
      <w:bookmarkStart w:id="581" w:name="Bookmark_I62TXS242N1RNX0030000400"/>
      <w:bookmarkStart w:id="582" w:name="Bookmark_LNHNREFclscc4_3"/>
      <w:bookmarkEnd w:id="579"/>
      <w:bookmarkEnd w:id="580"/>
      <w:bookmarkEnd w:id="581"/>
      <w:bookmarkEnd w:id="582"/>
      <w:r>
        <w:rPr>
          <w:rFonts w:ascii="Arial" w:eastAsia="Arial" w:hAnsi="Arial" w:cs="Arial"/>
          <w:color w:val="000000"/>
          <w:sz w:val="20"/>
        </w:rPr>
        <w:t xml:space="preserve">Plaintiffs who seek injunctive relief must make an additional showing to demonstrate standing. </w:t>
      </w:r>
      <w:bookmarkStart w:id="583" w:name="Bookmark_I62TXS242N1RNY0020000400"/>
      <w:bookmarkStart w:id="584" w:name="Bookmark_I62TXS242D6NGJ0050000400"/>
      <w:bookmarkEnd w:id="583"/>
      <w:bookmarkEnd w:id="584"/>
      <w:r>
        <w:rPr>
          <w:rFonts w:ascii="Arial" w:eastAsia="Arial" w:hAnsi="Arial" w:cs="Arial"/>
          <w:color w:val="000000"/>
          <w:sz w:val="20"/>
          <w:u w:val="single"/>
        </w:rPr>
        <w:t>Houston</w:t>
      </w:r>
      <w:r>
        <w:rPr>
          <w:rFonts w:ascii="Arial" w:eastAsia="Arial" w:hAnsi="Arial" w:cs="Arial"/>
          <w:color w:val="000000"/>
          <w:sz w:val="20"/>
        </w:rPr>
        <w:t xml:space="preserve">, 733 F.3d at 1328 ("The 'injury-in-fact' demanded by Article III requires an additional showing when injunctive relief is sought."). "Because injunctions regulate future conduct, a party has standing to seek injunctive relief only if the party shows 'a real and immediate—as opposed to a merely conjectural or hypothetical—threat of </w:t>
      </w:r>
      <w:r>
        <w:rPr>
          <w:rFonts w:ascii="Arial" w:eastAsia="Arial" w:hAnsi="Arial" w:cs="Arial"/>
          <w:color w:val="000000"/>
          <w:sz w:val="20"/>
          <w:u w:val="single"/>
        </w:rPr>
        <w:t>future</w:t>
      </w:r>
      <w:r>
        <w:rPr>
          <w:rFonts w:ascii="Arial" w:eastAsia="Arial" w:hAnsi="Arial" w:cs="Arial"/>
          <w:color w:val="000000"/>
          <w:sz w:val="20"/>
        </w:rPr>
        <w:t xml:space="preserve"> injury.'" </w:t>
      </w:r>
      <w:bookmarkStart w:id="585" w:name="Bookmark_I62TXS242N1RNX0020000400"/>
      <w:bookmarkEnd w:id="585"/>
      <w:r>
        <w:rPr>
          <w:rFonts w:ascii="Arial" w:eastAsia="Arial" w:hAnsi="Arial" w:cs="Arial"/>
          <w:color w:val="000000"/>
          <w:sz w:val="20"/>
          <w:u w:val="single"/>
        </w:rPr>
        <w:t>Id.</w:t>
      </w:r>
      <w:r>
        <w:rPr>
          <w:rFonts w:ascii="Arial" w:eastAsia="Arial" w:hAnsi="Arial" w:cs="Arial"/>
          <w:color w:val="000000"/>
          <w:sz w:val="20"/>
        </w:rPr>
        <w:t xml:space="preserve"> at 1329 (quoting </w:t>
      </w:r>
      <w:bookmarkStart w:id="586" w:name="Bookmark_I62TXS242N1RNX0040000400"/>
      <w:bookmarkEnd w:id="586"/>
      <w:r>
        <w:rPr>
          <w:rFonts w:ascii="Arial" w:eastAsia="Arial" w:hAnsi="Arial" w:cs="Arial"/>
          <w:color w:val="000000"/>
          <w:sz w:val="20"/>
          <w:u w:val="single"/>
        </w:rPr>
        <w:t>Shotz</w:t>
      </w:r>
      <w:r>
        <w:rPr>
          <w:rFonts w:ascii="Arial" w:eastAsia="Arial" w:hAnsi="Arial" w:cs="Arial"/>
          <w:color w:val="000000"/>
          <w:sz w:val="20"/>
        </w:rPr>
        <w:t xml:space="preserve">, 256 F.3d at 1081). </w:t>
      </w:r>
      <w:bookmarkStart w:id="587" w:name="Bookmark_I62TXS242N1RNY0020000400_2"/>
      <w:bookmarkEnd w:id="587"/>
      <w:r>
        <w:rPr>
          <w:rFonts w:ascii="Arial" w:eastAsia="Arial" w:hAnsi="Arial" w:cs="Arial"/>
          <w:color w:val="000000"/>
          <w:sz w:val="20"/>
        </w:rPr>
        <w:t xml:space="preserve">When a plaintiff seeks an  [*1230]  injunction, she must demonstrate that a future injury is imminent—that there is "a sufficient likelihood that he [or she] will be affected by the allegedly unlawful conduct in the future." </w:t>
      </w:r>
      <w:bookmarkStart w:id="588" w:name="Bookmark_I62TXS242N1RNY0010000400"/>
      <w:bookmarkEnd w:id="588"/>
      <w:r>
        <w:rPr>
          <w:rFonts w:ascii="Arial" w:eastAsia="Arial" w:hAnsi="Arial" w:cs="Arial"/>
          <w:color w:val="000000"/>
          <w:sz w:val="20"/>
          <w:u w:val="single"/>
        </w:rPr>
        <w:t>Koziara v. City of Casselberry</w:t>
      </w:r>
      <w:r>
        <w:rPr>
          <w:rFonts w:ascii="Arial" w:eastAsia="Arial" w:hAnsi="Arial" w:cs="Arial"/>
          <w:color w:val="000000"/>
          <w:sz w:val="20"/>
        </w:rPr>
        <w:t>, 392 F.3d 1302, 1305 (11th Cir. 2004) (quotation marks omitted).</w:t>
      </w:r>
    </w:p>
    <w:p w14:paraId="6B60161C" w14:textId="77777777" w:rsidR="002B10A6" w:rsidRDefault="00000000">
      <w:pPr>
        <w:pStyle w:val="Normal4"/>
        <w:widowControl w:val="0"/>
        <w:spacing w:before="200" w:line="260" w:lineRule="atLeast"/>
        <w:jc w:val="both"/>
      </w:pPr>
      <w:bookmarkStart w:id="589" w:name="Bookmark_para_32_3"/>
      <w:bookmarkStart w:id="590" w:name="Bookmark_I714NRMWD7900004W5500001"/>
      <w:bookmarkStart w:id="591" w:name="Bookmark_I62TXS242N1RNY0040000400"/>
      <w:bookmarkStart w:id="592" w:name="Bookmark_I62TXS2528T41K0010000400"/>
      <w:bookmarkStart w:id="593" w:name="Bookmark_LNHNREFclscc5_3"/>
      <w:bookmarkEnd w:id="589"/>
      <w:bookmarkEnd w:id="590"/>
      <w:bookmarkEnd w:id="591"/>
      <w:bookmarkEnd w:id="592"/>
      <w:bookmarkEnd w:id="593"/>
      <w:r>
        <w:rPr>
          <w:rFonts w:ascii="Arial" w:eastAsia="Arial" w:hAnsi="Arial" w:cs="Arial"/>
          <w:color w:val="000000"/>
          <w:sz w:val="20"/>
        </w:rPr>
        <w:t xml:space="preserve">Kennedy seeks injunctive relief, which is the only form of relief available to plaintiffs suing under Title III of the ADA. </w:t>
      </w:r>
      <w:r>
        <w:rPr>
          <w:rFonts w:ascii="Arial" w:eastAsia="Arial" w:hAnsi="Arial" w:cs="Arial"/>
          <w:color w:val="000000"/>
          <w:sz w:val="20"/>
          <w:u w:val="single"/>
        </w:rPr>
        <w:t>See</w:t>
      </w:r>
      <w:r>
        <w:rPr>
          <w:rFonts w:ascii="Arial" w:eastAsia="Arial" w:hAnsi="Arial" w:cs="Arial"/>
          <w:color w:val="000000"/>
          <w:sz w:val="20"/>
        </w:rPr>
        <w:t xml:space="preserve"> 42 U.S.C. § 12188(a)(1) (providing that the remedies available to individuals are set forth [**13]  in 42 U.S.C. § 2000a-3(a), which allows a private right of action only for injunctive relief for violations of Title II of the Civil Rights Act of 1964). She must therefore demonstrate a real and immediate threat of future injury to establish standing.</w:t>
      </w:r>
      <w:r>
        <w:rPr>
          <w:rFonts w:ascii="Arial" w:eastAsia="Arial" w:hAnsi="Arial" w:cs="Arial"/>
          <w:vertAlign w:val="superscript"/>
        </w:rPr>
        <w:footnoteReference w:customMarkFollows="1" w:id="18"/>
        <w:t>3</w:t>
      </w:r>
    </w:p>
    <w:p w14:paraId="603D2D3A" w14:textId="77777777" w:rsidR="002B10A6" w:rsidRDefault="00000000">
      <w:pPr>
        <w:pStyle w:val="Normal4"/>
        <w:widowControl w:val="0"/>
        <w:spacing w:before="240" w:line="260" w:lineRule="atLeast"/>
      </w:pPr>
      <w:r>
        <w:br/>
      </w:r>
      <w:r>
        <w:rPr>
          <w:rFonts w:ascii="Arial" w:eastAsia="Arial" w:hAnsi="Arial" w:cs="Arial"/>
          <w:b/>
          <w:color w:val="000000"/>
          <w:sz w:val="20"/>
        </w:rPr>
        <w:t>B. Rule 12(b)(1) Motion</w:t>
      </w:r>
    </w:p>
    <w:p w14:paraId="25FCEA0E" w14:textId="77777777" w:rsidR="002B10A6" w:rsidRDefault="00000000">
      <w:pPr>
        <w:pStyle w:val="Normal4"/>
        <w:widowControl w:val="0"/>
        <w:spacing w:before="200" w:line="260" w:lineRule="atLeast"/>
        <w:jc w:val="both"/>
      </w:pPr>
      <w:bookmarkStart w:id="597" w:name="Bookmark_para_33_2"/>
      <w:bookmarkStart w:id="598" w:name="Bookmark_I62TXS2528T41K0030000400"/>
      <w:bookmarkStart w:id="599" w:name="Bookmark_I62TXS2528T41K0050000400"/>
      <w:bookmarkStart w:id="600" w:name="Bookmark_LNHNREFclscc6_3"/>
      <w:bookmarkEnd w:id="597"/>
      <w:bookmarkEnd w:id="598"/>
      <w:bookmarkEnd w:id="599"/>
      <w:bookmarkEnd w:id="600"/>
      <w:r>
        <w:rPr>
          <w:rFonts w:ascii="Arial" w:eastAsia="Arial" w:hAnsi="Arial" w:cs="Arial"/>
          <w:color w:val="000000"/>
          <w:sz w:val="20"/>
        </w:rPr>
        <w:t xml:space="preserve">Attacks on subject matter jurisdiction, which are governed by Rule 12(b)(1), come in two forms: facial or factual attack. </w:t>
      </w:r>
      <w:bookmarkStart w:id="601" w:name="Bookmark_I62TXS2528T41K0020000400"/>
      <w:bookmarkEnd w:id="601"/>
      <w:r>
        <w:rPr>
          <w:rFonts w:ascii="Arial" w:eastAsia="Arial" w:hAnsi="Arial" w:cs="Arial"/>
          <w:color w:val="000000"/>
          <w:sz w:val="20"/>
          <w:u w:val="single"/>
        </w:rPr>
        <w:t>Lawrence v. Dunbar</w:t>
      </w:r>
      <w:r>
        <w:rPr>
          <w:rFonts w:ascii="Arial" w:eastAsia="Arial" w:hAnsi="Arial" w:cs="Arial"/>
          <w:color w:val="000000"/>
          <w:sz w:val="20"/>
        </w:rPr>
        <w:t xml:space="preserve">, 919 F.2d 1525, 1528-29 (11th Cir. 1990). A "facial attack" challenges whether a plaintiff "has sufficiently alleged a basis of subject matter jurisdiction, and the allegations in his complaint are taken as true for the purposes of the motion." </w:t>
      </w:r>
      <w:bookmarkStart w:id="602" w:name="Bookmark_I62TXS2528T41K0040000400"/>
      <w:bookmarkEnd w:id="602"/>
      <w:r>
        <w:rPr>
          <w:rFonts w:ascii="Arial" w:eastAsia="Arial" w:hAnsi="Arial" w:cs="Arial"/>
          <w:color w:val="000000"/>
          <w:sz w:val="20"/>
          <w:u w:val="single"/>
        </w:rPr>
        <w:t>Id.</w:t>
      </w:r>
      <w:r>
        <w:rPr>
          <w:rFonts w:ascii="Arial" w:eastAsia="Arial" w:hAnsi="Arial" w:cs="Arial"/>
          <w:color w:val="000000"/>
          <w:sz w:val="20"/>
        </w:rPr>
        <w:t xml:space="preserve"> at 1529 (quotation marks omitted). A "factual attack," in contrast, challenges the existence of subject matter jurisdiction irrespective of the pleadings, and extrinsic evidence may be considered. </w:t>
      </w:r>
      <w:r>
        <w:rPr>
          <w:rFonts w:ascii="Arial" w:eastAsia="Arial" w:hAnsi="Arial" w:cs="Arial"/>
          <w:color w:val="000000"/>
          <w:sz w:val="20"/>
          <w:u w:val="single"/>
        </w:rPr>
        <w:t>Id.</w:t>
      </w:r>
      <w:r>
        <w:rPr>
          <w:rFonts w:ascii="Arial" w:eastAsia="Arial" w:hAnsi="Arial" w:cs="Arial"/>
          <w:color w:val="000000"/>
          <w:sz w:val="20"/>
        </w:rPr>
        <w:t xml:space="preserve"> A district court evaluating a factual attack on subject matter jurisdiction "may proceed as it never could" at summary judgment and "is free to weigh the evidence and satisfy itself as to the existence of its power to hear the case." </w:t>
      </w:r>
      <w:r>
        <w:rPr>
          <w:rFonts w:ascii="Arial" w:eastAsia="Arial" w:hAnsi="Arial" w:cs="Arial"/>
          <w:color w:val="000000"/>
          <w:sz w:val="20"/>
          <w:u w:val="single"/>
        </w:rPr>
        <w:t>Id.</w:t>
      </w:r>
      <w:r>
        <w:rPr>
          <w:rFonts w:ascii="Arial" w:eastAsia="Arial" w:hAnsi="Arial" w:cs="Arial"/>
          <w:color w:val="000000"/>
          <w:sz w:val="20"/>
        </w:rPr>
        <w:t xml:space="preserve"> (quotation marks omitted).</w:t>
      </w:r>
    </w:p>
    <w:p w14:paraId="72ABE8B5" w14:textId="77777777" w:rsidR="002B10A6" w:rsidRDefault="00000000">
      <w:pPr>
        <w:pStyle w:val="Normal4"/>
        <w:widowControl w:val="0"/>
        <w:spacing w:before="200" w:line="260" w:lineRule="atLeast"/>
        <w:jc w:val="both"/>
      </w:pPr>
      <w:bookmarkStart w:id="603" w:name="Bookmark_para_34_1"/>
      <w:bookmarkStart w:id="604" w:name="Bookmark_I62TXS252HM6Y00020000400"/>
      <w:bookmarkEnd w:id="603"/>
      <w:bookmarkEnd w:id="604"/>
      <w:r>
        <w:rPr>
          <w:rFonts w:ascii="Arial" w:eastAsia="Arial" w:hAnsi="Arial" w:cs="Arial"/>
          <w:color w:val="000000"/>
          <w:sz w:val="20"/>
        </w:rPr>
        <w:t xml:space="preserve">Here, Floridian's motion focused exclusively on Kennedy's standing to seek injunctive relief, relied on her deposition testimony and declarations, and challenged "the existence of subject matter jurisdiction in fact, irrespective [**14]  of the pleadings." </w:t>
      </w:r>
      <w:r>
        <w:rPr>
          <w:rFonts w:ascii="Arial" w:eastAsia="Arial" w:hAnsi="Arial" w:cs="Arial"/>
          <w:color w:val="000000"/>
          <w:sz w:val="20"/>
          <w:u w:val="single"/>
        </w:rPr>
        <w:t xml:space="preserve">See </w:t>
      </w:r>
      <w:bookmarkStart w:id="605" w:name="Bookmark_I62TXS252HM6Y00010000400"/>
      <w:bookmarkEnd w:id="605"/>
      <w:r>
        <w:rPr>
          <w:rFonts w:ascii="Arial" w:eastAsia="Arial" w:hAnsi="Arial" w:cs="Arial"/>
          <w:color w:val="000000"/>
          <w:sz w:val="20"/>
          <w:u w:val="single"/>
        </w:rPr>
        <w:t>id.</w:t>
      </w:r>
      <w:r>
        <w:rPr>
          <w:rFonts w:ascii="Arial" w:eastAsia="Arial" w:hAnsi="Arial" w:cs="Arial"/>
          <w:color w:val="000000"/>
          <w:sz w:val="20"/>
        </w:rPr>
        <w:t xml:space="preserve"> at 1529 (quotation marks omitted). The district court reasonably construed Floridian's motion for summary judgment as a factual attack on subject matter jurisdiction under Rule 12(b)(1).</w:t>
      </w:r>
    </w:p>
    <w:p w14:paraId="480B6ED9" w14:textId="77777777" w:rsidR="002B10A6" w:rsidRDefault="00000000">
      <w:pPr>
        <w:pStyle w:val="Normal4"/>
        <w:widowControl w:val="0"/>
        <w:spacing w:before="200" w:line="260" w:lineRule="atLeast"/>
        <w:jc w:val="both"/>
      </w:pPr>
      <w:bookmarkStart w:id="606" w:name="Bookmark_para_35_1"/>
      <w:bookmarkStart w:id="607" w:name="Bookmark_I62TXS252HM6Y00040000400"/>
      <w:bookmarkEnd w:id="606"/>
      <w:bookmarkEnd w:id="607"/>
      <w:r>
        <w:rPr>
          <w:rFonts w:ascii="Arial" w:eastAsia="Arial" w:hAnsi="Arial" w:cs="Arial"/>
          <w:color w:val="000000"/>
          <w:sz w:val="20"/>
        </w:rPr>
        <w:t xml:space="preserve">Kennedy argues that the district court erred in proceeding under Rule 12(b)(1) because (1) her intent to return to the Hotel in the future was inextricably intertwined with the merits of her ADA claim, and (2) therefore the proper course was for the district court to find that jurisdiction exists and deal with Floridian's motion as a direct attack on the merits of her case. </w:t>
      </w:r>
      <w:r>
        <w:rPr>
          <w:rFonts w:ascii="Arial" w:eastAsia="Arial" w:hAnsi="Arial" w:cs="Arial"/>
          <w:color w:val="000000"/>
          <w:sz w:val="20"/>
          <w:u w:val="single"/>
        </w:rPr>
        <w:t xml:space="preserve">See </w:t>
      </w:r>
      <w:bookmarkStart w:id="608" w:name="Bookmark_I62TXS252HM6Y00030000400"/>
      <w:bookmarkEnd w:id="608"/>
      <w:r>
        <w:rPr>
          <w:rFonts w:ascii="Arial" w:eastAsia="Arial" w:hAnsi="Arial" w:cs="Arial"/>
          <w:color w:val="000000"/>
          <w:sz w:val="20"/>
          <w:u w:val="single"/>
        </w:rPr>
        <w:t>Morrison v. Amway Corp.</w:t>
      </w:r>
      <w:r>
        <w:rPr>
          <w:rFonts w:ascii="Arial" w:eastAsia="Arial" w:hAnsi="Arial" w:cs="Arial"/>
          <w:color w:val="000000"/>
          <w:sz w:val="20"/>
        </w:rPr>
        <w:t>, 323 F.3d 920, 925 (11th Cir. 2003) (stating a district court is permitted to rely on the Rule 12(b)(1) standard when addressing a jurisdictional challenge that does not implicate the merits of a plaintiff's cause of action).</w:t>
      </w:r>
    </w:p>
    <w:p w14:paraId="79A867D9" w14:textId="77777777" w:rsidR="002B10A6" w:rsidRDefault="00000000">
      <w:pPr>
        <w:pStyle w:val="Normal4"/>
        <w:widowControl w:val="0"/>
        <w:spacing w:before="200" w:line="260" w:lineRule="atLeast"/>
        <w:jc w:val="both"/>
      </w:pPr>
      <w:bookmarkStart w:id="609" w:name="Bookmark_para_36_1"/>
      <w:bookmarkStart w:id="610" w:name="Bookmark_I62TXS252SF7WR0010000400"/>
      <w:bookmarkEnd w:id="609"/>
      <w:bookmarkEnd w:id="610"/>
      <w:r>
        <w:rPr>
          <w:rFonts w:ascii="Arial" w:eastAsia="Arial" w:hAnsi="Arial" w:cs="Arial"/>
          <w:color w:val="000000"/>
          <w:sz w:val="20"/>
        </w:rPr>
        <w:t xml:space="preserve">We first compare the nature of Kennedy's ADA claim and Floridian's jurisdictional challenge. </w:t>
      </w:r>
      <w:bookmarkStart w:id="611" w:name="Bookmark_I62TXS252SF7WR0030000400"/>
      <w:bookmarkEnd w:id="611"/>
      <w:r>
        <w:rPr>
          <w:rFonts w:ascii="Arial" w:eastAsia="Arial" w:hAnsi="Arial" w:cs="Arial"/>
          <w:color w:val="000000"/>
          <w:sz w:val="20"/>
        </w:rPr>
        <w:t xml:space="preserve">Kennedy's cause of action is an ADA statutory claim. </w:t>
      </w:r>
      <w:bookmarkStart w:id="612" w:name="Bookmark_LNHNREFclscc7_3"/>
      <w:bookmarkEnd w:id="612"/>
      <w:r>
        <w:rPr>
          <w:rFonts w:ascii="Arial" w:eastAsia="Arial" w:hAnsi="Arial" w:cs="Arial"/>
          <w:color w:val="000000"/>
          <w:sz w:val="20"/>
        </w:rPr>
        <w:t xml:space="preserve">Kennedy's Count I alleged violations of Title III of the ADA, which "prohibits discrimination by private entities in places of public accommodation." </w:t>
      </w:r>
      <w:bookmarkStart w:id="613" w:name="Bookmark_I62TXS252HM6Y00050000400"/>
      <w:bookmarkEnd w:id="613"/>
      <w:r>
        <w:rPr>
          <w:rFonts w:ascii="Arial" w:eastAsia="Arial" w:hAnsi="Arial" w:cs="Arial"/>
          <w:color w:val="000000"/>
          <w:sz w:val="20"/>
          <w:u w:val="single"/>
        </w:rPr>
        <w:t>Garthright-Dietrich v. Atlanta Landmarks, Inc.</w:t>
      </w:r>
      <w:r>
        <w:rPr>
          <w:rFonts w:ascii="Arial" w:eastAsia="Arial" w:hAnsi="Arial" w:cs="Arial"/>
          <w:color w:val="000000"/>
          <w:sz w:val="20"/>
        </w:rPr>
        <w:t xml:space="preserve">, 452 F.3d 1269, 1272 (11th Cir. 2006); 42 U.S.C. § 12182(a). </w:t>
      </w:r>
      <w:bookmarkStart w:id="614" w:name="Bookmark_I62TXS252SF7WR0030000400_2"/>
      <w:bookmarkEnd w:id="614"/>
      <w:r>
        <w:rPr>
          <w:rFonts w:ascii="Arial" w:eastAsia="Arial" w:hAnsi="Arial" w:cs="Arial"/>
          <w:color w:val="000000"/>
          <w:sz w:val="20"/>
        </w:rPr>
        <w:t xml:space="preserve">Section 12182 governs the removal of architectural  [*1231]  barriers in facilities constructed prior to the enactment of the ADA, and § 12183 governs new construction and alterations after this date. </w:t>
      </w:r>
      <w:r>
        <w:rPr>
          <w:rFonts w:ascii="Arial" w:eastAsia="Arial" w:hAnsi="Arial" w:cs="Arial"/>
          <w:color w:val="000000"/>
          <w:sz w:val="20"/>
          <w:u w:val="single"/>
        </w:rPr>
        <w:t xml:space="preserve">See </w:t>
      </w:r>
      <w:bookmarkStart w:id="615" w:name="Bookmark_I62TXS252SF7WR0020000400"/>
      <w:bookmarkEnd w:id="615"/>
      <w:r>
        <w:rPr>
          <w:rFonts w:ascii="Arial" w:eastAsia="Arial" w:hAnsi="Arial" w:cs="Arial"/>
          <w:color w:val="000000"/>
          <w:sz w:val="20"/>
          <w:u w:val="single"/>
        </w:rPr>
        <w:t>Garthright-Dietrich</w:t>
      </w:r>
      <w:r>
        <w:rPr>
          <w:rFonts w:ascii="Arial" w:eastAsia="Arial" w:hAnsi="Arial" w:cs="Arial"/>
          <w:color w:val="000000"/>
          <w:sz w:val="20"/>
        </w:rPr>
        <w:t xml:space="preserve">, 452 F.3d at 1272-73; 42 U.S.C. §§ 12182(b)(2)(A)(iv), 12183(a). The elements [**15]  of Kennedy's ADA discrimination claim are: (1) she is an individual with a disability under the ADA; (2) Floridian owns or operates a place of public accommodation within the meaning of the ADA; and (3) Floridian discriminated against her. </w:t>
      </w:r>
      <w:r>
        <w:rPr>
          <w:rFonts w:ascii="Arial" w:eastAsia="Arial" w:hAnsi="Arial" w:cs="Arial"/>
          <w:color w:val="000000"/>
          <w:sz w:val="20"/>
          <w:u w:val="single"/>
        </w:rPr>
        <w:t>See</w:t>
      </w:r>
      <w:r>
        <w:rPr>
          <w:rFonts w:ascii="Arial" w:eastAsia="Arial" w:hAnsi="Arial" w:cs="Arial"/>
          <w:color w:val="000000"/>
          <w:sz w:val="20"/>
        </w:rPr>
        <w:t xml:space="preserve"> 42 U.S.C. § 12182(a). Kennedy visited the Hotel once, albeit briefly, encountered alleged barriers in the past, and sufficiently alleged an ADA claim.</w:t>
      </w:r>
    </w:p>
    <w:p w14:paraId="4CA4FB0C" w14:textId="77777777" w:rsidR="002B10A6" w:rsidRDefault="00000000">
      <w:pPr>
        <w:pStyle w:val="Normal4"/>
        <w:widowControl w:val="0"/>
        <w:spacing w:before="200" w:line="260" w:lineRule="atLeast"/>
        <w:jc w:val="both"/>
      </w:pPr>
      <w:bookmarkStart w:id="616" w:name="Bookmark_para_37_0"/>
      <w:bookmarkStart w:id="617" w:name="Bookmark_I62TXS252SF7WR0050000400"/>
      <w:bookmarkEnd w:id="616"/>
      <w:bookmarkEnd w:id="617"/>
      <w:r>
        <w:rPr>
          <w:rFonts w:ascii="Arial" w:eastAsia="Arial" w:hAnsi="Arial" w:cs="Arial"/>
          <w:color w:val="000000"/>
          <w:sz w:val="20"/>
        </w:rPr>
        <w:t xml:space="preserve">In contrast, Floridian's jurisdictional challenge involves </w:t>
      </w:r>
      <w:bookmarkStart w:id="618" w:name="Bookmark_LNHNREFclscc8_2"/>
      <w:bookmarkEnd w:id="618"/>
      <w:r>
        <w:rPr>
          <w:rFonts w:ascii="Arial" w:eastAsia="Arial" w:hAnsi="Arial" w:cs="Arial"/>
          <w:color w:val="000000"/>
          <w:sz w:val="20"/>
        </w:rPr>
        <w:t xml:space="preserve">standing, a doctrine that stems from Article III's case or controversy requirement and thus affects our (and the district court's) subject matter jurisdiction. </w:t>
      </w:r>
      <w:bookmarkStart w:id="619" w:name="Bookmark_I62TXS2528T41N0020000400"/>
      <w:bookmarkStart w:id="620" w:name="Bookmark_I62TXS252SF7WR0040000400"/>
      <w:bookmarkEnd w:id="619"/>
      <w:bookmarkEnd w:id="620"/>
      <w:r>
        <w:rPr>
          <w:rFonts w:ascii="Arial" w:eastAsia="Arial" w:hAnsi="Arial" w:cs="Arial"/>
          <w:color w:val="000000"/>
          <w:sz w:val="20"/>
          <w:u w:val="single"/>
        </w:rPr>
        <w:t>Bochese</w:t>
      </w:r>
      <w:r>
        <w:rPr>
          <w:rFonts w:ascii="Arial" w:eastAsia="Arial" w:hAnsi="Arial" w:cs="Arial"/>
          <w:color w:val="000000"/>
          <w:sz w:val="20"/>
        </w:rPr>
        <w:t xml:space="preserve">, 405 F.3d at 974. Kennedy's standing to pursue injunctive relief requires a separate showing of a real and immediate threat of </w:t>
      </w:r>
      <w:r>
        <w:rPr>
          <w:rFonts w:ascii="Arial" w:eastAsia="Arial" w:hAnsi="Arial" w:cs="Arial"/>
          <w:color w:val="000000"/>
          <w:sz w:val="20"/>
          <w:u w:val="single"/>
        </w:rPr>
        <w:t>future</w:t>
      </w:r>
      <w:r>
        <w:rPr>
          <w:rFonts w:ascii="Arial" w:eastAsia="Arial" w:hAnsi="Arial" w:cs="Arial"/>
          <w:color w:val="000000"/>
          <w:sz w:val="20"/>
        </w:rPr>
        <w:t xml:space="preserve"> injury. </w:t>
      </w:r>
      <w:bookmarkStart w:id="621" w:name="Bookmark_I62TXS2528T41N0020000400_2"/>
      <w:bookmarkStart w:id="622" w:name="Bookmark_I62TXS2528T41N0040000400"/>
      <w:bookmarkEnd w:id="621"/>
      <w:bookmarkEnd w:id="622"/>
      <w:r>
        <w:rPr>
          <w:rFonts w:ascii="Arial" w:eastAsia="Arial" w:hAnsi="Arial" w:cs="Arial"/>
          <w:color w:val="000000"/>
          <w:sz w:val="20"/>
          <w:u w:val="single"/>
        </w:rPr>
        <w:t xml:space="preserve">See </w:t>
      </w:r>
      <w:bookmarkStart w:id="623" w:name="Bookmark_I62TXS2528T41N0010000400"/>
      <w:bookmarkEnd w:id="623"/>
      <w:r>
        <w:rPr>
          <w:rFonts w:ascii="Arial" w:eastAsia="Arial" w:hAnsi="Arial" w:cs="Arial"/>
          <w:color w:val="000000"/>
          <w:sz w:val="20"/>
          <w:u w:val="single"/>
        </w:rPr>
        <w:t>Houston</w:t>
      </w:r>
      <w:r>
        <w:rPr>
          <w:rFonts w:ascii="Arial" w:eastAsia="Arial" w:hAnsi="Arial" w:cs="Arial"/>
          <w:color w:val="000000"/>
          <w:sz w:val="20"/>
        </w:rPr>
        <w:t xml:space="preserve">, 733 F.3d at 1329. </w:t>
      </w:r>
      <w:bookmarkStart w:id="624" w:name="Bookmark_I62TXS2528T41N0040000400_2"/>
      <w:bookmarkEnd w:id="624"/>
      <w:r>
        <w:rPr>
          <w:rFonts w:ascii="Arial" w:eastAsia="Arial" w:hAnsi="Arial" w:cs="Arial"/>
          <w:color w:val="000000"/>
          <w:sz w:val="20"/>
        </w:rPr>
        <w:t xml:space="preserve">That showing of future injury does not relate to the merits of her underlying ADA claim. The facts necessary to establish Kennedy's standing—which relate to her intent to return to Floridian's Hotel in the future—thus do not implicate the merits of her cause of action under the ADA. </w:t>
      </w:r>
      <w:r>
        <w:rPr>
          <w:rFonts w:ascii="Arial" w:eastAsia="Arial" w:hAnsi="Arial" w:cs="Arial"/>
          <w:color w:val="000000"/>
          <w:sz w:val="20"/>
          <w:u w:val="single"/>
        </w:rPr>
        <w:t xml:space="preserve">See </w:t>
      </w:r>
      <w:bookmarkStart w:id="625" w:name="Bookmark_I62TXS2528T41N0030000400"/>
      <w:bookmarkEnd w:id="625"/>
      <w:r>
        <w:rPr>
          <w:rFonts w:ascii="Arial" w:eastAsia="Arial" w:hAnsi="Arial" w:cs="Arial"/>
          <w:color w:val="000000"/>
          <w:sz w:val="20"/>
          <w:u w:val="single"/>
        </w:rPr>
        <w:t>Morrison</w:t>
      </w:r>
      <w:r>
        <w:rPr>
          <w:rFonts w:ascii="Arial" w:eastAsia="Arial" w:hAnsi="Arial" w:cs="Arial"/>
          <w:color w:val="000000"/>
          <w:sz w:val="20"/>
        </w:rPr>
        <w:t>, 323 F.3d at 924-25.</w:t>
      </w:r>
    </w:p>
    <w:p w14:paraId="703FE814" w14:textId="77777777" w:rsidR="002B10A6" w:rsidRDefault="00000000">
      <w:pPr>
        <w:pStyle w:val="Normal4"/>
        <w:widowControl w:val="0"/>
        <w:spacing w:before="200" w:line="260" w:lineRule="atLeast"/>
        <w:jc w:val="both"/>
      </w:pPr>
      <w:bookmarkStart w:id="626" w:name="Bookmark_para_38_0"/>
      <w:bookmarkStart w:id="627" w:name="Bookmark_I62TXS252D6NGP0010000400"/>
      <w:bookmarkEnd w:id="626"/>
      <w:bookmarkEnd w:id="627"/>
      <w:r>
        <w:rPr>
          <w:rFonts w:ascii="Arial" w:eastAsia="Arial" w:hAnsi="Arial" w:cs="Arial"/>
          <w:color w:val="000000"/>
          <w:sz w:val="20"/>
        </w:rPr>
        <w:t xml:space="preserve">This is not a case in which the district court concluded it lacked federal question jurisdiction over Kennedy's ADA action because she failed to allege a prima facie violation of the statute [**16]  or because the ADA was inapplicable. </w:t>
      </w:r>
      <w:r>
        <w:rPr>
          <w:rFonts w:ascii="Arial" w:eastAsia="Arial" w:hAnsi="Arial" w:cs="Arial"/>
          <w:color w:val="000000"/>
          <w:sz w:val="20"/>
          <w:u w:val="single"/>
        </w:rPr>
        <w:t xml:space="preserve">See </w:t>
      </w:r>
      <w:bookmarkStart w:id="628" w:name="Bookmark_I62TXS2528T41N0050000400"/>
      <w:bookmarkEnd w:id="628"/>
      <w:r>
        <w:rPr>
          <w:rFonts w:ascii="Arial" w:eastAsia="Arial" w:hAnsi="Arial" w:cs="Arial"/>
          <w:color w:val="000000"/>
          <w:sz w:val="20"/>
          <w:u w:val="single"/>
        </w:rPr>
        <w:t>id.</w:t>
      </w:r>
      <w:r>
        <w:rPr>
          <w:rFonts w:ascii="Arial" w:eastAsia="Arial" w:hAnsi="Arial" w:cs="Arial"/>
          <w:color w:val="000000"/>
          <w:sz w:val="20"/>
        </w:rPr>
        <w:t xml:space="preserve"> at 926 ("In order to determine if a defendant qualifies as an 'employer' and, consequently, whether [the Age Discrimination in Employment Act ("ADEA")] </w:t>
      </w:r>
      <w:r>
        <w:rPr>
          <w:rFonts w:ascii="Arial" w:eastAsia="Arial" w:hAnsi="Arial" w:cs="Arial"/>
          <w:color w:val="000000"/>
          <w:sz w:val="20"/>
          <w:u w:val="single"/>
        </w:rPr>
        <w:t>will even apply</w:t>
      </w:r>
      <w:r>
        <w:rPr>
          <w:rFonts w:ascii="Arial" w:eastAsia="Arial" w:hAnsi="Arial" w:cs="Arial"/>
          <w:color w:val="000000"/>
          <w:sz w:val="20"/>
        </w:rPr>
        <w:t xml:space="preserve">, we must turn to ADEA's definitions' section." (emphasis added) (quoting </w:t>
      </w:r>
      <w:bookmarkStart w:id="629" w:name="Bookmark_I62TXS252D6NGP0020000400"/>
      <w:bookmarkEnd w:id="629"/>
      <w:r>
        <w:rPr>
          <w:rFonts w:ascii="Arial" w:eastAsia="Arial" w:hAnsi="Arial" w:cs="Arial"/>
          <w:color w:val="000000"/>
          <w:sz w:val="20"/>
          <w:u w:val="single"/>
        </w:rPr>
        <w:t>Garcia v. Copenhaver, Bell &amp; Assocs.</w:t>
      </w:r>
      <w:r>
        <w:rPr>
          <w:rFonts w:ascii="Arial" w:eastAsia="Arial" w:hAnsi="Arial" w:cs="Arial"/>
          <w:color w:val="000000"/>
          <w:sz w:val="20"/>
        </w:rPr>
        <w:t>, 104 F.3d 1256, 1262-63 (11th Cir. 1997))). There has never been any contention that the ADA was inapplicable to Floridian. And, as the district court noted, there has never been any real dispute as to whether Kennedy's complaint states a prima facie claim for a violation of the ADA.</w:t>
      </w:r>
    </w:p>
    <w:p w14:paraId="5EB7369C" w14:textId="77777777" w:rsidR="002B10A6" w:rsidRDefault="00000000">
      <w:pPr>
        <w:pStyle w:val="Normal4"/>
        <w:widowControl w:val="0"/>
        <w:spacing w:before="200" w:line="260" w:lineRule="atLeast"/>
        <w:jc w:val="both"/>
      </w:pPr>
      <w:bookmarkStart w:id="630" w:name="Bookmark_para_39_0"/>
      <w:bookmarkStart w:id="631" w:name="Bookmark_I714NRMWMD800004W5500003"/>
      <w:bookmarkStart w:id="632" w:name="Bookmark_I62TXS252D6NGP0050000400"/>
      <w:bookmarkEnd w:id="630"/>
      <w:bookmarkEnd w:id="631"/>
      <w:bookmarkEnd w:id="632"/>
      <w:r>
        <w:rPr>
          <w:rFonts w:ascii="Arial" w:eastAsia="Arial" w:hAnsi="Arial" w:cs="Arial"/>
          <w:color w:val="000000"/>
          <w:sz w:val="20"/>
        </w:rPr>
        <w:t xml:space="preserve">Instead, this is a case where the district court concluded it was without jurisdiction over Kennedy's claim because she lacks standing to pursue the requested (and only available) relief, and therefore no Article III case or controversy exists. </w:t>
      </w:r>
      <w:bookmarkStart w:id="633" w:name="Bookmark_I62TXS252N1RP40020000400"/>
      <w:bookmarkEnd w:id="633"/>
      <w:r>
        <w:rPr>
          <w:rFonts w:ascii="Arial" w:eastAsia="Arial" w:hAnsi="Arial" w:cs="Arial"/>
          <w:color w:val="000000"/>
          <w:sz w:val="20"/>
        </w:rPr>
        <w:t xml:space="preserve">This case is thus readily distinguishable from </w:t>
      </w:r>
      <w:bookmarkStart w:id="634" w:name="Bookmark_I62TXS252D6NGP0040000400"/>
      <w:bookmarkEnd w:id="634"/>
      <w:r>
        <w:rPr>
          <w:rFonts w:ascii="Arial" w:eastAsia="Arial" w:hAnsi="Arial" w:cs="Arial"/>
          <w:color w:val="000000"/>
          <w:sz w:val="20"/>
          <w:u w:val="single"/>
        </w:rPr>
        <w:t>Morrison</w:t>
      </w:r>
      <w:r>
        <w:rPr>
          <w:rFonts w:ascii="Arial" w:eastAsia="Arial" w:hAnsi="Arial" w:cs="Arial"/>
          <w:color w:val="000000"/>
          <w:sz w:val="20"/>
        </w:rPr>
        <w:t xml:space="preserve"> and the other cases on which Kennedy relies. </w:t>
      </w:r>
      <w:bookmarkStart w:id="635" w:name="Bookmark_I62TXS252N1RP40020000400_2"/>
      <w:bookmarkEnd w:id="635"/>
      <w:r>
        <w:rPr>
          <w:rFonts w:ascii="Arial" w:eastAsia="Arial" w:hAnsi="Arial" w:cs="Arial"/>
          <w:color w:val="000000"/>
          <w:sz w:val="20"/>
        </w:rPr>
        <w:t xml:space="preserve">Her standing to pursue injunctive relief—unlike, say, whether a defendant company qualifies as an "employer" under a particular statute—has nothing to do with whether Floridian is subject to the ADA or has violated it. </w:t>
      </w:r>
      <w:r>
        <w:rPr>
          <w:rFonts w:ascii="Arial" w:eastAsia="Arial" w:hAnsi="Arial" w:cs="Arial"/>
          <w:color w:val="000000"/>
          <w:sz w:val="20"/>
          <w:u w:val="single"/>
        </w:rPr>
        <w:t xml:space="preserve">See </w:t>
      </w:r>
      <w:bookmarkStart w:id="636" w:name="Bookmark_I62TXS252N1RP40010000400"/>
      <w:bookmarkEnd w:id="636"/>
      <w:r>
        <w:rPr>
          <w:rFonts w:ascii="Arial" w:eastAsia="Arial" w:hAnsi="Arial" w:cs="Arial"/>
          <w:color w:val="000000"/>
          <w:sz w:val="20"/>
          <w:u w:val="single"/>
        </w:rPr>
        <w:t>id.</w:t>
      </w:r>
      <w:r>
        <w:rPr>
          <w:rFonts w:ascii="Arial" w:eastAsia="Arial" w:hAnsi="Arial" w:cs="Arial"/>
          <w:color w:val="000000"/>
          <w:sz w:val="20"/>
        </w:rPr>
        <w:t xml:space="preserve"> at 927-28.</w:t>
      </w:r>
    </w:p>
    <w:p w14:paraId="35B6D584" w14:textId="77777777" w:rsidR="002B10A6" w:rsidRDefault="00000000">
      <w:pPr>
        <w:pStyle w:val="Normal4"/>
        <w:widowControl w:val="0"/>
        <w:spacing w:before="200" w:line="260" w:lineRule="atLeast"/>
        <w:jc w:val="both"/>
      </w:pPr>
      <w:bookmarkStart w:id="637" w:name="Bookmark_para_40_0"/>
      <w:bookmarkEnd w:id="637"/>
      <w:r>
        <w:rPr>
          <w:rFonts w:ascii="Arial" w:eastAsia="Arial" w:hAnsi="Arial" w:cs="Arial"/>
          <w:color w:val="000000"/>
          <w:sz w:val="20"/>
        </w:rPr>
        <w:t xml:space="preserve">We recognize that injunctive relief is the only remedy available under 42 U.S.C. § 12188. And Kennedy stresses that no plaintiff can prevail in an ADA case unless they prove [**17]  a real and immediate threat of </w:t>
      </w:r>
      <w:r>
        <w:rPr>
          <w:rFonts w:ascii="Arial" w:eastAsia="Arial" w:hAnsi="Arial" w:cs="Arial"/>
          <w:color w:val="000000"/>
          <w:sz w:val="20"/>
          <w:u w:val="single"/>
        </w:rPr>
        <w:t>future</w:t>
      </w:r>
      <w:r>
        <w:rPr>
          <w:rFonts w:ascii="Arial" w:eastAsia="Arial" w:hAnsi="Arial" w:cs="Arial"/>
          <w:color w:val="000000"/>
          <w:sz w:val="20"/>
        </w:rPr>
        <w:t xml:space="preserve"> injury. This still does not make intent to return to the Hotel in the future an element of her cause of action. </w:t>
      </w:r>
      <w:bookmarkStart w:id="638" w:name="Bookmark_LNHNREFclscc9_2"/>
      <w:bookmarkEnd w:id="638"/>
      <w:r>
        <w:rPr>
          <w:rFonts w:ascii="Arial" w:eastAsia="Arial" w:hAnsi="Arial" w:cs="Arial"/>
          <w:color w:val="000000"/>
          <w:sz w:val="20"/>
        </w:rPr>
        <w:t>An injunction is a type of relief or remedy rather than an independent cause of action.</w:t>
      </w:r>
    </w:p>
    <w:p w14:paraId="4229F06F" w14:textId="77777777" w:rsidR="002B10A6" w:rsidRDefault="00000000">
      <w:pPr>
        <w:pStyle w:val="Normal4"/>
        <w:widowControl w:val="0"/>
        <w:spacing w:before="200" w:line="260" w:lineRule="atLeast"/>
        <w:jc w:val="both"/>
      </w:pPr>
      <w:bookmarkStart w:id="639" w:name="Bookmark_para_41_0"/>
      <w:bookmarkStart w:id="640" w:name="Bookmark_I62TXS252N1RP40040000400"/>
      <w:bookmarkEnd w:id="639"/>
      <w:bookmarkEnd w:id="640"/>
      <w:r>
        <w:rPr>
          <w:rFonts w:ascii="Arial" w:eastAsia="Arial" w:hAnsi="Arial" w:cs="Arial"/>
          <w:color w:val="000000"/>
          <w:sz w:val="20"/>
        </w:rPr>
        <w:t xml:space="preserve">At base, Kennedy's argument is that any plaintiff must show they have standing to pursue the relief requested, but that is true in every case. </w:t>
      </w:r>
      <w:bookmarkStart w:id="641" w:name="Bookmark_LNHNREFclscc10_2"/>
      <w:bookmarkEnd w:id="641"/>
      <w:r>
        <w:rPr>
          <w:rFonts w:ascii="Arial" w:eastAsia="Arial" w:hAnsi="Arial" w:cs="Arial"/>
          <w:color w:val="000000"/>
          <w:sz w:val="20"/>
        </w:rPr>
        <w:t xml:space="preserve">The fact that the statute limits the remedy for an ADA violation to injunctive relief does not transform this threshold standing inquiry into an impermissible merits determination. Kennedy is of course correct that her intent to return is an important part of proving she is entitled to injunctive relief (the remedy prescribed by the statute), but that showing is required not by the statute, but by  [*1232]  the Constitution. </w:t>
      </w:r>
      <w:r>
        <w:rPr>
          <w:rFonts w:ascii="Arial" w:eastAsia="Arial" w:hAnsi="Arial" w:cs="Arial"/>
          <w:color w:val="000000"/>
          <w:sz w:val="20"/>
          <w:u w:val="single"/>
        </w:rPr>
        <w:t xml:space="preserve">See </w:t>
      </w:r>
      <w:bookmarkStart w:id="642" w:name="Bookmark_I62TXS252N1RP40030000400"/>
      <w:bookmarkEnd w:id="642"/>
      <w:r>
        <w:rPr>
          <w:rFonts w:ascii="Arial" w:eastAsia="Arial" w:hAnsi="Arial" w:cs="Arial"/>
          <w:color w:val="000000"/>
          <w:sz w:val="20"/>
          <w:u w:val="single"/>
        </w:rPr>
        <w:t>Houston</w:t>
      </w:r>
      <w:r>
        <w:rPr>
          <w:rFonts w:ascii="Arial" w:eastAsia="Arial" w:hAnsi="Arial" w:cs="Arial"/>
          <w:color w:val="000000"/>
          <w:sz w:val="20"/>
        </w:rPr>
        <w:t>, 733 F.3d at 1328-29.</w:t>
      </w:r>
    </w:p>
    <w:p w14:paraId="5DF9B71A" w14:textId="77777777" w:rsidR="002B10A6" w:rsidRDefault="00000000">
      <w:pPr>
        <w:pStyle w:val="Normal4"/>
        <w:widowControl w:val="0"/>
        <w:spacing w:before="200" w:line="260" w:lineRule="atLeast"/>
        <w:jc w:val="both"/>
      </w:pPr>
      <w:bookmarkStart w:id="643" w:name="Bookmark_para_42_0"/>
      <w:bookmarkStart w:id="644" w:name="Bookmark_I62TXS252SF7WT0010000400"/>
      <w:bookmarkEnd w:id="643"/>
      <w:bookmarkEnd w:id="644"/>
      <w:r>
        <w:rPr>
          <w:rFonts w:ascii="Arial" w:eastAsia="Arial" w:hAnsi="Arial" w:cs="Arial"/>
          <w:color w:val="000000"/>
          <w:sz w:val="20"/>
        </w:rPr>
        <w:t xml:space="preserve">Because Kennedy's standing to seek injunctive relief was not inextricably intertwined with the merits of her ADA discrimination claim, the district court did not err in construing Floridian's motion for summary judgment as a factual attack on its subject matter jurisdiction under Rule 12(b)(1). </w:t>
      </w:r>
      <w:bookmarkStart w:id="645" w:name="Bookmark_I62TXS252SF7WT0030000400"/>
      <w:bookmarkEnd w:id="645"/>
      <w:r>
        <w:rPr>
          <w:rFonts w:ascii="Arial" w:eastAsia="Arial" w:hAnsi="Arial" w:cs="Arial"/>
          <w:color w:val="000000"/>
          <w:sz w:val="20"/>
          <w:u w:val="single"/>
        </w:rPr>
        <w:t xml:space="preserve">See </w:t>
      </w:r>
      <w:bookmarkStart w:id="646" w:name="Bookmark_I62TXS252N1RP40050000400"/>
      <w:bookmarkEnd w:id="646"/>
      <w:r>
        <w:rPr>
          <w:rFonts w:ascii="Arial" w:eastAsia="Arial" w:hAnsi="Arial" w:cs="Arial"/>
          <w:color w:val="000000"/>
          <w:sz w:val="20"/>
          <w:u w:val="single"/>
        </w:rPr>
        <w:t>Morrison</w:t>
      </w:r>
      <w:r>
        <w:rPr>
          <w:rFonts w:ascii="Arial" w:eastAsia="Arial" w:hAnsi="Arial" w:cs="Arial"/>
          <w:color w:val="000000"/>
          <w:sz w:val="20"/>
        </w:rPr>
        <w:t xml:space="preserve">, 323 F.3d at 924-25. The court was therefore permitted to make credibility determinations and weigh the evidence. </w:t>
      </w:r>
      <w:bookmarkStart w:id="647" w:name="Bookmark_I62TXS252SF7WT0030000400_2"/>
      <w:bookmarkEnd w:id="647"/>
      <w:r>
        <w:rPr>
          <w:rFonts w:ascii="Arial" w:eastAsia="Arial" w:hAnsi="Arial" w:cs="Arial"/>
          <w:color w:val="000000"/>
          <w:sz w:val="20"/>
          <w:u w:val="single"/>
        </w:rPr>
        <w:t xml:space="preserve">See </w:t>
      </w:r>
      <w:bookmarkStart w:id="648" w:name="Bookmark_I62TXS252SF7WT0020000400"/>
      <w:bookmarkEnd w:id="648"/>
      <w:r>
        <w:rPr>
          <w:rFonts w:ascii="Arial" w:eastAsia="Arial" w:hAnsi="Arial" w:cs="Arial"/>
          <w:color w:val="000000"/>
          <w:sz w:val="20"/>
          <w:u w:val="single"/>
        </w:rPr>
        <w:t>Lawrence</w:t>
      </w:r>
      <w:r>
        <w:rPr>
          <w:rFonts w:ascii="Arial" w:eastAsia="Arial" w:hAnsi="Arial" w:cs="Arial"/>
          <w:color w:val="000000"/>
          <w:sz w:val="20"/>
        </w:rPr>
        <w:t>, 919 F.2d at 1529.</w:t>
      </w:r>
    </w:p>
    <w:p w14:paraId="4FF2460C" w14:textId="77777777" w:rsidR="002B10A6" w:rsidRDefault="00000000">
      <w:pPr>
        <w:pStyle w:val="Normal4"/>
        <w:widowControl w:val="0"/>
        <w:spacing w:before="240" w:line="260" w:lineRule="atLeast"/>
      </w:pPr>
      <w:r>
        <w:br/>
      </w:r>
      <w:r>
        <w:rPr>
          <w:rFonts w:ascii="Arial" w:eastAsia="Arial" w:hAnsi="Arial" w:cs="Arial"/>
          <w:b/>
          <w:color w:val="000000"/>
          <w:sz w:val="20"/>
        </w:rPr>
        <w:t>C. Evidentiary</w:t>
      </w:r>
      <w:r>
        <w:rPr>
          <w:rFonts w:ascii="Arial" w:eastAsia="Arial" w:hAnsi="Arial" w:cs="Arial"/>
          <w:color w:val="000000"/>
          <w:sz w:val="20"/>
        </w:rPr>
        <w:t> [**18] </w:t>
      </w:r>
      <w:r>
        <w:rPr>
          <w:rFonts w:ascii="Arial" w:eastAsia="Arial" w:hAnsi="Arial" w:cs="Arial"/>
          <w:b/>
          <w:color w:val="000000"/>
          <w:sz w:val="20"/>
        </w:rPr>
        <w:t xml:space="preserve"> Hearing</w:t>
      </w:r>
    </w:p>
    <w:p w14:paraId="1C761FE4" w14:textId="77777777" w:rsidR="002B10A6" w:rsidRDefault="00000000">
      <w:pPr>
        <w:pStyle w:val="Normal4"/>
        <w:widowControl w:val="0"/>
        <w:spacing w:before="200" w:line="260" w:lineRule="atLeast"/>
        <w:jc w:val="both"/>
      </w:pPr>
      <w:bookmarkStart w:id="649" w:name="Bookmark_para_43_0"/>
      <w:bookmarkEnd w:id="649"/>
      <w:r>
        <w:rPr>
          <w:rFonts w:ascii="Arial" w:eastAsia="Arial" w:hAnsi="Arial" w:cs="Arial"/>
          <w:color w:val="000000"/>
          <w:sz w:val="20"/>
        </w:rPr>
        <w:t>Even if the district court properly proceeded under Rule 12(b)(1), Kennedy argues that she was entitled to an evidentiary hearing because a factual issue concerning her standing—namely, whether she intended to return to the Hotel in the future—was in dispute.</w:t>
      </w:r>
    </w:p>
    <w:p w14:paraId="7AB22605" w14:textId="77777777" w:rsidR="002B10A6" w:rsidRDefault="00000000">
      <w:pPr>
        <w:pStyle w:val="Normal4"/>
        <w:widowControl w:val="0"/>
        <w:spacing w:before="200" w:line="260" w:lineRule="atLeast"/>
        <w:jc w:val="both"/>
      </w:pPr>
      <w:bookmarkStart w:id="650" w:name="Bookmark_para_44_0"/>
      <w:bookmarkStart w:id="651" w:name="Bookmark_I62TXS252SF7WT0050000400"/>
      <w:bookmarkStart w:id="652" w:name="Bookmark_I62TXS2628T41S0040000400"/>
      <w:bookmarkStart w:id="653" w:name="Bookmark_LNHNREFclscc11_2"/>
      <w:bookmarkEnd w:id="650"/>
      <w:bookmarkEnd w:id="651"/>
      <w:bookmarkEnd w:id="652"/>
      <w:bookmarkEnd w:id="653"/>
      <w:r>
        <w:rPr>
          <w:rFonts w:ascii="Arial" w:eastAsia="Arial" w:hAnsi="Arial" w:cs="Arial"/>
          <w:color w:val="000000"/>
          <w:sz w:val="20"/>
        </w:rPr>
        <w:t xml:space="preserve">In ruling on a Rule 12(b)(1) motion to dismiss for lack of jurisdiction, it is within the district court's discretion "to devise a method for making a determination with regard to the jurisdictional issue." </w:t>
      </w:r>
      <w:r>
        <w:rPr>
          <w:rFonts w:ascii="Arial" w:eastAsia="Arial" w:hAnsi="Arial" w:cs="Arial"/>
          <w:color w:val="000000"/>
          <w:sz w:val="20"/>
          <w:u w:val="single"/>
        </w:rPr>
        <w:t xml:space="preserve">See </w:t>
      </w:r>
      <w:bookmarkStart w:id="654" w:name="Bookmark_I62TXS252SF7WT0040000400"/>
      <w:bookmarkEnd w:id="654"/>
      <w:r>
        <w:rPr>
          <w:rFonts w:ascii="Arial" w:eastAsia="Arial" w:hAnsi="Arial" w:cs="Arial"/>
          <w:color w:val="000000"/>
          <w:sz w:val="20"/>
          <w:u w:val="single"/>
        </w:rPr>
        <w:t>Odyssey Marine Expl</w:t>
      </w:r>
      <w:r>
        <w:rPr>
          <w:rFonts w:ascii="Arial" w:eastAsia="Arial" w:hAnsi="Arial" w:cs="Arial"/>
          <w:color w:val="000000"/>
          <w:sz w:val="20"/>
        </w:rPr>
        <w:t xml:space="preserve">., </w:t>
      </w:r>
      <w:r>
        <w:rPr>
          <w:rFonts w:ascii="Arial" w:eastAsia="Arial" w:hAnsi="Arial" w:cs="Arial"/>
          <w:color w:val="000000"/>
          <w:sz w:val="20"/>
          <w:u w:val="single"/>
        </w:rPr>
        <w:t>Inc. v. Unidentified Shipwrecked Vessel</w:t>
      </w:r>
      <w:r>
        <w:rPr>
          <w:rFonts w:ascii="Arial" w:eastAsia="Arial" w:hAnsi="Arial" w:cs="Arial"/>
          <w:color w:val="000000"/>
          <w:sz w:val="20"/>
        </w:rPr>
        <w:t xml:space="preserve">, 657 F.3d 1159, 1170 (11th Cir. 2011) (quoting </w:t>
      </w:r>
      <w:bookmarkStart w:id="655" w:name="Bookmark_I62TXS2628T41S0010000400"/>
      <w:bookmarkEnd w:id="655"/>
      <w:r>
        <w:rPr>
          <w:rFonts w:ascii="Arial" w:eastAsia="Arial" w:hAnsi="Arial" w:cs="Arial"/>
          <w:color w:val="000000"/>
          <w:sz w:val="20"/>
          <w:u w:val="single"/>
        </w:rPr>
        <w:t>Moran v. Kingdom of Saudi Arabia</w:t>
      </w:r>
      <w:r>
        <w:rPr>
          <w:rFonts w:ascii="Arial" w:eastAsia="Arial" w:hAnsi="Arial" w:cs="Arial"/>
          <w:color w:val="000000"/>
          <w:sz w:val="20"/>
        </w:rPr>
        <w:t xml:space="preserve">, 27 F.3d 169, 172 (5th Cir. 1994)). In Rule 12(b)(1) dismissal cases, "a plaintiff must have ample opportunity to present evidence bearing on the existence of jurisdiction." </w:t>
      </w:r>
      <w:bookmarkStart w:id="656" w:name="Bookmark_I62TXS2628T41S0030000400"/>
      <w:bookmarkEnd w:id="656"/>
      <w:r>
        <w:rPr>
          <w:rFonts w:ascii="Arial" w:eastAsia="Arial" w:hAnsi="Arial" w:cs="Arial"/>
          <w:color w:val="000000"/>
          <w:sz w:val="20"/>
          <w:u w:val="single"/>
        </w:rPr>
        <w:t>Colonial Pipeline Co. v. Collins</w:t>
      </w:r>
      <w:r>
        <w:rPr>
          <w:rFonts w:ascii="Arial" w:eastAsia="Arial" w:hAnsi="Arial" w:cs="Arial"/>
          <w:color w:val="000000"/>
          <w:sz w:val="20"/>
        </w:rPr>
        <w:t>, 921 F.2d 1237, 1243 (11th Cir. 1991).</w:t>
      </w:r>
    </w:p>
    <w:p w14:paraId="1F6996DD" w14:textId="77777777" w:rsidR="002B10A6" w:rsidRDefault="00000000">
      <w:pPr>
        <w:pStyle w:val="Normal4"/>
        <w:widowControl w:val="0"/>
        <w:spacing w:before="200" w:line="260" w:lineRule="atLeast"/>
        <w:jc w:val="both"/>
      </w:pPr>
      <w:bookmarkStart w:id="657" w:name="Bookmark_para_45_0"/>
      <w:bookmarkStart w:id="658" w:name="Bookmark_I62TXS262N1RP60010000400"/>
      <w:bookmarkStart w:id="659" w:name="Bookmark_LNHNREFclscc12_1"/>
      <w:bookmarkEnd w:id="657"/>
      <w:bookmarkEnd w:id="658"/>
      <w:bookmarkEnd w:id="659"/>
      <w:r>
        <w:rPr>
          <w:rFonts w:ascii="Arial" w:eastAsia="Arial" w:hAnsi="Arial" w:cs="Arial"/>
          <w:color w:val="000000"/>
          <w:sz w:val="20"/>
        </w:rPr>
        <w:t xml:space="preserve">Although the court may consider both oral and written evidence in the record, an evidentiary hearing is not required. </w:t>
      </w:r>
      <w:bookmarkStart w:id="660" w:name="Bookmark_I62TXS2628T41S0050000400"/>
      <w:bookmarkEnd w:id="660"/>
      <w:r>
        <w:rPr>
          <w:rFonts w:ascii="Arial" w:eastAsia="Arial" w:hAnsi="Arial" w:cs="Arial"/>
          <w:color w:val="000000"/>
          <w:sz w:val="20"/>
          <w:u w:val="single"/>
        </w:rPr>
        <w:t>Odyssey Marine</w:t>
      </w:r>
      <w:r>
        <w:rPr>
          <w:rFonts w:ascii="Arial" w:eastAsia="Arial" w:hAnsi="Arial" w:cs="Arial"/>
          <w:color w:val="000000"/>
          <w:sz w:val="20"/>
        </w:rPr>
        <w:t xml:space="preserve">, 657 F.3d at 1170. In </w:t>
      </w:r>
      <w:r>
        <w:rPr>
          <w:rFonts w:ascii="Arial" w:eastAsia="Arial" w:hAnsi="Arial" w:cs="Arial"/>
          <w:color w:val="000000"/>
          <w:sz w:val="20"/>
          <w:u w:val="single"/>
        </w:rPr>
        <w:t>Odyssey Marine</w:t>
      </w:r>
      <w:r>
        <w:rPr>
          <w:rFonts w:ascii="Arial" w:eastAsia="Arial" w:hAnsi="Arial" w:cs="Arial"/>
          <w:color w:val="000000"/>
          <w:sz w:val="20"/>
        </w:rPr>
        <w:t xml:space="preserve">, we held the district court did not abuse its discretion in declining to hold an evidentiary hearing on a Rule 12(b)(1) motion where the record before the district court was extensive and "[e]ach party had a full opportunity to present evidence," including affidavits, counter-affidavits, documents, and photographs. </w:t>
      </w:r>
      <w:r>
        <w:rPr>
          <w:rFonts w:ascii="Arial" w:eastAsia="Arial" w:hAnsi="Arial" w:cs="Arial"/>
          <w:color w:val="000000"/>
          <w:sz w:val="20"/>
          <w:u w:val="single"/>
        </w:rPr>
        <w:t>Id.; see also</w:t>
      </w:r>
      <w:r>
        <w:rPr>
          <w:rFonts w:ascii="Arial" w:eastAsia="Arial" w:hAnsi="Arial" w:cs="Arial"/>
          <w:color w:val="000000"/>
          <w:sz w:val="20"/>
        </w:rPr>
        <w:t xml:space="preserve"> 5B Charles Alan Wright &amp; Arthur R. Miller, </w:t>
      </w:r>
      <w:r>
        <w:rPr>
          <w:rFonts w:ascii="Arial" w:eastAsia="Arial" w:hAnsi="Arial" w:cs="Arial"/>
          <w:color w:val="000000"/>
          <w:sz w:val="20"/>
          <w:u w:val="single"/>
        </w:rPr>
        <w:t>Federal Practice and Procedure</w:t>
      </w:r>
      <w:r>
        <w:rPr>
          <w:rFonts w:ascii="Arial" w:eastAsia="Arial" w:hAnsi="Arial" w:cs="Arial"/>
          <w:color w:val="000000"/>
          <w:sz w:val="20"/>
        </w:rPr>
        <w:t xml:space="preserve"> § 1350 (3d ed.) (stating that "[a]lthough a formal hearing on the matter is not [**19]  required, the district court should not dismiss the complaint on a Rule 12(b)(1) motion without giving the nonmoving party the opportunity to be heard").</w:t>
      </w:r>
    </w:p>
    <w:p w14:paraId="30CD584E" w14:textId="77777777" w:rsidR="002B10A6" w:rsidRDefault="00000000">
      <w:pPr>
        <w:pStyle w:val="Normal4"/>
        <w:widowControl w:val="0"/>
        <w:spacing w:before="200" w:line="260" w:lineRule="atLeast"/>
        <w:jc w:val="both"/>
      </w:pPr>
      <w:bookmarkStart w:id="661" w:name="Bookmark_para_46"/>
      <w:bookmarkStart w:id="662" w:name="Bookmark_I62TXS262N1RP60030000400"/>
      <w:bookmarkEnd w:id="661"/>
      <w:bookmarkEnd w:id="662"/>
      <w:r>
        <w:rPr>
          <w:rFonts w:ascii="Arial" w:eastAsia="Arial" w:hAnsi="Arial" w:cs="Arial"/>
          <w:color w:val="000000"/>
          <w:sz w:val="20"/>
        </w:rPr>
        <w:t>In the specific context of this case, the district court did not abuse its discretion in declining to hold an evidentiary hearing.</w:t>
      </w:r>
      <w:r>
        <w:rPr>
          <w:rFonts w:ascii="Arial" w:eastAsia="Arial" w:hAnsi="Arial" w:cs="Arial"/>
          <w:vertAlign w:val="superscript"/>
        </w:rPr>
        <w:footnoteReference w:customMarkFollows="1" w:id="19"/>
        <w:t>4</w:t>
      </w:r>
      <w:r>
        <w:rPr>
          <w:rFonts w:ascii="Arial" w:eastAsia="Arial" w:hAnsi="Arial" w:cs="Arial"/>
          <w:color w:val="000000"/>
          <w:sz w:val="20"/>
        </w:rPr>
        <w:t xml:space="preserve"> The record was well developed, and Kennedy had ample opportunity to present facts and evidence to support her standing. Notably, Kennedy submitted three declarations in which she presented facts concerning standing, and the district court had before it her two complete deposition transcripts.</w:t>
      </w:r>
    </w:p>
    <w:p w14:paraId="50C16EC5" w14:textId="77777777" w:rsidR="002B10A6" w:rsidRDefault="00000000">
      <w:pPr>
        <w:pStyle w:val="Normal4"/>
        <w:widowControl w:val="0"/>
        <w:spacing w:before="200" w:line="260" w:lineRule="atLeast"/>
        <w:jc w:val="both"/>
      </w:pPr>
      <w:bookmarkStart w:id="666" w:name="Bookmark_para_47"/>
      <w:bookmarkStart w:id="667" w:name="Bookmark_I62TXS262N1RP60050000400"/>
      <w:bookmarkStart w:id="668" w:name="Bookmark_I62TXS262N1RP70020000400"/>
      <w:bookmarkEnd w:id="666"/>
      <w:bookmarkEnd w:id="667"/>
      <w:bookmarkEnd w:id="668"/>
      <w:r>
        <w:rPr>
          <w:rFonts w:ascii="Arial" w:eastAsia="Arial" w:hAnsi="Arial" w:cs="Arial"/>
          <w:color w:val="000000"/>
          <w:sz w:val="20"/>
        </w:rPr>
        <w:t xml:space="preserve">Kennedy relies on this Court's decision in </w:t>
      </w:r>
      <w:bookmarkStart w:id="669" w:name="Bookmark_I62TXS262N1RP60040000400"/>
      <w:bookmarkEnd w:id="669"/>
      <w:r>
        <w:rPr>
          <w:rFonts w:ascii="Arial" w:eastAsia="Arial" w:hAnsi="Arial" w:cs="Arial"/>
          <w:color w:val="000000"/>
          <w:sz w:val="20"/>
          <w:u w:val="single"/>
        </w:rPr>
        <w:t>Bischoff v. Osceola County</w:t>
      </w:r>
      <w:r>
        <w:rPr>
          <w:rFonts w:ascii="Arial" w:eastAsia="Arial" w:hAnsi="Arial" w:cs="Arial"/>
          <w:color w:val="000000"/>
          <w:sz w:val="20"/>
        </w:rPr>
        <w:t xml:space="preserve">, 222 F.3d 874 (11th Cir. 2000). </w:t>
      </w:r>
      <w:bookmarkStart w:id="670" w:name="Bookmark_I62TXS262N1RP70040000400"/>
      <w:bookmarkEnd w:id="670"/>
      <w:r>
        <w:rPr>
          <w:rFonts w:ascii="Arial" w:eastAsia="Arial" w:hAnsi="Arial" w:cs="Arial"/>
          <w:color w:val="000000"/>
          <w:sz w:val="20"/>
        </w:rPr>
        <w:t xml:space="preserve">However, in that case, the district court: (1) was faced with two "warring affidavits on issues essential to standing" and no deposition or oral testimony; (2) credited defendants' version of events; and (3) </w:t>
      </w:r>
      <w:r>
        <w:rPr>
          <w:rFonts w:ascii="Arial" w:eastAsia="Arial" w:hAnsi="Arial" w:cs="Arial"/>
          <w:color w:val="000000"/>
          <w:sz w:val="20"/>
          <w:u w:val="single"/>
        </w:rPr>
        <w:t>sua sponte</w:t>
      </w:r>
      <w:r>
        <w:rPr>
          <w:rFonts w:ascii="Arial" w:eastAsia="Arial" w:hAnsi="Arial" w:cs="Arial"/>
          <w:color w:val="000000"/>
          <w:sz w:val="20"/>
        </w:rPr>
        <w:t xml:space="preserve"> dismissed the case for lack of standing without a hearing. </w:t>
      </w:r>
      <w:r>
        <w:rPr>
          <w:rFonts w:ascii="Arial" w:eastAsia="Arial" w:hAnsi="Arial" w:cs="Arial"/>
          <w:color w:val="000000"/>
          <w:sz w:val="20"/>
          <w:u w:val="single"/>
        </w:rPr>
        <w:t xml:space="preserve">See </w:t>
      </w:r>
      <w:bookmarkStart w:id="671" w:name="Bookmark_I62TXS262N1RP70010000400"/>
      <w:bookmarkEnd w:id="671"/>
      <w:r>
        <w:rPr>
          <w:rFonts w:ascii="Arial" w:eastAsia="Arial" w:hAnsi="Arial" w:cs="Arial"/>
          <w:color w:val="000000"/>
          <w:sz w:val="20"/>
          <w:u w:val="single"/>
        </w:rPr>
        <w:t>id.</w:t>
      </w:r>
      <w:r>
        <w:rPr>
          <w:rFonts w:ascii="Arial" w:eastAsia="Arial" w:hAnsi="Arial" w:cs="Arial"/>
          <w:color w:val="000000"/>
          <w:sz w:val="20"/>
        </w:rPr>
        <w:t xml:space="preserve"> at 878-79, 885. </w:t>
      </w:r>
      <w:bookmarkStart w:id="672" w:name="Bookmark_I62TXS262N1RP70040000400_2"/>
      <w:bookmarkEnd w:id="672"/>
      <w:r>
        <w:rPr>
          <w:rFonts w:ascii="Arial" w:eastAsia="Arial" w:hAnsi="Arial" w:cs="Arial"/>
          <w:color w:val="000000"/>
          <w:sz w:val="20"/>
        </w:rPr>
        <w:t xml:space="preserve">On appeal, this Court held that where "the evidence relating to standing is squarely in contradiction as to central matters </w:t>
      </w:r>
      <w:r>
        <w:rPr>
          <w:rFonts w:ascii="Arial" w:eastAsia="Arial" w:hAnsi="Arial" w:cs="Arial"/>
          <w:color w:val="000000"/>
          <w:sz w:val="20"/>
          <w:u w:val="single"/>
        </w:rPr>
        <w:t>and</w:t>
      </w:r>
      <w:r>
        <w:rPr>
          <w:rFonts w:ascii="Arial" w:eastAsia="Arial" w:hAnsi="Arial" w:cs="Arial"/>
          <w:color w:val="000000"/>
          <w:sz w:val="20"/>
        </w:rPr>
        <w:t xml:space="preserve"> requires credibility findings, a district court cannot make those findings simply by relying on the paper record but must conduct a hearing at  [*1233]  which it may evaluate the live testimony [**20]  of the witnesses." </w:t>
      </w:r>
      <w:bookmarkStart w:id="673" w:name="Bookmark_I62TXS262N1RP70030000400"/>
      <w:bookmarkEnd w:id="673"/>
      <w:r>
        <w:rPr>
          <w:rFonts w:ascii="Arial" w:eastAsia="Arial" w:hAnsi="Arial" w:cs="Arial"/>
          <w:color w:val="000000"/>
          <w:sz w:val="20"/>
          <w:u w:val="single"/>
        </w:rPr>
        <w:t>Id.</w:t>
      </w:r>
      <w:r>
        <w:rPr>
          <w:rFonts w:ascii="Arial" w:eastAsia="Arial" w:hAnsi="Arial" w:cs="Arial"/>
          <w:color w:val="000000"/>
          <w:sz w:val="20"/>
        </w:rPr>
        <w:t xml:space="preserve"> at 881.</w:t>
      </w:r>
    </w:p>
    <w:p w14:paraId="27C34B84" w14:textId="77777777" w:rsidR="002B10A6" w:rsidRDefault="00000000">
      <w:pPr>
        <w:pStyle w:val="Normal4"/>
        <w:widowControl w:val="0"/>
        <w:spacing w:before="200" w:line="260" w:lineRule="atLeast"/>
        <w:jc w:val="both"/>
      </w:pPr>
      <w:bookmarkStart w:id="674" w:name="Bookmark_para_48"/>
      <w:bookmarkStart w:id="675" w:name="Bookmark_I714NRMWNVY00004W5500004"/>
      <w:bookmarkStart w:id="676" w:name="Bookmark_I62TXS262N1RP80010000400"/>
      <w:bookmarkEnd w:id="674"/>
      <w:bookmarkEnd w:id="675"/>
      <w:bookmarkEnd w:id="676"/>
      <w:r>
        <w:rPr>
          <w:rFonts w:ascii="Arial" w:eastAsia="Arial" w:hAnsi="Arial" w:cs="Arial"/>
          <w:color w:val="000000"/>
          <w:sz w:val="20"/>
        </w:rPr>
        <w:t xml:space="preserve">This case is nothing like </w:t>
      </w:r>
      <w:bookmarkStart w:id="677" w:name="Bookmark_I62TXS262N1RP70050000400"/>
      <w:bookmarkEnd w:id="677"/>
      <w:r>
        <w:rPr>
          <w:rFonts w:ascii="Arial" w:eastAsia="Arial" w:hAnsi="Arial" w:cs="Arial"/>
          <w:color w:val="000000"/>
          <w:sz w:val="20"/>
          <w:u w:val="single"/>
        </w:rPr>
        <w:t>Bischoff</w:t>
      </w:r>
      <w:r>
        <w:rPr>
          <w:rFonts w:ascii="Arial" w:eastAsia="Arial" w:hAnsi="Arial" w:cs="Arial"/>
          <w:color w:val="000000"/>
          <w:sz w:val="20"/>
        </w:rPr>
        <w:t xml:space="preserve">. Kennedy had more than ample opportunity to present her evidence. Indeed, Kennedy does not dispute many of the critical underlying facts—such as that Kennedy never attended the blues festival, went to the Hotel only once for a few hours, and, other than that one visit, had not stayed in a Homestead hotel in several years (if ever). </w:t>
      </w:r>
      <w:bookmarkStart w:id="678" w:name="Bookmark_I62TXS262N1RP80030000400"/>
      <w:bookmarkEnd w:id="678"/>
      <w:r>
        <w:rPr>
          <w:rFonts w:ascii="Arial" w:eastAsia="Arial" w:hAnsi="Arial" w:cs="Arial"/>
          <w:color w:val="000000"/>
          <w:sz w:val="20"/>
        </w:rPr>
        <w:t xml:space="preserve">The district court did make some credibility findings, but the main dispute is over the legal conclusion as to whether Kennedy's evidence is sufficient to establish the required standing for injunctive relief. On the well-developed record of this case, we find no abuse of discretion in the district court's decision to evaluate Floridian's motion under Rule 12(b)(1) and not hold a hearing. </w:t>
      </w:r>
      <w:r>
        <w:rPr>
          <w:rFonts w:ascii="Arial" w:eastAsia="Arial" w:hAnsi="Arial" w:cs="Arial"/>
          <w:color w:val="000000"/>
          <w:sz w:val="20"/>
          <w:u w:val="single"/>
        </w:rPr>
        <w:t xml:space="preserve">See </w:t>
      </w:r>
      <w:bookmarkStart w:id="679" w:name="Bookmark_I62TXS262N1RP80020000400"/>
      <w:bookmarkEnd w:id="679"/>
      <w:r>
        <w:rPr>
          <w:rFonts w:ascii="Arial" w:eastAsia="Arial" w:hAnsi="Arial" w:cs="Arial"/>
          <w:color w:val="000000"/>
          <w:sz w:val="20"/>
          <w:u w:val="single"/>
        </w:rPr>
        <w:t>Odyssey Marine</w:t>
      </w:r>
      <w:r>
        <w:rPr>
          <w:rFonts w:ascii="Arial" w:eastAsia="Arial" w:hAnsi="Arial" w:cs="Arial"/>
          <w:color w:val="000000"/>
          <w:sz w:val="20"/>
        </w:rPr>
        <w:t>, 657 F.3d at 1170.</w:t>
      </w:r>
    </w:p>
    <w:p w14:paraId="0A34D987" w14:textId="77777777" w:rsidR="002B10A6" w:rsidRDefault="00000000">
      <w:pPr>
        <w:pStyle w:val="Normal4"/>
        <w:widowControl w:val="0"/>
        <w:spacing w:before="240" w:line="260" w:lineRule="atLeast"/>
      </w:pPr>
      <w:r>
        <w:br/>
      </w:r>
      <w:r>
        <w:rPr>
          <w:rFonts w:ascii="Arial" w:eastAsia="Arial" w:hAnsi="Arial" w:cs="Arial"/>
          <w:b/>
          <w:color w:val="000000"/>
          <w:sz w:val="20"/>
        </w:rPr>
        <w:t>D. Real and Immediate Threat of Future Injury</w:t>
      </w:r>
    </w:p>
    <w:p w14:paraId="2889C9F7" w14:textId="77777777" w:rsidR="002B10A6" w:rsidRDefault="00000000">
      <w:pPr>
        <w:pStyle w:val="Normal4"/>
        <w:widowControl w:val="0"/>
        <w:spacing w:before="200" w:line="260" w:lineRule="atLeast"/>
        <w:jc w:val="both"/>
      </w:pPr>
      <w:bookmarkStart w:id="680" w:name="Bookmark_para_49"/>
      <w:bookmarkStart w:id="681" w:name="Bookmark_I62TXS262N1RP80050000400"/>
      <w:bookmarkStart w:id="682" w:name="Bookmark_I62TXS262SF7WY0020000400"/>
      <w:bookmarkStart w:id="683" w:name="Bookmark_I62TXS262SF7WY0040000400"/>
      <w:bookmarkStart w:id="684" w:name="Bookmark_LNHNREFclscc14_0"/>
      <w:bookmarkEnd w:id="680"/>
      <w:bookmarkEnd w:id="681"/>
      <w:bookmarkEnd w:id="682"/>
      <w:bookmarkEnd w:id="683"/>
      <w:bookmarkEnd w:id="684"/>
      <w:r>
        <w:rPr>
          <w:rFonts w:ascii="Arial" w:eastAsia="Arial" w:hAnsi="Arial" w:cs="Arial"/>
          <w:color w:val="000000"/>
          <w:sz w:val="20"/>
        </w:rPr>
        <w:t xml:space="preserve">We now turn to Kennedy's standing to pursue injunctive relief under the ADA, which requires her to demonstrate a "real and immediate threat of future injury." </w:t>
      </w:r>
      <w:r>
        <w:rPr>
          <w:rFonts w:ascii="Arial" w:eastAsia="Arial" w:hAnsi="Arial" w:cs="Arial"/>
          <w:color w:val="000000"/>
          <w:sz w:val="20"/>
          <w:u w:val="single"/>
        </w:rPr>
        <w:t xml:space="preserve">See </w:t>
      </w:r>
      <w:bookmarkStart w:id="685" w:name="Bookmark_I62TXS262N1RP80040000400"/>
      <w:bookmarkEnd w:id="685"/>
      <w:r>
        <w:rPr>
          <w:rFonts w:ascii="Arial" w:eastAsia="Arial" w:hAnsi="Arial" w:cs="Arial"/>
          <w:color w:val="000000"/>
          <w:sz w:val="20"/>
          <w:u w:val="single"/>
        </w:rPr>
        <w:t>Houston</w:t>
      </w:r>
      <w:r>
        <w:rPr>
          <w:rFonts w:ascii="Arial" w:eastAsia="Arial" w:hAnsi="Arial" w:cs="Arial"/>
          <w:color w:val="000000"/>
          <w:sz w:val="20"/>
        </w:rPr>
        <w:t xml:space="preserve">, 733 F.3d at 1329. </w:t>
      </w:r>
      <w:bookmarkStart w:id="686" w:name="Bookmark_I62TXS262SF7X00010000400"/>
      <w:bookmarkEnd w:id="686"/>
      <w:r>
        <w:rPr>
          <w:rFonts w:ascii="Arial" w:eastAsia="Arial" w:hAnsi="Arial" w:cs="Arial"/>
          <w:color w:val="000000"/>
          <w:sz w:val="20"/>
        </w:rPr>
        <w:t xml:space="preserve">To show a real and immediate threat of future discrimination in the context of an ADA claim, a plaintiff must have "attempted to return" to the non-compliant property or "intend to do so in the future." </w:t>
      </w:r>
      <w:bookmarkStart w:id="687" w:name="Bookmark_I62TXS262SF7WY0010000400"/>
      <w:bookmarkEnd w:id="687"/>
      <w:r>
        <w:rPr>
          <w:rFonts w:ascii="Arial" w:eastAsia="Arial" w:hAnsi="Arial" w:cs="Arial"/>
          <w:color w:val="000000"/>
          <w:sz w:val="20"/>
          <w:u w:val="single"/>
        </w:rPr>
        <w:t>Shotz</w:t>
      </w:r>
      <w:r>
        <w:rPr>
          <w:rFonts w:ascii="Arial" w:eastAsia="Arial" w:hAnsi="Arial" w:cs="Arial"/>
          <w:color w:val="000000"/>
          <w:sz w:val="20"/>
        </w:rPr>
        <w:t xml:space="preserve">, 256 F.3d at 1082. In </w:t>
      </w:r>
      <w:r>
        <w:rPr>
          <w:rFonts w:ascii="Arial" w:eastAsia="Arial" w:hAnsi="Arial" w:cs="Arial"/>
          <w:color w:val="000000"/>
          <w:sz w:val="20"/>
          <w:u w:val="single"/>
        </w:rPr>
        <w:t>Lujan</w:t>
      </w:r>
      <w:r>
        <w:rPr>
          <w:rFonts w:ascii="Arial" w:eastAsia="Arial" w:hAnsi="Arial" w:cs="Arial"/>
          <w:color w:val="000000"/>
          <w:sz w:val="20"/>
        </w:rPr>
        <w:t xml:space="preserve">, the [**21]  Supreme Court held that "'some day' intentions—without any description of concrete plans, or indeed even any specification of </w:t>
      </w:r>
      <w:r>
        <w:rPr>
          <w:rFonts w:ascii="Arial" w:eastAsia="Arial" w:hAnsi="Arial" w:cs="Arial"/>
          <w:color w:val="000000"/>
          <w:sz w:val="20"/>
          <w:u w:val="single"/>
        </w:rPr>
        <w:t>when</w:t>
      </w:r>
      <w:r>
        <w:rPr>
          <w:rFonts w:ascii="Arial" w:eastAsia="Arial" w:hAnsi="Arial" w:cs="Arial"/>
          <w:color w:val="000000"/>
          <w:sz w:val="20"/>
        </w:rPr>
        <w:t xml:space="preserve"> the some day will be"—are insufficient to demonstrate an injury that is "actual or imminent." </w:t>
      </w:r>
      <w:bookmarkStart w:id="688" w:name="Bookmark_I62TXS262SF7WY0030000400"/>
      <w:bookmarkEnd w:id="688"/>
      <w:r>
        <w:rPr>
          <w:rFonts w:ascii="Arial" w:eastAsia="Arial" w:hAnsi="Arial" w:cs="Arial"/>
          <w:color w:val="000000"/>
          <w:sz w:val="20"/>
        </w:rPr>
        <w:t xml:space="preserve">504 U.S. at 564, 112 S. Ct. at 2138. </w:t>
      </w:r>
      <w:bookmarkStart w:id="689" w:name="Bookmark_I62TXS262SF7X00010000400_2"/>
      <w:bookmarkEnd w:id="689"/>
      <w:r>
        <w:rPr>
          <w:rFonts w:ascii="Arial" w:eastAsia="Arial" w:hAnsi="Arial" w:cs="Arial"/>
          <w:color w:val="000000"/>
          <w:sz w:val="20"/>
        </w:rPr>
        <w:t xml:space="preserve">Immediacy in this context "means reasonably fixed and specific in time and not too far off." </w:t>
      </w:r>
      <w:bookmarkStart w:id="690" w:name="Bookmark_I62TXS262SF7WY0050000400"/>
      <w:bookmarkEnd w:id="690"/>
      <w:r>
        <w:rPr>
          <w:rFonts w:ascii="Arial" w:eastAsia="Arial" w:hAnsi="Arial" w:cs="Arial"/>
          <w:color w:val="000000"/>
          <w:sz w:val="20"/>
          <w:u w:val="single"/>
        </w:rPr>
        <w:t>Houston</w:t>
      </w:r>
      <w:r>
        <w:rPr>
          <w:rFonts w:ascii="Arial" w:eastAsia="Arial" w:hAnsi="Arial" w:cs="Arial"/>
          <w:color w:val="000000"/>
          <w:sz w:val="20"/>
        </w:rPr>
        <w:t xml:space="preserve">, 733 F.3d at 1340 (quoting </w:t>
      </w:r>
      <w:bookmarkStart w:id="691" w:name="Bookmark_I62TXS262SF7X00020000400"/>
      <w:bookmarkEnd w:id="691"/>
      <w:r>
        <w:rPr>
          <w:rFonts w:ascii="Arial" w:eastAsia="Arial" w:hAnsi="Arial" w:cs="Arial"/>
          <w:color w:val="000000"/>
          <w:sz w:val="20"/>
          <w:u w:val="single"/>
        </w:rPr>
        <w:t>ACLU of Fla., Inc. v. Miami-Dade Cnty. Sch. Bd</w:t>
      </w:r>
      <w:r>
        <w:rPr>
          <w:rFonts w:ascii="Arial" w:eastAsia="Arial" w:hAnsi="Arial" w:cs="Arial"/>
          <w:color w:val="000000"/>
          <w:sz w:val="20"/>
        </w:rPr>
        <w:t>., 557 F.3d 1177, 1193-94 (11th Cir. 2009)).</w:t>
      </w:r>
    </w:p>
    <w:p w14:paraId="4915CBDE" w14:textId="77777777" w:rsidR="002B10A6" w:rsidRDefault="00000000">
      <w:pPr>
        <w:pStyle w:val="Normal4"/>
        <w:widowControl w:val="0"/>
        <w:spacing w:before="200" w:line="260" w:lineRule="atLeast"/>
        <w:jc w:val="both"/>
      </w:pPr>
      <w:bookmarkStart w:id="692" w:name="Bookmark_para_50"/>
      <w:bookmarkStart w:id="693" w:name="Bookmark_I62TXS262SF7X00050000400"/>
      <w:bookmarkStart w:id="694" w:name="Bookmark_I714NRMWRDC00004W5500005"/>
      <w:bookmarkStart w:id="695" w:name="Bookmark_I62TXS262HM6Y70020000400"/>
      <w:bookmarkStart w:id="696" w:name="Bookmark_LNHNREFclscc15"/>
      <w:bookmarkEnd w:id="692"/>
      <w:bookmarkEnd w:id="693"/>
      <w:bookmarkEnd w:id="694"/>
      <w:bookmarkEnd w:id="695"/>
      <w:bookmarkEnd w:id="696"/>
      <w:r>
        <w:rPr>
          <w:rFonts w:ascii="Arial" w:eastAsia="Arial" w:hAnsi="Arial" w:cs="Arial"/>
          <w:color w:val="000000"/>
          <w:sz w:val="20"/>
        </w:rPr>
        <w:t xml:space="preserve">Whether a plaintiff faces a real and immediate threat of future injury must be examined under the "totality of all relevant facts." </w:t>
      </w:r>
      <w:r>
        <w:rPr>
          <w:rFonts w:ascii="Arial" w:eastAsia="Arial" w:hAnsi="Arial" w:cs="Arial"/>
          <w:color w:val="000000"/>
          <w:sz w:val="20"/>
          <w:u w:val="single"/>
        </w:rPr>
        <w:t xml:space="preserve">See </w:t>
      </w:r>
      <w:bookmarkStart w:id="697" w:name="Bookmark_I62TXS262SF7X00040000400"/>
      <w:bookmarkEnd w:id="697"/>
      <w:r>
        <w:rPr>
          <w:rFonts w:ascii="Arial" w:eastAsia="Arial" w:hAnsi="Arial" w:cs="Arial"/>
          <w:color w:val="000000"/>
          <w:sz w:val="20"/>
          <w:u w:val="single"/>
        </w:rPr>
        <w:t>id.</w:t>
      </w:r>
      <w:r>
        <w:rPr>
          <w:rFonts w:ascii="Arial" w:eastAsia="Arial" w:hAnsi="Arial" w:cs="Arial"/>
          <w:color w:val="000000"/>
          <w:sz w:val="20"/>
        </w:rPr>
        <w:t xml:space="preserve"> at 1337 n.6. We have previously considered four factors relevant to this analysis: "(1) the proximity of the defendant's business to the plaintiff's residence; (2) the plaintiff's past patronage of the defendant's business; (3) the definiteness of the plaintiff's plan to return; and (4) the frequency of the plaintiff's travel near the defendant's business." </w:t>
      </w:r>
      <w:bookmarkStart w:id="698" w:name="Bookmark_I62TXS262HM6Y70010000400"/>
      <w:bookmarkEnd w:id="698"/>
      <w:r>
        <w:rPr>
          <w:rFonts w:ascii="Arial" w:eastAsia="Arial" w:hAnsi="Arial" w:cs="Arial"/>
          <w:color w:val="000000"/>
          <w:sz w:val="20"/>
          <w:u w:val="single"/>
        </w:rPr>
        <w:t>Id.</w:t>
      </w:r>
      <w:r>
        <w:rPr>
          <w:rFonts w:ascii="Arial" w:eastAsia="Arial" w:hAnsi="Arial" w:cs="Arial"/>
          <w:color w:val="000000"/>
          <w:sz w:val="20"/>
        </w:rPr>
        <w:t xml:space="preserve"> The factors are not dispositive, only guidelines, and our standing determination is often a "fact-sensitive inquiry." </w:t>
      </w:r>
      <w:bookmarkStart w:id="699" w:name="Bookmark_I62TXS262HM6Y70030000400"/>
      <w:bookmarkEnd w:id="699"/>
      <w:r>
        <w:rPr>
          <w:rFonts w:ascii="Arial" w:eastAsia="Arial" w:hAnsi="Arial" w:cs="Arial"/>
          <w:color w:val="000000"/>
          <w:sz w:val="20"/>
          <w:u w:val="single"/>
        </w:rPr>
        <w:t>Id.</w:t>
      </w:r>
      <w:r>
        <w:rPr>
          <w:rFonts w:ascii="Arial" w:eastAsia="Arial" w:hAnsi="Arial" w:cs="Arial"/>
          <w:color w:val="000000"/>
          <w:sz w:val="20"/>
        </w:rPr>
        <w:t xml:space="preserve"> at 1337 n.6, 1340.</w:t>
      </w:r>
    </w:p>
    <w:p w14:paraId="643AD3E5" w14:textId="77777777" w:rsidR="002B10A6" w:rsidRDefault="00000000">
      <w:pPr>
        <w:pStyle w:val="Normal4"/>
        <w:widowControl w:val="0"/>
        <w:spacing w:before="200" w:line="260" w:lineRule="atLeast"/>
        <w:jc w:val="both"/>
      </w:pPr>
      <w:bookmarkStart w:id="700" w:name="Bookmark_para_51"/>
      <w:bookmarkEnd w:id="700"/>
      <w:r>
        <w:rPr>
          <w:rFonts w:ascii="Arial" w:eastAsia="Arial" w:hAnsi="Arial" w:cs="Arial"/>
          <w:color w:val="000000"/>
          <w:sz w:val="20"/>
        </w:rPr>
        <w:t>The district court's ruling contained certain fact or credibility findings and then a legal conclusion, which we discuss separately.</w:t>
      </w:r>
      <w:r>
        <w:rPr>
          <w:rFonts w:ascii="Arial" w:eastAsia="Arial" w:hAnsi="Arial" w:cs="Arial"/>
          <w:vertAlign w:val="superscript"/>
        </w:rPr>
        <w:footnoteReference w:customMarkFollows="1" w:id="20"/>
        <w:t>5</w:t>
      </w:r>
    </w:p>
    <w:p w14:paraId="3FDFE6A3" w14:textId="77777777" w:rsidR="002B10A6" w:rsidRDefault="00000000">
      <w:pPr>
        <w:pStyle w:val="Normal4"/>
        <w:widowControl w:val="0"/>
        <w:spacing w:before="200" w:line="260" w:lineRule="atLeast"/>
        <w:jc w:val="both"/>
      </w:pPr>
      <w:bookmarkStart w:id="707" w:name="Bookmark_para_52"/>
      <w:bookmarkEnd w:id="707"/>
      <w:r>
        <w:rPr>
          <w:rFonts w:ascii="Arial" w:eastAsia="Arial" w:hAnsi="Arial" w:cs="Arial"/>
          <w:color w:val="000000"/>
          <w:sz w:val="20"/>
        </w:rPr>
        <w:t>The underlying facts regarding the first and second factors were undisputed. As to proximity, Kennedy lived 50 to 60 [**22]  miles from the Hotel, and her past patronage was her one visit to the Hotel for two to three hours. As to the third factor, the definiteness of her plan to return to the  [*1234]  Hotel, Kennedy presented three potential reasons why she would return in the immediate future: (1) to see her unidentified friend in the Keys; (2) to attend the blues festival; and (3) as an ADA tester. The district court did not credit her stated reasons for returning, and on this record, Kennedy has shown no clear error in that credibility finding.</w:t>
      </w:r>
    </w:p>
    <w:p w14:paraId="0B9FCB04" w14:textId="77777777" w:rsidR="002B10A6" w:rsidRDefault="00000000">
      <w:pPr>
        <w:pStyle w:val="Normal4"/>
        <w:widowControl w:val="0"/>
        <w:spacing w:before="200" w:line="260" w:lineRule="atLeast"/>
        <w:jc w:val="both"/>
      </w:pPr>
      <w:bookmarkStart w:id="708" w:name="Bookmark_para_53"/>
      <w:bookmarkEnd w:id="708"/>
      <w:r>
        <w:rPr>
          <w:rFonts w:ascii="Arial" w:eastAsia="Arial" w:hAnsi="Arial" w:cs="Arial"/>
          <w:color w:val="000000"/>
          <w:sz w:val="20"/>
        </w:rPr>
        <w:t>First, as to her friend in the Keys, the district court correctly observed that Kennedy never wound up seeing the friend or making plans to reschedule her trip, could not recall the friend's name, and did not know his address. Second, as to the blues festival, Kennedy could not recall when she had first heard of the festival or exactly where it was held, had never purchased tickets for the festival, did not attend the festival due to illness, and had no concrete plans to go to the festival the next time it was held. The court also noted that Kennedy disavowed any connection between her October 2018 reservation attempt and the April 2019 festival.</w:t>
      </w:r>
    </w:p>
    <w:p w14:paraId="0C3C1D17" w14:textId="77777777" w:rsidR="002B10A6" w:rsidRDefault="00000000">
      <w:pPr>
        <w:pStyle w:val="Normal4"/>
        <w:widowControl w:val="0"/>
        <w:spacing w:before="200" w:line="260" w:lineRule="atLeast"/>
        <w:jc w:val="both"/>
      </w:pPr>
      <w:bookmarkStart w:id="709" w:name="Bookmark_para_54"/>
      <w:bookmarkEnd w:id="709"/>
      <w:r>
        <w:rPr>
          <w:rFonts w:ascii="Arial" w:eastAsia="Arial" w:hAnsi="Arial" w:cs="Arial"/>
          <w:color w:val="000000"/>
          <w:sz w:val="20"/>
        </w:rPr>
        <w:t xml:space="preserve">Third, as to her status [**23]  as an ADA tester, the district court considered Kennedy's evidence of her system for tracking her ADA cases. The court found this evidence fell short because it did not provide any assurance of </w:t>
      </w:r>
      <w:r>
        <w:rPr>
          <w:rFonts w:ascii="Arial" w:eastAsia="Arial" w:hAnsi="Arial" w:cs="Arial"/>
          <w:color w:val="000000"/>
          <w:sz w:val="20"/>
          <w:u w:val="single"/>
        </w:rPr>
        <w:t>when</w:t>
      </w:r>
      <w:r>
        <w:rPr>
          <w:rFonts w:ascii="Arial" w:eastAsia="Arial" w:hAnsi="Arial" w:cs="Arial"/>
          <w:color w:val="000000"/>
          <w:sz w:val="20"/>
        </w:rPr>
        <w:t xml:space="preserve"> property revisits would occur, or if they would occur with any degree of immediacy. It also noted that Kennedy testified that she would revisit properties only when she "need[ed] to" and that she did not identify any specific methodology for ensuring her return. Without such information, the court did not clearly err in finding Kennedy's tracking system did not give rise to sufficiently definite intent to return to the Hotel.</w:t>
      </w:r>
    </w:p>
    <w:p w14:paraId="7934BD84" w14:textId="77777777" w:rsidR="002B10A6" w:rsidRDefault="00000000">
      <w:pPr>
        <w:pStyle w:val="Normal4"/>
        <w:widowControl w:val="0"/>
        <w:spacing w:before="200" w:line="260" w:lineRule="atLeast"/>
        <w:jc w:val="both"/>
      </w:pPr>
      <w:bookmarkStart w:id="710" w:name="Bookmark_para_55"/>
      <w:bookmarkEnd w:id="710"/>
      <w:r>
        <w:rPr>
          <w:rFonts w:ascii="Arial" w:eastAsia="Arial" w:hAnsi="Arial" w:cs="Arial"/>
          <w:color w:val="000000"/>
          <w:sz w:val="20"/>
        </w:rPr>
        <w:t>Separate from these three reasons for a return visit, Kennedy also presented evidence regarding her travel to Homestead generally. In a declaration, Kennedy stated that she has been to Homestead 100 times and frequently travels throughout Florida "including Homestead." In her earlier deposition, however, Kennedy admitted that she did not visit Homestead often and had not stayed in a Homestead hotel for at least several years, other than her single visit to Floridian's Hotel for two to three hours. The district court found Kennedy's evidence failed to establish regular [**24]  travel to Homestead, as there was no indication of why, when, or how recently such visits occurred, and it was contrary to her more specific deposition testimony. Given the lack of detail in Kennedy's declaration, and her more specific deposition testimony, we discern no clear error in the court's finding that Kennedy was not a frequent traveler to Homestead.</w:t>
      </w:r>
    </w:p>
    <w:p w14:paraId="775759B3" w14:textId="77777777" w:rsidR="002B10A6" w:rsidRDefault="00000000">
      <w:pPr>
        <w:pStyle w:val="Normal4"/>
        <w:widowControl w:val="0"/>
        <w:spacing w:before="200" w:line="260" w:lineRule="atLeast"/>
        <w:jc w:val="both"/>
      </w:pPr>
      <w:bookmarkStart w:id="711" w:name="Bookmark_para_56"/>
      <w:bookmarkEnd w:id="711"/>
      <w:r>
        <w:rPr>
          <w:rFonts w:ascii="Arial" w:eastAsia="Arial" w:hAnsi="Arial" w:cs="Arial"/>
          <w:color w:val="000000"/>
          <w:sz w:val="20"/>
        </w:rPr>
        <w:t>That leaves us with these undisputed facts. Kennedy visited the Hotel once, for a few hours. She attempted—but failed—to make an online reservation for April 6-7, 2019, that was not connected to the blues festival. She is an ADA tester who has a system in place for noting property revisits, but no system for ensuring when revisits will occur. She does not travel to Homestead frequently, and other than her one brief visit to Floridian's Hotel, she has not stayed in a Homestead hotel for at least several years (if ever).</w:t>
      </w:r>
    </w:p>
    <w:p w14:paraId="6D1925D4" w14:textId="77777777" w:rsidR="002B10A6" w:rsidRDefault="00000000">
      <w:pPr>
        <w:pStyle w:val="Normal4"/>
        <w:widowControl w:val="0"/>
        <w:spacing w:before="200" w:line="260" w:lineRule="atLeast"/>
        <w:jc w:val="both"/>
      </w:pPr>
      <w:bookmarkStart w:id="712" w:name="Bookmark_para_57"/>
      <w:bookmarkStart w:id="713" w:name="Bookmark_I714NRMWJ3S00004W5500002"/>
      <w:bookmarkStart w:id="714" w:name="Bookmark_I62TXS2628T41X0050000400"/>
      <w:bookmarkEnd w:id="712"/>
      <w:bookmarkEnd w:id="713"/>
      <w:bookmarkEnd w:id="714"/>
      <w:r>
        <w:rPr>
          <w:rFonts w:ascii="Arial" w:eastAsia="Arial" w:hAnsi="Arial" w:cs="Arial"/>
          <w:color w:val="000000"/>
          <w:sz w:val="20"/>
        </w:rPr>
        <w:t xml:space="preserve">Having considered the totality of the relevant facts and examined the evidence under the Rule 12(b)(1) standard, we conclude Kennedy failed to demonstrate a real and immediate threat of future injury that goes beyond the type of vague, "some day" intention the Supreme Court found insufficient in </w:t>
      </w:r>
      <w:r>
        <w:rPr>
          <w:rFonts w:ascii="Arial" w:eastAsia="Arial" w:hAnsi="Arial" w:cs="Arial"/>
          <w:color w:val="000000"/>
          <w:sz w:val="20"/>
          <w:u w:val="single"/>
        </w:rPr>
        <w:t xml:space="preserve">Lujan. See </w:t>
      </w:r>
      <w:bookmarkStart w:id="715" w:name="Bookmark_I62TXS2628T41X0040000400"/>
      <w:bookmarkEnd w:id="715"/>
      <w:r>
        <w:rPr>
          <w:rFonts w:ascii="Arial" w:eastAsia="Arial" w:hAnsi="Arial" w:cs="Arial"/>
          <w:color w:val="000000"/>
          <w:sz w:val="20"/>
          <w:u w:val="single"/>
        </w:rPr>
        <w:t>Lujan</w:t>
      </w:r>
      <w:r>
        <w:rPr>
          <w:rFonts w:ascii="Arial" w:eastAsia="Arial" w:hAnsi="Arial" w:cs="Arial"/>
          <w:color w:val="000000"/>
          <w:sz w:val="20"/>
        </w:rPr>
        <w:t>, 504 U.S. at 564, 112 S. Ct. at 2138.</w:t>
      </w:r>
    </w:p>
    <w:p w14:paraId="78CD3551" w14:textId="77777777" w:rsidR="002B10A6" w:rsidRDefault="00000000">
      <w:pPr>
        <w:pStyle w:val="Normal4"/>
        <w:widowControl w:val="0"/>
        <w:spacing w:before="200" w:line="260" w:lineRule="atLeast"/>
        <w:jc w:val="both"/>
      </w:pPr>
      <w:bookmarkStart w:id="716" w:name="Bookmark_para_58"/>
      <w:bookmarkStart w:id="717" w:name="Bookmark_I714NRMWT0F00004W5500006"/>
      <w:bookmarkStart w:id="718" w:name="Bookmark_I62TXS262SF7X20020000400"/>
      <w:bookmarkStart w:id="719" w:name="Bookmark_I62TXS262SF7X20040000400"/>
      <w:bookmarkEnd w:id="716"/>
      <w:bookmarkEnd w:id="717"/>
      <w:bookmarkEnd w:id="718"/>
      <w:bookmarkEnd w:id="719"/>
      <w:r>
        <w:rPr>
          <w:rFonts w:ascii="Arial" w:eastAsia="Arial" w:hAnsi="Arial" w:cs="Arial"/>
          <w:color w:val="000000"/>
          <w:sz w:val="20"/>
        </w:rPr>
        <w:t xml:space="preserve">The cumulative evidence [**25]  here is materially different from that in </w:t>
      </w:r>
      <w:bookmarkStart w:id="720" w:name="Bookmark_I62TXS262SF7X20010000400"/>
      <w:bookmarkEnd w:id="720"/>
      <w:r>
        <w:rPr>
          <w:rFonts w:ascii="Arial" w:eastAsia="Arial" w:hAnsi="Arial" w:cs="Arial"/>
          <w:color w:val="000000"/>
          <w:sz w:val="20"/>
          <w:u w:val="single"/>
        </w:rPr>
        <w:t>Houston</w:t>
      </w:r>
      <w:r>
        <w:rPr>
          <w:rFonts w:ascii="Arial" w:eastAsia="Arial" w:hAnsi="Arial" w:cs="Arial"/>
          <w:color w:val="000000"/>
          <w:sz w:val="20"/>
        </w:rPr>
        <w:t xml:space="preserve">, an ADA-tester case where we concluded the plaintiff had standing to seek injunctive relief as to architectural barriers at a supermarket. </w:t>
      </w:r>
      <w:bookmarkStart w:id="721" w:name="Bookmark_I62TXS262D6NH00010000400"/>
      <w:bookmarkStart w:id="722" w:name="Bookmark_I62TXS262SF7X20030000400"/>
      <w:bookmarkEnd w:id="721"/>
      <w:bookmarkEnd w:id="722"/>
      <w:r>
        <w:rPr>
          <w:rFonts w:ascii="Arial" w:eastAsia="Arial" w:hAnsi="Arial" w:cs="Arial"/>
          <w:color w:val="000000"/>
          <w:sz w:val="20"/>
          <w:u w:val="single"/>
        </w:rPr>
        <w:t>Houston</w:t>
      </w:r>
      <w:r>
        <w:rPr>
          <w:rFonts w:ascii="Arial" w:eastAsia="Arial" w:hAnsi="Arial" w:cs="Arial"/>
          <w:color w:val="000000"/>
          <w:sz w:val="20"/>
        </w:rPr>
        <w:t xml:space="preserve">, 733 F.3d at 1336-41. </w:t>
      </w:r>
      <w:bookmarkStart w:id="723" w:name="Bookmark_I62TXS262D6NH00010000400_2"/>
      <w:bookmarkEnd w:id="723"/>
      <w:r>
        <w:rPr>
          <w:rFonts w:ascii="Arial" w:eastAsia="Arial" w:hAnsi="Arial" w:cs="Arial"/>
          <w:color w:val="000000"/>
          <w:sz w:val="20"/>
        </w:rPr>
        <w:t xml:space="preserve">As to proximity, Houston lived 30.5 miles  [*1235]  away from the supermarket. </w:t>
      </w:r>
      <w:bookmarkStart w:id="724" w:name="Bookmark_I62TXS262D6NH00030000400"/>
      <w:bookmarkStart w:id="725" w:name="Bookmark_I62TXS262SF7X20050000400"/>
      <w:bookmarkEnd w:id="724"/>
      <w:bookmarkEnd w:id="725"/>
      <w:r>
        <w:rPr>
          <w:rFonts w:ascii="Arial" w:eastAsia="Arial" w:hAnsi="Arial" w:cs="Arial"/>
          <w:color w:val="000000"/>
          <w:sz w:val="20"/>
          <w:u w:val="single"/>
        </w:rPr>
        <w:t>Id.</w:t>
      </w:r>
      <w:r>
        <w:rPr>
          <w:rFonts w:ascii="Arial" w:eastAsia="Arial" w:hAnsi="Arial" w:cs="Arial"/>
          <w:color w:val="000000"/>
          <w:sz w:val="20"/>
        </w:rPr>
        <w:t xml:space="preserve"> at 1336. </w:t>
      </w:r>
      <w:bookmarkStart w:id="726" w:name="Bookmark_I62TXS262D6NH00030000400_2"/>
      <w:bookmarkEnd w:id="726"/>
      <w:r>
        <w:rPr>
          <w:rFonts w:ascii="Arial" w:eastAsia="Arial" w:hAnsi="Arial" w:cs="Arial"/>
          <w:color w:val="000000"/>
          <w:sz w:val="20"/>
        </w:rPr>
        <w:t xml:space="preserve">He lived in the next county, not "hundreds of miles away." </w:t>
      </w:r>
      <w:r>
        <w:rPr>
          <w:rFonts w:ascii="Arial" w:eastAsia="Arial" w:hAnsi="Arial" w:cs="Arial"/>
          <w:color w:val="000000"/>
          <w:sz w:val="20"/>
          <w:u w:val="single"/>
        </w:rPr>
        <w:t>Id.</w:t>
      </w:r>
      <w:r>
        <w:rPr>
          <w:rFonts w:ascii="Arial" w:eastAsia="Arial" w:hAnsi="Arial" w:cs="Arial"/>
          <w:color w:val="000000"/>
          <w:sz w:val="20"/>
        </w:rPr>
        <w:t xml:space="preserve"> More importantly, Houston drove "right by the store on a regular basis" because it was on the way to, and within two miles of his attorney's office, which he visited frequently. </w:t>
      </w:r>
      <w:bookmarkStart w:id="727" w:name="Bookmark_I62TXS262D6NH00050000400"/>
      <w:bookmarkStart w:id="728" w:name="Bookmark_I62TXS262D6NH00020000400"/>
      <w:bookmarkEnd w:id="727"/>
      <w:bookmarkEnd w:id="728"/>
      <w:r>
        <w:rPr>
          <w:rFonts w:ascii="Arial" w:eastAsia="Arial" w:hAnsi="Arial" w:cs="Arial"/>
          <w:color w:val="000000"/>
          <w:sz w:val="20"/>
          <w:u w:val="single"/>
        </w:rPr>
        <w:t>Id.</w:t>
      </w:r>
      <w:r>
        <w:rPr>
          <w:rFonts w:ascii="Arial" w:eastAsia="Arial" w:hAnsi="Arial" w:cs="Arial"/>
          <w:color w:val="000000"/>
          <w:sz w:val="20"/>
        </w:rPr>
        <w:t xml:space="preserve"> at 1336, 1340. </w:t>
      </w:r>
      <w:bookmarkStart w:id="729" w:name="Bookmark_I62TXS262D6NH00050000400_2"/>
      <w:bookmarkEnd w:id="729"/>
      <w:r>
        <w:rPr>
          <w:rFonts w:ascii="Arial" w:eastAsia="Arial" w:hAnsi="Arial" w:cs="Arial"/>
          <w:color w:val="000000"/>
          <w:sz w:val="20"/>
        </w:rPr>
        <w:t xml:space="preserve">Plus, Houston had visited the supermarket twice in the months before he filed suit and had a receipt from his second visit. </w:t>
      </w:r>
      <w:bookmarkStart w:id="730" w:name="Bookmark_I62TXS2628T41Y0020000400"/>
      <w:bookmarkStart w:id="731" w:name="Bookmark_I62TXS262D6NH00040000400"/>
      <w:bookmarkEnd w:id="730"/>
      <w:bookmarkEnd w:id="731"/>
      <w:r>
        <w:rPr>
          <w:rFonts w:ascii="Arial" w:eastAsia="Arial" w:hAnsi="Arial" w:cs="Arial"/>
          <w:color w:val="000000"/>
          <w:sz w:val="20"/>
          <w:u w:val="single"/>
        </w:rPr>
        <w:t>Id.</w:t>
      </w:r>
      <w:r>
        <w:rPr>
          <w:rFonts w:ascii="Arial" w:eastAsia="Arial" w:hAnsi="Arial" w:cs="Arial"/>
          <w:color w:val="000000"/>
          <w:sz w:val="20"/>
        </w:rPr>
        <w:t xml:space="preserve"> at 1336. </w:t>
      </w:r>
      <w:bookmarkStart w:id="732" w:name="Bookmark_I62TXS2628T41Y0020000400_2"/>
      <w:bookmarkEnd w:id="732"/>
      <w:r>
        <w:rPr>
          <w:rFonts w:ascii="Arial" w:eastAsia="Arial" w:hAnsi="Arial" w:cs="Arial"/>
          <w:color w:val="000000"/>
          <w:sz w:val="20"/>
        </w:rPr>
        <w:t xml:space="preserve">Added to all this, we noted the fact that ADA testing was "Houston's avocation or at least what he does on a daily basis" made it more likely that Houston would return to the supermarket. </w:t>
      </w:r>
      <w:bookmarkStart w:id="733" w:name="Bookmark_I62TXS2628T41Y0010000400"/>
      <w:bookmarkEnd w:id="733"/>
      <w:r>
        <w:rPr>
          <w:rFonts w:ascii="Arial" w:eastAsia="Arial" w:hAnsi="Arial" w:cs="Arial"/>
          <w:color w:val="000000"/>
          <w:sz w:val="20"/>
          <w:u w:val="single"/>
        </w:rPr>
        <w:t>Id.</w:t>
      </w:r>
      <w:r>
        <w:rPr>
          <w:rFonts w:ascii="Arial" w:eastAsia="Arial" w:hAnsi="Arial" w:cs="Arial"/>
          <w:color w:val="000000"/>
          <w:sz w:val="20"/>
        </w:rPr>
        <w:t xml:space="preserve"> at 1340. Based on these specific facts, we concluded that Houston's intent to return to the supermarket in the future could not be characterized as the unspecified "some day" intention the Supreme Court found too speculative in </w:t>
      </w:r>
      <w:r>
        <w:rPr>
          <w:rFonts w:ascii="Arial" w:eastAsia="Arial" w:hAnsi="Arial" w:cs="Arial"/>
          <w:color w:val="000000"/>
          <w:sz w:val="20"/>
          <w:u w:val="single"/>
        </w:rPr>
        <w:t>Lujan. Id.</w:t>
      </w:r>
    </w:p>
    <w:p w14:paraId="738355A4" w14:textId="77777777" w:rsidR="002B10A6" w:rsidRDefault="00000000">
      <w:pPr>
        <w:pStyle w:val="Normal4"/>
        <w:widowControl w:val="0"/>
        <w:spacing w:before="200" w:line="260" w:lineRule="atLeast"/>
        <w:jc w:val="both"/>
      </w:pPr>
      <w:bookmarkStart w:id="734" w:name="Bookmark_para_59"/>
      <w:bookmarkStart w:id="735" w:name="Bookmark_I62TXS2628T41Y0040000400"/>
      <w:bookmarkEnd w:id="734"/>
      <w:bookmarkEnd w:id="735"/>
      <w:r>
        <w:rPr>
          <w:rFonts w:ascii="Arial" w:eastAsia="Arial" w:hAnsi="Arial" w:cs="Arial"/>
          <w:color w:val="000000"/>
          <w:sz w:val="20"/>
        </w:rPr>
        <w:t xml:space="preserve">Although Kennedy, like Houston, is an ADA tester, she visited the Hotel only once, for a few hours. Her singular visit does not weigh in her favor, as [**26]  she must have "attempted to return" or at a minimum "intend to do so in the future." </w:t>
      </w:r>
      <w:bookmarkStart w:id="736" w:name="Bookmark_I62TXS2628T41Y0030000400"/>
      <w:bookmarkEnd w:id="736"/>
      <w:r>
        <w:rPr>
          <w:rFonts w:ascii="Arial" w:eastAsia="Arial" w:hAnsi="Arial" w:cs="Arial"/>
          <w:color w:val="000000"/>
          <w:sz w:val="20"/>
          <w:u w:val="single"/>
        </w:rPr>
        <w:t>Shotz</w:t>
      </w:r>
      <w:r>
        <w:rPr>
          <w:rFonts w:ascii="Arial" w:eastAsia="Arial" w:hAnsi="Arial" w:cs="Arial"/>
          <w:color w:val="000000"/>
          <w:sz w:val="20"/>
        </w:rPr>
        <w:t xml:space="preserve">, 256 F.3d at 1082. She did not travel frequently to Homestead or regularly stay at Homestead hotels (if ever). </w:t>
      </w:r>
      <w:bookmarkStart w:id="737" w:name="Bookmark_I62TXS262HM6Y80010000400"/>
      <w:bookmarkEnd w:id="737"/>
      <w:r>
        <w:rPr>
          <w:rFonts w:ascii="Arial" w:eastAsia="Arial" w:hAnsi="Arial" w:cs="Arial"/>
          <w:color w:val="000000"/>
          <w:sz w:val="20"/>
        </w:rPr>
        <w:t xml:space="preserve">She had no credible or concrete plan to return to Homestead or the Hotel in the future. Her generalized intent to return sometime in the future is alone insufficient. The totality of relevant facts simply do not support the conclusion that Kennedy faced a </w:t>
      </w:r>
      <w:r>
        <w:rPr>
          <w:rFonts w:ascii="Arial" w:eastAsia="Arial" w:hAnsi="Arial" w:cs="Arial"/>
          <w:color w:val="000000"/>
          <w:sz w:val="20"/>
          <w:u w:val="single"/>
        </w:rPr>
        <w:t>real and immediate</w:t>
      </w:r>
      <w:r>
        <w:rPr>
          <w:rFonts w:ascii="Arial" w:eastAsia="Arial" w:hAnsi="Arial" w:cs="Arial"/>
          <w:color w:val="000000"/>
          <w:sz w:val="20"/>
        </w:rPr>
        <w:t xml:space="preserve"> threat of future discrimination at the Hotel.</w:t>
      </w:r>
      <w:r>
        <w:rPr>
          <w:rFonts w:ascii="Arial" w:eastAsia="Arial" w:hAnsi="Arial" w:cs="Arial"/>
          <w:vertAlign w:val="superscript"/>
        </w:rPr>
        <w:footnoteReference w:customMarkFollows="1" w:id="21"/>
        <w:t>6</w:t>
      </w:r>
      <w:r>
        <w:rPr>
          <w:rFonts w:ascii="Arial" w:eastAsia="Arial" w:hAnsi="Arial" w:cs="Arial"/>
          <w:color w:val="000000"/>
          <w:sz w:val="20"/>
        </w:rPr>
        <w:t xml:space="preserve"> </w:t>
      </w:r>
      <w:r>
        <w:rPr>
          <w:rFonts w:ascii="Arial" w:eastAsia="Arial" w:hAnsi="Arial" w:cs="Arial"/>
          <w:color w:val="000000"/>
          <w:sz w:val="20"/>
          <w:u w:val="single"/>
        </w:rPr>
        <w:t xml:space="preserve">Cf. </w:t>
      </w:r>
      <w:bookmarkStart w:id="739" w:name="Bookmark_I62TXS2628T41Y0050000400"/>
      <w:bookmarkEnd w:id="739"/>
      <w:r>
        <w:rPr>
          <w:rFonts w:ascii="Arial" w:eastAsia="Arial" w:hAnsi="Arial" w:cs="Arial"/>
          <w:color w:val="000000"/>
          <w:sz w:val="20"/>
          <w:u w:val="single"/>
        </w:rPr>
        <w:t>D'Lil v. Best W. Encina Lodge &amp; Suites</w:t>
      </w:r>
      <w:r>
        <w:rPr>
          <w:rFonts w:ascii="Arial" w:eastAsia="Arial" w:hAnsi="Arial" w:cs="Arial"/>
          <w:color w:val="000000"/>
          <w:sz w:val="20"/>
        </w:rPr>
        <w:t xml:space="preserve">, 538 F.3d 1031, 1037-38 (9th Cir. 2008) (concluding ADA plaintiff demonstrated intent to return to hotel where she had visited the area regularly for business, visited friends in the area, and vacationed there with her children); </w:t>
      </w:r>
      <w:bookmarkStart w:id="740" w:name="Bookmark_I62TXS262HM6Y80020000400"/>
      <w:bookmarkEnd w:id="740"/>
      <w:r>
        <w:rPr>
          <w:rFonts w:ascii="Arial" w:eastAsia="Arial" w:hAnsi="Arial" w:cs="Arial"/>
          <w:color w:val="000000"/>
          <w:sz w:val="20"/>
          <w:u w:val="single"/>
        </w:rPr>
        <w:t>Scherr v. Marriott Int'l, Inc.</w:t>
      </w:r>
      <w:r>
        <w:rPr>
          <w:rFonts w:ascii="Arial" w:eastAsia="Arial" w:hAnsi="Arial" w:cs="Arial"/>
          <w:color w:val="000000"/>
          <w:sz w:val="20"/>
        </w:rPr>
        <w:t>, 703 F.3d 1069, 1074-75 (7th Cir. 2013) (concluding ADA plaintiff had alleged intent to return to hotel where much of her extended family lived in the area close to the hotel and plaintiff planned to attend a then-upcoming wedding in area). Given our fact-sensitive inquiry, the district court did not err in concluding Kennedy lacked standing to pursue injunctive relief and dismissing Count I for lack of subject matter jurisdiction.</w:t>
      </w:r>
    </w:p>
    <w:p w14:paraId="1079601A" w14:textId="77777777" w:rsidR="002B10A6" w:rsidRDefault="00000000">
      <w:pPr>
        <w:pStyle w:val="Normal4"/>
        <w:widowControl w:val="0"/>
        <w:spacing w:before="200" w:line="260" w:lineRule="atLeast"/>
        <w:jc w:val="both"/>
      </w:pPr>
      <w:bookmarkStart w:id="741" w:name="Bookmark_para_60"/>
      <w:bookmarkStart w:id="742" w:name="Bookmark_I62TXS262HM6Y80050000400"/>
      <w:bookmarkEnd w:id="741"/>
      <w:bookmarkEnd w:id="742"/>
      <w:r>
        <w:rPr>
          <w:rFonts w:ascii="Arial" w:eastAsia="Arial" w:hAnsi="Arial" w:cs="Arial"/>
          <w:color w:val="000000"/>
          <w:sz w:val="20"/>
        </w:rPr>
        <w:t xml:space="preserve">Nevertheless, the district court erred in dismissing Count I for lack of jurisdiction </w:t>
      </w:r>
      <w:r>
        <w:rPr>
          <w:rFonts w:ascii="Arial" w:eastAsia="Arial" w:hAnsi="Arial" w:cs="Arial"/>
          <w:color w:val="000000"/>
          <w:sz w:val="20"/>
          <w:u w:val="single"/>
        </w:rPr>
        <w:t>with</w:t>
      </w:r>
      <w:r>
        <w:rPr>
          <w:rFonts w:ascii="Arial" w:eastAsia="Arial" w:hAnsi="Arial" w:cs="Arial"/>
          <w:color w:val="000000"/>
          <w:sz w:val="20"/>
        </w:rPr>
        <w:t xml:space="preserve"> prejudice. </w:t>
      </w:r>
      <w:bookmarkStart w:id="743" w:name="Bookmark_I62TXS272HM6YC0040000400"/>
      <w:bookmarkStart w:id="744" w:name="Bookmark_LNHNREFclscc17"/>
      <w:bookmarkEnd w:id="743"/>
      <w:bookmarkEnd w:id="744"/>
      <w:r>
        <w:rPr>
          <w:rFonts w:ascii="Arial" w:eastAsia="Arial" w:hAnsi="Arial" w:cs="Arial"/>
          <w:color w:val="000000"/>
          <w:sz w:val="20"/>
        </w:rPr>
        <w:t xml:space="preserve">"A dismissal [**27]  for lack of subject matter jurisdiction is not a judgment on the merits and is entered without prejudice." </w:t>
      </w:r>
      <w:bookmarkStart w:id="745" w:name="Bookmark_I62TXS262HM6Y80040000400"/>
      <w:bookmarkEnd w:id="745"/>
      <w:r>
        <w:rPr>
          <w:rFonts w:ascii="Arial" w:eastAsia="Arial" w:hAnsi="Arial" w:cs="Arial"/>
          <w:color w:val="000000"/>
          <w:sz w:val="20"/>
          <w:u w:val="single"/>
        </w:rPr>
        <w:t>Stalley ex rel. United States v. Orlando Reg'l Healthcare Sys., Inc.</w:t>
      </w:r>
      <w:r>
        <w:rPr>
          <w:rFonts w:ascii="Arial" w:eastAsia="Arial" w:hAnsi="Arial" w:cs="Arial"/>
          <w:color w:val="000000"/>
          <w:sz w:val="20"/>
        </w:rPr>
        <w:t xml:space="preserve">, 524 F.3d 1229, 1232 (11th Cir. 2008); </w:t>
      </w:r>
      <w:r>
        <w:rPr>
          <w:rFonts w:ascii="Arial" w:eastAsia="Arial" w:hAnsi="Arial" w:cs="Arial"/>
          <w:color w:val="000000"/>
          <w:sz w:val="20"/>
          <w:u w:val="single"/>
        </w:rPr>
        <w:t xml:space="preserve">see also </w:t>
      </w:r>
      <w:bookmarkStart w:id="746" w:name="Bookmark_I62TXS272HM6YC0010000400"/>
      <w:bookmarkEnd w:id="746"/>
      <w:r>
        <w:rPr>
          <w:rFonts w:ascii="Arial" w:eastAsia="Arial" w:hAnsi="Arial" w:cs="Arial"/>
          <w:color w:val="000000"/>
          <w:sz w:val="20"/>
          <w:u w:val="single"/>
        </w:rPr>
        <w:t>Betty K Agencies, Ltd. v. M/V Monada</w:t>
      </w:r>
      <w:r>
        <w:rPr>
          <w:rFonts w:ascii="Arial" w:eastAsia="Arial" w:hAnsi="Arial" w:cs="Arial"/>
          <w:color w:val="000000"/>
          <w:sz w:val="20"/>
        </w:rPr>
        <w:t xml:space="preserve">, 432 F.3d 1333, 1341 (11th Cir. 2005) (explaining that in the absence of jurisdiction, a court lacks the power to dismiss claims with prejudice). While we do not disturb the district court's finding that amendment would be futile, it was error to dismiss Count I with prejudice. </w:t>
      </w:r>
      <w:bookmarkStart w:id="747" w:name="Bookmark_I62TXS272HM6YC0040000400_2"/>
      <w:bookmarkEnd w:id="747"/>
      <w:r>
        <w:rPr>
          <w:rFonts w:ascii="Arial" w:eastAsia="Arial" w:hAnsi="Arial" w:cs="Arial"/>
          <w:color w:val="000000"/>
          <w:sz w:val="20"/>
          <w:u w:val="single"/>
        </w:rPr>
        <w:t xml:space="preserve">See </w:t>
      </w:r>
      <w:bookmarkStart w:id="748" w:name="Bookmark_I62TXS272HM6YC0030000400"/>
      <w:bookmarkEnd w:id="748"/>
      <w:r>
        <w:rPr>
          <w:rFonts w:ascii="Arial" w:eastAsia="Arial" w:hAnsi="Arial" w:cs="Arial"/>
          <w:color w:val="000000"/>
          <w:sz w:val="20"/>
          <w:u w:val="single"/>
        </w:rPr>
        <w:t>MAO-MSO Recovery II, LLC v. State Farm Mut. Auto. Ins. Co.</w:t>
      </w:r>
      <w:r>
        <w:rPr>
          <w:rFonts w:ascii="Arial" w:eastAsia="Arial" w:hAnsi="Arial" w:cs="Arial"/>
          <w:color w:val="000000"/>
          <w:sz w:val="20"/>
        </w:rPr>
        <w:t>, 935 F.3d 573, 581 (7th Cir. 2019) (stating that a "dismissal for lack of jurisdiction without leave to amend is not the same thing as a dismissal with prejudice," which is a ruling on the merits that carries a preclusive effect that prevents a plaintiff from relitigating anywhere any claim encompassed by her suit).</w:t>
      </w:r>
    </w:p>
    <w:p w14:paraId="1B689219" w14:textId="77777777" w:rsidR="002B10A6" w:rsidRDefault="00000000">
      <w:pPr>
        <w:pStyle w:val="Normal4"/>
        <w:widowControl w:val="0"/>
        <w:spacing w:before="240" w:line="260" w:lineRule="atLeast"/>
      </w:pPr>
      <w:r>
        <w:br/>
      </w:r>
      <w:r>
        <w:rPr>
          <w:rFonts w:ascii="Arial" w:eastAsia="Arial" w:hAnsi="Arial" w:cs="Arial"/>
          <w:color w:val="000000"/>
          <w:sz w:val="20"/>
        </w:rPr>
        <w:t xml:space="preserve"> [*1236]  </w:t>
      </w:r>
      <w:r>
        <w:rPr>
          <w:rFonts w:ascii="Arial" w:eastAsia="Arial" w:hAnsi="Arial" w:cs="Arial"/>
          <w:b/>
          <w:color w:val="000000"/>
          <w:sz w:val="20"/>
        </w:rPr>
        <w:t>V. DISMISSAL OF COUNT II BASED ON CLAIM SPLITTING</w:t>
      </w:r>
    </w:p>
    <w:p w14:paraId="15B99BF5" w14:textId="77777777" w:rsidR="002B10A6" w:rsidRDefault="00000000">
      <w:pPr>
        <w:pStyle w:val="Normal4"/>
        <w:widowControl w:val="0"/>
        <w:spacing w:before="200" w:line="260" w:lineRule="atLeast"/>
        <w:jc w:val="both"/>
      </w:pPr>
      <w:bookmarkStart w:id="749" w:name="Bookmark_para_61"/>
      <w:bookmarkStart w:id="750" w:name="Bookmark_I62TXS272N1RPH0010000400"/>
      <w:bookmarkStart w:id="751" w:name="Bookmark_I62TXS272N1RPH0050000400"/>
      <w:bookmarkStart w:id="752" w:name="Bookmark_LNHNREFclscc18"/>
      <w:bookmarkEnd w:id="749"/>
      <w:bookmarkEnd w:id="750"/>
      <w:bookmarkEnd w:id="751"/>
      <w:bookmarkEnd w:id="752"/>
      <w:r>
        <w:rPr>
          <w:rFonts w:ascii="Arial" w:eastAsia="Arial" w:hAnsi="Arial" w:cs="Arial"/>
          <w:color w:val="000000"/>
          <w:sz w:val="20"/>
        </w:rPr>
        <w:t xml:space="preserve">The claim-splitting doctrine: (1) "requires a plaintiff to assert all of its causes of action arising from a common set of facts in one lawsuit," and (2) applies where a second suit has been filed before the first suit has reached a final judgment. </w:t>
      </w:r>
      <w:bookmarkStart w:id="753" w:name="Bookmark_I62TXS272HM6YC0050000400"/>
      <w:bookmarkEnd w:id="753"/>
      <w:r>
        <w:rPr>
          <w:rFonts w:ascii="Arial" w:eastAsia="Arial" w:hAnsi="Arial" w:cs="Arial"/>
          <w:color w:val="000000"/>
          <w:sz w:val="20"/>
          <w:u w:val="single"/>
        </w:rPr>
        <w:t>Vanover v. NCO Fin. Servs., Inc.</w:t>
      </w:r>
      <w:r>
        <w:rPr>
          <w:rFonts w:ascii="Arial" w:eastAsia="Arial" w:hAnsi="Arial" w:cs="Arial"/>
          <w:color w:val="000000"/>
          <w:sz w:val="20"/>
        </w:rPr>
        <w:t xml:space="preserve">, 857 F.3d 833, 840 n.3, 841 (11th Cir. 2017) (quoting </w:t>
      </w:r>
      <w:bookmarkStart w:id="754" w:name="Bookmark_I62TXS272N1RPH0020000400"/>
      <w:bookmarkEnd w:id="754"/>
      <w:r>
        <w:rPr>
          <w:rFonts w:ascii="Arial" w:eastAsia="Arial" w:hAnsi="Arial" w:cs="Arial"/>
          <w:color w:val="000000"/>
          <w:sz w:val="20"/>
          <w:u w:val="single"/>
        </w:rPr>
        <w:t>Katz v. Gerardi</w:t>
      </w:r>
      <w:r>
        <w:rPr>
          <w:rFonts w:ascii="Arial" w:eastAsia="Arial" w:hAnsi="Arial" w:cs="Arial"/>
          <w:color w:val="000000"/>
          <w:sz w:val="20"/>
        </w:rPr>
        <w:t xml:space="preserve">, 655 F.3d 1212, 1217 (10th Cir. 2011)). The doctrine serves "to promote judicial economy and shield parties from vexatious and duplicative litigation while empowering the district court to manage its docket." </w:t>
      </w:r>
      <w:bookmarkStart w:id="755" w:name="Bookmark_I62TXS272N1RPH0040000400"/>
      <w:bookmarkEnd w:id="755"/>
      <w:r>
        <w:rPr>
          <w:rFonts w:ascii="Arial" w:eastAsia="Arial" w:hAnsi="Arial" w:cs="Arial"/>
          <w:color w:val="000000"/>
          <w:sz w:val="20"/>
          <w:u w:val="single"/>
        </w:rPr>
        <w:t>Id.</w:t>
      </w:r>
      <w:r>
        <w:rPr>
          <w:rFonts w:ascii="Arial" w:eastAsia="Arial" w:hAnsi="Arial" w:cs="Arial"/>
          <w:color w:val="000000"/>
          <w:sz w:val="20"/>
        </w:rPr>
        <w:t xml:space="preserve"> at 843.</w:t>
      </w:r>
    </w:p>
    <w:p w14:paraId="0CA0B570" w14:textId="77777777" w:rsidR="002B10A6" w:rsidRDefault="00000000">
      <w:pPr>
        <w:pStyle w:val="Normal4"/>
        <w:widowControl w:val="0"/>
        <w:spacing w:before="200" w:line="260" w:lineRule="atLeast"/>
        <w:jc w:val="both"/>
      </w:pPr>
      <w:bookmarkStart w:id="756" w:name="Bookmark_para_62"/>
      <w:bookmarkStart w:id="757" w:name="Bookmark_I62TXS282D6NH70020000400"/>
      <w:bookmarkStart w:id="758" w:name="Bookmark_I62TXS282D6NH70040000400"/>
      <w:bookmarkStart w:id="759" w:name="Bookmark_I62TXS282SF7X90010000400"/>
      <w:bookmarkStart w:id="760" w:name="Bookmark_LNHNREFclscc19"/>
      <w:bookmarkEnd w:id="756"/>
      <w:bookmarkEnd w:id="757"/>
      <w:bookmarkEnd w:id="758"/>
      <w:bookmarkEnd w:id="759"/>
      <w:bookmarkEnd w:id="760"/>
      <w:r>
        <w:rPr>
          <w:rFonts w:ascii="Arial" w:eastAsia="Arial" w:hAnsi="Arial" w:cs="Arial"/>
          <w:color w:val="000000"/>
          <w:sz w:val="20"/>
        </w:rPr>
        <w:t xml:space="preserve">In determining whether a party has improperly split its claims among lawsuits, [**28]  this Court examines: "(1) whether the case involves the same parties and their privies, and (2) whether separate cases arise from the same transaction or series of transactions." </w:t>
      </w:r>
      <w:bookmarkStart w:id="761" w:name="Bookmark_I62TXS282D6NH70010000400"/>
      <w:bookmarkEnd w:id="761"/>
      <w:r>
        <w:rPr>
          <w:rFonts w:ascii="Arial" w:eastAsia="Arial" w:hAnsi="Arial" w:cs="Arial"/>
          <w:color w:val="000000"/>
          <w:sz w:val="20"/>
          <w:u w:val="single"/>
        </w:rPr>
        <w:t>Id.</w:t>
      </w:r>
      <w:r>
        <w:rPr>
          <w:rFonts w:ascii="Arial" w:eastAsia="Arial" w:hAnsi="Arial" w:cs="Arial"/>
          <w:color w:val="000000"/>
          <w:sz w:val="20"/>
        </w:rPr>
        <w:t xml:space="preserve"> at 841-42 (quotation marks omitted). </w:t>
      </w:r>
      <w:bookmarkStart w:id="762" w:name="Bookmark_I62TXS282SF7X90030000400"/>
      <w:bookmarkEnd w:id="762"/>
      <w:r>
        <w:rPr>
          <w:rFonts w:ascii="Arial" w:eastAsia="Arial" w:hAnsi="Arial" w:cs="Arial"/>
          <w:color w:val="000000"/>
          <w:sz w:val="20"/>
        </w:rPr>
        <w:t xml:space="preserve">"Successive causes of action arise from the same transaction or series of transactions when the two actions are based on the same nucleus of operative facts." </w:t>
      </w:r>
      <w:bookmarkStart w:id="763" w:name="Bookmark_I62TXS282D6NH70030000400"/>
      <w:bookmarkEnd w:id="763"/>
      <w:r>
        <w:rPr>
          <w:rFonts w:ascii="Arial" w:eastAsia="Arial" w:hAnsi="Arial" w:cs="Arial"/>
          <w:color w:val="000000"/>
          <w:sz w:val="20"/>
          <w:u w:val="single"/>
        </w:rPr>
        <w:t>Id.</w:t>
      </w:r>
      <w:r>
        <w:rPr>
          <w:rFonts w:ascii="Arial" w:eastAsia="Arial" w:hAnsi="Arial" w:cs="Arial"/>
          <w:color w:val="000000"/>
          <w:sz w:val="20"/>
        </w:rPr>
        <w:t xml:space="preserve"> at 842. In determining whether a particular grouping of facts constitutes a transaction, or series of transactions, this Court has adopted the "transactional test" from the Restatement (Second) of Judgments § 24, giving weight to considerations such as "whether the facts are related in time, space, origin, or motivation, whether they form a convenient trial unit, and whether their treatment as a unit conforms to the parties' expectations or business understanding or usage." </w:t>
      </w:r>
      <w:r>
        <w:rPr>
          <w:rFonts w:ascii="Arial" w:eastAsia="Arial" w:hAnsi="Arial" w:cs="Arial"/>
          <w:color w:val="000000"/>
          <w:sz w:val="20"/>
          <w:u w:val="single"/>
        </w:rPr>
        <w:t>Id.</w:t>
      </w:r>
      <w:r>
        <w:rPr>
          <w:rFonts w:ascii="Arial" w:eastAsia="Arial" w:hAnsi="Arial" w:cs="Arial"/>
          <w:color w:val="000000"/>
          <w:sz w:val="20"/>
        </w:rPr>
        <w:t xml:space="preserve"> (quoting </w:t>
      </w:r>
      <w:bookmarkStart w:id="764" w:name="Bookmark_I62TXS282D6NH70050000400"/>
      <w:bookmarkEnd w:id="764"/>
      <w:r>
        <w:rPr>
          <w:rFonts w:ascii="Arial" w:eastAsia="Arial" w:hAnsi="Arial" w:cs="Arial"/>
          <w:color w:val="000000"/>
          <w:sz w:val="20"/>
          <w:u w:val="single"/>
        </w:rPr>
        <w:t>Petro-Hunt, L.L.C. v. United States</w:t>
      </w:r>
      <w:r>
        <w:rPr>
          <w:rFonts w:ascii="Arial" w:eastAsia="Arial" w:hAnsi="Arial" w:cs="Arial"/>
          <w:color w:val="000000"/>
          <w:sz w:val="20"/>
        </w:rPr>
        <w:t xml:space="preserve">, 365 F.3d 385, 396 (5th Cir. 2004)). </w:t>
      </w:r>
      <w:bookmarkStart w:id="765" w:name="Bookmark_I62TXS282SF7X90030000400_2"/>
      <w:bookmarkEnd w:id="765"/>
      <w:r>
        <w:rPr>
          <w:rFonts w:ascii="Arial" w:eastAsia="Arial" w:hAnsi="Arial" w:cs="Arial"/>
          <w:color w:val="000000"/>
          <w:sz w:val="20"/>
        </w:rPr>
        <w:t xml:space="preserve">"Under the transactional test, a new action will be permitted only where it raises </w:t>
      </w:r>
      <w:r>
        <w:rPr>
          <w:rFonts w:ascii="Arial" w:eastAsia="Arial" w:hAnsi="Arial" w:cs="Arial"/>
          <w:color w:val="000000"/>
          <w:sz w:val="20"/>
          <w:u w:val="single"/>
        </w:rPr>
        <w:t>new and independent</w:t>
      </w:r>
      <w:r>
        <w:rPr>
          <w:rFonts w:ascii="Arial" w:eastAsia="Arial" w:hAnsi="Arial" w:cs="Arial"/>
          <w:color w:val="000000"/>
          <w:sz w:val="20"/>
        </w:rPr>
        <w:t xml:space="preserve"> claims, not part of the previous transaction, based on the new facts." </w:t>
      </w:r>
      <w:r>
        <w:rPr>
          <w:rFonts w:ascii="Arial" w:eastAsia="Arial" w:hAnsi="Arial" w:cs="Arial"/>
          <w:color w:val="000000"/>
          <w:sz w:val="20"/>
          <w:u w:val="single"/>
        </w:rPr>
        <w:t>Id.</w:t>
      </w:r>
      <w:r>
        <w:rPr>
          <w:rFonts w:ascii="Arial" w:eastAsia="Arial" w:hAnsi="Arial" w:cs="Arial"/>
          <w:color w:val="000000"/>
          <w:sz w:val="20"/>
        </w:rPr>
        <w:t xml:space="preserve"> (quoting </w:t>
      </w:r>
      <w:bookmarkStart w:id="766" w:name="Bookmark_I62TXS282SF7X90020000400"/>
      <w:bookmarkEnd w:id="766"/>
      <w:r>
        <w:rPr>
          <w:rFonts w:ascii="Arial" w:eastAsia="Arial" w:hAnsi="Arial" w:cs="Arial"/>
          <w:color w:val="000000"/>
          <w:sz w:val="20"/>
          <w:u w:val="single"/>
        </w:rPr>
        <w:t>Hatch v. Boulder Town Council</w:t>
      </w:r>
      <w:r>
        <w:rPr>
          <w:rFonts w:ascii="Arial" w:eastAsia="Arial" w:hAnsi="Arial" w:cs="Arial"/>
          <w:color w:val="000000"/>
          <w:sz w:val="20"/>
        </w:rPr>
        <w:t>, 471 F.3d 1142, 1150 (10th Cir. 2006)).</w:t>
      </w:r>
    </w:p>
    <w:p w14:paraId="0C5D3C58" w14:textId="77777777" w:rsidR="002B10A6" w:rsidRDefault="00000000">
      <w:pPr>
        <w:pStyle w:val="Normal4"/>
        <w:widowControl w:val="0"/>
        <w:spacing w:before="200" w:line="260" w:lineRule="atLeast"/>
        <w:jc w:val="both"/>
      </w:pPr>
      <w:bookmarkStart w:id="767" w:name="Bookmark_para_63"/>
      <w:bookmarkStart w:id="768" w:name="Bookmark_I62TXS282SF7X90050000400"/>
      <w:bookmarkEnd w:id="767"/>
      <w:bookmarkEnd w:id="768"/>
      <w:r>
        <w:rPr>
          <w:rFonts w:ascii="Arial" w:eastAsia="Arial" w:hAnsi="Arial" w:cs="Arial"/>
          <w:color w:val="000000"/>
          <w:sz w:val="20"/>
        </w:rPr>
        <w:t xml:space="preserve">The district court did not abuse its discretion in dismissing Count II for improper claim splitting because Count II and </w:t>
      </w:r>
      <w:r>
        <w:rPr>
          <w:rFonts w:ascii="Arial" w:eastAsia="Arial" w:hAnsi="Arial" w:cs="Arial"/>
          <w:color w:val="000000"/>
          <w:sz w:val="20"/>
          <w:u w:val="single"/>
        </w:rPr>
        <w:t>Floridian I</w:t>
      </w:r>
      <w:r>
        <w:rPr>
          <w:rFonts w:ascii="Arial" w:eastAsia="Arial" w:hAnsi="Arial" w:cs="Arial"/>
          <w:color w:val="000000"/>
          <w:sz w:val="20"/>
        </w:rPr>
        <w:t xml:space="preserve"> arise from the same transaction—Kennedy's use of Floridian's [**29]  ORS—and are based on facts that are sufficiently related in time, space, origin, and motivation.</w:t>
      </w:r>
      <w:r>
        <w:rPr>
          <w:rFonts w:ascii="Arial" w:eastAsia="Arial" w:hAnsi="Arial" w:cs="Arial"/>
          <w:vertAlign w:val="superscript"/>
        </w:rPr>
        <w:footnoteReference w:customMarkFollows="1" w:id="22"/>
        <w:t>7</w:t>
      </w:r>
      <w:r>
        <w:rPr>
          <w:rFonts w:ascii="Arial" w:eastAsia="Arial" w:hAnsi="Arial" w:cs="Arial"/>
          <w:color w:val="000000"/>
          <w:sz w:val="20"/>
        </w:rPr>
        <w:t xml:space="preserve"> </w:t>
      </w:r>
      <w:r>
        <w:rPr>
          <w:rFonts w:ascii="Arial" w:eastAsia="Arial" w:hAnsi="Arial" w:cs="Arial"/>
          <w:color w:val="000000"/>
          <w:sz w:val="20"/>
          <w:u w:val="single"/>
        </w:rPr>
        <w:t>See id.</w:t>
      </w:r>
      <w:r>
        <w:rPr>
          <w:rFonts w:ascii="Arial" w:eastAsia="Arial" w:hAnsi="Arial" w:cs="Arial"/>
          <w:color w:val="000000"/>
          <w:sz w:val="20"/>
        </w:rPr>
        <w:t xml:space="preserve"> The complaint in this action and the amended complaint in </w:t>
      </w:r>
      <w:r>
        <w:rPr>
          <w:rFonts w:ascii="Arial" w:eastAsia="Arial" w:hAnsi="Arial" w:cs="Arial"/>
          <w:color w:val="000000"/>
          <w:sz w:val="20"/>
          <w:u w:val="single"/>
        </w:rPr>
        <w:t>Floridian I</w:t>
      </w:r>
      <w:r>
        <w:rPr>
          <w:rFonts w:ascii="Arial" w:eastAsia="Arial" w:hAnsi="Arial" w:cs="Arial"/>
          <w:color w:val="000000"/>
          <w:sz w:val="20"/>
        </w:rPr>
        <w:t xml:space="preserve"> were filed within five months of each other. Both lawsuits allege violations of 28 C.F.R. § 36.302(e)(1) based on Floridian's ORS and are motivated by Kennedy's desire to obtain information about accessible rooms and amenities at the Hotel.</w:t>
      </w:r>
    </w:p>
    <w:p w14:paraId="6FE0A75A" w14:textId="77777777" w:rsidR="002B10A6" w:rsidRDefault="00000000">
      <w:pPr>
        <w:pStyle w:val="Normal4"/>
        <w:widowControl w:val="0"/>
        <w:spacing w:before="200" w:line="260" w:lineRule="atLeast"/>
        <w:jc w:val="both"/>
      </w:pPr>
      <w:bookmarkStart w:id="772" w:name="Bookmark_para_64"/>
      <w:bookmarkEnd w:id="772"/>
      <w:r>
        <w:rPr>
          <w:rFonts w:ascii="Arial" w:eastAsia="Arial" w:hAnsi="Arial" w:cs="Arial"/>
          <w:color w:val="000000"/>
          <w:sz w:val="20"/>
        </w:rPr>
        <w:t xml:space="preserve">To be sure, there are some additional factual allegations in Count II of the instant lawsuit that were not in the amended complaint in </w:t>
      </w:r>
      <w:r>
        <w:rPr>
          <w:rFonts w:ascii="Arial" w:eastAsia="Arial" w:hAnsi="Arial" w:cs="Arial"/>
          <w:color w:val="000000"/>
          <w:sz w:val="20"/>
          <w:u w:val="single"/>
        </w:rPr>
        <w:t>Floridian I</w:t>
      </w:r>
      <w:r>
        <w:rPr>
          <w:rFonts w:ascii="Arial" w:eastAsia="Arial" w:hAnsi="Arial" w:cs="Arial"/>
          <w:color w:val="000000"/>
          <w:sz w:val="20"/>
        </w:rPr>
        <w:t xml:space="preserve">, but the cause of action was essentially the same one about Floridian's ORS. </w:t>
      </w:r>
      <w:r>
        <w:rPr>
          <w:rFonts w:ascii="Arial" w:eastAsia="Arial" w:hAnsi="Arial" w:cs="Arial"/>
          <w:color w:val="000000"/>
          <w:sz w:val="20"/>
          <w:u w:val="single"/>
        </w:rPr>
        <w:t>Floridian I</w:t>
      </w:r>
      <w:r>
        <w:rPr>
          <w:rFonts w:ascii="Arial" w:eastAsia="Arial" w:hAnsi="Arial" w:cs="Arial"/>
          <w:color w:val="000000"/>
          <w:sz w:val="20"/>
        </w:rPr>
        <w:t xml:space="preserve"> was based solely on Floridian's ORS through floridianhotel.com, which Kennedy alleged failed to provide accessibility information. Count II was based on Floridian's ORS through the floridianhotel.com website and other third-party websites. Kennedy alleged that Floridian's ORS through some of these third-party websites also did not identify accessible guest rooms at the Hotel or allow for their booking, while others omitted information about the lack of accessible features. Kennedy maintains that Floridian revised its own website sometime after she filed </w:t>
      </w:r>
      <w:r>
        <w:rPr>
          <w:rFonts w:ascii="Arial" w:eastAsia="Arial" w:hAnsi="Arial" w:cs="Arial"/>
          <w:color w:val="000000"/>
          <w:sz w:val="20"/>
          <w:u w:val="single"/>
        </w:rPr>
        <w:t>Floridian I</w:t>
      </w:r>
      <w:r>
        <w:rPr>
          <w:rFonts w:ascii="Arial" w:eastAsia="Arial" w:hAnsi="Arial" w:cs="Arial"/>
          <w:color w:val="000000"/>
          <w:sz w:val="20"/>
        </w:rPr>
        <w:t xml:space="preserve"> and [**30]  that it was still not ADA compliant, though it is not clear when she first encountered the alleged deficiencies.</w:t>
      </w:r>
    </w:p>
    <w:p w14:paraId="1881080E" w14:textId="77777777" w:rsidR="002B10A6" w:rsidRDefault="00000000">
      <w:pPr>
        <w:pStyle w:val="Normal4"/>
        <w:widowControl w:val="0"/>
        <w:spacing w:before="200" w:line="260" w:lineRule="atLeast"/>
        <w:jc w:val="both"/>
      </w:pPr>
      <w:bookmarkStart w:id="773" w:name="Bookmark_para_65"/>
      <w:bookmarkStart w:id="774" w:name="Bookmark_I62TXS282N1RPN0020000400"/>
      <w:bookmarkEnd w:id="773"/>
      <w:bookmarkEnd w:id="774"/>
      <w:r>
        <w:rPr>
          <w:rFonts w:ascii="Arial" w:eastAsia="Arial" w:hAnsi="Arial" w:cs="Arial"/>
          <w:color w:val="000000"/>
          <w:sz w:val="20"/>
        </w:rPr>
        <w:t xml:space="preserve"> [*1237]  These additional facts concerning how Floridian's ORS violated 28 C.F.R. § 36.302(e)(1) do not give rise to new and independent claims that are part of a separate transaction. </w:t>
      </w:r>
      <w:r>
        <w:rPr>
          <w:rFonts w:ascii="Arial" w:eastAsia="Arial" w:hAnsi="Arial" w:cs="Arial"/>
          <w:color w:val="000000"/>
          <w:sz w:val="20"/>
          <w:u w:val="single"/>
        </w:rPr>
        <w:t xml:space="preserve">See </w:t>
      </w:r>
      <w:bookmarkStart w:id="775" w:name="Bookmark_I62TXS282N1RPN0010000400"/>
      <w:bookmarkEnd w:id="775"/>
      <w:r>
        <w:rPr>
          <w:rFonts w:ascii="Arial" w:eastAsia="Arial" w:hAnsi="Arial" w:cs="Arial"/>
          <w:color w:val="000000"/>
          <w:sz w:val="20"/>
          <w:u w:val="single"/>
        </w:rPr>
        <w:t>Hatch</w:t>
      </w:r>
      <w:r>
        <w:rPr>
          <w:rFonts w:ascii="Arial" w:eastAsia="Arial" w:hAnsi="Arial" w:cs="Arial"/>
          <w:color w:val="000000"/>
          <w:sz w:val="20"/>
        </w:rPr>
        <w:t>, 471 F.3d at 1150. Whether Floridian provided no information about accessibility or omitted information, Kennedy's claim was the same—Floridian prevented her from obtaining the information she needed to determine whether the Hotel was accessible.</w:t>
      </w:r>
    </w:p>
    <w:p w14:paraId="291ECB57" w14:textId="77777777" w:rsidR="002B10A6" w:rsidRDefault="00000000">
      <w:pPr>
        <w:pStyle w:val="Normal4"/>
        <w:widowControl w:val="0"/>
        <w:spacing w:before="200" w:line="260" w:lineRule="atLeast"/>
        <w:jc w:val="both"/>
      </w:pPr>
      <w:bookmarkStart w:id="776" w:name="Bookmark_para_66"/>
      <w:bookmarkEnd w:id="776"/>
      <w:r>
        <w:rPr>
          <w:rFonts w:ascii="Arial" w:eastAsia="Arial" w:hAnsi="Arial" w:cs="Arial"/>
          <w:color w:val="000000"/>
          <w:sz w:val="20"/>
        </w:rPr>
        <w:t xml:space="preserve">Kennedy raises several other arguments that are without merit, only one of which warrants any discussion. Kennedy argues we should not apply the rule against claim splitting because the district court dismissed </w:t>
      </w:r>
      <w:r>
        <w:rPr>
          <w:rFonts w:ascii="Arial" w:eastAsia="Arial" w:hAnsi="Arial" w:cs="Arial"/>
          <w:color w:val="000000"/>
          <w:sz w:val="20"/>
          <w:u w:val="single"/>
        </w:rPr>
        <w:t>Floridian I</w:t>
      </w:r>
      <w:r>
        <w:rPr>
          <w:rFonts w:ascii="Arial" w:eastAsia="Arial" w:hAnsi="Arial" w:cs="Arial"/>
          <w:color w:val="000000"/>
          <w:sz w:val="20"/>
        </w:rPr>
        <w:t xml:space="preserve"> with prejudice, concluding that further amendment could not cure the standing defect in that ORS case. Kennedy argues this created a "[c]atch-22" that left her with no recourse to pursue her ORS claims. This argument ignores the fact that Kennedy was allowed leave to amend in </w:t>
      </w:r>
      <w:r>
        <w:rPr>
          <w:rFonts w:ascii="Arial" w:eastAsia="Arial" w:hAnsi="Arial" w:cs="Arial"/>
          <w:color w:val="000000"/>
          <w:sz w:val="20"/>
          <w:u w:val="single"/>
        </w:rPr>
        <w:t>Floridian I</w:t>
      </w:r>
      <w:r>
        <w:rPr>
          <w:rFonts w:ascii="Arial" w:eastAsia="Arial" w:hAnsi="Arial" w:cs="Arial"/>
          <w:color w:val="000000"/>
          <w:sz w:val="20"/>
        </w:rPr>
        <w:t xml:space="preserve"> and had the opportunity to include her additional factual allegations regarding Floridian's ORS. There was no catch-22. It was within the district court's discretion to conclude that Count II [**31]  in the second case involved the same ADA-non-compliance claim about Floridian's ORS and did not state a new and independent ADA claim.</w:t>
      </w:r>
      <w:r>
        <w:rPr>
          <w:rFonts w:ascii="Arial" w:eastAsia="Arial" w:hAnsi="Arial" w:cs="Arial"/>
          <w:vertAlign w:val="superscript"/>
        </w:rPr>
        <w:footnoteReference w:customMarkFollows="1" w:id="23"/>
        <w:t>8</w:t>
      </w:r>
    </w:p>
    <w:p w14:paraId="1D6BA2AC" w14:textId="77777777" w:rsidR="002B10A6" w:rsidRDefault="00000000">
      <w:pPr>
        <w:pStyle w:val="Normal4"/>
        <w:widowControl w:val="0"/>
        <w:spacing w:before="240" w:line="260" w:lineRule="atLeast"/>
      </w:pPr>
      <w:r>
        <w:br/>
      </w:r>
      <w:r>
        <w:rPr>
          <w:rFonts w:ascii="Arial" w:eastAsia="Arial" w:hAnsi="Arial" w:cs="Arial"/>
          <w:b/>
          <w:color w:val="000000"/>
          <w:sz w:val="20"/>
        </w:rPr>
        <w:t>VI. CONCLUSION</w:t>
      </w:r>
    </w:p>
    <w:p w14:paraId="454C60B3" w14:textId="77777777" w:rsidR="002B10A6" w:rsidRDefault="00000000">
      <w:pPr>
        <w:pStyle w:val="Normal4"/>
        <w:widowControl w:val="0"/>
        <w:spacing w:before="200" w:line="260" w:lineRule="atLeast"/>
        <w:jc w:val="both"/>
      </w:pPr>
      <w:bookmarkStart w:id="778" w:name="Bookmark_para_67"/>
      <w:bookmarkEnd w:id="778"/>
      <w:r>
        <w:rPr>
          <w:rFonts w:ascii="Arial" w:eastAsia="Arial" w:hAnsi="Arial" w:cs="Arial"/>
          <w:color w:val="000000"/>
          <w:sz w:val="20"/>
        </w:rPr>
        <w:t>For the reasons above, we affirm the district court's dismissal of Count II for claim splitting. We also affirm the district court's dismissal of Count I for lack of standing, except to the extent it dismissed Count I with prejudice. We remand the case solely so that the district court may amend its judgment to dismiss Count I without prejudice.</w:t>
      </w:r>
    </w:p>
    <w:p w14:paraId="1E26800E" w14:textId="77777777" w:rsidR="002B10A6" w:rsidRDefault="00000000">
      <w:pPr>
        <w:pStyle w:val="Normal4"/>
        <w:widowControl w:val="0"/>
        <w:spacing w:before="200" w:line="260" w:lineRule="atLeast"/>
        <w:jc w:val="both"/>
      </w:pPr>
      <w:bookmarkStart w:id="779" w:name="Bookmark_para_68"/>
      <w:bookmarkEnd w:id="779"/>
      <w:r>
        <w:rPr>
          <w:rFonts w:ascii="Arial" w:eastAsia="Arial" w:hAnsi="Arial" w:cs="Arial"/>
          <w:b/>
          <w:color w:val="000000"/>
          <w:sz w:val="20"/>
        </w:rPr>
        <w:t>AFFIRMED AND REMANDED</w:t>
      </w:r>
      <w:r>
        <w:rPr>
          <w:rFonts w:ascii="Arial" w:eastAsia="Arial" w:hAnsi="Arial" w:cs="Arial"/>
          <w:color w:val="000000"/>
          <w:sz w:val="20"/>
        </w:rPr>
        <w:t>.</w:t>
      </w:r>
    </w:p>
    <w:p w14:paraId="460B686F" w14:textId="77777777" w:rsidR="002B10A6" w:rsidRDefault="002B10A6">
      <w:pPr>
        <w:pStyle w:val="Normal4"/>
      </w:pPr>
    </w:p>
    <w:p w14:paraId="3EB251E0" w14:textId="72F8BFF2" w:rsidR="002B10A6" w:rsidRDefault="00000000">
      <w:pPr>
        <w:pStyle w:val="Normal4"/>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67456" behindDoc="0" locked="0" layoutInCell="1" allowOverlap="1" wp14:anchorId="4A9B83B7" wp14:editId="03B5DD55">
                <wp:simplePos x="0" y="0"/>
                <wp:positionH relativeFrom="column">
                  <wp:posOffset>0</wp:posOffset>
                </wp:positionH>
                <wp:positionV relativeFrom="paragraph">
                  <wp:posOffset>127000</wp:posOffset>
                </wp:positionV>
                <wp:extent cx="6502400" cy="0"/>
                <wp:effectExtent l="9525" t="12700" r="12700" b="6350"/>
                <wp:wrapNone/>
                <wp:docPr id="66248737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6BC7F"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9FBD943" w14:textId="77777777" w:rsidR="002B10A6" w:rsidRDefault="002B10A6">
      <w:pPr>
        <w:pStyle w:val="Normal5"/>
        <w:sectPr w:rsidR="002B10A6">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gutter="0"/>
          <w:cols w:space="720"/>
          <w:titlePg/>
        </w:sectPr>
      </w:pPr>
    </w:p>
    <w:p w14:paraId="2DCAC5D8" w14:textId="77777777" w:rsidR="002B10A6" w:rsidRDefault="002B10A6">
      <w:pPr>
        <w:pStyle w:val="Normal5"/>
      </w:pPr>
    </w:p>
    <w:p w14:paraId="5714B587" w14:textId="77777777" w:rsidR="002B10A6" w:rsidRDefault="00000000">
      <w:pPr>
        <w:pStyle w:val="Heading14"/>
        <w:keepNext w:val="0"/>
        <w:widowControl w:val="0"/>
        <w:spacing w:after="200" w:line="340" w:lineRule="atLeast"/>
        <w:jc w:val="center"/>
      </w:pPr>
      <w:r>
        <w:rPr>
          <w:rFonts w:eastAsia="Arial"/>
          <w:color w:val="000000"/>
          <w:sz w:val="28"/>
        </w:rPr>
        <w:t>Reyes v. Jensen</w:t>
      </w:r>
    </w:p>
    <w:p w14:paraId="5084CF83" w14:textId="77777777" w:rsidR="002B10A6" w:rsidRDefault="00000000">
      <w:pPr>
        <w:pStyle w:val="Normal5"/>
        <w:widowControl w:val="0"/>
        <w:spacing w:before="120" w:line="260" w:lineRule="atLeast"/>
        <w:jc w:val="center"/>
      </w:pPr>
      <w:r>
        <w:rPr>
          <w:rFonts w:ascii="Arial" w:eastAsia="Arial" w:hAnsi="Arial" w:cs="Arial"/>
          <w:color w:val="000000"/>
          <w:sz w:val="20"/>
        </w:rPr>
        <w:t>United States Court of Appeals for the Tenth Circuit</w:t>
      </w:r>
    </w:p>
    <w:p w14:paraId="1219BBC5" w14:textId="77777777" w:rsidR="002B10A6" w:rsidRDefault="00000000">
      <w:pPr>
        <w:pStyle w:val="Normal5"/>
        <w:widowControl w:val="0"/>
        <w:spacing w:before="120" w:line="260" w:lineRule="atLeast"/>
        <w:jc w:val="center"/>
      </w:pPr>
      <w:r>
        <w:rPr>
          <w:rFonts w:ascii="Arial" w:eastAsia="Arial" w:hAnsi="Arial" w:cs="Arial"/>
          <w:color w:val="000000"/>
          <w:sz w:val="20"/>
        </w:rPr>
        <w:t>May 24, 2021, Filed</w:t>
      </w:r>
    </w:p>
    <w:p w14:paraId="00452C9E" w14:textId="77777777" w:rsidR="002B10A6" w:rsidRDefault="00000000">
      <w:pPr>
        <w:pStyle w:val="Normal5"/>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20-1247</w:t>
      </w:r>
    </w:p>
    <w:p w14:paraId="78CD57C7" w14:textId="77777777" w:rsidR="002B10A6" w:rsidRDefault="002B10A6">
      <w:pPr>
        <w:pStyle w:val="Normal5"/>
        <w:widowControl w:val="0"/>
        <w:spacing w:line="240" w:lineRule="atLeast"/>
        <w:jc w:val="both"/>
      </w:pPr>
      <w:bookmarkStart w:id="780" w:name="Bookmark_6"/>
      <w:bookmarkEnd w:id="780"/>
    </w:p>
    <w:p w14:paraId="78AD57D7" w14:textId="77777777" w:rsidR="002B10A6" w:rsidRDefault="00000000">
      <w:pPr>
        <w:pStyle w:val="Normal5"/>
        <w:widowControl w:val="0"/>
        <w:spacing w:before="200" w:line="240" w:lineRule="atLeast"/>
      </w:pPr>
      <w:bookmarkStart w:id="781" w:name="Reporter_4"/>
      <w:bookmarkEnd w:id="781"/>
      <w:r>
        <w:rPr>
          <w:rFonts w:ascii="Arial" w:eastAsia="Arial" w:hAnsi="Arial" w:cs="Arial"/>
          <w:b/>
          <w:color w:val="000000"/>
          <w:sz w:val="18"/>
        </w:rPr>
        <w:t>Reporter</w:t>
      </w:r>
    </w:p>
    <w:p w14:paraId="2D0FC692" w14:textId="77777777" w:rsidR="002B10A6" w:rsidRDefault="00000000">
      <w:pPr>
        <w:pStyle w:val="Normal5"/>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857 Fed. Appx. 436 *; 2021 U.S. App. LEXIS 15353 **; 2021 WL 2069699</w:t>
      </w:r>
    </w:p>
    <w:p w14:paraId="5141A56E" w14:textId="77777777" w:rsidR="002B10A6" w:rsidRDefault="00000000">
      <w:pPr>
        <w:pStyle w:val="Normal5"/>
        <w:widowControl w:val="0"/>
        <w:spacing w:before="120" w:line="260" w:lineRule="atLeast"/>
      </w:pPr>
      <w:r>
        <w:rPr>
          <w:rFonts w:ascii="Arial" w:eastAsia="Arial" w:hAnsi="Arial" w:cs="Arial"/>
          <w:color w:val="000000"/>
          <w:sz w:val="20"/>
        </w:rPr>
        <w:t>PEDRO REYES; TERESITA REYES, Plaintiffs - Appellants, v. JEFF JENSEN; GARY GERRARD; LARIMER COUNTY COMMUNITY PLANNING DEPARTMENT, Defendants - Appellees.</w:t>
      </w:r>
    </w:p>
    <w:p w14:paraId="5E74575C" w14:textId="77777777" w:rsidR="002B10A6" w:rsidRDefault="00000000">
      <w:pPr>
        <w:pStyle w:val="Normal5"/>
        <w:widowControl w:val="0"/>
        <w:spacing w:before="240" w:line="260" w:lineRule="atLeast"/>
        <w:jc w:val="both"/>
      </w:pPr>
      <w:bookmarkStart w:id="782" w:name="Notice_0"/>
      <w:bookmarkEnd w:id="782"/>
      <w:r>
        <w:rPr>
          <w:rFonts w:ascii="Arial" w:eastAsia="Arial" w:hAnsi="Arial" w:cs="Arial"/>
          <w:b/>
          <w:color w:val="000000"/>
          <w:sz w:val="20"/>
        </w:rPr>
        <w:t>Notice:</w:t>
      </w:r>
      <w:r>
        <w:rPr>
          <w:rFonts w:ascii="Arial" w:eastAsia="Arial" w:hAnsi="Arial" w:cs="Arial"/>
          <w:color w:val="000000"/>
          <w:sz w:val="20"/>
        </w:rPr>
        <w:t> </w:t>
      </w:r>
      <w:bookmarkStart w:id="783" w:name="Bookmark_para_1_4"/>
      <w:bookmarkEnd w:id="783"/>
      <w:r>
        <w:rPr>
          <w:rFonts w:ascii="Arial" w:eastAsia="Arial" w:hAnsi="Arial" w:cs="Arial"/>
          <w:color w:val="000000"/>
          <w:sz w:val="20"/>
        </w:rPr>
        <w:t>PLEASE REFER TO FEDERAL RULES OF APPELLATE PROCEDURE RULE 32.1 GOVERNING THE CITATION TO UNPUBLISHED OPINIONS.</w:t>
      </w:r>
    </w:p>
    <w:p w14:paraId="30483B91" w14:textId="77777777" w:rsidR="002B10A6" w:rsidRDefault="00000000">
      <w:pPr>
        <w:pStyle w:val="Normal5"/>
        <w:widowControl w:val="0"/>
        <w:spacing w:before="240" w:line="260" w:lineRule="atLeast"/>
      </w:pPr>
      <w:bookmarkStart w:id="784" w:name="Subsequent_History_1"/>
      <w:bookmarkEnd w:id="784"/>
      <w:r>
        <w:rPr>
          <w:rFonts w:ascii="Arial" w:eastAsia="Arial" w:hAnsi="Arial" w:cs="Arial"/>
          <w:b/>
          <w:color w:val="000000"/>
          <w:sz w:val="20"/>
        </w:rPr>
        <w:t>Subsequent History:</w:t>
      </w:r>
      <w:r>
        <w:rPr>
          <w:rFonts w:ascii="Arial" w:eastAsia="Arial" w:hAnsi="Arial" w:cs="Arial"/>
          <w:color w:val="000000"/>
          <w:sz w:val="20"/>
        </w:rPr>
        <w:t> US Supreme Court certiorari denied by Reyes v. Jensen, 2021 U.S. LEXIS 5212 (U.S., Oct. 12, 2021)</w:t>
      </w:r>
    </w:p>
    <w:p w14:paraId="5E21E6AA" w14:textId="77777777" w:rsidR="002B10A6" w:rsidRDefault="00000000">
      <w:pPr>
        <w:pStyle w:val="Normal5"/>
        <w:widowControl w:val="0"/>
        <w:spacing w:before="240" w:line="260" w:lineRule="atLeast"/>
        <w:jc w:val="both"/>
      </w:pPr>
      <w:bookmarkStart w:id="785" w:name="Prior_History_4"/>
      <w:bookmarkEnd w:id="785"/>
      <w:r>
        <w:rPr>
          <w:rFonts w:ascii="Arial" w:eastAsia="Arial" w:hAnsi="Arial" w:cs="Arial"/>
          <w:b/>
          <w:color w:val="000000"/>
          <w:sz w:val="20"/>
        </w:rPr>
        <w:t>Prior History:</w:t>
      </w:r>
      <w:r>
        <w:rPr>
          <w:rFonts w:ascii="Arial" w:eastAsia="Arial" w:hAnsi="Arial" w:cs="Arial"/>
          <w:color w:val="000000"/>
          <w:sz w:val="20"/>
        </w:rPr>
        <w:t> </w:t>
      </w:r>
      <w:bookmarkStart w:id="786" w:name="Bookmark_para_2_4"/>
      <w:bookmarkEnd w:id="786"/>
      <w:r>
        <w:rPr>
          <w:rFonts w:ascii="Arial" w:eastAsia="Arial" w:hAnsi="Arial" w:cs="Arial"/>
          <w:color w:val="000000"/>
          <w:sz w:val="20"/>
        </w:rPr>
        <w:t> [**1] (D.C. No. 1:18-CV-03115-STV). (D. Colo.).</w:t>
      </w:r>
    </w:p>
    <w:p w14:paraId="559B026A" w14:textId="77777777" w:rsidR="002B10A6" w:rsidRDefault="00000000">
      <w:pPr>
        <w:pStyle w:val="Normal5"/>
        <w:widowControl w:val="0"/>
        <w:spacing w:before="120" w:line="260" w:lineRule="atLeast"/>
      </w:pPr>
      <w:r>
        <w:rPr>
          <w:rFonts w:ascii="Arial" w:eastAsia="Arial" w:hAnsi="Arial" w:cs="Arial"/>
          <w:color w:val="000000"/>
          <w:sz w:val="20"/>
        </w:rPr>
        <w:t>Reyes v. Jensen, 2020 U.S. Dist. LEXIS 17370, 2020 WL 508945 (D. Colo., Jan. 31, 2020)</w:t>
      </w:r>
    </w:p>
    <w:p w14:paraId="36B8839C" w14:textId="77777777" w:rsidR="002B10A6" w:rsidRDefault="00000000">
      <w:pPr>
        <w:pStyle w:val="Normal5"/>
        <w:widowControl w:val="0"/>
        <w:spacing w:before="240" w:line="260" w:lineRule="atLeast"/>
      </w:pPr>
      <w:bookmarkStart w:id="787" w:name="Counsel_4"/>
      <w:bookmarkEnd w:id="787"/>
      <w:r>
        <w:rPr>
          <w:rFonts w:ascii="Arial" w:eastAsia="Arial" w:hAnsi="Arial" w:cs="Arial"/>
          <w:b/>
          <w:color w:val="000000"/>
          <w:sz w:val="20"/>
        </w:rPr>
        <w:t>Counsel:</w:t>
      </w:r>
      <w:r>
        <w:rPr>
          <w:rFonts w:ascii="Arial" w:eastAsia="Arial" w:hAnsi="Arial" w:cs="Arial"/>
          <w:color w:val="000000"/>
          <w:sz w:val="20"/>
        </w:rPr>
        <w:t> PEDRO REYES, Plaintiff - Appellant, Pro se, Fort Collins, CO.</w:t>
      </w:r>
    </w:p>
    <w:p w14:paraId="5F9DCF1D" w14:textId="77777777" w:rsidR="002B10A6" w:rsidRDefault="00000000">
      <w:pPr>
        <w:pStyle w:val="Normal5"/>
        <w:widowControl w:val="0"/>
        <w:spacing w:before="120" w:line="260" w:lineRule="atLeast"/>
      </w:pPr>
      <w:r>
        <w:rPr>
          <w:rFonts w:ascii="Arial" w:eastAsia="Arial" w:hAnsi="Arial" w:cs="Arial"/>
          <w:color w:val="000000"/>
          <w:sz w:val="20"/>
        </w:rPr>
        <w:t>TERESITA REYES, Plaintiff - Appellant, Pro se, Fort Collins, CO.</w:t>
      </w:r>
    </w:p>
    <w:p w14:paraId="441F6466" w14:textId="77777777" w:rsidR="002B10A6" w:rsidRDefault="00000000">
      <w:pPr>
        <w:pStyle w:val="Normal5"/>
        <w:widowControl w:val="0"/>
        <w:spacing w:before="120" w:line="260" w:lineRule="atLeast"/>
      </w:pPr>
      <w:r>
        <w:rPr>
          <w:rFonts w:ascii="Arial" w:eastAsia="Arial" w:hAnsi="Arial" w:cs="Arial"/>
          <w:color w:val="000000"/>
          <w:sz w:val="20"/>
        </w:rPr>
        <w:t>For JEFF JENSEN, GARY GERRARD, LARIMER COUNTY COMMUNITY PLANNING DEPARTMENT, Defendants - Appellees: David Ayraud, Jeannine Sue Haag, Larimer County Attorney's Office, Fort Collins, CO.</w:t>
      </w:r>
    </w:p>
    <w:p w14:paraId="035B873B" w14:textId="77777777" w:rsidR="002B10A6" w:rsidRDefault="00000000">
      <w:pPr>
        <w:pStyle w:val="Normal5"/>
        <w:widowControl w:val="0"/>
        <w:spacing w:before="240" w:line="260" w:lineRule="atLeast"/>
      </w:pPr>
      <w:bookmarkStart w:id="788" w:name="Judges_4"/>
      <w:bookmarkEnd w:id="788"/>
      <w:r>
        <w:rPr>
          <w:rFonts w:ascii="Arial" w:eastAsia="Arial" w:hAnsi="Arial" w:cs="Arial"/>
          <w:b/>
          <w:color w:val="000000"/>
          <w:sz w:val="20"/>
        </w:rPr>
        <w:t>Judges:</w:t>
      </w:r>
      <w:r>
        <w:rPr>
          <w:rFonts w:ascii="Arial" w:eastAsia="Arial" w:hAnsi="Arial" w:cs="Arial"/>
          <w:color w:val="000000"/>
          <w:sz w:val="20"/>
        </w:rPr>
        <w:t> Before MATHESON, BRISCOE, and CARSON, Circuit Judges.</w:t>
      </w:r>
    </w:p>
    <w:p w14:paraId="695FA4AB" w14:textId="77777777" w:rsidR="002B10A6" w:rsidRDefault="00000000">
      <w:pPr>
        <w:pStyle w:val="Normal5"/>
        <w:widowControl w:val="0"/>
        <w:spacing w:before="240" w:line="260" w:lineRule="atLeast"/>
      </w:pPr>
      <w:bookmarkStart w:id="789" w:name="Opinion_by_4"/>
      <w:bookmarkEnd w:id="789"/>
      <w:r>
        <w:rPr>
          <w:rFonts w:ascii="Arial" w:eastAsia="Arial" w:hAnsi="Arial" w:cs="Arial"/>
          <w:b/>
          <w:color w:val="000000"/>
          <w:sz w:val="20"/>
        </w:rPr>
        <w:t>Opinion by:</w:t>
      </w:r>
      <w:r>
        <w:rPr>
          <w:rFonts w:ascii="Arial" w:eastAsia="Arial" w:hAnsi="Arial" w:cs="Arial"/>
          <w:color w:val="000000"/>
          <w:sz w:val="20"/>
        </w:rPr>
        <w:t> Mary Beck Briscoe</w:t>
      </w:r>
    </w:p>
    <w:p w14:paraId="153D23D8" w14:textId="77777777" w:rsidR="002B10A6" w:rsidRDefault="00000000">
      <w:pPr>
        <w:pStyle w:val="Normal5"/>
        <w:keepNext/>
        <w:widowControl w:val="0"/>
        <w:spacing w:before="240" w:line="340" w:lineRule="atLeast"/>
      </w:pPr>
      <w:bookmarkStart w:id="790" w:name="Opinion_4"/>
      <w:bookmarkEnd w:id="790"/>
      <w:r>
        <w:rPr>
          <w:rFonts w:ascii="Arial" w:eastAsia="Arial" w:hAnsi="Arial" w:cs="Arial"/>
          <w:b/>
          <w:color w:val="000000"/>
          <w:sz w:val="28"/>
        </w:rPr>
        <w:t>Opinion</w:t>
      </w:r>
    </w:p>
    <w:p w14:paraId="6594C246" w14:textId="0CB97F4B" w:rsidR="002B10A6" w:rsidRDefault="002D6974">
      <w:pPr>
        <w:pStyle w:val="Normal5"/>
        <w:spacing w:line="60" w:lineRule="exact"/>
      </w:pPr>
      <w:r>
        <w:rPr>
          <w:noProof/>
        </w:rPr>
        <mc:AlternateContent>
          <mc:Choice Requires="wps">
            <w:drawing>
              <wp:anchor distT="0" distB="0" distL="114300" distR="114300" simplePos="0" relativeHeight="251668480" behindDoc="0" locked="0" layoutInCell="1" allowOverlap="1" wp14:anchorId="4B18D2C1" wp14:editId="29AA7E3C">
                <wp:simplePos x="0" y="0"/>
                <wp:positionH relativeFrom="column">
                  <wp:posOffset>0</wp:posOffset>
                </wp:positionH>
                <wp:positionV relativeFrom="paragraph">
                  <wp:posOffset>25400</wp:posOffset>
                </wp:positionV>
                <wp:extent cx="3187700" cy="0"/>
                <wp:effectExtent l="19050" t="15875" r="12700" b="12700"/>
                <wp:wrapTopAndBottom/>
                <wp:docPr id="167888596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6E4C8" id="Line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6EDE919" w14:textId="77777777" w:rsidR="002B10A6" w:rsidRDefault="002B10A6">
      <w:pPr>
        <w:pStyle w:val="Normal5"/>
        <w:spacing w:line="120" w:lineRule="exact"/>
      </w:pPr>
    </w:p>
    <w:p w14:paraId="40142C9D" w14:textId="77777777" w:rsidR="002B10A6" w:rsidRDefault="00000000">
      <w:pPr>
        <w:pStyle w:val="Normal5"/>
        <w:widowControl w:val="0"/>
        <w:spacing w:before="240" w:line="260" w:lineRule="atLeast"/>
      </w:pPr>
      <w:r>
        <w:br/>
      </w:r>
      <w:r>
        <w:rPr>
          <w:rFonts w:ascii="Arial" w:eastAsia="Arial" w:hAnsi="Arial" w:cs="Arial"/>
          <w:color w:val="000000"/>
          <w:sz w:val="20"/>
        </w:rPr>
        <w:t xml:space="preserve"> [*436]  </w:t>
      </w:r>
      <w:r>
        <w:rPr>
          <w:rFonts w:ascii="Arial" w:eastAsia="Arial" w:hAnsi="Arial" w:cs="Arial"/>
          <w:b/>
          <w:color w:val="000000"/>
          <w:sz w:val="20"/>
        </w:rPr>
        <w:t>ORDER AND JUDGMENT</w:t>
      </w:r>
      <w:r>
        <w:rPr>
          <w:rFonts w:ascii="Arial" w:eastAsia="Arial" w:hAnsi="Arial" w:cs="Arial"/>
          <w:vertAlign w:val="superscript"/>
        </w:rPr>
        <w:footnoteReference w:customMarkFollows="1" w:id="24"/>
        <w:t>*</w:t>
      </w:r>
    </w:p>
    <w:p w14:paraId="61005647" w14:textId="77777777" w:rsidR="002B10A6" w:rsidRDefault="00000000">
      <w:pPr>
        <w:pStyle w:val="Normal5"/>
        <w:widowControl w:val="0"/>
        <w:spacing w:before="200" w:line="260" w:lineRule="atLeast"/>
        <w:jc w:val="both"/>
      </w:pPr>
      <w:bookmarkStart w:id="792" w:name="Bookmark_para_3_4"/>
      <w:bookmarkEnd w:id="792"/>
      <w:r>
        <w:rPr>
          <w:rFonts w:ascii="Arial" w:eastAsia="Arial" w:hAnsi="Arial" w:cs="Arial"/>
          <w:color w:val="000000"/>
          <w:sz w:val="20"/>
        </w:rPr>
        <w:t xml:space="preserve">Husband and wife Pedro Reyes and Teresita Reyes, appearing pro se, appeal the district court's grant of summary judgment [*437]  </w:t>
      </w:r>
      <w:r>
        <w:rPr>
          <w:rFonts w:ascii="Arial" w:eastAsia="Arial" w:hAnsi="Arial" w:cs="Arial"/>
          <w:vertAlign w:val="superscript"/>
        </w:rPr>
        <w:footnoteReference w:customMarkFollows="1" w:id="25"/>
        <w:t>1</w:t>
      </w:r>
      <w:r>
        <w:rPr>
          <w:rFonts w:ascii="Arial" w:eastAsia="Arial" w:hAnsi="Arial" w:cs="Arial"/>
          <w:color w:val="000000"/>
          <w:sz w:val="20"/>
        </w:rPr>
        <w:t xml:space="preserve"> in favor of defendants Jeff Jensen, Gary Gerrard, and the Larimer County Community Planning Department ("Planning Commission")</w:t>
      </w:r>
      <w:r>
        <w:rPr>
          <w:rFonts w:ascii="Arial" w:eastAsia="Arial" w:hAnsi="Arial" w:cs="Arial"/>
          <w:vertAlign w:val="superscript"/>
        </w:rPr>
        <w:footnoteReference w:customMarkFollows="1" w:id="26"/>
        <w:t>2</w:t>
      </w:r>
      <w:r>
        <w:rPr>
          <w:rFonts w:ascii="Arial" w:eastAsia="Arial" w:hAnsi="Arial" w:cs="Arial"/>
          <w:color w:val="000000"/>
          <w:sz w:val="20"/>
        </w:rPr>
        <w:t xml:space="preserve"> on their claims under Title II of the Americans with Disabilities Act ("ADA") and due process under 42 U.S.C. § 1983. Exercising jurisdiction under 28 U.S.C. § 1291, we affirm for the reasons set forth in the district court's thorough and well-reasoned order dated June 19, 2020.</w:t>
      </w:r>
    </w:p>
    <w:p w14:paraId="64FADA6D" w14:textId="77777777" w:rsidR="002B10A6" w:rsidRDefault="00000000">
      <w:pPr>
        <w:pStyle w:val="Normal5"/>
        <w:widowControl w:val="0"/>
        <w:spacing w:before="240" w:line="260" w:lineRule="atLeast"/>
      </w:pPr>
      <w:r>
        <w:br/>
      </w:r>
      <w:r>
        <w:rPr>
          <w:rFonts w:ascii="Arial" w:eastAsia="Arial" w:hAnsi="Arial" w:cs="Arial"/>
          <w:b/>
          <w:color w:val="000000"/>
          <w:sz w:val="20"/>
        </w:rPr>
        <w:t>I. BACKGROUND</w:t>
      </w:r>
    </w:p>
    <w:p w14:paraId="069A7260" w14:textId="77777777" w:rsidR="002B10A6" w:rsidRDefault="00000000">
      <w:pPr>
        <w:pStyle w:val="Normal5"/>
        <w:widowControl w:val="0"/>
        <w:spacing w:before="200" w:line="260" w:lineRule="atLeast"/>
        <w:jc w:val="both"/>
      </w:pPr>
      <w:bookmarkStart w:id="795" w:name="Bookmark_para_4_4"/>
      <w:bookmarkEnd w:id="795"/>
      <w:r>
        <w:rPr>
          <w:rFonts w:ascii="Arial" w:eastAsia="Arial" w:hAnsi="Arial" w:cs="Arial"/>
          <w:color w:val="000000"/>
          <w:sz w:val="20"/>
        </w:rPr>
        <w:t>This case arose out of events at a public hearing before the Planning Commission on August 15, 2018. Loveland Ready-Mix Concrete, Inc. ("Ready Mix") applied to the Larimer County Community Development Department for a special-review permit to operate a gravel mine near Laporte, Colorado. As part of [**2]  the permitting process, Ready Mix was required to present its application to the Planning Commission at a public hearing, after which the Commission would make a recommendation to the Larimer Board of County Commissioners ("Board of Commissioners") to approve the application (with or without conditions) or deny it.</w:t>
      </w:r>
    </w:p>
    <w:p w14:paraId="6E227A21" w14:textId="77777777" w:rsidR="002B10A6" w:rsidRDefault="00000000">
      <w:pPr>
        <w:pStyle w:val="Normal5"/>
        <w:widowControl w:val="0"/>
        <w:spacing w:before="200" w:line="260" w:lineRule="atLeast"/>
        <w:jc w:val="both"/>
      </w:pPr>
      <w:bookmarkStart w:id="796" w:name="Bookmark_para_5_4"/>
      <w:bookmarkEnd w:id="796"/>
      <w:r>
        <w:rPr>
          <w:rFonts w:ascii="Arial" w:eastAsia="Arial" w:hAnsi="Arial" w:cs="Arial"/>
          <w:color w:val="000000"/>
          <w:sz w:val="20"/>
        </w:rPr>
        <w:t>The first public hearing took place on August 15. The hearing was advertised in advance, video recorded, and televised to the local government channel. At the time of the hearing, Mr. Jensen was the Chair of the Planning Commission and Mr. Gerrard was the Vice-Chair. Mr. Reyes and Ms. Reyes attended the August 15 hearing, and each signed up to speak regarding Ready Mix's application. At the outset, Mr. Jensen explained the procedures that would apply at the hearing, including that each person who signed up to speak would be allowed two minutes to testify and if the hearing was not concluded by 10:00 p.m., it would continue the following week on August 22.</w:t>
      </w:r>
    </w:p>
    <w:p w14:paraId="3BB4391A" w14:textId="77777777" w:rsidR="002B10A6" w:rsidRDefault="00000000">
      <w:pPr>
        <w:pStyle w:val="Normal5"/>
        <w:widowControl w:val="0"/>
        <w:spacing w:before="200" w:line="260" w:lineRule="atLeast"/>
        <w:jc w:val="both"/>
      </w:pPr>
      <w:bookmarkStart w:id="797" w:name="Bookmark_para_6_4"/>
      <w:bookmarkEnd w:id="797"/>
      <w:r>
        <w:rPr>
          <w:rFonts w:ascii="Arial" w:eastAsia="Arial" w:hAnsi="Arial" w:cs="Arial"/>
          <w:color w:val="000000"/>
          <w:sz w:val="20"/>
        </w:rPr>
        <w:t xml:space="preserve">Ready Mix made its presentation and Mr. Jensen then called on the individuals who had signed up to speak. When Ms. Reyes's name was called, she got up and began speaking; but when her comments exceeded the two-minute limit, [**3]  Mr. Jensen reminded her three times that her time had expired. Mr. Jensen then called the next speaker—Mr. Reyes—who asked twice, "Can I give my time to her?" referring to his wife. R., Vol. 2 at 44 (alteration and internal quotation marks omitted). When Mr. Gerrard explained to Mr. Jensen that Mr. Reyes was asking to give his time to his wife, Mr. Jensen told Mr. Reyes, "No, sir. You cannot do that. You're welcome to come and speak if you'd like." </w:t>
      </w:r>
      <w:r>
        <w:rPr>
          <w:rFonts w:ascii="Arial" w:eastAsia="Arial" w:hAnsi="Arial" w:cs="Arial"/>
          <w:i/>
          <w:color w:val="000000"/>
          <w:sz w:val="20"/>
        </w:rPr>
        <w:t>Id.</w:t>
      </w:r>
      <w:r>
        <w:rPr>
          <w:rFonts w:ascii="Arial" w:eastAsia="Arial" w:hAnsi="Arial" w:cs="Arial"/>
          <w:color w:val="000000"/>
          <w:sz w:val="20"/>
        </w:rPr>
        <w:t xml:space="preserve"> at 45-46 (internal quotation marks omitted). Mr. Reyes responded, "No. Thank you." </w:t>
      </w:r>
      <w:r>
        <w:rPr>
          <w:rFonts w:ascii="Arial" w:eastAsia="Arial" w:hAnsi="Arial" w:cs="Arial"/>
          <w:i/>
          <w:color w:val="000000"/>
          <w:sz w:val="20"/>
        </w:rPr>
        <w:t>Id.</w:t>
      </w:r>
      <w:r>
        <w:rPr>
          <w:rFonts w:ascii="Arial" w:eastAsia="Arial" w:hAnsi="Arial" w:cs="Arial"/>
          <w:color w:val="000000"/>
          <w:sz w:val="20"/>
        </w:rPr>
        <w:t xml:space="preserve"> at 46 (internal quotation marks omitted).</w:t>
      </w:r>
    </w:p>
    <w:p w14:paraId="0BFF70B1" w14:textId="77777777" w:rsidR="002B10A6" w:rsidRDefault="00000000">
      <w:pPr>
        <w:pStyle w:val="Normal5"/>
        <w:widowControl w:val="0"/>
        <w:spacing w:before="200" w:line="260" w:lineRule="atLeast"/>
        <w:jc w:val="both"/>
      </w:pPr>
      <w:bookmarkStart w:id="798" w:name="Bookmark_para_7_4"/>
      <w:bookmarkEnd w:id="798"/>
      <w:r>
        <w:rPr>
          <w:rFonts w:ascii="Arial" w:eastAsia="Arial" w:hAnsi="Arial" w:cs="Arial"/>
          <w:color w:val="000000"/>
          <w:sz w:val="20"/>
        </w:rPr>
        <w:t>Neither Mr. Reyes nor Ms. Reyes informed the Planning Commission, either prior to or during the hearing, that Mr. Reyes was disabled and required an accommodation to deliver his comments. Moreover, there was nothing obvious about Mr. Reyes's speech or appearance that would cause either Mr. Jensen or Mr. Gerrard to believe that he was disabled.</w:t>
      </w:r>
    </w:p>
    <w:p w14:paraId="6192EC66" w14:textId="77777777" w:rsidR="002B10A6" w:rsidRDefault="00000000">
      <w:pPr>
        <w:pStyle w:val="Normal5"/>
        <w:widowControl w:val="0"/>
        <w:spacing w:before="200" w:line="260" w:lineRule="atLeast"/>
        <w:jc w:val="both"/>
      </w:pPr>
      <w:bookmarkStart w:id="799" w:name="Bookmark_para_8_4"/>
      <w:bookmarkEnd w:id="799"/>
      <w:r>
        <w:rPr>
          <w:rFonts w:ascii="Arial" w:eastAsia="Arial" w:hAnsi="Arial" w:cs="Arial"/>
          <w:color w:val="000000"/>
          <w:sz w:val="20"/>
        </w:rPr>
        <w:t>When the second hearing reconvened on August 22, Mr. Jensen invited any members of the public who had not yet spoken on the application to make their comments.  [*438]  Apparently, Mr. Reyes was not in attendance, or if he was, he did not make his presence known to the Planning [**4]  Commission. At no time after the August 15 hearing, did either Mr. Reyes or Ms. Reyes contact staff to inform them that Mr. Reyes was disabled and that they should take steps to determine how he might provide his testimony on August 22. Instead, they filed suit in the United States District Court for the District of Colorado.</w:t>
      </w:r>
    </w:p>
    <w:p w14:paraId="5C83E470" w14:textId="77777777" w:rsidR="002B10A6" w:rsidRDefault="00000000">
      <w:pPr>
        <w:pStyle w:val="Normal5"/>
        <w:widowControl w:val="0"/>
        <w:spacing w:before="200" w:line="260" w:lineRule="atLeast"/>
        <w:jc w:val="both"/>
      </w:pPr>
      <w:bookmarkStart w:id="800" w:name="Bookmark_para_9_4"/>
      <w:bookmarkEnd w:id="800"/>
      <w:r>
        <w:rPr>
          <w:rFonts w:ascii="Arial" w:eastAsia="Arial" w:hAnsi="Arial" w:cs="Arial"/>
          <w:color w:val="000000"/>
          <w:sz w:val="20"/>
        </w:rPr>
        <w:t>In a March 21, 2019 order, the district court dismissed several of Mr. Reyes's claims as legally frivolous. It also found that the complaint stated no facts to support a claim by Ms. Reyes under either Title II or § 1983 and dismissed Ms. Reyes from the case entirely. As a result, at the time of summary judgment, Mr. Reyes's remaining claims were against (1) the Planning Commission, and Mr. Jensen and Mr. Gerrard, in their official capacities, under Title II, and (2) Mr. Jensen, in his individual capacity, under § 1983. The district court granted defendants' motion for summary judgment. This appeal followed.</w:t>
      </w:r>
    </w:p>
    <w:p w14:paraId="4ADF7F4B" w14:textId="77777777" w:rsidR="002B10A6" w:rsidRDefault="00000000">
      <w:pPr>
        <w:pStyle w:val="Normal5"/>
        <w:widowControl w:val="0"/>
        <w:spacing w:before="240" w:line="260" w:lineRule="atLeast"/>
      </w:pPr>
      <w:r>
        <w:br/>
      </w:r>
      <w:r>
        <w:rPr>
          <w:rFonts w:ascii="Arial" w:eastAsia="Arial" w:hAnsi="Arial" w:cs="Arial"/>
          <w:b/>
          <w:color w:val="000000"/>
          <w:sz w:val="20"/>
        </w:rPr>
        <w:t>II. THE MARCH 21 ORDER</w:t>
      </w:r>
    </w:p>
    <w:p w14:paraId="7B233B95" w14:textId="77777777" w:rsidR="002B10A6" w:rsidRDefault="00000000">
      <w:pPr>
        <w:pStyle w:val="Normal5"/>
        <w:widowControl w:val="0"/>
        <w:spacing w:before="200" w:line="260" w:lineRule="atLeast"/>
        <w:jc w:val="both"/>
      </w:pPr>
      <w:bookmarkStart w:id="801" w:name="Bookmark_para_10_4"/>
      <w:bookmarkEnd w:id="801"/>
      <w:r>
        <w:rPr>
          <w:rFonts w:ascii="Arial" w:eastAsia="Arial" w:hAnsi="Arial" w:cs="Arial"/>
          <w:color w:val="000000"/>
          <w:sz w:val="20"/>
        </w:rPr>
        <w:t xml:space="preserve">Before we address the merits, we note that Ms. Reyes has included herself as a party to the appeal, which suggests she disagrees with the district court's March 21 order that dismissed her from the case. But Ms. Reyes does not mention the order or [**5]  the grounds on which she was dismissed. Rather, her appeal rests on the bald statement that Mr. Reyes's claims belong to her because they function as a single economic unit. </w:t>
      </w:r>
      <w:r>
        <w:rPr>
          <w:rFonts w:ascii="Arial" w:eastAsia="Arial" w:hAnsi="Arial" w:cs="Arial"/>
          <w:i/>
          <w:color w:val="000000"/>
          <w:sz w:val="20"/>
        </w:rPr>
        <w:t>See</w:t>
      </w:r>
      <w:r>
        <w:rPr>
          <w:rFonts w:ascii="Arial" w:eastAsia="Arial" w:hAnsi="Arial" w:cs="Arial"/>
          <w:color w:val="000000"/>
          <w:sz w:val="20"/>
        </w:rPr>
        <w:t xml:space="preserve"> Aplt. Opening Br. at 16 ("Pedro's loss of the right to protest a perceived threat to his health, safety and property interest </w:t>
      </w:r>
      <w:r>
        <w:rPr>
          <w:rFonts w:ascii="Arial" w:eastAsia="Arial" w:hAnsi="Arial" w:cs="Arial"/>
          <w:b/>
          <w:color w:val="000000"/>
          <w:sz w:val="20"/>
        </w:rPr>
        <w:t>is also Teresita's loss</w:t>
      </w:r>
      <w:r>
        <w:rPr>
          <w:rFonts w:ascii="Arial" w:eastAsia="Arial" w:hAnsi="Arial" w:cs="Arial"/>
          <w:color w:val="000000"/>
          <w:sz w:val="20"/>
        </w:rPr>
        <w:t>, being that, as Pedro's spouse, Teresita shared [an] interchangeable economic interest, in the conjugal property, that the Defendants had denied . . . Pedro . . . the opportunity to protect.").</w:t>
      </w:r>
    </w:p>
    <w:p w14:paraId="11B1AD15" w14:textId="77777777" w:rsidR="002B10A6" w:rsidRDefault="00000000">
      <w:pPr>
        <w:pStyle w:val="Normal5"/>
        <w:widowControl w:val="0"/>
        <w:spacing w:before="200" w:line="260" w:lineRule="atLeast"/>
        <w:jc w:val="both"/>
      </w:pPr>
      <w:bookmarkStart w:id="802" w:name="Bookmark_para_11_4"/>
      <w:bookmarkEnd w:id="802"/>
      <w:r>
        <w:rPr>
          <w:rFonts w:ascii="Arial" w:eastAsia="Arial" w:hAnsi="Arial" w:cs="Arial"/>
          <w:color w:val="000000"/>
          <w:sz w:val="20"/>
        </w:rPr>
        <w:t xml:space="preserve">Ms. Reyes's failure to support this statement with any legal authority means she has waived an appellate challenge to the order. </w:t>
      </w:r>
      <w:bookmarkStart w:id="803" w:name="Bookmark_LNHNREFclscc1_4"/>
      <w:bookmarkEnd w:id="803"/>
      <w:r>
        <w:rPr>
          <w:rFonts w:ascii="Arial" w:eastAsia="Arial" w:hAnsi="Arial" w:cs="Arial"/>
          <w:color w:val="000000"/>
          <w:sz w:val="20"/>
        </w:rPr>
        <w:t xml:space="preserve">"Although a pro se litigant's pleadings are to be construed liberally and held to a less stringent standard than formal pleadings drafted by lawyers, this court has repeatedly insisted that pro se parties follow the same rules of procedure that govern other litigants." </w:t>
      </w:r>
      <w:r>
        <w:rPr>
          <w:rFonts w:ascii="Arial" w:eastAsia="Arial" w:hAnsi="Arial" w:cs="Arial"/>
          <w:i/>
          <w:color w:val="000000"/>
          <w:sz w:val="20"/>
        </w:rPr>
        <w:t>Garrett v. Selby Connor Maddux &amp; Janer</w:t>
      </w:r>
      <w:r>
        <w:rPr>
          <w:rFonts w:ascii="Arial" w:eastAsia="Arial" w:hAnsi="Arial" w:cs="Arial"/>
          <w:color w:val="000000"/>
          <w:sz w:val="20"/>
        </w:rPr>
        <w:t>, 425 F.3d 836, 840 (10th Cir. 2005) (brackets, citation, and internal quotation marks omitted). Those rules include Federal Rule of Appellate Procedure 28(a)(8)(A), which requires an appellant to include in her brief "appellant's contentions and the reasons for them, with citations to the authorities and parts of the record on which the appellant relies."</w:t>
      </w:r>
    </w:p>
    <w:p w14:paraId="6849AC1C" w14:textId="77777777" w:rsidR="002B10A6" w:rsidRDefault="00000000">
      <w:pPr>
        <w:pStyle w:val="Normal5"/>
        <w:widowControl w:val="0"/>
        <w:spacing w:before="200" w:line="260" w:lineRule="atLeast"/>
        <w:jc w:val="both"/>
      </w:pPr>
      <w:bookmarkStart w:id="804" w:name="Bookmark_para_12_4"/>
      <w:bookmarkStart w:id="805" w:name="Bookmark_LNHNREFclscc2_4"/>
      <w:bookmarkEnd w:id="804"/>
      <w:bookmarkEnd w:id="805"/>
      <w:r>
        <w:rPr>
          <w:rFonts w:ascii="Arial" w:eastAsia="Arial" w:hAnsi="Arial" w:cs="Arial"/>
          <w:color w:val="000000"/>
          <w:sz w:val="20"/>
        </w:rPr>
        <w:t xml:space="preserve">Therefore, [**6]  when an issue is not adequately briefed, it will be deemed waived. </w:t>
      </w:r>
      <w:r>
        <w:rPr>
          <w:rFonts w:ascii="Arial" w:eastAsia="Arial" w:hAnsi="Arial" w:cs="Arial"/>
          <w:i/>
          <w:color w:val="000000"/>
          <w:sz w:val="20"/>
        </w:rPr>
        <w:t>See Garrett</w:t>
      </w:r>
      <w:r>
        <w:rPr>
          <w:rFonts w:ascii="Arial" w:eastAsia="Arial" w:hAnsi="Arial" w:cs="Arial"/>
          <w:color w:val="000000"/>
          <w:sz w:val="20"/>
        </w:rPr>
        <w:t xml:space="preserve">, 425 F.3d at 841 ("When a pro se litigant fails to comply with [Rule 28(a)(8)(A)], we cannot fill the void by crafting arguments and performing the necessary legal research." (brackets and internal quotation marks omitted)). </w:t>
      </w:r>
      <w:r>
        <w:rPr>
          <w:rFonts w:ascii="Arial" w:eastAsia="Arial" w:hAnsi="Arial" w:cs="Arial"/>
          <w:i/>
          <w:color w:val="000000"/>
          <w:sz w:val="20"/>
        </w:rPr>
        <w:t>See also Holmes v. Colo. Coal. for the Homeless Long Term Disability Plan</w:t>
      </w:r>
      <w:r>
        <w:rPr>
          <w:rFonts w:ascii="Arial" w:eastAsia="Arial" w:hAnsi="Arial" w:cs="Arial"/>
          <w:color w:val="000000"/>
          <w:sz w:val="20"/>
        </w:rPr>
        <w:t xml:space="preserve">, 762 F.3d 1195, 1199 (10th Cir. 2014) (declining to consider arguments on appeal that were inadequately briefed); </w:t>
      </w:r>
      <w:r>
        <w:rPr>
          <w:rFonts w:ascii="Arial" w:eastAsia="Arial" w:hAnsi="Arial" w:cs="Arial"/>
          <w:i/>
          <w:color w:val="000000"/>
          <w:sz w:val="20"/>
        </w:rPr>
        <w:t>Murrell v. Shalala</w:t>
      </w:r>
      <w:r>
        <w:rPr>
          <w:rFonts w:ascii="Arial" w:eastAsia="Arial" w:hAnsi="Arial" w:cs="Arial"/>
          <w:color w:val="000000"/>
          <w:sz w:val="20"/>
        </w:rPr>
        <w:t>, 43 F.3d 1388, 1389 n.2 (10th Cir. 1994) (declining to consider "a few scattered statements" and "perfunctory" arguments that failed to develop an issue).</w:t>
      </w:r>
    </w:p>
    <w:p w14:paraId="6D5C91D3" w14:textId="77777777" w:rsidR="002B10A6" w:rsidRDefault="00000000">
      <w:pPr>
        <w:pStyle w:val="Normal5"/>
        <w:widowControl w:val="0"/>
        <w:spacing w:before="200" w:line="260" w:lineRule="atLeast"/>
        <w:jc w:val="both"/>
      </w:pPr>
      <w:bookmarkStart w:id="806" w:name="Bookmark_para_13_4"/>
      <w:bookmarkEnd w:id="806"/>
      <w:r>
        <w:rPr>
          <w:rFonts w:ascii="Arial" w:eastAsia="Arial" w:hAnsi="Arial" w:cs="Arial"/>
          <w:color w:val="000000"/>
          <w:sz w:val="20"/>
        </w:rPr>
        <w:t>And because Mr. Reyes also fails to address the grounds on which the district court dismissed several of his claims as legally frivolous, he has likewise waived an appellate challenge to the March 21 order.</w:t>
      </w:r>
    </w:p>
    <w:p w14:paraId="13533BD3" w14:textId="77777777" w:rsidR="002B10A6" w:rsidRDefault="00000000">
      <w:pPr>
        <w:pStyle w:val="Normal5"/>
        <w:widowControl w:val="0"/>
        <w:spacing w:before="240" w:line="260" w:lineRule="atLeast"/>
      </w:pPr>
      <w:r>
        <w:br/>
      </w:r>
      <w:r>
        <w:rPr>
          <w:rFonts w:ascii="Arial" w:eastAsia="Arial" w:hAnsi="Arial" w:cs="Arial"/>
          <w:color w:val="000000"/>
          <w:sz w:val="20"/>
        </w:rPr>
        <w:t xml:space="preserve"> [*439]  </w:t>
      </w:r>
      <w:r>
        <w:rPr>
          <w:rFonts w:ascii="Arial" w:eastAsia="Arial" w:hAnsi="Arial" w:cs="Arial"/>
          <w:b/>
          <w:color w:val="000000"/>
          <w:sz w:val="20"/>
        </w:rPr>
        <w:t>III. DISCUSSION</w:t>
      </w:r>
    </w:p>
    <w:p w14:paraId="7B2ABDFA"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Standard of Review</w:t>
      </w:r>
    </w:p>
    <w:p w14:paraId="31C72618" w14:textId="77777777" w:rsidR="002B10A6" w:rsidRDefault="00000000">
      <w:pPr>
        <w:pStyle w:val="Normal5"/>
        <w:widowControl w:val="0"/>
        <w:spacing w:before="200" w:line="260" w:lineRule="atLeast"/>
        <w:jc w:val="both"/>
      </w:pPr>
      <w:bookmarkStart w:id="807" w:name="Bookmark_para_14_4"/>
      <w:bookmarkStart w:id="808" w:name="Bookmark_LNHNREFclscc3_4"/>
      <w:bookmarkEnd w:id="807"/>
      <w:bookmarkEnd w:id="808"/>
      <w:r>
        <w:rPr>
          <w:rFonts w:ascii="Arial" w:eastAsia="Arial" w:hAnsi="Arial" w:cs="Arial"/>
          <w:color w:val="000000"/>
          <w:sz w:val="20"/>
        </w:rPr>
        <w:t xml:space="preserve">"We review a grant of summary judgment de novo." </w:t>
      </w:r>
      <w:r>
        <w:rPr>
          <w:rFonts w:ascii="Arial" w:eastAsia="Arial" w:hAnsi="Arial" w:cs="Arial"/>
          <w:i/>
          <w:color w:val="000000"/>
          <w:sz w:val="20"/>
        </w:rPr>
        <w:t>J.V. v. Albuquerque Pub. Sch.</w:t>
      </w:r>
      <w:r>
        <w:rPr>
          <w:rFonts w:ascii="Arial" w:eastAsia="Arial" w:hAnsi="Arial" w:cs="Arial"/>
          <w:color w:val="000000"/>
          <w:sz w:val="20"/>
        </w:rPr>
        <w:t>, 813 F.3d 1289, 1294 (10th Cir. 2016). "The court shall grant summary judgment if the movant shows that there is no genuine dispute as to any material fact and the movant is entitled to judgment as a matter of law." Fed. R. Civ. P. 56(a).</w:t>
      </w:r>
    </w:p>
    <w:p w14:paraId="400D2D60"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Title II</w:t>
      </w:r>
    </w:p>
    <w:p w14:paraId="5492A0BA"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1. </w:t>
      </w:r>
      <w:r>
        <w:rPr>
          <w:rFonts w:ascii="Arial" w:eastAsia="Arial" w:hAnsi="Arial" w:cs="Arial"/>
          <w:b/>
          <w:i/>
          <w:color w:val="000000"/>
          <w:sz w:val="20"/>
          <w:u w:val="single"/>
        </w:rPr>
        <w:t>Proper Defendant</w:t>
      </w:r>
    </w:p>
    <w:p w14:paraId="182CEC25" w14:textId="77777777" w:rsidR="002B10A6" w:rsidRDefault="00000000">
      <w:pPr>
        <w:pStyle w:val="Normal5"/>
        <w:widowControl w:val="0"/>
        <w:spacing w:before="200" w:line="260" w:lineRule="atLeast"/>
        <w:jc w:val="both"/>
      </w:pPr>
      <w:bookmarkStart w:id="809" w:name="Bookmark_para_15_4"/>
      <w:bookmarkEnd w:id="809"/>
      <w:r>
        <w:rPr>
          <w:rFonts w:ascii="Arial" w:eastAsia="Arial" w:hAnsi="Arial" w:cs="Arial"/>
          <w:color w:val="000000"/>
          <w:sz w:val="20"/>
        </w:rPr>
        <w:t xml:space="preserve">We first address whether the Planning Commission is a proper defendant. It is not. </w:t>
      </w:r>
      <w:bookmarkStart w:id="810" w:name="Bookmark_LNHNREFclscc4_4"/>
      <w:bookmarkEnd w:id="810"/>
      <w:r>
        <w:rPr>
          <w:rFonts w:ascii="Arial" w:eastAsia="Arial" w:hAnsi="Arial" w:cs="Arial"/>
          <w:color w:val="000000"/>
          <w:sz w:val="20"/>
        </w:rPr>
        <w:t xml:space="preserve">"[T]he proper defendant under a Title II claim is the public entity or an official acting in his official capacity." </w:t>
      </w:r>
      <w:r>
        <w:rPr>
          <w:rFonts w:ascii="Arial" w:eastAsia="Arial" w:hAnsi="Arial" w:cs="Arial"/>
          <w:i/>
          <w:color w:val="000000"/>
          <w:sz w:val="20"/>
        </w:rPr>
        <w:t>Everson v. Leis</w:t>
      </w:r>
      <w:r>
        <w:rPr>
          <w:rFonts w:ascii="Arial" w:eastAsia="Arial" w:hAnsi="Arial" w:cs="Arial"/>
          <w:color w:val="000000"/>
          <w:sz w:val="20"/>
        </w:rPr>
        <w:t xml:space="preserve">, 556 F.3d 484, 501 n.7 (6th Cir. 2009). Under Colorado law, if the public [**7]  entity is a branch of the county, the plaintiff is required to bring an action against a county in the name of the board of county commissioners. </w:t>
      </w:r>
      <w:r>
        <w:rPr>
          <w:rFonts w:ascii="Arial" w:eastAsia="Arial" w:hAnsi="Arial" w:cs="Arial"/>
          <w:i/>
          <w:color w:val="000000"/>
          <w:sz w:val="20"/>
        </w:rPr>
        <w:t>See Gonzales v. Martinez</w:t>
      </w:r>
      <w:r>
        <w:rPr>
          <w:rFonts w:ascii="Arial" w:eastAsia="Arial" w:hAnsi="Arial" w:cs="Arial"/>
          <w:color w:val="000000"/>
          <w:sz w:val="20"/>
        </w:rPr>
        <w:t>, 403 F.3d 1179, 1182 n.7 (10th Cir. 2005) (citing Colo. Rev. Stat. § 30-11-105). As a result, the district court properly dismissed the Planning Commission.</w:t>
      </w:r>
    </w:p>
    <w:p w14:paraId="0E6C027D" w14:textId="77777777" w:rsidR="002B10A6" w:rsidRDefault="00000000">
      <w:pPr>
        <w:pStyle w:val="Normal5"/>
        <w:widowControl w:val="0"/>
        <w:spacing w:before="200" w:line="260" w:lineRule="atLeast"/>
        <w:jc w:val="both"/>
      </w:pPr>
      <w:bookmarkStart w:id="811" w:name="Bookmark_para_16_4"/>
      <w:bookmarkEnd w:id="811"/>
      <w:r>
        <w:rPr>
          <w:rFonts w:ascii="Arial" w:eastAsia="Arial" w:hAnsi="Arial" w:cs="Arial"/>
          <w:color w:val="000000"/>
          <w:sz w:val="20"/>
        </w:rPr>
        <w:t xml:space="preserve">But we also agree with the district court that Mr. Reyes's failure to name the Board of Commissioners as a defendant was not fatal because he accomplished the same objective when he named as defendants, Mr. Jensen and Mr. Gerrard, in their official capacities. </w:t>
      </w:r>
      <w:r>
        <w:rPr>
          <w:rFonts w:ascii="Arial" w:eastAsia="Arial" w:hAnsi="Arial" w:cs="Arial"/>
          <w:i/>
          <w:color w:val="000000"/>
          <w:sz w:val="20"/>
        </w:rPr>
        <w:t>See, e.g., Monell v. Dep't of Soc. Servs.</w:t>
      </w:r>
      <w:r>
        <w:rPr>
          <w:rFonts w:ascii="Arial" w:eastAsia="Arial" w:hAnsi="Arial" w:cs="Arial"/>
          <w:color w:val="000000"/>
          <w:sz w:val="20"/>
        </w:rPr>
        <w:t>, 436 U.S. 658, 690 n.55, 98 S. Ct. 2018, 56 L. Ed. 2d 611 (1978) (</w:t>
      </w:r>
      <w:bookmarkStart w:id="812" w:name="Bookmark_LNHNREFclscc5_4"/>
      <w:bookmarkEnd w:id="812"/>
      <w:r>
        <w:rPr>
          <w:rFonts w:ascii="Arial" w:eastAsia="Arial" w:hAnsi="Arial" w:cs="Arial"/>
          <w:color w:val="000000"/>
          <w:sz w:val="20"/>
        </w:rPr>
        <w:t>"[O]fficial capacity suits . . . represent only another way of pleading an action against an entity of which an officer is an agent."). We now turn to the merits.</w:t>
      </w:r>
    </w:p>
    <w:p w14:paraId="60A82DFB"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2. </w:t>
      </w:r>
      <w:r>
        <w:rPr>
          <w:rFonts w:ascii="Arial" w:eastAsia="Arial" w:hAnsi="Arial" w:cs="Arial"/>
          <w:b/>
          <w:i/>
          <w:color w:val="000000"/>
          <w:sz w:val="20"/>
          <w:u w:val="single"/>
        </w:rPr>
        <w:t>Discrimination</w:t>
      </w:r>
    </w:p>
    <w:p w14:paraId="2EF8D558" w14:textId="77777777" w:rsidR="002B10A6" w:rsidRDefault="00000000">
      <w:pPr>
        <w:pStyle w:val="Normal5"/>
        <w:widowControl w:val="0"/>
        <w:spacing w:before="200" w:line="260" w:lineRule="atLeast"/>
        <w:jc w:val="both"/>
      </w:pPr>
      <w:bookmarkStart w:id="813" w:name="Bookmark_para_17_4"/>
      <w:bookmarkStart w:id="814" w:name="Bookmark_LNHNREFclscc6_4"/>
      <w:bookmarkEnd w:id="813"/>
      <w:bookmarkEnd w:id="814"/>
      <w:r>
        <w:rPr>
          <w:rFonts w:ascii="Arial" w:eastAsia="Arial" w:hAnsi="Arial" w:cs="Arial"/>
          <w:color w:val="000000"/>
          <w:sz w:val="20"/>
        </w:rPr>
        <w:t xml:space="preserve">"To state a claim under Title II [of the ADA], the plaintiff must allege that (1) he is a qualified individual with a disability, (2) who was excluded from participation in or denied the benefits of a public entity's services, programs, or activities, and (3) such exclusion, denial of benefits, or discrimination was by reason of a disability." </w:t>
      </w:r>
      <w:r>
        <w:rPr>
          <w:rFonts w:ascii="Arial" w:eastAsia="Arial" w:hAnsi="Arial" w:cs="Arial"/>
          <w:i/>
          <w:color w:val="000000"/>
          <w:sz w:val="20"/>
        </w:rPr>
        <w:t>Robertson v. Las Animas Cnty. Sheriff's Dep't</w:t>
      </w:r>
      <w:r>
        <w:rPr>
          <w:rFonts w:ascii="Arial" w:eastAsia="Arial" w:hAnsi="Arial" w:cs="Arial"/>
          <w:color w:val="000000"/>
          <w:sz w:val="20"/>
        </w:rPr>
        <w:t xml:space="preserve">, 500 F.3d 1185, 1193 (10th Cir. 2007) (citing 42 U.S.C. § 12132). There are two types of claims under § 12132: "(1) exclusion from or denial of benefits and (2) discrimination." </w:t>
      </w:r>
      <w:r>
        <w:rPr>
          <w:rFonts w:ascii="Arial" w:eastAsia="Arial" w:hAnsi="Arial" w:cs="Arial"/>
          <w:i/>
          <w:color w:val="000000"/>
          <w:sz w:val="20"/>
        </w:rPr>
        <w:t>J.V.</w:t>
      </w:r>
      <w:r>
        <w:rPr>
          <w:rFonts w:ascii="Arial" w:eastAsia="Arial" w:hAnsi="Arial" w:cs="Arial"/>
          <w:color w:val="000000"/>
          <w:sz w:val="20"/>
        </w:rPr>
        <w:t xml:space="preserve">, 813 F.3d at 1295. Under either theory, a plaintiff is required [**8]  to prove "the foregoing three elements, including . . . that any denial of benefits or discrimination was </w:t>
      </w:r>
      <w:r>
        <w:rPr>
          <w:rFonts w:ascii="Arial" w:eastAsia="Arial" w:hAnsi="Arial" w:cs="Arial"/>
          <w:i/>
          <w:color w:val="000000"/>
          <w:sz w:val="20"/>
        </w:rPr>
        <w:t>by reason of the plaintiff's disability." Id.</w:t>
      </w:r>
      <w:r>
        <w:rPr>
          <w:rFonts w:ascii="Arial" w:eastAsia="Arial" w:hAnsi="Arial" w:cs="Arial"/>
          <w:color w:val="000000"/>
          <w:sz w:val="20"/>
        </w:rPr>
        <w:t xml:space="preserve"> (internal quotation marks omitted) (emphasis added). In turn, "[c]ourts have recognized three ways to establish a discrimination claim: (1) intentional discrimination (disparate treatment); (2) disparate impact; and (3) failure to make a reasonable accommodation." </w:t>
      </w:r>
      <w:r>
        <w:rPr>
          <w:rFonts w:ascii="Arial" w:eastAsia="Arial" w:hAnsi="Arial" w:cs="Arial"/>
          <w:i/>
          <w:color w:val="000000"/>
          <w:sz w:val="20"/>
        </w:rPr>
        <w:t>Id.</w:t>
      </w:r>
    </w:p>
    <w:p w14:paraId="1B1D5EAC" w14:textId="77777777" w:rsidR="002B10A6" w:rsidRDefault="00000000">
      <w:pPr>
        <w:pStyle w:val="Normal5"/>
        <w:widowControl w:val="0"/>
        <w:spacing w:before="200" w:line="260" w:lineRule="atLeast"/>
        <w:jc w:val="both"/>
      </w:pPr>
      <w:bookmarkStart w:id="815" w:name="Bookmark_para_18_4"/>
      <w:bookmarkEnd w:id="815"/>
      <w:r>
        <w:rPr>
          <w:rFonts w:ascii="Arial" w:eastAsia="Arial" w:hAnsi="Arial" w:cs="Arial"/>
          <w:color w:val="000000"/>
          <w:sz w:val="20"/>
        </w:rPr>
        <w:t>For his Title II claim, Mr. Reyes sued for intentional discrimination when Mr. Jensen and Mr. Gerrard prevented him from speaking at the August 15 hearing, and failure to accommodate when Mr. Jensen refused to allow him to give his speaking time to Ms. Reyes.</w:t>
      </w:r>
    </w:p>
    <w:p w14:paraId="50C5ADD2"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u w:val="single"/>
        </w:rPr>
        <w:t>Disability</w:t>
      </w:r>
    </w:p>
    <w:p w14:paraId="4AAA3A1D" w14:textId="77777777" w:rsidR="002B10A6" w:rsidRDefault="00000000">
      <w:pPr>
        <w:pStyle w:val="Normal5"/>
        <w:widowControl w:val="0"/>
        <w:spacing w:before="200" w:line="260" w:lineRule="atLeast"/>
        <w:jc w:val="both"/>
      </w:pPr>
      <w:bookmarkStart w:id="816" w:name="Bookmark_para_19_4"/>
      <w:bookmarkStart w:id="817" w:name="Bookmark_LNHNREFclscc7_4"/>
      <w:bookmarkEnd w:id="816"/>
      <w:bookmarkEnd w:id="817"/>
      <w:r>
        <w:rPr>
          <w:rFonts w:ascii="Arial" w:eastAsia="Arial" w:hAnsi="Arial" w:cs="Arial"/>
          <w:color w:val="000000"/>
          <w:sz w:val="20"/>
        </w:rPr>
        <w:t xml:space="preserve">To meet the first prong under § 12132, a plaintiff must show that he (1) has a physical or mental impairment that substantially limits one or more major life activities; (2) has a record of such an impairment; or (3) is regarded as having such an impairment. </w:t>
      </w:r>
      <w:r>
        <w:rPr>
          <w:rFonts w:ascii="Arial" w:eastAsia="Arial" w:hAnsi="Arial" w:cs="Arial"/>
          <w:i/>
          <w:color w:val="000000"/>
          <w:sz w:val="20"/>
        </w:rPr>
        <w:t>See</w:t>
      </w:r>
      <w:r>
        <w:rPr>
          <w:rFonts w:ascii="Arial" w:eastAsia="Arial" w:hAnsi="Arial" w:cs="Arial"/>
          <w:color w:val="000000"/>
          <w:sz w:val="20"/>
        </w:rPr>
        <w:t xml:space="preserve"> 42 U.S.C. § 12102(1)(A)-(C). According to Mr. Reyes, he was disabled and unable to speak at the hearing because he suffers from impaired hearing, poor vision, and has a limited understanding of the English language.</w:t>
      </w:r>
    </w:p>
    <w:p w14:paraId="7F8448CB" w14:textId="77777777" w:rsidR="002B10A6" w:rsidRDefault="00000000">
      <w:pPr>
        <w:pStyle w:val="Normal5"/>
        <w:widowControl w:val="0"/>
        <w:spacing w:before="200" w:line="260" w:lineRule="atLeast"/>
        <w:jc w:val="both"/>
      </w:pPr>
      <w:bookmarkStart w:id="818" w:name="Bookmark_para_20_4"/>
      <w:bookmarkEnd w:id="818"/>
      <w:r>
        <w:rPr>
          <w:rFonts w:ascii="Arial" w:eastAsia="Arial" w:hAnsi="Arial" w:cs="Arial"/>
          <w:color w:val="000000"/>
          <w:sz w:val="20"/>
        </w:rPr>
        <w:t xml:space="preserve"> [*440]  The district court found that the inability to speak English is [**9]  not a disability under the ADA. </w:t>
      </w:r>
      <w:r>
        <w:rPr>
          <w:rFonts w:ascii="Arial" w:eastAsia="Arial" w:hAnsi="Arial" w:cs="Arial"/>
          <w:i/>
          <w:color w:val="000000"/>
          <w:sz w:val="20"/>
        </w:rPr>
        <w:t>See</w:t>
      </w:r>
      <w:r>
        <w:rPr>
          <w:rFonts w:ascii="Arial" w:eastAsia="Arial" w:hAnsi="Arial" w:cs="Arial"/>
          <w:color w:val="000000"/>
          <w:sz w:val="20"/>
        </w:rPr>
        <w:t xml:space="preserve"> R., Vol. II at 295 (citing § 12102). And although the court noted the "lack of [any] evidence as to the nature and extent of [Mr. Reyes's] hearing impairment and poor vision," it "assume[d] for purposes of [summary judgment] that [Mr. Reyes] has a qualified disability." </w:t>
      </w:r>
      <w:r>
        <w:rPr>
          <w:rFonts w:ascii="Arial" w:eastAsia="Arial" w:hAnsi="Arial" w:cs="Arial"/>
          <w:i/>
          <w:color w:val="000000"/>
          <w:sz w:val="20"/>
        </w:rPr>
        <w:t>Id.</w:t>
      </w:r>
      <w:r>
        <w:rPr>
          <w:rFonts w:ascii="Arial" w:eastAsia="Arial" w:hAnsi="Arial" w:cs="Arial"/>
          <w:color w:val="000000"/>
          <w:sz w:val="20"/>
        </w:rPr>
        <w:t xml:space="preserve"> We do the same.</w:t>
      </w:r>
    </w:p>
    <w:p w14:paraId="10E980EB"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u w:val="single"/>
        </w:rPr>
        <w:t>Intentional Discrimination</w:t>
      </w:r>
    </w:p>
    <w:p w14:paraId="690383DF" w14:textId="77777777" w:rsidR="002B10A6" w:rsidRDefault="00000000">
      <w:pPr>
        <w:pStyle w:val="Normal5"/>
        <w:widowControl w:val="0"/>
        <w:spacing w:before="200" w:line="260" w:lineRule="atLeast"/>
        <w:jc w:val="both"/>
      </w:pPr>
      <w:bookmarkStart w:id="819" w:name="Bookmark_para_21_4"/>
      <w:bookmarkEnd w:id="819"/>
      <w:r>
        <w:rPr>
          <w:rFonts w:ascii="Arial" w:eastAsia="Arial" w:hAnsi="Arial" w:cs="Arial"/>
          <w:color w:val="000000"/>
          <w:sz w:val="20"/>
        </w:rPr>
        <w:t xml:space="preserve">The district court found the following facts, which we agree entitled Mr. Jensen and Mr. Gerrard to summary judgment for intentional discrimination. "[T]he undisputed facts demonstrate that [Mr. Reyes] was not excluded from the [August 15] hearing." </w:t>
      </w:r>
      <w:r>
        <w:rPr>
          <w:rFonts w:ascii="Arial" w:eastAsia="Arial" w:hAnsi="Arial" w:cs="Arial"/>
          <w:i/>
          <w:color w:val="000000"/>
          <w:sz w:val="20"/>
        </w:rPr>
        <w:t>Id.</w:t>
      </w:r>
      <w:r>
        <w:rPr>
          <w:rFonts w:ascii="Arial" w:eastAsia="Arial" w:hAnsi="Arial" w:cs="Arial"/>
          <w:color w:val="000000"/>
          <w:sz w:val="20"/>
        </w:rPr>
        <w:t xml:space="preserve"> "After [Mr. Reyes] was told that he could not give his speaking time to [his wife], Mr. Jensen [invited Mr. Reyes to speak] . . . [and he] responded, "No. Thank you." </w:t>
      </w:r>
      <w:r>
        <w:rPr>
          <w:rFonts w:ascii="Arial" w:eastAsia="Arial" w:hAnsi="Arial" w:cs="Arial"/>
          <w:i/>
          <w:color w:val="000000"/>
          <w:sz w:val="20"/>
        </w:rPr>
        <w:t>Id.</w:t>
      </w:r>
      <w:r>
        <w:rPr>
          <w:rFonts w:ascii="Arial" w:eastAsia="Arial" w:hAnsi="Arial" w:cs="Arial"/>
          <w:color w:val="000000"/>
          <w:sz w:val="20"/>
        </w:rPr>
        <w:t xml:space="preserve"> (citation omitted). "Moreover, the undisputed facts demonstrate that Mr. Jensen and Mr. Gerrard did not act, and could not have acted, </w:t>
      </w:r>
      <w:r>
        <w:rPr>
          <w:rFonts w:ascii="Arial" w:eastAsia="Arial" w:hAnsi="Arial" w:cs="Arial"/>
          <w:i/>
          <w:color w:val="000000"/>
          <w:sz w:val="20"/>
        </w:rPr>
        <w:t>by reason of</w:t>
      </w:r>
      <w:r>
        <w:rPr>
          <w:rFonts w:ascii="Arial" w:eastAsia="Arial" w:hAnsi="Arial" w:cs="Arial"/>
          <w:color w:val="000000"/>
          <w:sz w:val="20"/>
        </w:rPr>
        <w:t xml:space="preserve"> [Mr. Reyes's] purported disability, because they had no knowledge of his disability." </w:t>
      </w:r>
      <w:r>
        <w:rPr>
          <w:rFonts w:ascii="Arial" w:eastAsia="Arial" w:hAnsi="Arial" w:cs="Arial"/>
          <w:i/>
          <w:color w:val="000000"/>
          <w:sz w:val="20"/>
        </w:rPr>
        <w:t>Id.</w:t>
      </w:r>
      <w:r>
        <w:rPr>
          <w:rFonts w:ascii="Arial" w:eastAsia="Arial" w:hAnsi="Arial" w:cs="Arial"/>
          <w:color w:val="000000"/>
          <w:sz w:val="20"/>
        </w:rPr>
        <w:t xml:space="preserve"> (internal quotation marks omitted) (emphasis added). "Instead, Mr. Jensen and Mr. Gerrard were enforcing the Planning Commission's rule, applicable to all participants, that speakers could [**10]  not defer their speaking time to others." </w:t>
      </w:r>
      <w:r>
        <w:rPr>
          <w:rFonts w:ascii="Arial" w:eastAsia="Arial" w:hAnsi="Arial" w:cs="Arial"/>
          <w:i/>
          <w:color w:val="000000"/>
          <w:sz w:val="20"/>
        </w:rPr>
        <w:t>Id.</w:t>
      </w:r>
      <w:r>
        <w:rPr>
          <w:rFonts w:ascii="Arial" w:eastAsia="Arial" w:hAnsi="Arial" w:cs="Arial"/>
          <w:color w:val="000000"/>
          <w:sz w:val="20"/>
        </w:rPr>
        <w:t xml:space="preserve"> at 296.</w:t>
      </w:r>
    </w:p>
    <w:p w14:paraId="46E6ED4F"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c. </w:t>
      </w:r>
      <w:r>
        <w:rPr>
          <w:rFonts w:ascii="Arial" w:eastAsia="Arial" w:hAnsi="Arial" w:cs="Arial"/>
          <w:b/>
          <w:i/>
          <w:color w:val="000000"/>
          <w:sz w:val="20"/>
          <w:u w:val="single"/>
        </w:rPr>
        <w:t>Failure to Accommodate</w:t>
      </w:r>
    </w:p>
    <w:p w14:paraId="242ACDBC" w14:textId="77777777" w:rsidR="002B10A6" w:rsidRDefault="00000000">
      <w:pPr>
        <w:pStyle w:val="Normal5"/>
        <w:widowControl w:val="0"/>
        <w:spacing w:before="200" w:line="260" w:lineRule="atLeast"/>
        <w:jc w:val="both"/>
      </w:pPr>
      <w:bookmarkStart w:id="820" w:name="Bookmark_para_22_4"/>
      <w:bookmarkStart w:id="821" w:name="Bookmark_LNHNREFclscc8_3"/>
      <w:bookmarkEnd w:id="820"/>
      <w:bookmarkEnd w:id="821"/>
      <w:r>
        <w:rPr>
          <w:rFonts w:ascii="Arial" w:eastAsia="Arial" w:hAnsi="Arial" w:cs="Arial"/>
          <w:color w:val="000000"/>
          <w:sz w:val="20"/>
        </w:rPr>
        <w:t xml:space="preserve">Applicable ADA regulations require public entities to "make reasonable modifications in policies, practices, or procedures when the modifications are necessary to avoid discrimination on the basis of disability." 28 C.F.R. § 35.130(b)(7)(i). "As a result, we require public entities to provide reasonable accommodations to disabled persons." </w:t>
      </w:r>
      <w:r>
        <w:rPr>
          <w:rFonts w:ascii="Arial" w:eastAsia="Arial" w:hAnsi="Arial" w:cs="Arial"/>
          <w:i/>
          <w:color w:val="000000"/>
          <w:sz w:val="20"/>
        </w:rPr>
        <w:t>J.V.</w:t>
      </w:r>
      <w:r>
        <w:rPr>
          <w:rFonts w:ascii="Arial" w:eastAsia="Arial" w:hAnsi="Arial" w:cs="Arial"/>
          <w:color w:val="000000"/>
          <w:sz w:val="20"/>
        </w:rPr>
        <w:t>, 813 F.3d at 1299.</w:t>
      </w:r>
    </w:p>
    <w:p w14:paraId="19237D91" w14:textId="77777777" w:rsidR="002B10A6" w:rsidRDefault="00000000">
      <w:pPr>
        <w:pStyle w:val="Normal5"/>
        <w:widowControl w:val="0"/>
        <w:spacing w:before="200" w:line="260" w:lineRule="atLeast"/>
        <w:jc w:val="both"/>
      </w:pPr>
      <w:bookmarkStart w:id="822" w:name="Bookmark_para_23_4"/>
      <w:bookmarkStart w:id="823" w:name="Bookmark_LNHNREFclscc9_3"/>
      <w:bookmarkEnd w:id="822"/>
      <w:bookmarkEnd w:id="823"/>
      <w:r>
        <w:rPr>
          <w:rFonts w:ascii="Arial" w:eastAsia="Arial" w:hAnsi="Arial" w:cs="Arial"/>
          <w:color w:val="000000"/>
          <w:sz w:val="20"/>
        </w:rPr>
        <w:t xml:space="preserve">"A public entity must provide a reasonable accommodation under the ADA when it knows that the individual is disabled and requires an accommodation of some kind to participate in or receive the benefits of its services." </w:t>
      </w:r>
      <w:r>
        <w:rPr>
          <w:rFonts w:ascii="Arial" w:eastAsia="Arial" w:hAnsi="Arial" w:cs="Arial"/>
          <w:i/>
          <w:color w:val="000000"/>
          <w:sz w:val="20"/>
        </w:rPr>
        <w:t>Id.</w:t>
      </w:r>
      <w:r>
        <w:rPr>
          <w:rFonts w:ascii="Arial" w:eastAsia="Arial" w:hAnsi="Arial" w:cs="Arial"/>
          <w:color w:val="000000"/>
          <w:sz w:val="20"/>
        </w:rPr>
        <w:t xml:space="preserve"> (internal quotation marks omitted). "A public entity is on notice that an individual needs an accommodation when it knows that an individual requires one, either because that need is obvious or because the individual requests an accommodation." </w:t>
      </w:r>
      <w:r>
        <w:rPr>
          <w:rFonts w:ascii="Arial" w:eastAsia="Arial" w:hAnsi="Arial" w:cs="Arial"/>
          <w:i/>
          <w:color w:val="000000"/>
          <w:sz w:val="20"/>
        </w:rPr>
        <w:t>Id.</w:t>
      </w:r>
      <w:r>
        <w:rPr>
          <w:rFonts w:ascii="Arial" w:eastAsia="Arial" w:hAnsi="Arial" w:cs="Arial"/>
          <w:color w:val="000000"/>
          <w:sz w:val="20"/>
        </w:rPr>
        <w:t xml:space="preserve"> (brackets and internal quotation marks omitted).</w:t>
      </w:r>
    </w:p>
    <w:p w14:paraId="0194D61B" w14:textId="77777777" w:rsidR="002B10A6" w:rsidRDefault="00000000">
      <w:pPr>
        <w:pStyle w:val="Normal5"/>
        <w:widowControl w:val="0"/>
        <w:spacing w:before="200" w:line="260" w:lineRule="atLeast"/>
        <w:jc w:val="both"/>
      </w:pPr>
      <w:bookmarkStart w:id="824" w:name="Bookmark_para_24_4"/>
      <w:bookmarkEnd w:id="824"/>
      <w:r>
        <w:rPr>
          <w:rFonts w:ascii="Arial" w:eastAsia="Arial" w:hAnsi="Arial" w:cs="Arial"/>
          <w:color w:val="000000"/>
          <w:sz w:val="20"/>
        </w:rPr>
        <w:t>The district court found "it is undisputed that [Mr. Reyes] did not request an accommodation, nor does [Mr. Reyes] set forth any evidence that his need for an accommodation was obvious, or refute any of the evidence presented by [Mr. Jensen and Mr. Gerrard] that they were unaware that [**11]  [Mr. Reyes] was disabled." R., Vol. II at 297 (internal quotation marks omitted). As a result, summary judgment for failure to accommodate was proper.</w:t>
      </w:r>
    </w:p>
    <w:p w14:paraId="45E686A6"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C. </w:t>
      </w:r>
      <w:r>
        <w:rPr>
          <w:rFonts w:ascii="Arial" w:eastAsia="Arial" w:hAnsi="Arial" w:cs="Arial"/>
          <w:b/>
          <w:i/>
          <w:color w:val="000000"/>
          <w:sz w:val="20"/>
        </w:rPr>
        <w:t>Due Process</w:t>
      </w:r>
    </w:p>
    <w:p w14:paraId="37C87B07" w14:textId="77777777" w:rsidR="002B10A6" w:rsidRDefault="00000000">
      <w:pPr>
        <w:pStyle w:val="Normal5"/>
        <w:widowControl w:val="0"/>
        <w:spacing w:before="200" w:line="260" w:lineRule="atLeast"/>
        <w:jc w:val="both"/>
      </w:pPr>
      <w:bookmarkStart w:id="825" w:name="Bookmark_para_25_4"/>
      <w:bookmarkEnd w:id="825"/>
      <w:r>
        <w:rPr>
          <w:rFonts w:ascii="Arial" w:eastAsia="Arial" w:hAnsi="Arial" w:cs="Arial"/>
          <w:color w:val="000000"/>
          <w:sz w:val="20"/>
        </w:rPr>
        <w:t>The district court found that Mr. Jensen was entitled to summary judgment on the due process claim on the grounds of qualified immunity. We agree.</w:t>
      </w:r>
    </w:p>
    <w:p w14:paraId="21248FFD"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1. </w:t>
      </w:r>
      <w:r>
        <w:rPr>
          <w:rFonts w:ascii="Arial" w:eastAsia="Arial" w:hAnsi="Arial" w:cs="Arial"/>
          <w:b/>
          <w:i/>
          <w:color w:val="000000"/>
          <w:sz w:val="20"/>
          <w:u w:val="single"/>
        </w:rPr>
        <w:t>Qualified Immunity</w:t>
      </w:r>
    </w:p>
    <w:p w14:paraId="12B4AB97" w14:textId="77777777" w:rsidR="002B10A6" w:rsidRDefault="00000000">
      <w:pPr>
        <w:pStyle w:val="Normal5"/>
        <w:widowControl w:val="0"/>
        <w:spacing w:before="200" w:line="260" w:lineRule="atLeast"/>
        <w:jc w:val="both"/>
      </w:pPr>
      <w:bookmarkStart w:id="826" w:name="Bookmark_para_26_4"/>
      <w:bookmarkStart w:id="827" w:name="Bookmark_LNHNREFclscc10_3"/>
      <w:bookmarkEnd w:id="826"/>
      <w:bookmarkEnd w:id="827"/>
      <w:r>
        <w:rPr>
          <w:rFonts w:ascii="Arial" w:eastAsia="Arial" w:hAnsi="Arial" w:cs="Arial"/>
          <w:color w:val="000000"/>
          <w:sz w:val="20"/>
        </w:rPr>
        <w:t xml:space="preserve">"Under the qualified immunity doctrine, government officials performing discretionary functions, generally are shielded from liability for civil damages insofar as their conduct does not violate clearly established federal statutory or constitutional rights of which a reasonable person would have known." </w:t>
      </w:r>
      <w:r>
        <w:rPr>
          <w:rFonts w:ascii="Arial" w:eastAsia="Arial" w:hAnsi="Arial" w:cs="Arial"/>
          <w:i/>
          <w:color w:val="000000"/>
          <w:sz w:val="20"/>
        </w:rPr>
        <w:t>Riggins v. Goodman</w:t>
      </w:r>
      <w:r>
        <w:rPr>
          <w:rFonts w:ascii="Arial" w:eastAsia="Arial" w:hAnsi="Arial" w:cs="Arial"/>
          <w:color w:val="000000"/>
          <w:sz w:val="20"/>
        </w:rPr>
        <w:t xml:space="preserve">, 572 F.3d 1101, 1107 (10th Cir. 2009) (brackets and internal quotation marks omitted). "When a defendant asserts qualified immunity at summary judgment, the burden shifts to the plaintiff, who must clear two hurdles in order to defeat the  [*441]  defendant's motion." </w:t>
      </w:r>
      <w:r>
        <w:rPr>
          <w:rFonts w:ascii="Arial" w:eastAsia="Arial" w:hAnsi="Arial" w:cs="Arial"/>
          <w:i/>
          <w:color w:val="000000"/>
          <w:sz w:val="20"/>
        </w:rPr>
        <w:t>Id.</w:t>
      </w:r>
      <w:r>
        <w:rPr>
          <w:rFonts w:ascii="Arial" w:eastAsia="Arial" w:hAnsi="Arial" w:cs="Arial"/>
          <w:color w:val="000000"/>
          <w:sz w:val="20"/>
        </w:rPr>
        <w:t xml:space="preserve"> First, "[t]he plaintiff must demonstrate on the facts alleged . . . that the defendant violated his constitutional or statutory rights," and second, "that the right was clearly established at the time of the alleged unlawful activity." </w:t>
      </w:r>
      <w:r>
        <w:rPr>
          <w:rFonts w:ascii="Arial" w:eastAsia="Arial" w:hAnsi="Arial" w:cs="Arial"/>
          <w:i/>
          <w:color w:val="000000"/>
          <w:sz w:val="20"/>
        </w:rPr>
        <w:t>Id.</w:t>
      </w:r>
    </w:p>
    <w:p w14:paraId="382768B1" w14:textId="77777777" w:rsidR="002B10A6" w:rsidRDefault="00000000">
      <w:pPr>
        <w:pStyle w:val="Normal5"/>
        <w:widowControl w:val="0"/>
        <w:spacing w:before="200" w:line="260" w:lineRule="atLeast"/>
        <w:jc w:val="both"/>
      </w:pPr>
      <w:bookmarkStart w:id="828" w:name="Bookmark_para_27_4"/>
      <w:bookmarkStart w:id="829" w:name="Bookmark_LNHNREFclscc11_3"/>
      <w:bookmarkEnd w:id="828"/>
      <w:bookmarkEnd w:id="829"/>
      <w:r>
        <w:rPr>
          <w:rFonts w:ascii="Arial" w:eastAsia="Arial" w:hAnsi="Arial" w:cs="Arial"/>
          <w:color w:val="000000"/>
          <w:sz w:val="20"/>
        </w:rPr>
        <w:t xml:space="preserve">"A right is clearly established when, at the time of the alleged violation, the contours of the right [**12]  were sufficiently clear that a reasonable official would understand that what he is doing violates that right." </w:t>
      </w:r>
      <w:r>
        <w:rPr>
          <w:rFonts w:ascii="Arial" w:eastAsia="Arial" w:hAnsi="Arial" w:cs="Arial"/>
          <w:i/>
          <w:color w:val="000000"/>
          <w:sz w:val="20"/>
        </w:rPr>
        <w:t>Id.</w:t>
      </w:r>
      <w:r>
        <w:rPr>
          <w:rFonts w:ascii="Arial" w:eastAsia="Arial" w:hAnsi="Arial" w:cs="Arial"/>
          <w:color w:val="000000"/>
          <w:sz w:val="20"/>
        </w:rPr>
        <w:t xml:space="preserve"> at 1111 (brackets and internal quotation marks omitted). "A plaintiff can demonstrate that a constitutional right is clearly established by references to cases from the Supreme Court, the Tenth Circuit, or the weight of authority from other circuits." </w:t>
      </w:r>
      <w:r>
        <w:rPr>
          <w:rFonts w:ascii="Arial" w:eastAsia="Arial" w:hAnsi="Arial" w:cs="Arial"/>
          <w:i/>
          <w:color w:val="000000"/>
          <w:sz w:val="20"/>
        </w:rPr>
        <w:t>Id.</w:t>
      </w:r>
    </w:p>
    <w:p w14:paraId="5AE827EA"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u w:val="single"/>
        </w:rPr>
        <w:t>Constitutional Violation</w:t>
      </w:r>
    </w:p>
    <w:p w14:paraId="17501F24" w14:textId="77777777" w:rsidR="002B10A6" w:rsidRDefault="00000000">
      <w:pPr>
        <w:pStyle w:val="Normal5"/>
        <w:widowControl w:val="0"/>
        <w:spacing w:before="200" w:line="260" w:lineRule="atLeast"/>
        <w:jc w:val="both"/>
      </w:pPr>
      <w:bookmarkStart w:id="830" w:name="Bookmark_para_28_4"/>
      <w:bookmarkStart w:id="831" w:name="Bookmark_LNHNREFclscc12_2"/>
      <w:bookmarkEnd w:id="830"/>
      <w:bookmarkEnd w:id="831"/>
      <w:r>
        <w:rPr>
          <w:rFonts w:ascii="Arial" w:eastAsia="Arial" w:hAnsi="Arial" w:cs="Arial"/>
          <w:color w:val="000000"/>
          <w:sz w:val="20"/>
        </w:rPr>
        <w:t xml:space="preserve">"To assess whether an individual was denied procedural due process, courts must engage in a two-step inquiry: (1) did the individual possess a protected interest such that the due process protections were applicable; and, if so, then (2) was the individual afforded an appropriate level of process." </w:t>
      </w:r>
      <w:r>
        <w:rPr>
          <w:rFonts w:ascii="Arial" w:eastAsia="Arial" w:hAnsi="Arial" w:cs="Arial"/>
          <w:i/>
          <w:color w:val="000000"/>
          <w:sz w:val="20"/>
        </w:rPr>
        <w:t>Id.</w:t>
      </w:r>
      <w:r>
        <w:rPr>
          <w:rFonts w:ascii="Arial" w:eastAsia="Arial" w:hAnsi="Arial" w:cs="Arial"/>
          <w:color w:val="000000"/>
          <w:sz w:val="20"/>
        </w:rPr>
        <w:t xml:space="preserve"> at 1008 (internal quotation marks omitted). Here, Mr. Reyes asserted two protected interests that he claims he was deprived of without appropriate due process: (1) the right to be present and to be heard at the August 15 hearing, and (2) an interest in the Ready Mix gravel-mine project.</w:t>
      </w:r>
      <w:r>
        <w:rPr>
          <w:rFonts w:ascii="Arial" w:eastAsia="Arial" w:hAnsi="Arial" w:cs="Arial"/>
          <w:vertAlign w:val="superscript"/>
        </w:rPr>
        <w:footnoteReference w:customMarkFollows="1" w:id="27"/>
        <w:t>3</w:t>
      </w:r>
    </w:p>
    <w:p w14:paraId="77C76777" w14:textId="77777777" w:rsidR="002B10A6" w:rsidRDefault="00000000">
      <w:pPr>
        <w:pStyle w:val="Normal5"/>
        <w:widowControl w:val="0"/>
        <w:spacing w:before="200" w:line="260" w:lineRule="atLeast"/>
        <w:jc w:val="both"/>
      </w:pPr>
      <w:bookmarkStart w:id="833" w:name="Bookmark_para_29_4"/>
      <w:bookmarkEnd w:id="833"/>
      <w:r>
        <w:rPr>
          <w:rFonts w:ascii="Arial" w:eastAsia="Arial" w:hAnsi="Arial" w:cs="Arial"/>
          <w:color w:val="000000"/>
          <w:sz w:val="20"/>
        </w:rPr>
        <w:t>With regard to the right to be present and heard, the district court found that Mr. Reyes "attended the [August 15] hearing, was included on a list of individuals who wished to speak at the hearing and was given the opportunity [**13]  to speak." R., Vol. II at 300. The court further found that Mr. Reyes lacked a protected property interest in the Planning Commission's hearing regarding the gravel-mine project because the final decision-maker whether to approve Ready Mix's application was the Board of Commissioners.</w:t>
      </w:r>
    </w:p>
    <w:p w14:paraId="37D933B2" w14:textId="77777777" w:rsidR="002B10A6" w:rsidRDefault="00000000">
      <w:pPr>
        <w:pStyle w:val="Normal5"/>
        <w:widowControl w:val="0"/>
        <w:spacing w:before="200" w:line="260" w:lineRule="atLeast"/>
        <w:jc w:val="both"/>
      </w:pPr>
      <w:bookmarkStart w:id="834" w:name="Bookmark_para_30_4"/>
      <w:bookmarkEnd w:id="834"/>
      <w:r>
        <w:rPr>
          <w:rFonts w:ascii="Arial" w:eastAsia="Arial" w:hAnsi="Arial" w:cs="Arial"/>
          <w:color w:val="000000"/>
          <w:sz w:val="20"/>
        </w:rPr>
        <w:t xml:space="preserve">In any event, the district court found that even if Mr. Reyes "had demonstrated a protectible liberty or property interest, the undisputed facts establish that [Mr. Jensen] did not deprive [Mr. Reyes] of proper process." </w:t>
      </w:r>
      <w:r>
        <w:rPr>
          <w:rFonts w:ascii="Arial" w:eastAsia="Arial" w:hAnsi="Arial" w:cs="Arial"/>
          <w:i/>
          <w:color w:val="000000"/>
          <w:sz w:val="20"/>
        </w:rPr>
        <w:t>Id.</w:t>
      </w:r>
      <w:r>
        <w:rPr>
          <w:rFonts w:ascii="Arial" w:eastAsia="Arial" w:hAnsi="Arial" w:cs="Arial"/>
          <w:color w:val="000000"/>
          <w:sz w:val="20"/>
        </w:rPr>
        <w:t xml:space="preserve"> at 301. "[I]t is undisputed that the gravel mine application was presented to the Planning Commission at the hearings on August 15 and August 22. The hearings were open to the public, advertised in the local newspaper ahead of time, and [Mr. Reyes] attended the hearing." </w:t>
      </w:r>
      <w:r>
        <w:rPr>
          <w:rFonts w:ascii="Arial" w:eastAsia="Arial" w:hAnsi="Arial" w:cs="Arial"/>
          <w:i/>
          <w:color w:val="000000"/>
          <w:sz w:val="20"/>
        </w:rPr>
        <w:t>Id.</w:t>
      </w:r>
      <w:r>
        <w:rPr>
          <w:rFonts w:ascii="Arial" w:eastAsia="Arial" w:hAnsi="Arial" w:cs="Arial"/>
          <w:color w:val="000000"/>
          <w:sz w:val="20"/>
        </w:rPr>
        <w:t xml:space="preserve"> at 302 (citation omitted). Mr. Reyes "was included on the list of speakers, and [he] was specifically invited to come forward and speak when [he] attempted to give his time to Ms. Reyes. [Mr. Reyes] refused the opportunity to speak." </w:t>
      </w:r>
      <w:r>
        <w:rPr>
          <w:rFonts w:ascii="Arial" w:eastAsia="Arial" w:hAnsi="Arial" w:cs="Arial"/>
          <w:i/>
          <w:color w:val="000000"/>
          <w:sz w:val="20"/>
        </w:rPr>
        <w:t>Id.</w:t>
      </w:r>
      <w:r>
        <w:rPr>
          <w:rFonts w:ascii="Arial" w:eastAsia="Arial" w:hAnsi="Arial" w:cs="Arial"/>
          <w:color w:val="000000"/>
          <w:sz w:val="20"/>
        </w:rPr>
        <w:t xml:space="preserve"> at 302-03 (citations omitted). We agree with the court's finding that these procedures satisfied </w:t>
      </w:r>
      <w:bookmarkStart w:id="835" w:name="Bookmark_LNHNREFclscc13_1"/>
      <w:bookmarkEnd w:id="835"/>
      <w:r>
        <w:rPr>
          <w:rFonts w:ascii="Arial" w:eastAsia="Arial" w:hAnsi="Arial" w:cs="Arial"/>
          <w:color w:val="000000"/>
          <w:sz w:val="20"/>
        </w:rPr>
        <w:t xml:space="preserve">the fundamental requirement of due process, which "'is the opportunity to be heard [**14]  at a meaningful time and in a meaningful manner.'" </w:t>
      </w:r>
      <w:r>
        <w:rPr>
          <w:rFonts w:ascii="Arial" w:eastAsia="Arial" w:hAnsi="Arial" w:cs="Arial"/>
          <w:i/>
          <w:color w:val="000000"/>
          <w:sz w:val="20"/>
        </w:rPr>
        <w:t>Id.</w:t>
      </w:r>
      <w:r>
        <w:rPr>
          <w:rFonts w:ascii="Arial" w:eastAsia="Arial" w:hAnsi="Arial" w:cs="Arial"/>
          <w:color w:val="000000"/>
          <w:sz w:val="20"/>
        </w:rPr>
        <w:t xml:space="preserve"> at 301 (quoting </w:t>
      </w:r>
      <w:r>
        <w:rPr>
          <w:rFonts w:ascii="Arial" w:eastAsia="Arial" w:hAnsi="Arial" w:cs="Arial"/>
          <w:i/>
          <w:color w:val="000000"/>
          <w:sz w:val="20"/>
        </w:rPr>
        <w:t>Pater v. City of Casper</w:t>
      </w:r>
      <w:r>
        <w:rPr>
          <w:rFonts w:ascii="Arial" w:eastAsia="Arial" w:hAnsi="Arial" w:cs="Arial"/>
          <w:color w:val="000000"/>
          <w:sz w:val="20"/>
        </w:rPr>
        <w:t>, 646 F.3d 1290, 1298 (10th Cir. 2011)).</w:t>
      </w:r>
    </w:p>
    <w:p w14:paraId="22A10A0F"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u w:val="single"/>
        </w:rPr>
        <w:t>Clearly Established Right</w:t>
      </w:r>
    </w:p>
    <w:p w14:paraId="170BA57D" w14:textId="77777777" w:rsidR="002B10A6" w:rsidRDefault="00000000">
      <w:pPr>
        <w:pStyle w:val="Normal5"/>
        <w:widowControl w:val="0"/>
        <w:spacing w:before="200" w:line="260" w:lineRule="atLeast"/>
        <w:jc w:val="both"/>
      </w:pPr>
      <w:bookmarkStart w:id="836" w:name="Bookmark_para_31_4"/>
      <w:bookmarkEnd w:id="836"/>
      <w:r>
        <w:rPr>
          <w:rFonts w:ascii="Arial" w:eastAsia="Arial" w:hAnsi="Arial" w:cs="Arial"/>
          <w:color w:val="000000"/>
          <w:sz w:val="20"/>
        </w:rPr>
        <w:t xml:space="preserve">The district court further found that "even if [Mr. Reyes] had established a due  [*442]  process violation, Mr. Jensen is entitled to qualified immunity because [Mr. Reyes] has not demonstrated a clearly established right." </w:t>
      </w:r>
      <w:r>
        <w:rPr>
          <w:rFonts w:ascii="Arial" w:eastAsia="Arial" w:hAnsi="Arial" w:cs="Arial"/>
          <w:i/>
          <w:color w:val="000000"/>
          <w:sz w:val="20"/>
        </w:rPr>
        <w:t>Id.</w:t>
      </w:r>
      <w:r>
        <w:rPr>
          <w:rFonts w:ascii="Arial" w:eastAsia="Arial" w:hAnsi="Arial" w:cs="Arial"/>
          <w:color w:val="000000"/>
          <w:sz w:val="20"/>
        </w:rPr>
        <w:t xml:space="preserve"> at 303. Specifically, the court found that Mr. Reyes "has not identified, nor has the Court uncovered, any precedent that would have put Mr. Jensen on notice that that informing [Mr. Reyes] that he could not give his speaking time to Ms. Reyes, while simultaneously inviting [Mr. Reyes] himself to speak, would have violated [Mr. Reyes's] constitutional rights." </w:t>
      </w:r>
      <w:r>
        <w:rPr>
          <w:rFonts w:ascii="Arial" w:eastAsia="Arial" w:hAnsi="Arial" w:cs="Arial"/>
          <w:i/>
          <w:color w:val="000000"/>
          <w:sz w:val="20"/>
        </w:rPr>
        <w:t>Id.</w:t>
      </w:r>
      <w:r>
        <w:rPr>
          <w:rFonts w:ascii="Arial" w:eastAsia="Arial" w:hAnsi="Arial" w:cs="Arial"/>
          <w:color w:val="000000"/>
          <w:sz w:val="20"/>
        </w:rPr>
        <w:t xml:space="preserve"> Moreover, Mr. Reyes has also failed to direct this court to any relevant precedent on appeal. His failure to demonstrate a clearly established right means that Mr. Jensen was entitled to summary judgment on the grounds of qualified immunity.</w:t>
      </w:r>
    </w:p>
    <w:p w14:paraId="34D85D31" w14:textId="77777777" w:rsidR="002B10A6" w:rsidRDefault="00000000">
      <w:pPr>
        <w:pStyle w:val="Normal5"/>
        <w:widowControl w:val="0"/>
        <w:spacing w:before="240" w:line="260" w:lineRule="atLeast"/>
      </w:pPr>
      <w:r>
        <w:br/>
      </w:r>
      <w:r>
        <w:rPr>
          <w:rFonts w:ascii="Arial" w:eastAsia="Arial" w:hAnsi="Arial" w:cs="Arial"/>
          <w:b/>
          <w:color w:val="000000"/>
          <w:sz w:val="20"/>
        </w:rPr>
        <w:t xml:space="preserve">D. </w:t>
      </w:r>
      <w:r>
        <w:rPr>
          <w:rFonts w:ascii="Arial" w:eastAsia="Arial" w:hAnsi="Arial" w:cs="Arial"/>
          <w:b/>
          <w:i/>
          <w:color w:val="000000"/>
          <w:sz w:val="20"/>
        </w:rPr>
        <w:t>New Claims</w:t>
      </w:r>
    </w:p>
    <w:p w14:paraId="6B7BDDCA" w14:textId="77777777" w:rsidR="002B10A6" w:rsidRDefault="00000000">
      <w:pPr>
        <w:pStyle w:val="Normal5"/>
        <w:widowControl w:val="0"/>
        <w:spacing w:before="200" w:line="260" w:lineRule="atLeast"/>
        <w:jc w:val="both"/>
      </w:pPr>
      <w:bookmarkStart w:id="837" w:name="Bookmark_para_32_4"/>
      <w:bookmarkEnd w:id="837"/>
      <w:r>
        <w:rPr>
          <w:rFonts w:ascii="Arial" w:eastAsia="Arial" w:hAnsi="Arial" w:cs="Arial"/>
          <w:color w:val="000000"/>
          <w:sz w:val="20"/>
        </w:rPr>
        <w:t xml:space="preserve">In response to defendants' motion for summary judgment, Mr. Reyes attempted to raise several new claims that were not raised in the operative complaint; namely, claims arising under the Equal Protection Clause, the First Amendment, and the Ninth Amendment. The district court refused to consider the new claims [**15]  on the grounds that a party is not permitted to raise new claims at the summary judgment stage. </w:t>
      </w:r>
      <w:r>
        <w:rPr>
          <w:rFonts w:ascii="Arial" w:eastAsia="Arial" w:hAnsi="Arial" w:cs="Arial"/>
          <w:i/>
          <w:color w:val="000000"/>
          <w:sz w:val="20"/>
        </w:rPr>
        <w:t>See Evans v. McDonald's Corp.</w:t>
      </w:r>
      <w:r>
        <w:rPr>
          <w:rFonts w:ascii="Arial" w:eastAsia="Arial" w:hAnsi="Arial" w:cs="Arial"/>
          <w:color w:val="000000"/>
          <w:sz w:val="20"/>
        </w:rPr>
        <w:t>, 936 F.2d 1087, 1091 (10th Cir. 1991) ("[P]laintiffs [cannot] wait until the last minute to ascertain and refine the theories on which they intend to build their case.").</w:t>
      </w:r>
    </w:p>
    <w:p w14:paraId="09F8890B" w14:textId="77777777" w:rsidR="002B10A6" w:rsidRDefault="00000000">
      <w:pPr>
        <w:pStyle w:val="Normal5"/>
        <w:widowControl w:val="0"/>
        <w:spacing w:before="200" w:line="260" w:lineRule="atLeast"/>
        <w:jc w:val="both"/>
      </w:pPr>
      <w:bookmarkStart w:id="838" w:name="Bookmark_para_33_3"/>
      <w:bookmarkEnd w:id="838"/>
      <w:r>
        <w:rPr>
          <w:rFonts w:ascii="Arial" w:eastAsia="Arial" w:hAnsi="Arial" w:cs="Arial"/>
          <w:color w:val="000000"/>
          <w:sz w:val="20"/>
        </w:rPr>
        <w:t xml:space="preserve">Not only did Mr. Reyes attempt to raise new claims in response to defendants' motion for summary judgment, he also tacks on several new claims for the first time on appeal, which include fraud on the court, violation of HIPAA, and race-based discrimination. But </w:t>
      </w:r>
      <w:bookmarkStart w:id="839" w:name="Bookmark_LNHNREFclscc14_1"/>
      <w:bookmarkEnd w:id="839"/>
      <w:r>
        <w:rPr>
          <w:rFonts w:ascii="Arial" w:eastAsia="Arial" w:hAnsi="Arial" w:cs="Arial"/>
          <w:color w:val="000000"/>
          <w:sz w:val="20"/>
        </w:rPr>
        <w:t xml:space="preserve">Mr. Reyes forfeited all these claims by failing to raise them in the district court, and has waived them in this court by failing to argue that the magistrate judge's failure to consider them was plain error. </w:t>
      </w:r>
      <w:r>
        <w:rPr>
          <w:rFonts w:ascii="Arial" w:eastAsia="Arial" w:hAnsi="Arial" w:cs="Arial"/>
          <w:i/>
          <w:color w:val="000000"/>
          <w:sz w:val="20"/>
        </w:rPr>
        <w:t>See Richison</w:t>
      </w:r>
      <w:r>
        <w:rPr>
          <w:rFonts w:ascii="Arial" w:eastAsia="Arial" w:hAnsi="Arial" w:cs="Arial"/>
          <w:color w:val="000000"/>
          <w:sz w:val="20"/>
        </w:rPr>
        <w:t>, 634 F.3d at 1127-31.</w:t>
      </w:r>
    </w:p>
    <w:p w14:paraId="1EAE2BD0" w14:textId="77777777" w:rsidR="002B10A6" w:rsidRDefault="00000000">
      <w:pPr>
        <w:pStyle w:val="Normal5"/>
        <w:widowControl w:val="0"/>
        <w:spacing w:before="240" w:line="260" w:lineRule="atLeast"/>
      </w:pPr>
      <w:r>
        <w:br/>
      </w:r>
      <w:r>
        <w:rPr>
          <w:rFonts w:ascii="Arial" w:eastAsia="Arial" w:hAnsi="Arial" w:cs="Arial"/>
          <w:b/>
          <w:color w:val="000000"/>
          <w:sz w:val="20"/>
        </w:rPr>
        <w:t>IV. CONCLUSION</w:t>
      </w:r>
    </w:p>
    <w:p w14:paraId="1AD3829D" w14:textId="77777777" w:rsidR="002B10A6" w:rsidRDefault="00000000">
      <w:pPr>
        <w:pStyle w:val="Normal5"/>
        <w:widowControl w:val="0"/>
        <w:spacing w:before="200" w:line="260" w:lineRule="atLeast"/>
        <w:jc w:val="both"/>
      </w:pPr>
      <w:bookmarkStart w:id="840" w:name="Bookmark_para_34_2"/>
      <w:bookmarkEnd w:id="840"/>
      <w:r>
        <w:rPr>
          <w:rFonts w:ascii="Arial" w:eastAsia="Arial" w:hAnsi="Arial" w:cs="Arial"/>
          <w:color w:val="000000"/>
          <w:sz w:val="20"/>
        </w:rPr>
        <w:t xml:space="preserve">The judgment of the district court is affirmed. We deny Mr. Reyes's and Ms. Reyes's motions to proceed on appeal without prepayment of fees—in other words </w:t>
      </w:r>
      <w:r>
        <w:rPr>
          <w:rFonts w:ascii="Arial" w:eastAsia="Arial" w:hAnsi="Arial" w:cs="Arial"/>
          <w:i/>
          <w:color w:val="000000"/>
          <w:sz w:val="20"/>
        </w:rPr>
        <w:t>in forma pauperis</w:t>
      </w:r>
      <w:r>
        <w:rPr>
          <w:rFonts w:ascii="Arial" w:eastAsia="Arial" w:hAnsi="Arial" w:cs="Arial"/>
          <w:color w:val="000000"/>
          <w:sz w:val="20"/>
        </w:rPr>
        <w:t xml:space="preserve">—because they have failed to show "the existence of a reasoned, nonfrivolous argument on the law and facts in support of the issues raised on appeal." </w:t>
      </w:r>
      <w:r>
        <w:rPr>
          <w:rFonts w:ascii="Arial" w:eastAsia="Arial" w:hAnsi="Arial" w:cs="Arial"/>
          <w:i/>
          <w:color w:val="000000"/>
          <w:sz w:val="20"/>
        </w:rPr>
        <w:t>DeBardeleben v. Quinlan</w:t>
      </w:r>
      <w:r>
        <w:rPr>
          <w:rFonts w:ascii="Arial" w:eastAsia="Arial" w:hAnsi="Arial" w:cs="Arial"/>
          <w:color w:val="000000"/>
          <w:sz w:val="20"/>
        </w:rPr>
        <w:t>, 937 F.2d 502, 505 (10th Cir. 1991).</w:t>
      </w:r>
    </w:p>
    <w:p w14:paraId="3F466F6B" w14:textId="77777777" w:rsidR="002B10A6" w:rsidRDefault="00000000">
      <w:pPr>
        <w:pStyle w:val="Normal5"/>
        <w:widowControl w:val="0"/>
        <w:spacing w:before="200" w:line="260" w:lineRule="atLeast"/>
        <w:jc w:val="both"/>
      </w:pPr>
      <w:bookmarkStart w:id="841" w:name="Bookmark_para_35_2"/>
      <w:bookmarkEnd w:id="841"/>
      <w:r>
        <w:rPr>
          <w:rFonts w:ascii="Arial" w:eastAsia="Arial" w:hAnsi="Arial" w:cs="Arial"/>
          <w:color w:val="000000"/>
          <w:sz w:val="20"/>
        </w:rPr>
        <w:t>Entered for the Court</w:t>
      </w:r>
    </w:p>
    <w:p w14:paraId="0C2D200F" w14:textId="77777777" w:rsidR="002B10A6" w:rsidRDefault="00000000">
      <w:pPr>
        <w:pStyle w:val="Normal5"/>
        <w:widowControl w:val="0"/>
        <w:spacing w:before="200" w:line="260" w:lineRule="atLeast"/>
        <w:jc w:val="both"/>
      </w:pPr>
      <w:bookmarkStart w:id="842" w:name="Bookmark_para_36_2"/>
      <w:bookmarkEnd w:id="842"/>
      <w:r>
        <w:rPr>
          <w:rFonts w:ascii="Arial" w:eastAsia="Arial" w:hAnsi="Arial" w:cs="Arial"/>
          <w:color w:val="000000"/>
          <w:sz w:val="20"/>
        </w:rPr>
        <w:t>Mary Beck Briscoe</w:t>
      </w:r>
    </w:p>
    <w:p w14:paraId="3A339E2A" w14:textId="77777777" w:rsidR="002B10A6" w:rsidRDefault="00000000">
      <w:pPr>
        <w:pStyle w:val="Normal5"/>
        <w:widowControl w:val="0"/>
        <w:spacing w:before="200" w:line="260" w:lineRule="atLeast"/>
        <w:jc w:val="both"/>
      </w:pPr>
      <w:bookmarkStart w:id="843" w:name="Bookmark_para_37_1"/>
      <w:bookmarkEnd w:id="843"/>
      <w:r>
        <w:rPr>
          <w:rFonts w:ascii="Arial" w:eastAsia="Arial" w:hAnsi="Arial" w:cs="Arial"/>
          <w:color w:val="000000"/>
          <w:sz w:val="20"/>
        </w:rPr>
        <w:t>Circuit Judge</w:t>
      </w:r>
    </w:p>
    <w:p w14:paraId="69478C5E" w14:textId="77777777" w:rsidR="002B10A6" w:rsidRDefault="002B10A6">
      <w:pPr>
        <w:pStyle w:val="Normal5"/>
      </w:pPr>
    </w:p>
    <w:p w14:paraId="78E0ED8D" w14:textId="516356FD" w:rsidR="002B10A6" w:rsidRDefault="00000000">
      <w:pPr>
        <w:pStyle w:val="Normal5"/>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69504" behindDoc="0" locked="0" layoutInCell="1" allowOverlap="1" wp14:anchorId="125A16B3" wp14:editId="2F1846DD">
                <wp:simplePos x="0" y="0"/>
                <wp:positionH relativeFrom="column">
                  <wp:posOffset>0</wp:posOffset>
                </wp:positionH>
                <wp:positionV relativeFrom="paragraph">
                  <wp:posOffset>127000</wp:posOffset>
                </wp:positionV>
                <wp:extent cx="6502400" cy="0"/>
                <wp:effectExtent l="9525" t="12700" r="12700" b="6350"/>
                <wp:wrapNone/>
                <wp:docPr id="73756868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FF51A" id="Line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80640A4" w14:textId="77777777" w:rsidR="002B10A6" w:rsidRDefault="002B10A6">
      <w:pPr>
        <w:pStyle w:val="Normal6"/>
        <w:sectPr w:rsidR="002B10A6">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gutter="0"/>
          <w:cols w:space="720"/>
          <w:titlePg/>
        </w:sectPr>
      </w:pPr>
    </w:p>
    <w:p w14:paraId="52EACEAF" w14:textId="77777777" w:rsidR="002B10A6" w:rsidRDefault="002B10A6">
      <w:pPr>
        <w:pStyle w:val="Normal6"/>
      </w:pPr>
    </w:p>
    <w:p w14:paraId="1507FA20" w14:textId="77777777" w:rsidR="002B10A6" w:rsidRDefault="00000000">
      <w:pPr>
        <w:pStyle w:val="Heading15"/>
        <w:keepNext w:val="0"/>
        <w:widowControl w:val="0"/>
        <w:spacing w:after="200" w:line="340" w:lineRule="atLeast"/>
        <w:jc w:val="center"/>
      </w:pPr>
      <w:r>
        <w:rPr>
          <w:rFonts w:eastAsia="Arial"/>
          <w:color w:val="000000"/>
          <w:sz w:val="28"/>
        </w:rPr>
        <w:t>Schalamar Creek Mobile Homeowner's Ass'n v. Adler</w:t>
      </w:r>
    </w:p>
    <w:p w14:paraId="6E135C56" w14:textId="77777777" w:rsidR="002B10A6" w:rsidRDefault="00000000">
      <w:pPr>
        <w:pStyle w:val="Normal6"/>
        <w:widowControl w:val="0"/>
        <w:spacing w:before="120" w:line="260" w:lineRule="atLeast"/>
        <w:jc w:val="center"/>
      </w:pPr>
      <w:r>
        <w:rPr>
          <w:rFonts w:ascii="Arial" w:eastAsia="Arial" w:hAnsi="Arial" w:cs="Arial"/>
          <w:color w:val="000000"/>
          <w:sz w:val="20"/>
        </w:rPr>
        <w:t>United States Court of Appeals for the Eleventh Circuit</w:t>
      </w:r>
    </w:p>
    <w:p w14:paraId="77CA50B7" w14:textId="77777777" w:rsidR="002B10A6" w:rsidRDefault="00000000">
      <w:pPr>
        <w:pStyle w:val="Normal6"/>
        <w:widowControl w:val="0"/>
        <w:spacing w:before="120" w:line="260" w:lineRule="atLeast"/>
        <w:jc w:val="center"/>
      </w:pPr>
      <w:r>
        <w:rPr>
          <w:rFonts w:ascii="Arial" w:eastAsia="Arial" w:hAnsi="Arial" w:cs="Arial"/>
          <w:color w:val="000000"/>
          <w:sz w:val="20"/>
        </w:rPr>
        <w:t>May 7, 2021, Decided</w:t>
      </w:r>
    </w:p>
    <w:p w14:paraId="278777E4" w14:textId="77777777" w:rsidR="002B10A6" w:rsidRDefault="00000000">
      <w:pPr>
        <w:pStyle w:val="Normal6"/>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20-13415 Non-Argument Calendar</w:t>
      </w:r>
    </w:p>
    <w:p w14:paraId="130F1F9A" w14:textId="77777777" w:rsidR="002B10A6" w:rsidRDefault="002B10A6">
      <w:pPr>
        <w:pStyle w:val="Normal6"/>
        <w:widowControl w:val="0"/>
        <w:spacing w:line="240" w:lineRule="atLeast"/>
        <w:jc w:val="both"/>
      </w:pPr>
      <w:bookmarkStart w:id="844" w:name="Bookmark_7"/>
      <w:bookmarkEnd w:id="844"/>
    </w:p>
    <w:p w14:paraId="463C0C25" w14:textId="77777777" w:rsidR="002B10A6" w:rsidRDefault="00000000">
      <w:pPr>
        <w:pStyle w:val="Normal6"/>
        <w:widowControl w:val="0"/>
        <w:spacing w:before="200" w:line="240" w:lineRule="atLeast"/>
      </w:pPr>
      <w:bookmarkStart w:id="845" w:name="Reporter_5"/>
      <w:bookmarkEnd w:id="845"/>
      <w:r>
        <w:rPr>
          <w:rFonts w:ascii="Arial" w:eastAsia="Arial" w:hAnsi="Arial" w:cs="Arial"/>
          <w:b/>
          <w:color w:val="000000"/>
          <w:sz w:val="18"/>
        </w:rPr>
        <w:t>Reporter</w:t>
      </w:r>
    </w:p>
    <w:p w14:paraId="08AABFEF" w14:textId="77777777" w:rsidR="002B10A6" w:rsidRDefault="00000000">
      <w:pPr>
        <w:pStyle w:val="Normal6"/>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855 Fed. Appx. 546 *; 2021 U.S. App. LEXIS 13610 **; 2021 WL 1827934</w:t>
      </w:r>
    </w:p>
    <w:p w14:paraId="1991FB29" w14:textId="77777777" w:rsidR="002B10A6" w:rsidRDefault="00000000">
      <w:pPr>
        <w:pStyle w:val="Normal6"/>
        <w:widowControl w:val="0"/>
        <w:spacing w:before="120" w:line="260" w:lineRule="atLeast"/>
      </w:pPr>
      <w:r>
        <w:rPr>
          <w:rFonts w:ascii="Arial" w:eastAsia="Arial" w:hAnsi="Arial" w:cs="Arial"/>
          <w:color w:val="000000"/>
          <w:sz w:val="20"/>
        </w:rPr>
        <w:t>SCHALAMAR CREEK MOBILE HOMEOWNER'S ASSOCIATION, INC., on behalf of the homeowner members in its representative capacity and on behalf of themselves and others similarly situated, SHERRY ATWOOD, JAMES DRISKELL, DON GLEDHILL, LINDA GLEDHILL, BARB GRIFFIN, JOETTE KELLY, CATHY LISKA, Plaintiffs-Appellants, PHIL FEATHERBAY, Plaintiff, versus STEVEN ADLER, LORRAINE DEMARCO, R. SCOTT PROVOST, CHARLES CROOK, MARTI NEWKIRK, et al., Defendants-Appellees.</w:t>
      </w:r>
    </w:p>
    <w:p w14:paraId="105D0460" w14:textId="77777777" w:rsidR="002B10A6" w:rsidRDefault="00000000">
      <w:pPr>
        <w:pStyle w:val="Normal6"/>
        <w:widowControl w:val="0"/>
        <w:spacing w:before="240" w:line="260" w:lineRule="atLeast"/>
        <w:jc w:val="both"/>
      </w:pPr>
      <w:bookmarkStart w:id="846" w:name="Notice_1"/>
      <w:bookmarkEnd w:id="846"/>
      <w:r>
        <w:rPr>
          <w:rFonts w:ascii="Arial" w:eastAsia="Arial" w:hAnsi="Arial" w:cs="Arial"/>
          <w:b/>
          <w:color w:val="000000"/>
          <w:sz w:val="20"/>
        </w:rPr>
        <w:t>Notice:</w:t>
      </w:r>
      <w:r>
        <w:rPr>
          <w:rFonts w:ascii="Arial" w:eastAsia="Arial" w:hAnsi="Arial" w:cs="Arial"/>
          <w:color w:val="000000"/>
          <w:sz w:val="20"/>
        </w:rPr>
        <w:t> </w:t>
      </w:r>
      <w:bookmarkStart w:id="847" w:name="Bookmark_para_1_5"/>
      <w:bookmarkEnd w:id="847"/>
      <w:r>
        <w:rPr>
          <w:rFonts w:ascii="Arial" w:eastAsia="Arial" w:hAnsi="Arial" w:cs="Arial"/>
          <w:color w:val="000000"/>
          <w:sz w:val="20"/>
        </w:rPr>
        <w:t>PLEASE REFER TO FEDERAL RULES OF APPELLATE PROCEDURE RULE 32.1 GOVERNING THE CITATION TO UNPUBLISHED OPINIONS.</w:t>
      </w:r>
    </w:p>
    <w:p w14:paraId="5B7D9E5B" w14:textId="77777777" w:rsidR="002B10A6" w:rsidRDefault="00000000">
      <w:pPr>
        <w:pStyle w:val="Normal6"/>
        <w:widowControl w:val="0"/>
        <w:spacing w:before="240" w:line="260" w:lineRule="atLeast"/>
        <w:jc w:val="both"/>
      </w:pPr>
      <w:bookmarkStart w:id="848" w:name="Prior_History_5"/>
      <w:bookmarkEnd w:id="848"/>
      <w:r>
        <w:rPr>
          <w:rFonts w:ascii="Arial" w:eastAsia="Arial" w:hAnsi="Arial" w:cs="Arial"/>
          <w:b/>
          <w:color w:val="000000"/>
          <w:sz w:val="20"/>
        </w:rPr>
        <w:t>Prior History:</w:t>
      </w:r>
      <w:r>
        <w:rPr>
          <w:rFonts w:ascii="Arial" w:eastAsia="Arial" w:hAnsi="Arial" w:cs="Arial"/>
          <w:color w:val="000000"/>
          <w:sz w:val="20"/>
        </w:rPr>
        <w:t> </w:t>
      </w:r>
      <w:bookmarkStart w:id="849" w:name="Bookmark_para_2_5"/>
      <w:bookmarkEnd w:id="849"/>
      <w:r>
        <w:rPr>
          <w:rFonts w:ascii="Arial" w:eastAsia="Arial" w:hAnsi="Arial" w:cs="Arial"/>
          <w:color w:val="000000"/>
          <w:sz w:val="20"/>
        </w:rPr>
        <w:t> [**1] Appeals from the United States District Court for the Middle District of Florida. D.C. Docket No. 8:19-cv-00291-TPB-AEP.</w:t>
      </w:r>
    </w:p>
    <w:p w14:paraId="7D30EDD5" w14:textId="77777777" w:rsidR="002B10A6" w:rsidRDefault="00000000">
      <w:pPr>
        <w:pStyle w:val="Normal6"/>
        <w:widowControl w:val="0"/>
        <w:spacing w:before="120" w:line="260" w:lineRule="atLeast"/>
      </w:pPr>
      <w:r>
        <w:rPr>
          <w:rFonts w:ascii="Arial" w:eastAsia="Arial" w:hAnsi="Arial" w:cs="Arial"/>
          <w:color w:val="000000"/>
          <w:sz w:val="20"/>
        </w:rPr>
        <w:t>Atwood v. Adler, 2020 U.S. Dist. LEXIS 142619, 2020 WL 4582740 (M.D. Fla., Aug. 10, 2020)</w:t>
      </w:r>
    </w:p>
    <w:p w14:paraId="59211058" w14:textId="77777777" w:rsidR="002B10A6" w:rsidRDefault="00000000">
      <w:pPr>
        <w:pStyle w:val="Normal6"/>
        <w:widowControl w:val="0"/>
        <w:spacing w:before="240" w:line="260" w:lineRule="atLeast"/>
        <w:jc w:val="both"/>
      </w:pPr>
      <w:bookmarkStart w:id="850" w:name="Disposition_2"/>
      <w:bookmarkEnd w:id="850"/>
      <w:r>
        <w:rPr>
          <w:rFonts w:ascii="Arial" w:eastAsia="Arial" w:hAnsi="Arial" w:cs="Arial"/>
          <w:b/>
          <w:color w:val="000000"/>
          <w:sz w:val="20"/>
        </w:rPr>
        <w:t>Disposition:</w:t>
      </w:r>
      <w:r>
        <w:rPr>
          <w:rFonts w:ascii="Arial" w:eastAsia="Arial" w:hAnsi="Arial" w:cs="Arial"/>
          <w:color w:val="000000"/>
          <w:sz w:val="20"/>
        </w:rPr>
        <w:t> </w:t>
      </w:r>
      <w:bookmarkStart w:id="851" w:name="Bookmark_clspara_4_2"/>
      <w:bookmarkEnd w:id="851"/>
      <w:r>
        <w:rPr>
          <w:rFonts w:ascii="Arial" w:eastAsia="Arial" w:hAnsi="Arial" w:cs="Arial"/>
          <w:color w:val="000000"/>
          <w:sz w:val="20"/>
        </w:rPr>
        <w:t>AFFIRMED.</w:t>
      </w:r>
    </w:p>
    <w:p w14:paraId="647CE57F" w14:textId="77777777" w:rsidR="002B10A6" w:rsidRDefault="00000000">
      <w:pPr>
        <w:pStyle w:val="Normal6"/>
        <w:widowControl w:val="0"/>
        <w:spacing w:before="240" w:line="260" w:lineRule="atLeast"/>
      </w:pPr>
      <w:bookmarkStart w:id="852" w:name="Counsel_5"/>
      <w:bookmarkEnd w:id="852"/>
      <w:r>
        <w:rPr>
          <w:rFonts w:ascii="Arial" w:eastAsia="Arial" w:hAnsi="Arial" w:cs="Arial"/>
          <w:b/>
          <w:color w:val="000000"/>
          <w:sz w:val="20"/>
        </w:rPr>
        <w:t>Counsel:</w:t>
      </w:r>
      <w:r>
        <w:rPr>
          <w:rFonts w:ascii="Arial" w:eastAsia="Arial" w:hAnsi="Arial" w:cs="Arial"/>
          <w:color w:val="000000"/>
          <w:sz w:val="20"/>
        </w:rPr>
        <w:t> For SCHALAMAR CREEK MOBILE HOMEOWNER'S ASSOCIATION, INC., on behalf of the homeowner members in its representative capacity and on behalf of themselves and others similarily situated, SHERRY ATWOOD, DON GLEDHILL, LINDA GLEDHILL, BARB GRIFFIN, JOETTE KELLY, CATHY LISKA, JAMES DRISKELL, Plaintiffs - Appellants: Dineen Pashoukos Wasylik, DPW Legal, WESLEY CHAPEL, FL; Daniel W. Perry, Daniel Perry, Esq., ORLANDO, FL; Brian Shrader, Shrader Law, PLLC, TAMPA, FL; Katherine Earle Yanes, Kynes Markman &amp; Felman, PA, TAMPA, FL.</w:t>
      </w:r>
    </w:p>
    <w:p w14:paraId="267D17B3" w14:textId="77777777" w:rsidR="002B10A6" w:rsidRDefault="00000000">
      <w:pPr>
        <w:pStyle w:val="Normal6"/>
        <w:widowControl w:val="0"/>
        <w:spacing w:before="120" w:line="260" w:lineRule="atLeast"/>
      </w:pPr>
      <w:r>
        <w:rPr>
          <w:rFonts w:ascii="Arial" w:eastAsia="Arial" w:hAnsi="Arial" w:cs="Arial"/>
          <w:color w:val="000000"/>
          <w:sz w:val="20"/>
        </w:rPr>
        <w:t>For STEVEN ADLER, LORRAINE DEMARCO, R. SCOTT PROVOST, CHARLES CROOK, MARTI NEWKIRK, Defendants - Appellees: Mahlon Herbert Barlow II, Sivyer Barlow &amp; Watson, PA, TAMPA, FL; J. Allen Bobo, Lutz Bobo Telfair, PA, SARASOTA, FL.</w:t>
      </w:r>
    </w:p>
    <w:p w14:paraId="2802EA59" w14:textId="77777777" w:rsidR="002B10A6" w:rsidRDefault="00000000">
      <w:pPr>
        <w:pStyle w:val="Normal6"/>
        <w:widowControl w:val="0"/>
        <w:spacing w:before="240" w:line="260" w:lineRule="atLeast"/>
      </w:pPr>
      <w:bookmarkStart w:id="853" w:name="Judges_5"/>
      <w:bookmarkEnd w:id="853"/>
      <w:r>
        <w:rPr>
          <w:rFonts w:ascii="Arial" w:eastAsia="Arial" w:hAnsi="Arial" w:cs="Arial"/>
          <w:b/>
          <w:color w:val="000000"/>
          <w:sz w:val="20"/>
        </w:rPr>
        <w:t>Judges:</w:t>
      </w:r>
      <w:r>
        <w:rPr>
          <w:rFonts w:ascii="Arial" w:eastAsia="Arial" w:hAnsi="Arial" w:cs="Arial"/>
          <w:color w:val="000000"/>
          <w:sz w:val="20"/>
        </w:rPr>
        <w:t> Before WILSON, JILL PRYOR, and LUCK, Circuit Judges.</w:t>
      </w:r>
    </w:p>
    <w:p w14:paraId="12E51447" w14:textId="77777777" w:rsidR="002B10A6" w:rsidRDefault="00000000">
      <w:pPr>
        <w:pStyle w:val="Normal6"/>
        <w:keepNext/>
        <w:widowControl w:val="0"/>
        <w:spacing w:before="240" w:line="340" w:lineRule="atLeast"/>
      </w:pPr>
      <w:bookmarkStart w:id="854" w:name="Opinion_5"/>
      <w:bookmarkEnd w:id="854"/>
      <w:r>
        <w:rPr>
          <w:rFonts w:ascii="Arial" w:eastAsia="Arial" w:hAnsi="Arial" w:cs="Arial"/>
          <w:b/>
          <w:color w:val="000000"/>
          <w:sz w:val="28"/>
        </w:rPr>
        <w:t>Opinion</w:t>
      </w:r>
    </w:p>
    <w:p w14:paraId="7947A741" w14:textId="32FD2DD8" w:rsidR="002B10A6" w:rsidRDefault="002D6974">
      <w:pPr>
        <w:pStyle w:val="Normal6"/>
        <w:spacing w:line="60" w:lineRule="exact"/>
      </w:pPr>
      <w:r>
        <w:rPr>
          <w:noProof/>
        </w:rPr>
        <mc:AlternateContent>
          <mc:Choice Requires="wps">
            <w:drawing>
              <wp:anchor distT="0" distB="0" distL="114300" distR="114300" simplePos="0" relativeHeight="251670528" behindDoc="0" locked="0" layoutInCell="1" allowOverlap="1" wp14:anchorId="252589AD" wp14:editId="1BC01548">
                <wp:simplePos x="0" y="0"/>
                <wp:positionH relativeFrom="column">
                  <wp:posOffset>0</wp:posOffset>
                </wp:positionH>
                <wp:positionV relativeFrom="paragraph">
                  <wp:posOffset>25400</wp:posOffset>
                </wp:positionV>
                <wp:extent cx="3187700" cy="0"/>
                <wp:effectExtent l="19050" t="15875" r="12700" b="12700"/>
                <wp:wrapTopAndBottom/>
                <wp:docPr id="57308948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D483A" id="Line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CE8630C" w14:textId="77777777" w:rsidR="002B10A6" w:rsidRDefault="002B10A6">
      <w:pPr>
        <w:pStyle w:val="Normal6"/>
      </w:pPr>
    </w:p>
    <w:p w14:paraId="0A2C95B6" w14:textId="77777777" w:rsidR="002B10A6" w:rsidRDefault="00000000">
      <w:pPr>
        <w:pStyle w:val="Normal6"/>
        <w:widowControl w:val="0"/>
        <w:spacing w:before="200" w:line="260" w:lineRule="atLeast"/>
        <w:jc w:val="both"/>
      </w:pPr>
      <w:bookmarkStart w:id="855" w:name="Bookmark_para_3_5"/>
      <w:bookmarkEnd w:id="855"/>
      <w:r>
        <w:rPr>
          <w:rFonts w:ascii="Arial" w:eastAsia="Arial" w:hAnsi="Arial" w:cs="Arial"/>
          <w:color w:val="000000"/>
          <w:sz w:val="20"/>
        </w:rPr>
        <w:t> [*547]  PER CURIAM:</w:t>
      </w:r>
    </w:p>
    <w:p w14:paraId="6B780C21" w14:textId="77777777" w:rsidR="002B10A6" w:rsidRDefault="00000000">
      <w:pPr>
        <w:pStyle w:val="Normal6"/>
        <w:widowControl w:val="0"/>
        <w:spacing w:before="200" w:line="260" w:lineRule="atLeast"/>
        <w:jc w:val="both"/>
      </w:pPr>
      <w:bookmarkStart w:id="856" w:name="Bookmark_para_4_5"/>
      <w:bookmarkEnd w:id="856"/>
      <w:r>
        <w:rPr>
          <w:rFonts w:ascii="Arial" w:eastAsia="Arial" w:hAnsi="Arial" w:cs="Arial"/>
          <w:color w:val="000000"/>
          <w:sz w:val="20"/>
        </w:rPr>
        <w:t>Schalamar Creek Mobile Homeowner's Association, Inc. and seven residents of Schalamar Creek Golf Mobile Home Park appeal the district court's summary judgment for the defendants, the owners and operators of the mobile home park, on their claims that the defendants [**2]  violated the Racketeer Influenced and Corrupt Organizations Act and the Americans with Disabilities Act. The district court granted summary judgment for Schalamar Creek's owners and operators because the residents and the homeowner's association did not have standing to pursue their claims. We agree with the district court that the residents did not have standing to bring the RICO claims and affirm summary judgment for the owners and operators. Although we disagree with the district court that the homeowner's association did not have standing to bring an Americans with Disabilities Act claim, we still affirm because there is no summary judgment evidence that the proposed modifications to Schalamar Creek's clubhouse were "readily achievable."</w:t>
      </w:r>
    </w:p>
    <w:p w14:paraId="777643D9" w14:textId="77777777" w:rsidR="002B10A6" w:rsidRDefault="00000000">
      <w:pPr>
        <w:pStyle w:val="Normal6"/>
        <w:widowControl w:val="0"/>
        <w:spacing w:before="240" w:line="260" w:lineRule="atLeast"/>
      </w:pPr>
      <w:r>
        <w:br/>
      </w:r>
      <w:r>
        <w:rPr>
          <w:rFonts w:ascii="Arial" w:eastAsia="Arial" w:hAnsi="Arial" w:cs="Arial"/>
          <w:b/>
          <w:color w:val="000000"/>
          <w:sz w:val="20"/>
        </w:rPr>
        <w:t>FACTUAL BACKGROUND AND PROCEDURAL HISTORY</w:t>
      </w:r>
    </w:p>
    <w:p w14:paraId="0F15D166" w14:textId="77777777" w:rsidR="002B10A6" w:rsidRDefault="00000000">
      <w:pPr>
        <w:pStyle w:val="Normal6"/>
        <w:widowControl w:val="0"/>
        <w:spacing w:before="200" w:line="260" w:lineRule="atLeast"/>
        <w:jc w:val="both"/>
      </w:pPr>
      <w:bookmarkStart w:id="857" w:name="Bookmark_para_5_5"/>
      <w:bookmarkEnd w:id="857"/>
      <w:r>
        <w:rPr>
          <w:rFonts w:ascii="Arial" w:eastAsia="Arial" w:hAnsi="Arial" w:cs="Arial"/>
          <w:color w:val="000000"/>
          <w:sz w:val="20"/>
        </w:rPr>
        <w:t>Schalamar Creek is a mobile home community located in Polk County, Florida, designed for adults fifty-five or older. Like many mobile home parks, Schalamar Creek offers amenities for its residents. It has a golf course, a driving range, several pools, a lounge, and a clubhouse. The clubhouse, built in 1989, is a three-story building with its own amenities. There is a restaurant on the first floor. On the [**3]  second floor, there is a large event space and a bank. The rent deposit box is also located on the second floor. The third floor houses offices for Schalamar Creek's management. The golf course, driving range, restaurant, bank, and lounge are open to the public.</w:t>
      </w:r>
    </w:p>
    <w:p w14:paraId="530EE961" w14:textId="77777777" w:rsidR="002B10A6" w:rsidRDefault="00000000">
      <w:pPr>
        <w:pStyle w:val="Normal6"/>
        <w:widowControl w:val="0"/>
        <w:spacing w:before="200" w:line="260" w:lineRule="atLeast"/>
        <w:jc w:val="both"/>
      </w:pPr>
      <w:bookmarkStart w:id="858" w:name="Bookmark_para_6_5"/>
      <w:bookmarkEnd w:id="858"/>
      <w:r>
        <w:rPr>
          <w:rFonts w:ascii="Arial" w:eastAsia="Arial" w:hAnsi="Arial" w:cs="Arial"/>
          <w:color w:val="000000"/>
          <w:sz w:val="20"/>
        </w:rPr>
        <w:t xml:space="preserve">Schalamar Creek is owned by Osprey Links, LLC, a subsidiary of Northwestern Mutual Life Insurance Company. The park is operated and managed by Murex Properties, LLC. Schalamar Creek's residents are represented by the homeowner's association, which is authorized by statute to act as their representative in matters relating  [*548]  to Schalamar Creek's operations. </w:t>
      </w:r>
      <w:r>
        <w:rPr>
          <w:rFonts w:ascii="Arial" w:eastAsia="Arial" w:hAnsi="Arial" w:cs="Arial"/>
          <w:color w:val="000000"/>
          <w:sz w:val="20"/>
          <w:u w:val="single"/>
        </w:rPr>
        <w:t>See</w:t>
      </w:r>
      <w:r>
        <w:rPr>
          <w:rFonts w:ascii="Arial" w:eastAsia="Arial" w:hAnsi="Arial" w:cs="Arial"/>
          <w:color w:val="000000"/>
          <w:sz w:val="20"/>
        </w:rPr>
        <w:t xml:space="preserve"> Fla. Stat. § 723.075(1) ("[T]he association shall become the representative of all the mobile home owners in all matters relating to this chapter, regardless of whether the homeowner is a member of the association.").</w:t>
      </w:r>
    </w:p>
    <w:p w14:paraId="7E1C1855" w14:textId="77777777" w:rsidR="002B10A6" w:rsidRDefault="00000000">
      <w:pPr>
        <w:pStyle w:val="Normal6"/>
        <w:widowControl w:val="0"/>
        <w:spacing w:before="200" w:line="260" w:lineRule="atLeast"/>
        <w:jc w:val="both"/>
      </w:pPr>
      <w:bookmarkStart w:id="859" w:name="Bookmark_para_7_5"/>
      <w:bookmarkStart w:id="860" w:name="Bookmark_LNHNREFclscc1_5"/>
      <w:bookmarkEnd w:id="859"/>
      <w:bookmarkEnd w:id="860"/>
      <w:r>
        <w:rPr>
          <w:rFonts w:ascii="Arial" w:eastAsia="Arial" w:hAnsi="Arial" w:cs="Arial"/>
          <w:color w:val="000000"/>
          <w:sz w:val="20"/>
        </w:rPr>
        <w:t xml:space="preserve">In Florida, the Mobile Home Act governs the relationship between the residents and the owners and operators of mobile home parks. </w:t>
      </w:r>
      <w:r>
        <w:rPr>
          <w:rFonts w:ascii="Arial" w:eastAsia="Arial" w:hAnsi="Arial" w:cs="Arial"/>
          <w:color w:val="000000"/>
          <w:sz w:val="20"/>
          <w:u w:val="single"/>
        </w:rPr>
        <w:t>See</w:t>
      </w:r>
      <w:r>
        <w:rPr>
          <w:rFonts w:ascii="Arial" w:eastAsia="Arial" w:hAnsi="Arial" w:cs="Arial"/>
          <w:color w:val="000000"/>
          <w:sz w:val="20"/>
        </w:rPr>
        <w:t xml:space="preserve"> Fla. Stat. § 723, et. seq. Schalamar Creek's residents own their mobile homes, but pursuant to the Act they lease the land beneath their homes from Schalamar Creek's owners. </w:t>
      </w:r>
      <w:bookmarkStart w:id="861" w:name="Bookmark_I62NWBFN28T4SF0020000400"/>
      <w:bookmarkEnd w:id="861"/>
      <w:r>
        <w:rPr>
          <w:rFonts w:ascii="Arial" w:eastAsia="Arial" w:hAnsi="Arial" w:cs="Arial"/>
          <w:color w:val="000000"/>
          <w:sz w:val="20"/>
        </w:rPr>
        <w:t xml:space="preserve">As required by the Act, these leases incorporate a prospectus—a disclosure document that contains information [**4]  about the rents and fees applicable to the property. </w:t>
      </w:r>
      <w:r>
        <w:rPr>
          <w:rFonts w:ascii="Arial" w:eastAsia="Arial" w:hAnsi="Arial" w:cs="Arial"/>
          <w:color w:val="000000"/>
          <w:sz w:val="20"/>
          <w:u w:val="single"/>
        </w:rPr>
        <w:t>See id.</w:t>
      </w:r>
      <w:r>
        <w:rPr>
          <w:rFonts w:ascii="Arial" w:eastAsia="Arial" w:hAnsi="Arial" w:cs="Arial"/>
          <w:color w:val="000000"/>
          <w:sz w:val="20"/>
        </w:rPr>
        <w:t xml:space="preserve"> § 723.012 (discussing the required contents of a prospectus). The prospectus also "delineates the basis for, and the procedure governing, future rent increases." </w:t>
      </w:r>
      <w:r>
        <w:rPr>
          <w:rFonts w:ascii="Arial" w:eastAsia="Arial" w:hAnsi="Arial" w:cs="Arial"/>
          <w:color w:val="000000"/>
          <w:sz w:val="20"/>
          <w:u w:val="single"/>
        </w:rPr>
        <w:t xml:space="preserve">See </w:t>
      </w:r>
      <w:bookmarkStart w:id="862" w:name="Bookmark_I62NWBFN28T4SF0010000400"/>
      <w:bookmarkEnd w:id="862"/>
      <w:r>
        <w:rPr>
          <w:rFonts w:ascii="Arial" w:eastAsia="Arial" w:hAnsi="Arial" w:cs="Arial"/>
          <w:color w:val="000000"/>
          <w:sz w:val="20"/>
          <w:u w:val="single"/>
        </w:rPr>
        <w:t>Herrick v. Fla. Dep't of Bus. Regul., Div. of Fla. Land Sales, Condos. &amp; Mobile Homes</w:t>
      </w:r>
      <w:r>
        <w:rPr>
          <w:rFonts w:ascii="Arial" w:eastAsia="Arial" w:hAnsi="Arial" w:cs="Arial"/>
          <w:color w:val="000000"/>
          <w:sz w:val="20"/>
        </w:rPr>
        <w:t xml:space="preserve">, 595 So. 2d 148, 152 (Fla. Dist. Ct. App. 1992) (explaining the purposes and contents of a mobile home park prospectus). </w:t>
      </w:r>
      <w:bookmarkStart w:id="863" w:name="Bookmark_LNHNREFclscc2_5"/>
      <w:bookmarkEnd w:id="863"/>
      <w:r>
        <w:rPr>
          <w:rFonts w:ascii="Arial" w:eastAsia="Arial" w:hAnsi="Arial" w:cs="Arial"/>
          <w:color w:val="000000"/>
          <w:sz w:val="20"/>
        </w:rPr>
        <w:t>When someone buys a mobile home from an existing resident, the Act gives him or her the right to assume the seller's existing lease and the applicable prospectus. Fla. Stat. § 723.059 ("The purchaser of a mobile home who intends to become a resident of the mobile home park in accordance with this section has the right to assume the remainder of the term of any rental agreement then in effect between the mobile home park owner and the seller and may assume the seller's prospectus."). It is this right that gives rise to this appeal.</w:t>
      </w:r>
    </w:p>
    <w:p w14:paraId="16DE7CE0" w14:textId="77777777" w:rsidR="002B10A6" w:rsidRDefault="00000000">
      <w:pPr>
        <w:pStyle w:val="Normal6"/>
        <w:widowControl w:val="0"/>
        <w:spacing w:before="200" w:line="260" w:lineRule="atLeast"/>
        <w:jc w:val="both"/>
      </w:pPr>
      <w:bookmarkStart w:id="864" w:name="Bookmark_para_8_5"/>
      <w:bookmarkEnd w:id="864"/>
      <w:r>
        <w:rPr>
          <w:rFonts w:ascii="Arial" w:eastAsia="Arial" w:hAnsi="Arial" w:cs="Arial"/>
          <w:color w:val="000000"/>
          <w:sz w:val="20"/>
        </w:rPr>
        <w:t>In 2019, the homeowner's association and seven residents of Schalamar Creek sued the owners and operators for violating RICO and the Americans with Disabilities Act. The residents alleged that the defendants acted as an "enterprise" for the "shared common purpose of defrauding" the residents through the "forced surrender" of the residents' rights to assume their sellers' prospectuses. They [**5]  alleged that the defendants fraudulently induced prospective sellers whose properties were governed by an older, more favorable prospectus to adopt the P6 prospectus</w:t>
      </w:r>
      <w:r>
        <w:rPr>
          <w:rFonts w:ascii="Arial" w:eastAsia="Arial" w:hAnsi="Arial" w:cs="Arial"/>
          <w:vertAlign w:val="superscript"/>
        </w:rPr>
        <w:footnoteReference w:customMarkFollows="1" w:id="28"/>
        <w:t>1</w:t>
      </w:r>
      <w:r>
        <w:rPr>
          <w:rFonts w:ascii="Arial" w:eastAsia="Arial" w:hAnsi="Arial" w:cs="Arial"/>
          <w:color w:val="000000"/>
          <w:sz w:val="20"/>
        </w:rPr>
        <w:t xml:space="preserve"> using bribes, misrepresentations, and other incentives via the mail or wires, in violation of 18 U.S.C. sections 1341 and 1343. The residents alleged that: (1) they were injured by the defendants' actions because they were forced to pay a higher rental price than they would have paid under the pre-existing prospectus, and (2) they were deprived of their statutory right to assume their sellers' existing prospectus.</w:t>
      </w:r>
    </w:p>
    <w:p w14:paraId="70696AEC" w14:textId="77777777" w:rsidR="002B10A6" w:rsidRDefault="00000000">
      <w:pPr>
        <w:pStyle w:val="Normal6"/>
        <w:widowControl w:val="0"/>
        <w:spacing w:before="200" w:line="260" w:lineRule="atLeast"/>
        <w:jc w:val="both"/>
      </w:pPr>
      <w:bookmarkStart w:id="866" w:name="Bookmark_para_9_5"/>
      <w:bookmarkEnd w:id="866"/>
      <w:r>
        <w:rPr>
          <w:rFonts w:ascii="Arial" w:eastAsia="Arial" w:hAnsi="Arial" w:cs="Arial"/>
          <w:color w:val="000000"/>
          <w:sz w:val="20"/>
        </w:rPr>
        <w:t>The homeowner's association also alleged that Murex Properties (Schalamar Creek's operator), Steven Adler (the president and chief executive officer of Murex Properties), and Northwestern Mutual (Schalamar Creek's indirect owner), violated the Americans with Disabilities Act because some of the common areas of Schalamar Creek were not accessible to disabled residents. In particular, they pointed to obstacles at the clubhouse that made it inaccessible to residents who were "elderly persons" with "mobility, balance, gait, vision, and hearing difficulties."</w:t>
      </w:r>
    </w:p>
    <w:p w14:paraId="1737DFDD" w14:textId="77777777" w:rsidR="002B10A6" w:rsidRDefault="00000000">
      <w:pPr>
        <w:pStyle w:val="Normal6"/>
        <w:widowControl w:val="0"/>
        <w:spacing w:before="200" w:line="260" w:lineRule="atLeast"/>
        <w:jc w:val="both"/>
      </w:pPr>
      <w:bookmarkStart w:id="867" w:name="Bookmark_para_10_5"/>
      <w:bookmarkEnd w:id="867"/>
      <w:r>
        <w:rPr>
          <w:rFonts w:ascii="Arial" w:eastAsia="Arial" w:hAnsi="Arial" w:cs="Arial"/>
          <w:color w:val="000000"/>
          <w:sz w:val="20"/>
        </w:rPr>
        <w:t>The defendants moved for summary judgment. As to the RICO claims, they argued that the [**6]  residents did not have standing because they purchased properties already subject to the P6 prospectus,  [*549]  so the alleged scheme did not cause their injury. As to the Americans with Disabilities Act claim, they argued that the homeowner's association did not have associational standing because the residents would not have standing and the claim was not "germane" to the purpose of the homeowner's association. The defendants also argued, as to the Americans with Disabilities Act claim, that there was no summary judgment evidence that the proposed modifications to the clubhouse were "readily achievable."</w:t>
      </w:r>
    </w:p>
    <w:p w14:paraId="5593EC23" w14:textId="77777777" w:rsidR="002B10A6" w:rsidRDefault="00000000">
      <w:pPr>
        <w:pStyle w:val="Normal6"/>
        <w:widowControl w:val="0"/>
        <w:spacing w:before="200" w:line="260" w:lineRule="atLeast"/>
        <w:jc w:val="both"/>
      </w:pPr>
      <w:bookmarkStart w:id="868" w:name="Bookmark_para_11_5"/>
      <w:bookmarkStart w:id="869" w:name="Bookmark_I62NWBFN28T4SF0040000400"/>
      <w:bookmarkEnd w:id="868"/>
      <w:bookmarkEnd w:id="869"/>
      <w:r>
        <w:rPr>
          <w:rFonts w:ascii="Arial" w:eastAsia="Arial" w:hAnsi="Arial" w:cs="Arial"/>
          <w:color w:val="000000"/>
          <w:sz w:val="20"/>
        </w:rPr>
        <w:t xml:space="preserve">The district court granted summary judgment for the owners and operators. As to the RICO claims, the district court found that the residents did not have standing to pursue their claims related to the P6 prospectus because "none of the [residents] [were] resale purchasers forced to accept the P6 [p]rospectus at closing." As to the Americans with Disabilities Act claim, the district court found that the homeowner's association did not have associational standing under </w:t>
      </w:r>
      <w:bookmarkStart w:id="870" w:name="Bookmark_I62NWBFN28T4SF0030000400"/>
      <w:bookmarkEnd w:id="870"/>
      <w:r>
        <w:rPr>
          <w:rFonts w:ascii="Arial" w:eastAsia="Arial" w:hAnsi="Arial" w:cs="Arial"/>
          <w:color w:val="000000"/>
          <w:sz w:val="20"/>
          <w:u w:val="single"/>
        </w:rPr>
        <w:t>Hunt v. Washington State Apple Advertising Commission</w:t>
      </w:r>
      <w:r>
        <w:rPr>
          <w:rFonts w:ascii="Arial" w:eastAsia="Arial" w:hAnsi="Arial" w:cs="Arial"/>
          <w:color w:val="000000"/>
          <w:sz w:val="20"/>
        </w:rPr>
        <w:t>, 432 U.S. 333, 97 S. Ct. 2434, 53 L. Ed. 2d 383 (1977). The district court explained that an association only has standing to sue on behalf of its members when (1) "its members [**7]  would otherwise have standing to sue in their own rights," (2) "the interests it seeks to protect are germane to the organization's purpose," and (3) "neither the claim asserted nor the relief requested requires the participation of individual members in the lawsuit." The district court found that the homeowner's association had "not identified any members that would otherwise have standing to sue in their own right," and that the homeowner's association could not, as a matter of law, establish that the Americans with Disabilities Act claim was germane to its purpose.</w:t>
      </w:r>
    </w:p>
    <w:p w14:paraId="26D6E62A" w14:textId="77777777" w:rsidR="002B10A6" w:rsidRDefault="00000000">
      <w:pPr>
        <w:pStyle w:val="Normal6"/>
        <w:widowControl w:val="0"/>
        <w:spacing w:before="240" w:line="260" w:lineRule="atLeast"/>
      </w:pPr>
      <w:r>
        <w:br/>
      </w:r>
      <w:r>
        <w:rPr>
          <w:rFonts w:ascii="Arial" w:eastAsia="Arial" w:hAnsi="Arial" w:cs="Arial"/>
          <w:b/>
          <w:color w:val="000000"/>
          <w:sz w:val="20"/>
        </w:rPr>
        <w:t>STANDARD OF REVIEW</w:t>
      </w:r>
    </w:p>
    <w:p w14:paraId="1D489EDE" w14:textId="77777777" w:rsidR="002B10A6" w:rsidRDefault="00000000">
      <w:pPr>
        <w:pStyle w:val="Normal6"/>
        <w:widowControl w:val="0"/>
        <w:spacing w:before="200" w:line="260" w:lineRule="atLeast"/>
        <w:jc w:val="both"/>
      </w:pPr>
      <w:bookmarkStart w:id="871" w:name="Bookmark_para_12_5"/>
      <w:bookmarkStart w:id="872" w:name="Bookmark_I62NWBFR28T4SJ0010000400"/>
      <w:bookmarkStart w:id="873" w:name="Bookmark_I62NWBFR28T4SJ0030000400"/>
      <w:bookmarkStart w:id="874" w:name="Bookmark_LNHNREFclscc3_5"/>
      <w:bookmarkEnd w:id="871"/>
      <w:bookmarkEnd w:id="872"/>
      <w:bookmarkEnd w:id="873"/>
      <w:bookmarkEnd w:id="874"/>
      <w:r>
        <w:rPr>
          <w:rFonts w:ascii="Arial" w:eastAsia="Arial" w:hAnsi="Arial" w:cs="Arial"/>
          <w:color w:val="000000"/>
          <w:sz w:val="20"/>
        </w:rPr>
        <w:t xml:space="preserve">When a district court dismisses a claim for lack of standing, we review de novo the court's legal conclusions and its factual findings for clear error. </w:t>
      </w:r>
      <w:bookmarkStart w:id="875" w:name="Bookmark_I62NWBFR28T4SJ0050000400"/>
      <w:bookmarkStart w:id="876" w:name="Bookmark_I62NWBFN28T4SF0050000400"/>
      <w:bookmarkEnd w:id="875"/>
      <w:bookmarkEnd w:id="876"/>
      <w:r>
        <w:rPr>
          <w:rFonts w:ascii="Arial" w:eastAsia="Arial" w:hAnsi="Arial" w:cs="Arial"/>
          <w:color w:val="000000"/>
          <w:sz w:val="20"/>
          <w:u w:val="single"/>
        </w:rPr>
        <w:t>ACLU of Fla., Inc. v. Miami-Dade Cnty. Sch. Bd.</w:t>
      </w:r>
      <w:r>
        <w:rPr>
          <w:rFonts w:ascii="Arial" w:eastAsia="Arial" w:hAnsi="Arial" w:cs="Arial"/>
          <w:color w:val="000000"/>
          <w:sz w:val="20"/>
        </w:rPr>
        <w:t xml:space="preserve">, 557 F.3d 1177, 1190, 1195 (11th Cir. 2009). "The party opposing the motion [for summary judgment] must present specific facts in support of its position and cannot rest upon allegations or denials in the pleadings." </w:t>
      </w:r>
      <w:bookmarkStart w:id="877" w:name="Bookmark_I62NWBFR28T4SJ0020000400"/>
      <w:bookmarkEnd w:id="877"/>
      <w:r>
        <w:rPr>
          <w:rFonts w:ascii="Arial" w:eastAsia="Arial" w:hAnsi="Arial" w:cs="Arial"/>
          <w:color w:val="000000"/>
          <w:sz w:val="20"/>
          <w:u w:val="single"/>
        </w:rPr>
        <w:t>Martin v. Com. Union Ins. Co.</w:t>
      </w:r>
      <w:r>
        <w:rPr>
          <w:rFonts w:ascii="Arial" w:eastAsia="Arial" w:hAnsi="Arial" w:cs="Arial"/>
          <w:color w:val="000000"/>
          <w:sz w:val="20"/>
        </w:rPr>
        <w:t xml:space="preserve">, 935 F.2d 235, 238 (11th Cir. 1991). </w:t>
      </w:r>
      <w:bookmarkStart w:id="878" w:name="Bookmark_I62NWBFR28T4SJ0050000400_2"/>
      <w:bookmarkEnd w:id="878"/>
      <w:r>
        <w:rPr>
          <w:rFonts w:ascii="Arial" w:eastAsia="Arial" w:hAnsi="Arial" w:cs="Arial"/>
          <w:color w:val="000000"/>
          <w:sz w:val="20"/>
        </w:rPr>
        <w:t xml:space="preserve">"[W]e may affirm [a district court's] judgment on any ground that finds support in the record." </w:t>
      </w:r>
      <w:bookmarkStart w:id="879" w:name="Bookmark_I62NWBFR28T4SJ0040000400"/>
      <w:bookmarkEnd w:id="879"/>
      <w:r>
        <w:rPr>
          <w:rFonts w:ascii="Arial" w:eastAsia="Arial" w:hAnsi="Arial" w:cs="Arial"/>
          <w:color w:val="000000"/>
          <w:sz w:val="20"/>
          <w:u w:val="single"/>
        </w:rPr>
        <w:t>Lucas v. W.W. Grainger, Inc.</w:t>
      </w:r>
      <w:r>
        <w:rPr>
          <w:rFonts w:ascii="Arial" w:eastAsia="Arial" w:hAnsi="Arial" w:cs="Arial"/>
          <w:color w:val="000000"/>
          <w:sz w:val="20"/>
        </w:rPr>
        <w:t>, 257 F.3d 1249, 1256 (11th Cir. 2001) (internal quotation marks omitted).</w:t>
      </w:r>
    </w:p>
    <w:p w14:paraId="06037AAD" w14:textId="77777777" w:rsidR="002B10A6" w:rsidRDefault="00000000">
      <w:pPr>
        <w:pStyle w:val="Normal6"/>
        <w:widowControl w:val="0"/>
        <w:spacing w:before="240" w:line="260" w:lineRule="atLeast"/>
      </w:pPr>
      <w:r>
        <w:br/>
      </w:r>
      <w:r>
        <w:rPr>
          <w:rFonts w:ascii="Arial" w:eastAsia="Arial" w:hAnsi="Arial" w:cs="Arial"/>
          <w:b/>
          <w:color w:val="000000"/>
          <w:sz w:val="20"/>
        </w:rPr>
        <w:t>DISCUSSION</w:t>
      </w:r>
    </w:p>
    <w:p w14:paraId="4E85F206" w14:textId="77777777" w:rsidR="002B10A6" w:rsidRDefault="00000000">
      <w:pPr>
        <w:pStyle w:val="Normal6"/>
        <w:widowControl w:val="0"/>
        <w:spacing w:before="200" w:line="260" w:lineRule="atLeast"/>
        <w:jc w:val="both"/>
      </w:pPr>
      <w:bookmarkStart w:id="880" w:name="Bookmark_para_13_5"/>
      <w:bookmarkEnd w:id="880"/>
      <w:r>
        <w:rPr>
          <w:rFonts w:ascii="Arial" w:eastAsia="Arial" w:hAnsi="Arial" w:cs="Arial"/>
          <w:color w:val="000000"/>
          <w:sz w:val="20"/>
        </w:rPr>
        <w:t>As they did before the district court, the residents argue that they have standing to bring their RICO claims because they were injured by [**8]  the defendants' fraudulent scheme to induce sellers to adopt the P6 prospectus. As to the Americans with Disabilities Act claim, the homeowner's association argues that it has associational standing because: (1) members of the homeowner's association would individually have standing, and (2) advocating for the interests of disabled members is related to the homeowner's association's purpose.</w:t>
      </w:r>
    </w:p>
    <w:p w14:paraId="03A2AC58" w14:textId="77777777" w:rsidR="002B10A6" w:rsidRDefault="00000000">
      <w:pPr>
        <w:pStyle w:val="Normal6"/>
        <w:widowControl w:val="0"/>
        <w:spacing w:before="240" w:line="260" w:lineRule="atLeast"/>
      </w:pPr>
      <w:r>
        <w:br/>
      </w:r>
      <w:r>
        <w:rPr>
          <w:rFonts w:ascii="Arial" w:eastAsia="Arial" w:hAnsi="Arial" w:cs="Arial"/>
          <w:i/>
          <w:color w:val="000000"/>
          <w:sz w:val="20"/>
        </w:rPr>
        <w:t>RICO Claims</w:t>
      </w:r>
    </w:p>
    <w:p w14:paraId="12BA6F7B" w14:textId="77777777" w:rsidR="002B10A6" w:rsidRDefault="00000000">
      <w:pPr>
        <w:pStyle w:val="Normal6"/>
        <w:widowControl w:val="0"/>
        <w:spacing w:before="200" w:line="260" w:lineRule="atLeast"/>
        <w:jc w:val="both"/>
      </w:pPr>
      <w:bookmarkStart w:id="881" w:name="Bookmark_para_14_5"/>
      <w:bookmarkEnd w:id="881"/>
      <w:r>
        <w:rPr>
          <w:rFonts w:ascii="Arial" w:eastAsia="Arial" w:hAnsi="Arial" w:cs="Arial"/>
          <w:color w:val="000000"/>
          <w:sz w:val="20"/>
        </w:rPr>
        <w:t>The residents argue that the district court erred in finding that they lacked standing to bring their RICO claims because the defendants' fraudulent scheme to convince sellers to adopt the P6 prospectus indirectly injured them. We begin with the elements of standing and the basis for the residents' RICO claims.</w:t>
      </w:r>
    </w:p>
    <w:p w14:paraId="15538E6A" w14:textId="77777777" w:rsidR="002B10A6" w:rsidRDefault="00000000">
      <w:pPr>
        <w:pStyle w:val="Normal6"/>
        <w:widowControl w:val="0"/>
        <w:spacing w:before="200" w:line="260" w:lineRule="atLeast"/>
        <w:jc w:val="both"/>
      </w:pPr>
      <w:bookmarkStart w:id="882" w:name="Bookmark_para_15_5"/>
      <w:bookmarkStart w:id="883" w:name="Bookmark_I62NWBFS2N1R540020000400"/>
      <w:bookmarkStart w:id="884" w:name="Bookmark_I62NWBFS2N1R550010000400"/>
      <w:bookmarkStart w:id="885" w:name="Bookmark_LNHNREFclscc4_5"/>
      <w:bookmarkEnd w:id="882"/>
      <w:bookmarkEnd w:id="883"/>
      <w:bookmarkEnd w:id="884"/>
      <w:bookmarkEnd w:id="885"/>
      <w:r>
        <w:rPr>
          <w:rFonts w:ascii="Arial" w:eastAsia="Arial" w:hAnsi="Arial" w:cs="Arial"/>
          <w:color w:val="000000"/>
          <w:sz w:val="20"/>
        </w:rPr>
        <w:t xml:space="preserve">To establish Article III standing, a litigant "must prove (1) an injury in fact that (2) is fairly traceable to the challenged action of the defendant and (3) is likely to  [*550]  be redressed by a favorable decision." </w:t>
      </w:r>
      <w:bookmarkStart w:id="886" w:name="Bookmark_I62NWBFS2N1R540010000400"/>
      <w:bookmarkEnd w:id="886"/>
      <w:r>
        <w:rPr>
          <w:rFonts w:ascii="Arial" w:eastAsia="Arial" w:hAnsi="Arial" w:cs="Arial"/>
          <w:color w:val="000000"/>
          <w:sz w:val="20"/>
          <w:u w:val="single"/>
        </w:rPr>
        <w:t>Jacobson v. Fla. Sec'y of State</w:t>
      </w:r>
      <w:r>
        <w:rPr>
          <w:rFonts w:ascii="Arial" w:eastAsia="Arial" w:hAnsi="Arial" w:cs="Arial"/>
          <w:color w:val="000000"/>
          <w:sz w:val="20"/>
        </w:rPr>
        <w:t xml:space="preserve">, 974 F.3d 1236, 1245 (11th Cir. 2020) (citing </w:t>
      </w:r>
      <w:bookmarkStart w:id="887" w:name="Bookmark_I62NWBFS2N1R540030000400"/>
      <w:bookmarkEnd w:id="887"/>
      <w:r>
        <w:rPr>
          <w:rFonts w:ascii="Arial" w:eastAsia="Arial" w:hAnsi="Arial" w:cs="Arial"/>
          <w:color w:val="000000"/>
          <w:sz w:val="20"/>
          <w:u w:val="single"/>
        </w:rPr>
        <w:t>Lujan v. Defs. of Wildlife</w:t>
      </w:r>
      <w:r>
        <w:rPr>
          <w:rFonts w:ascii="Arial" w:eastAsia="Arial" w:hAnsi="Arial" w:cs="Arial"/>
          <w:color w:val="000000"/>
          <w:sz w:val="20"/>
        </w:rPr>
        <w:t xml:space="preserve">, 504 U.S. 555, 560-61, 112 S. Ct. 2130, 119 L. Ed. 2d 351 (1992)). At the summary judgment stage, plaintiffs cannot rest on "mere allegations, but must set forth by affidavit or other evidence 'specific facts,' which for purposes of the summary judgment motion will be taken to be true." </w:t>
      </w:r>
      <w:bookmarkStart w:id="888" w:name="Bookmark_I62NWBFS2N1R540050000400"/>
      <w:bookmarkEnd w:id="888"/>
      <w:r>
        <w:rPr>
          <w:rFonts w:ascii="Arial" w:eastAsia="Arial" w:hAnsi="Arial" w:cs="Arial"/>
          <w:color w:val="000000"/>
          <w:sz w:val="20"/>
          <w:u w:val="single"/>
        </w:rPr>
        <w:t>Lujan</w:t>
      </w:r>
      <w:r>
        <w:rPr>
          <w:rFonts w:ascii="Arial" w:eastAsia="Arial" w:hAnsi="Arial" w:cs="Arial"/>
          <w:color w:val="000000"/>
          <w:sz w:val="20"/>
        </w:rPr>
        <w:t>, 504 U.S. at 561 (internal citation omitted).</w:t>
      </w:r>
    </w:p>
    <w:p w14:paraId="418B2BFC" w14:textId="77777777" w:rsidR="002B10A6" w:rsidRDefault="00000000">
      <w:pPr>
        <w:pStyle w:val="Normal6"/>
        <w:widowControl w:val="0"/>
        <w:spacing w:before="200" w:line="260" w:lineRule="atLeast"/>
        <w:jc w:val="both"/>
      </w:pPr>
      <w:bookmarkStart w:id="889" w:name="Bookmark_para_16_5"/>
      <w:bookmarkStart w:id="890" w:name="Bookmark_LNHNREFclscc5_5"/>
      <w:bookmarkEnd w:id="889"/>
      <w:bookmarkEnd w:id="890"/>
      <w:r>
        <w:rPr>
          <w:rFonts w:ascii="Arial" w:eastAsia="Arial" w:hAnsi="Arial" w:cs="Arial"/>
          <w:color w:val="000000"/>
          <w:sz w:val="20"/>
        </w:rPr>
        <w:t xml:space="preserve">The RICO statute [**9]  makes it "unlawful for any person employed by or associated with" an enterprise engaged in or affecting interstate or foreign commerce "to conduct or participate, directly or indirectly, in the conduct of such enterprise's affairs through a pattern of racketeering activity." 18 U.S.C. § 1962. "[R]acketeering activity" includes "any act which is indictable under . . . section 1341 (relating to mail fraud) [or] section 1343 (relating to wire fraud)." 18 U.S.C. § 1961(1)(B). Mail fraud, in turn, occurs whenever a person, "having devised or intending to devise any scheme or artifice to defraud," uses the mail "for the purpose of executing such scheme or artifice or attempting to do so." </w:t>
      </w:r>
      <w:r>
        <w:rPr>
          <w:rFonts w:ascii="Arial" w:eastAsia="Arial" w:hAnsi="Arial" w:cs="Arial"/>
          <w:color w:val="000000"/>
          <w:sz w:val="20"/>
          <w:u w:val="single"/>
        </w:rPr>
        <w:t>Id.</w:t>
      </w:r>
      <w:r>
        <w:rPr>
          <w:rFonts w:ascii="Arial" w:eastAsia="Arial" w:hAnsi="Arial" w:cs="Arial"/>
          <w:color w:val="000000"/>
          <w:sz w:val="20"/>
        </w:rPr>
        <w:t xml:space="preserve"> § 1341. </w:t>
      </w:r>
      <w:bookmarkStart w:id="891" w:name="Bookmark_I62NWBFS2N1R550030000400"/>
      <w:bookmarkEnd w:id="891"/>
      <w:r>
        <w:rPr>
          <w:rFonts w:ascii="Arial" w:eastAsia="Arial" w:hAnsi="Arial" w:cs="Arial"/>
          <w:color w:val="000000"/>
          <w:sz w:val="20"/>
        </w:rPr>
        <w:t xml:space="preserve">Likewise, wire fraud occurs whenever a person uses a wire, radio, or television communication to execute a fraudulent scheme. </w:t>
      </w:r>
      <w:r>
        <w:rPr>
          <w:rFonts w:ascii="Arial" w:eastAsia="Arial" w:hAnsi="Arial" w:cs="Arial"/>
          <w:color w:val="000000"/>
          <w:sz w:val="20"/>
          <w:u w:val="single"/>
        </w:rPr>
        <w:t>Id.</w:t>
      </w:r>
      <w:r>
        <w:rPr>
          <w:rFonts w:ascii="Arial" w:eastAsia="Arial" w:hAnsi="Arial" w:cs="Arial"/>
          <w:color w:val="000000"/>
          <w:sz w:val="20"/>
        </w:rPr>
        <w:t xml:space="preserve"> § 1343. The scheme to defraud "requires proof of a material misrepresentation, or the omission or concealment of a material fact calculated to deceive another out of money or property." </w:t>
      </w:r>
      <w:bookmarkStart w:id="892" w:name="Bookmark_I62NWBFS2N1R550020000400"/>
      <w:bookmarkEnd w:id="892"/>
      <w:r>
        <w:rPr>
          <w:rFonts w:ascii="Arial" w:eastAsia="Arial" w:hAnsi="Arial" w:cs="Arial"/>
          <w:color w:val="000000"/>
          <w:sz w:val="20"/>
          <w:u w:val="single"/>
        </w:rPr>
        <w:t>United States v. Bradley</w:t>
      </w:r>
      <w:r>
        <w:rPr>
          <w:rFonts w:ascii="Arial" w:eastAsia="Arial" w:hAnsi="Arial" w:cs="Arial"/>
          <w:color w:val="000000"/>
          <w:sz w:val="20"/>
        </w:rPr>
        <w:t>, 644 F.3d 1213, 1238 (11th Cir. 2011).</w:t>
      </w:r>
    </w:p>
    <w:p w14:paraId="13233439" w14:textId="77777777" w:rsidR="002B10A6" w:rsidRDefault="00000000">
      <w:pPr>
        <w:pStyle w:val="Normal6"/>
        <w:widowControl w:val="0"/>
        <w:spacing w:before="200" w:line="260" w:lineRule="atLeast"/>
        <w:jc w:val="both"/>
      </w:pPr>
      <w:bookmarkStart w:id="893" w:name="Bookmark_para_17_5"/>
      <w:bookmarkEnd w:id="893"/>
      <w:r>
        <w:rPr>
          <w:rFonts w:ascii="Arial" w:eastAsia="Arial" w:hAnsi="Arial" w:cs="Arial"/>
          <w:color w:val="000000"/>
          <w:sz w:val="20"/>
        </w:rPr>
        <w:t>The residents argue that the defendants defrauded the sellers, and that fraud injured the residents indirectly in the amount of "the difference between the lot rents the buyers would have paid if they had been given the opportunity to adopt the pre-P6 prospectus [**10]  that their sellers had been operating under" and the amount they ended up paying under the P6 prospectus. The residents argue that injury was caused by the defendants because they induced the sellers to adopt the P6 prospectus before the residents bought homes in Schalamar Creek.</w:t>
      </w:r>
    </w:p>
    <w:p w14:paraId="489721BC" w14:textId="77777777" w:rsidR="002B10A6" w:rsidRDefault="00000000">
      <w:pPr>
        <w:pStyle w:val="Normal6"/>
        <w:widowControl w:val="0"/>
        <w:spacing w:before="200" w:line="260" w:lineRule="atLeast"/>
        <w:jc w:val="both"/>
      </w:pPr>
      <w:bookmarkStart w:id="894" w:name="Bookmark_para_18_5"/>
      <w:bookmarkStart w:id="895" w:name="Bookmark_I62NWBFS2N1R550050000400"/>
      <w:bookmarkStart w:id="896" w:name="Bookmark_I62NWBFS2HM6DG0040000400"/>
      <w:bookmarkEnd w:id="894"/>
      <w:bookmarkEnd w:id="895"/>
      <w:bookmarkEnd w:id="896"/>
      <w:r>
        <w:rPr>
          <w:rFonts w:ascii="Arial" w:eastAsia="Arial" w:hAnsi="Arial" w:cs="Arial"/>
          <w:color w:val="000000"/>
          <w:sz w:val="20"/>
        </w:rPr>
        <w:t xml:space="preserve">But, even if the residents suffered an injury-in-fact because they were forced to pay a higher rent, they failed to show that the injury they suffered is traceable to the defendants' alleged scheme. </w:t>
      </w:r>
      <w:r>
        <w:rPr>
          <w:rFonts w:ascii="Arial" w:eastAsia="Arial" w:hAnsi="Arial" w:cs="Arial"/>
          <w:color w:val="000000"/>
          <w:sz w:val="20"/>
          <w:u w:val="single"/>
        </w:rPr>
        <w:t xml:space="preserve">See </w:t>
      </w:r>
      <w:bookmarkStart w:id="897" w:name="Bookmark_I62NWBFS2N1R550040000400"/>
      <w:bookmarkEnd w:id="897"/>
      <w:r>
        <w:rPr>
          <w:rFonts w:ascii="Arial" w:eastAsia="Arial" w:hAnsi="Arial" w:cs="Arial"/>
          <w:color w:val="000000"/>
          <w:sz w:val="20"/>
          <w:u w:val="single"/>
        </w:rPr>
        <w:t>Jacobson</w:t>
      </w:r>
      <w:r>
        <w:rPr>
          <w:rFonts w:ascii="Arial" w:eastAsia="Arial" w:hAnsi="Arial" w:cs="Arial"/>
          <w:color w:val="000000"/>
          <w:sz w:val="20"/>
        </w:rPr>
        <w:t>, 974 F.3d at 1253 ("</w:t>
      </w:r>
      <w:bookmarkStart w:id="898" w:name="Bookmark_LNHNREFclscc6_5"/>
      <w:bookmarkEnd w:id="898"/>
      <w:r>
        <w:rPr>
          <w:rFonts w:ascii="Arial" w:eastAsia="Arial" w:hAnsi="Arial" w:cs="Arial"/>
          <w:color w:val="000000"/>
          <w:sz w:val="20"/>
        </w:rPr>
        <w:t xml:space="preserve">To satisfy the causation requirement of standing, a plaintiff's injury must be 'fairly traceable to the challenged action of the defendant, and not the result of the independent action of some third party not before the court.'" (quoting </w:t>
      </w:r>
      <w:bookmarkStart w:id="899" w:name="Bookmark_I62NWBFS2HM6DG0010000400"/>
      <w:bookmarkEnd w:id="899"/>
      <w:r>
        <w:rPr>
          <w:rFonts w:ascii="Arial" w:eastAsia="Arial" w:hAnsi="Arial" w:cs="Arial"/>
          <w:color w:val="000000"/>
          <w:sz w:val="20"/>
          <w:u w:val="single"/>
        </w:rPr>
        <w:t>Lujan</w:t>
      </w:r>
      <w:r>
        <w:rPr>
          <w:rFonts w:ascii="Arial" w:eastAsia="Arial" w:hAnsi="Arial" w:cs="Arial"/>
          <w:color w:val="000000"/>
          <w:sz w:val="20"/>
        </w:rPr>
        <w:t xml:space="preserve">, 504 U.S. at 560)). </w:t>
      </w:r>
      <w:bookmarkStart w:id="900" w:name="Bookmark_LNHNREFclscc7_5"/>
      <w:bookmarkEnd w:id="900"/>
      <w:r>
        <w:rPr>
          <w:rFonts w:ascii="Arial" w:eastAsia="Arial" w:hAnsi="Arial" w:cs="Arial"/>
          <w:color w:val="000000"/>
          <w:sz w:val="20"/>
        </w:rPr>
        <w:t xml:space="preserve">We've explained that "an injury is not fairly traceable to the actions of a defendant if [it is] caused by the 'independent action of some third party not before the court' and likewise a controversy is not justiciable when a plaintiff independently caused his own injury." </w:t>
      </w:r>
      <w:bookmarkStart w:id="901" w:name="Bookmark_I62NWBFS2HM6DG0030000400"/>
      <w:bookmarkEnd w:id="901"/>
      <w:r>
        <w:rPr>
          <w:rFonts w:ascii="Arial" w:eastAsia="Arial" w:hAnsi="Arial" w:cs="Arial"/>
          <w:color w:val="000000"/>
          <w:sz w:val="20"/>
          <w:u w:val="single"/>
        </w:rPr>
        <w:t>Cordoba v. DIRECTV, LLC</w:t>
      </w:r>
      <w:r>
        <w:rPr>
          <w:rFonts w:ascii="Arial" w:eastAsia="Arial" w:hAnsi="Arial" w:cs="Arial"/>
          <w:color w:val="000000"/>
          <w:sz w:val="20"/>
        </w:rPr>
        <w:t xml:space="preserve">, 942 F.3d 1259, 1271 (11th Cir. 2019) (quoting </w:t>
      </w:r>
      <w:bookmarkStart w:id="902" w:name="Bookmark_I62NWBFS2HM6DG0050000400"/>
      <w:bookmarkEnd w:id="902"/>
      <w:r>
        <w:rPr>
          <w:rFonts w:ascii="Arial" w:eastAsia="Arial" w:hAnsi="Arial" w:cs="Arial"/>
          <w:color w:val="000000"/>
          <w:sz w:val="20"/>
          <w:u w:val="single"/>
        </w:rPr>
        <w:t>Swann v. Sec'y, Ga.</w:t>
      </w:r>
      <w:r>
        <w:rPr>
          <w:rFonts w:ascii="Arial" w:eastAsia="Arial" w:hAnsi="Arial" w:cs="Arial"/>
          <w:color w:val="000000"/>
          <w:sz w:val="20"/>
        </w:rPr>
        <w:t>, 668 F.3d 1285, 1288 (11th Cir. 2012)). The residents haven't produced any summary judgment evidence to show that the higher rent is traceable to any "misrepresentation" or "omission,"—i.e., to the defendants' scheme—rather than [**11]  to the residents' decisions to buy their homes or the sellers' decisions to adopt the P6 prospectus.</w:t>
      </w:r>
    </w:p>
    <w:p w14:paraId="68F5F785" w14:textId="77777777" w:rsidR="002B10A6" w:rsidRDefault="00000000">
      <w:pPr>
        <w:pStyle w:val="Normal6"/>
        <w:widowControl w:val="0"/>
        <w:spacing w:before="200" w:line="260" w:lineRule="atLeast"/>
        <w:jc w:val="both"/>
      </w:pPr>
      <w:bookmarkStart w:id="903" w:name="Bookmark_para_19_5"/>
      <w:bookmarkStart w:id="904" w:name="Bookmark_I62NWBFS2N1R560030000400"/>
      <w:bookmarkEnd w:id="903"/>
      <w:bookmarkEnd w:id="904"/>
      <w:r>
        <w:rPr>
          <w:rFonts w:ascii="Arial" w:eastAsia="Arial" w:hAnsi="Arial" w:cs="Arial"/>
          <w:color w:val="000000"/>
          <w:sz w:val="20"/>
        </w:rPr>
        <w:t xml:space="preserve">First, the residents don't point to "specific facts" showing that any sellers' decision to enter into the P6 prospectus was caused by the defendants' "misstatements" or "omissions." </w:t>
      </w:r>
      <w:r>
        <w:rPr>
          <w:rFonts w:ascii="Arial" w:eastAsia="Arial" w:hAnsi="Arial" w:cs="Arial"/>
          <w:color w:val="000000"/>
          <w:sz w:val="20"/>
          <w:u w:val="single"/>
        </w:rPr>
        <w:t xml:space="preserve">See </w:t>
      </w:r>
      <w:bookmarkStart w:id="905" w:name="Bookmark_I62NWBFS2N1R560020000400"/>
      <w:bookmarkEnd w:id="905"/>
      <w:r>
        <w:rPr>
          <w:rFonts w:ascii="Arial" w:eastAsia="Arial" w:hAnsi="Arial" w:cs="Arial"/>
          <w:color w:val="000000"/>
          <w:sz w:val="20"/>
          <w:u w:val="single"/>
        </w:rPr>
        <w:t>Wilding v. DNC Servs. Corp.</w:t>
      </w:r>
      <w:r>
        <w:rPr>
          <w:rFonts w:ascii="Arial" w:eastAsia="Arial" w:hAnsi="Arial" w:cs="Arial"/>
          <w:color w:val="000000"/>
          <w:sz w:val="20"/>
        </w:rPr>
        <w:t xml:space="preserve">, 941 F.3d 1116, 1126 (11th Cir. 2019) ("The critical question is whether the plaintiffs' injuries are fairly traceable to the defendants' allegedly false statements,  [*551]  and on that question there are just too many unknowns."); </w:t>
      </w:r>
      <w:r>
        <w:rPr>
          <w:rFonts w:ascii="Arial" w:eastAsia="Arial" w:hAnsi="Arial" w:cs="Arial"/>
          <w:color w:val="000000"/>
          <w:sz w:val="20"/>
          <w:u w:val="single"/>
        </w:rPr>
        <w:t xml:space="preserve">cf. </w:t>
      </w:r>
      <w:bookmarkStart w:id="906" w:name="Bookmark_I62NWBFS2N1R560040000400"/>
      <w:bookmarkEnd w:id="906"/>
      <w:r>
        <w:rPr>
          <w:rFonts w:ascii="Arial" w:eastAsia="Arial" w:hAnsi="Arial" w:cs="Arial"/>
          <w:color w:val="000000"/>
          <w:sz w:val="20"/>
          <w:u w:val="single"/>
        </w:rPr>
        <w:t>Clapper v. Amnesty, Int'l USA</w:t>
      </w:r>
      <w:r>
        <w:rPr>
          <w:rFonts w:ascii="Arial" w:eastAsia="Arial" w:hAnsi="Arial" w:cs="Arial"/>
          <w:color w:val="000000"/>
          <w:sz w:val="20"/>
        </w:rPr>
        <w:t>, 568 U.S. 398, 414, 133 S. Ct. 1138, 185 L. Ed. 2d 264 (2013) ("We decline to abandon our usual reluctance to endorse standing theories that rest on speculation about the decisions of independent actors."). The residents didn't produce any affidavits, testimony, or statements from any of the sellers who were allegedly defrauded. In fact, the residents' testimony suggests that the sellers entered into the P6 prospectus so they could get rent concessions or receive other benefits from Schalamar Creek's owners.</w:t>
      </w:r>
    </w:p>
    <w:p w14:paraId="3F259B6F" w14:textId="77777777" w:rsidR="002B10A6" w:rsidRDefault="00000000">
      <w:pPr>
        <w:pStyle w:val="Normal6"/>
        <w:widowControl w:val="0"/>
        <w:spacing w:before="200" w:line="260" w:lineRule="atLeast"/>
        <w:jc w:val="both"/>
      </w:pPr>
      <w:bookmarkStart w:id="907" w:name="Bookmark_para_20_5"/>
      <w:bookmarkStart w:id="908" w:name="Bookmark_I62NWBFT2HM6DK0020000400"/>
      <w:bookmarkEnd w:id="907"/>
      <w:bookmarkEnd w:id="908"/>
      <w:r>
        <w:rPr>
          <w:rFonts w:ascii="Arial" w:eastAsia="Arial" w:hAnsi="Arial" w:cs="Arial"/>
          <w:color w:val="000000"/>
          <w:sz w:val="20"/>
        </w:rPr>
        <w:t xml:space="preserve">For example, Linda Gledhill explained that her seller, Citizens Bank, agreed to the P6 prospectus in exchange for reduced rent at the bank's other properties in Schalamar Creek. James Driskel explained that his seller agreed to the P6 prospectus so Murex Properties would [**12]  list his property for sale. Similarly, Phil Featherbay explained that his seller agreed to the P6 prospectus in exchange for the payment of an "incentive." But, none of the residents testified that their sellers were misled or defrauded by the defendants' actions. Without "specific facts," </w:t>
      </w:r>
      <w:bookmarkStart w:id="909" w:name="Bookmark_I62NWBFT2HM6DK0010000400"/>
      <w:bookmarkEnd w:id="909"/>
      <w:r>
        <w:rPr>
          <w:rFonts w:ascii="Arial" w:eastAsia="Arial" w:hAnsi="Arial" w:cs="Arial"/>
          <w:color w:val="000000"/>
          <w:sz w:val="20"/>
          <w:u w:val="single"/>
        </w:rPr>
        <w:t>Lujan</w:t>
      </w:r>
      <w:r>
        <w:rPr>
          <w:rFonts w:ascii="Arial" w:eastAsia="Arial" w:hAnsi="Arial" w:cs="Arial"/>
          <w:color w:val="000000"/>
          <w:sz w:val="20"/>
        </w:rPr>
        <w:t xml:space="preserve">, 504 U.S. at 561, showing that the sellers were misled by the defendants' representations or omissions, the residents can't show that the defendants caused, directly or indirectly, their injury, </w:t>
      </w:r>
      <w:r>
        <w:rPr>
          <w:rFonts w:ascii="Arial" w:eastAsia="Arial" w:hAnsi="Arial" w:cs="Arial"/>
          <w:color w:val="000000"/>
          <w:sz w:val="20"/>
          <w:u w:val="single"/>
        </w:rPr>
        <w:t xml:space="preserve">see </w:t>
      </w:r>
      <w:bookmarkStart w:id="910" w:name="Bookmark_I62NWBFT2HM6DK0030000400"/>
      <w:bookmarkEnd w:id="910"/>
      <w:r>
        <w:rPr>
          <w:rFonts w:ascii="Arial" w:eastAsia="Arial" w:hAnsi="Arial" w:cs="Arial"/>
          <w:color w:val="000000"/>
          <w:sz w:val="20"/>
          <w:u w:val="single"/>
        </w:rPr>
        <w:t>Ray v. Spirit Airlines, Inc.</w:t>
      </w:r>
      <w:r>
        <w:rPr>
          <w:rFonts w:ascii="Arial" w:eastAsia="Arial" w:hAnsi="Arial" w:cs="Arial"/>
          <w:color w:val="000000"/>
          <w:sz w:val="20"/>
        </w:rPr>
        <w:t>, 836 F.3d 1340, 1350 (11th Cir. 2016) ("Without reliance on the fraud by someone . . . the plaintiffs would not be able to show that they were injured by reason of the alleged racketeering activity.").</w:t>
      </w:r>
    </w:p>
    <w:p w14:paraId="20C8BD4E" w14:textId="77777777" w:rsidR="002B10A6" w:rsidRDefault="00000000">
      <w:pPr>
        <w:pStyle w:val="Normal6"/>
        <w:widowControl w:val="0"/>
        <w:spacing w:before="200" w:line="260" w:lineRule="atLeast"/>
        <w:jc w:val="both"/>
      </w:pPr>
      <w:bookmarkStart w:id="911" w:name="Bookmark_para_21_5"/>
      <w:bookmarkEnd w:id="911"/>
      <w:r>
        <w:rPr>
          <w:rFonts w:ascii="Arial" w:eastAsia="Arial" w:hAnsi="Arial" w:cs="Arial"/>
          <w:color w:val="000000"/>
          <w:sz w:val="20"/>
        </w:rPr>
        <w:t xml:space="preserve">Second, the residents only suffered an injury because they purchased properties in Schalamar Creek that were already subject to the P6 prospectus. </w:t>
      </w:r>
      <w:bookmarkStart w:id="912" w:name="Bookmark_I62NWBFT28T4SV0010000400"/>
      <w:bookmarkEnd w:id="912"/>
      <w:r>
        <w:rPr>
          <w:rFonts w:ascii="Arial" w:eastAsia="Arial" w:hAnsi="Arial" w:cs="Arial"/>
          <w:color w:val="000000"/>
          <w:sz w:val="20"/>
        </w:rPr>
        <w:t xml:space="preserve">Gledhill explained that she purchased her home subject to the P6 prospectus with eyes "wide open" to the fact that she was agreeing to be bound by it. Driskel said it was not "material" to him which prospectus governed his home. And the other residents knew they were agreeing to a lease, and thus to any rents determined by any incorporated prospectus, when they bought their homes. They couldn't be deprived of their [**13]  right to assume the sellers' existing lease and prospectus because that's exactly what they voluntarily agreed to do when they bought homes in Schalamar Creek. </w:t>
      </w:r>
      <w:r>
        <w:rPr>
          <w:rFonts w:ascii="Arial" w:eastAsia="Arial" w:hAnsi="Arial" w:cs="Arial"/>
          <w:color w:val="000000"/>
          <w:sz w:val="20"/>
          <w:u w:val="single"/>
        </w:rPr>
        <w:t xml:space="preserve">See </w:t>
      </w:r>
      <w:bookmarkStart w:id="913" w:name="Bookmark_I62NWBFT2HM6DK0050000400"/>
      <w:bookmarkEnd w:id="913"/>
      <w:r>
        <w:rPr>
          <w:rFonts w:ascii="Arial" w:eastAsia="Arial" w:hAnsi="Arial" w:cs="Arial"/>
          <w:color w:val="000000"/>
          <w:sz w:val="20"/>
          <w:u w:val="single"/>
        </w:rPr>
        <w:t>Pevsner v. Eastern Air Lines, Inc.</w:t>
      </w:r>
      <w:r>
        <w:rPr>
          <w:rFonts w:ascii="Arial" w:eastAsia="Arial" w:hAnsi="Arial" w:cs="Arial"/>
          <w:color w:val="000000"/>
          <w:sz w:val="20"/>
        </w:rPr>
        <w:t xml:space="preserve">, 493 F.2d 916, 918 (5th Cir. 1974) (concluding that plaintiff did not have standing because "any injury would be self-inflicted"); </w:t>
      </w:r>
      <w:bookmarkStart w:id="914" w:name="Bookmark_I62NWBFT28T4SV0020000400"/>
      <w:bookmarkEnd w:id="914"/>
      <w:r>
        <w:rPr>
          <w:rFonts w:ascii="Arial" w:eastAsia="Arial" w:hAnsi="Arial" w:cs="Arial"/>
          <w:color w:val="000000"/>
          <w:sz w:val="20"/>
          <w:u w:val="single"/>
        </w:rPr>
        <w:t>Swann</w:t>
      </w:r>
      <w:r>
        <w:rPr>
          <w:rFonts w:ascii="Arial" w:eastAsia="Arial" w:hAnsi="Arial" w:cs="Arial"/>
          <w:color w:val="000000"/>
          <w:sz w:val="20"/>
        </w:rPr>
        <w:t>, 668 F.3d at 1288 ("[A] controversy is not justiciable when a plaintiff independently caused his own injury."). Had it been material to them, the residents could have avoided any injury by buying homes that were subject to a more favorable prospectus.</w:t>
      </w:r>
    </w:p>
    <w:p w14:paraId="501313DB" w14:textId="77777777" w:rsidR="002B10A6" w:rsidRDefault="00000000">
      <w:pPr>
        <w:pStyle w:val="Normal6"/>
        <w:widowControl w:val="0"/>
        <w:spacing w:before="200" w:line="260" w:lineRule="atLeast"/>
        <w:jc w:val="both"/>
      </w:pPr>
      <w:bookmarkStart w:id="915" w:name="Bookmark_para_22_5"/>
      <w:bookmarkStart w:id="916" w:name="Bookmark_I62NWBFT28T4SV0050000400"/>
      <w:bookmarkEnd w:id="915"/>
      <w:bookmarkEnd w:id="916"/>
      <w:r>
        <w:rPr>
          <w:rFonts w:ascii="Arial" w:eastAsia="Arial" w:hAnsi="Arial" w:cs="Arial"/>
          <w:color w:val="000000"/>
          <w:sz w:val="20"/>
        </w:rPr>
        <w:t xml:space="preserve">Thus, the residents' injury was caused by their decision to purchase properties subject to the P6 prospectus or the sellers' agreement to the P6 prospectus, not by the defendants' alleged scheme. </w:t>
      </w:r>
      <w:bookmarkStart w:id="917" w:name="Bookmark_I62NWBFT2D6N070020000400"/>
      <w:bookmarkEnd w:id="917"/>
      <w:r>
        <w:rPr>
          <w:rFonts w:ascii="Arial" w:eastAsia="Arial" w:hAnsi="Arial" w:cs="Arial"/>
          <w:color w:val="000000"/>
          <w:sz w:val="20"/>
        </w:rPr>
        <w:t xml:space="preserve">They have not "show[n] that they were injured by reason of the alleged racketeering activity." </w:t>
      </w:r>
      <w:bookmarkStart w:id="918" w:name="Bookmark_I62NWBFT28T4SV0040000400"/>
      <w:bookmarkEnd w:id="918"/>
      <w:r>
        <w:rPr>
          <w:rFonts w:ascii="Arial" w:eastAsia="Arial" w:hAnsi="Arial" w:cs="Arial"/>
          <w:color w:val="000000"/>
          <w:sz w:val="20"/>
          <w:u w:val="single"/>
        </w:rPr>
        <w:t>Ray</w:t>
      </w:r>
      <w:r>
        <w:rPr>
          <w:rFonts w:ascii="Arial" w:eastAsia="Arial" w:hAnsi="Arial" w:cs="Arial"/>
          <w:color w:val="000000"/>
          <w:sz w:val="20"/>
        </w:rPr>
        <w:t xml:space="preserve">, 836 F.3d at 1350. And because the residents cannot show that their injury is traceable to the defendants' scheme, they do not have standing to bring their claims. </w:t>
      </w:r>
      <w:bookmarkStart w:id="919" w:name="Bookmark_I62NWBFT2D6N070020000400_2"/>
      <w:bookmarkEnd w:id="919"/>
      <w:r>
        <w:rPr>
          <w:rFonts w:ascii="Arial" w:eastAsia="Arial" w:hAnsi="Arial" w:cs="Arial"/>
          <w:color w:val="000000"/>
          <w:sz w:val="20"/>
          <w:u w:val="single"/>
        </w:rPr>
        <w:t xml:space="preserve">See </w:t>
      </w:r>
      <w:bookmarkStart w:id="920" w:name="Bookmark_I62NWBFT2D6N070010000400"/>
      <w:bookmarkEnd w:id="920"/>
      <w:r>
        <w:rPr>
          <w:rFonts w:ascii="Arial" w:eastAsia="Arial" w:hAnsi="Arial" w:cs="Arial"/>
          <w:color w:val="000000"/>
          <w:sz w:val="20"/>
          <w:u w:val="single"/>
        </w:rPr>
        <w:t>Jacobson</w:t>
      </w:r>
      <w:r>
        <w:rPr>
          <w:rFonts w:ascii="Arial" w:eastAsia="Arial" w:hAnsi="Arial" w:cs="Arial"/>
          <w:color w:val="000000"/>
          <w:sz w:val="20"/>
        </w:rPr>
        <w:t>, 974 F.3d at 1245.</w:t>
      </w:r>
    </w:p>
    <w:p w14:paraId="06ED8D15" w14:textId="77777777" w:rsidR="002B10A6" w:rsidRDefault="00000000">
      <w:pPr>
        <w:pStyle w:val="Normal6"/>
        <w:widowControl w:val="0"/>
        <w:spacing w:before="240" w:line="260" w:lineRule="atLeast"/>
      </w:pPr>
      <w:r>
        <w:br/>
      </w:r>
      <w:r>
        <w:rPr>
          <w:rFonts w:ascii="Arial" w:eastAsia="Arial" w:hAnsi="Arial" w:cs="Arial"/>
          <w:i/>
          <w:color w:val="000000"/>
          <w:sz w:val="20"/>
        </w:rPr>
        <w:t>Americans with Disabilities Act Claim</w:t>
      </w:r>
    </w:p>
    <w:p w14:paraId="624A0DE8" w14:textId="77777777" w:rsidR="002B10A6" w:rsidRDefault="00000000">
      <w:pPr>
        <w:pStyle w:val="Normal6"/>
        <w:widowControl w:val="0"/>
        <w:spacing w:before="200" w:line="260" w:lineRule="atLeast"/>
        <w:jc w:val="both"/>
      </w:pPr>
      <w:bookmarkStart w:id="921" w:name="Bookmark_para_23_5"/>
      <w:bookmarkEnd w:id="921"/>
      <w:r>
        <w:rPr>
          <w:rFonts w:ascii="Arial" w:eastAsia="Arial" w:hAnsi="Arial" w:cs="Arial"/>
          <w:color w:val="000000"/>
          <w:sz w:val="20"/>
        </w:rPr>
        <w:t xml:space="preserve">The district court granted summary judgment for Schalamar Creek's owners and operators on the homeowner's association's Americans with Disabilities Act claim because it found that the homeowner's association did not have associational [**14]  standing under </w:t>
      </w:r>
      <w:r>
        <w:rPr>
          <w:rFonts w:ascii="Arial" w:eastAsia="Arial" w:hAnsi="Arial" w:cs="Arial"/>
          <w:color w:val="000000"/>
          <w:sz w:val="20"/>
          <w:u w:val="single"/>
        </w:rPr>
        <w:t>Hunt</w:t>
      </w:r>
      <w:r>
        <w:rPr>
          <w:rFonts w:ascii="Arial" w:eastAsia="Arial" w:hAnsi="Arial" w:cs="Arial"/>
          <w:color w:val="000000"/>
          <w:sz w:val="20"/>
        </w:rPr>
        <w:t>. The homeowner's association argues that this was error because: (1) members of the homeowner's  [*552]  association have individual standing to bring an Americans with Disabilities Act claim, and (2) ensuring Schalamar Creek's clubhouse is accessible to its members is "germane" to its purpose. We agree with the homeowner's association, but we still conclude that summary judgment was proper because it did not present summary judgment evidence that the proposed modifications to Schalamar Creek's clubhouse were readily achievable.</w:t>
      </w:r>
    </w:p>
    <w:p w14:paraId="4E046EB9" w14:textId="77777777" w:rsidR="002B10A6" w:rsidRDefault="00000000">
      <w:pPr>
        <w:pStyle w:val="Normal6"/>
        <w:widowControl w:val="0"/>
        <w:spacing w:before="240" w:line="260" w:lineRule="atLeast"/>
      </w:pPr>
      <w:r>
        <w:br/>
      </w:r>
      <w:r>
        <w:rPr>
          <w:rFonts w:ascii="Arial" w:eastAsia="Arial" w:hAnsi="Arial" w:cs="Arial"/>
          <w:color w:val="000000"/>
          <w:sz w:val="20"/>
          <w:u w:val="single"/>
        </w:rPr>
        <w:t>Associational standing: Members of the homeowner's association have standing</w:t>
      </w:r>
      <w:r>
        <w:rPr>
          <w:rFonts w:ascii="Arial" w:eastAsia="Arial" w:hAnsi="Arial" w:cs="Arial"/>
          <w:color w:val="000000"/>
          <w:sz w:val="20"/>
        </w:rPr>
        <w:t>.</w:t>
      </w:r>
    </w:p>
    <w:p w14:paraId="1B188933" w14:textId="77777777" w:rsidR="002B10A6" w:rsidRDefault="00000000">
      <w:pPr>
        <w:pStyle w:val="Normal6"/>
        <w:widowControl w:val="0"/>
        <w:spacing w:before="200" w:line="260" w:lineRule="atLeast"/>
        <w:jc w:val="both"/>
      </w:pPr>
      <w:bookmarkStart w:id="922" w:name="Bookmark_para_24_5"/>
      <w:bookmarkStart w:id="923" w:name="Bookmark_I1MC11FX868000064FN00002"/>
      <w:bookmarkStart w:id="924" w:name="Bookmark_I62NWBFT2D6N070040000400"/>
      <w:bookmarkStart w:id="925" w:name="Bookmark_LNHNREFclscc8_4"/>
      <w:bookmarkEnd w:id="922"/>
      <w:bookmarkEnd w:id="923"/>
      <w:bookmarkEnd w:id="924"/>
      <w:bookmarkEnd w:id="925"/>
      <w:r>
        <w:rPr>
          <w:rFonts w:ascii="Arial" w:eastAsia="Arial" w:hAnsi="Arial" w:cs="Arial"/>
          <w:color w:val="000000"/>
          <w:sz w:val="20"/>
        </w:rPr>
        <w:t xml:space="preserve">An association has standing to bring suit on behalf of its members when: (1) "its members would otherwise have standing to sue in their own right"; (2) "the interests at stake are germane to the organization's purpose"; and (3) "neither the claim asserted nor the relief requested requires the participation of individual members in the lawsuit." </w:t>
      </w:r>
      <w:bookmarkStart w:id="926" w:name="Bookmark_I62NWBFT2D6N070030000400"/>
      <w:bookmarkEnd w:id="926"/>
      <w:r>
        <w:rPr>
          <w:rFonts w:ascii="Arial" w:eastAsia="Arial" w:hAnsi="Arial" w:cs="Arial"/>
          <w:color w:val="000000"/>
          <w:sz w:val="20"/>
          <w:u w:val="single"/>
        </w:rPr>
        <w:t>White's Place, Inc. v. Glover</w:t>
      </w:r>
      <w:r>
        <w:rPr>
          <w:rFonts w:ascii="Arial" w:eastAsia="Arial" w:hAnsi="Arial" w:cs="Arial"/>
          <w:color w:val="000000"/>
          <w:sz w:val="20"/>
        </w:rPr>
        <w:t xml:space="preserve">, 222 F.3d 1327, 1330 (11th Cir. 2000) (discussing </w:t>
      </w:r>
      <w:r>
        <w:rPr>
          <w:rFonts w:ascii="Arial" w:eastAsia="Arial" w:hAnsi="Arial" w:cs="Arial"/>
          <w:color w:val="000000"/>
          <w:sz w:val="20"/>
          <w:u w:val="single"/>
        </w:rPr>
        <w:t>Hunt</w:t>
      </w:r>
      <w:r>
        <w:rPr>
          <w:rFonts w:ascii="Arial" w:eastAsia="Arial" w:hAnsi="Arial" w:cs="Arial"/>
          <w:color w:val="000000"/>
          <w:sz w:val="20"/>
        </w:rPr>
        <w:t>'s associational standing requirements). Only the first two requirements are at issue in this case.</w:t>
      </w:r>
    </w:p>
    <w:p w14:paraId="175422C6" w14:textId="77777777" w:rsidR="002B10A6" w:rsidRDefault="00000000">
      <w:pPr>
        <w:pStyle w:val="Normal6"/>
        <w:widowControl w:val="0"/>
        <w:spacing w:before="200" w:line="260" w:lineRule="atLeast"/>
        <w:jc w:val="both"/>
      </w:pPr>
      <w:bookmarkStart w:id="927" w:name="Bookmark_para_25_5"/>
      <w:bookmarkStart w:id="928" w:name="Bookmark_I62NWBFV2SF8MT0010000400"/>
      <w:bookmarkStart w:id="929" w:name="Bookmark_I62NWBFV2SF8MT0030000400"/>
      <w:bookmarkStart w:id="930" w:name="Bookmark_LNHNREFclscc9_4"/>
      <w:bookmarkEnd w:id="927"/>
      <w:bookmarkEnd w:id="928"/>
      <w:bookmarkEnd w:id="929"/>
      <w:bookmarkEnd w:id="930"/>
      <w:r>
        <w:rPr>
          <w:rFonts w:ascii="Arial" w:eastAsia="Arial" w:hAnsi="Arial" w:cs="Arial"/>
          <w:color w:val="000000"/>
          <w:sz w:val="20"/>
        </w:rPr>
        <w:t xml:space="preserve">"In order to sue on behalf of [their] members, organizational plaintiffs need not establish that all of their members [**15]  are in danger of suffering an injury." </w:t>
      </w:r>
      <w:bookmarkStart w:id="931" w:name="Bookmark_I62NWBFT2D6N070050000400"/>
      <w:bookmarkEnd w:id="931"/>
      <w:r>
        <w:rPr>
          <w:rFonts w:ascii="Arial" w:eastAsia="Arial" w:hAnsi="Arial" w:cs="Arial"/>
          <w:color w:val="000000"/>
          <w:sz w:val="20"/>
          <w:u w:val="single"/>
        </w:rPr>
        <w:t>Arcia v. Fla. Sec'y of State</w:t>
      </w:r>
      <w:r>
        <w:rPr>
          <w:rFonts w:ascii="Arial" w:eastAsia="Arial" w:hAnsi="Arial" w:cs="Arial"/>
          <w:color w:val="000000"/>
          <w:sz w:val="20"/>
        </w:rPr>
        <w:t xml:space="preserve">, 772 F.3d 1335, 1342 (11th Cir. 2014). "Rather, the rule in this Circuit is that organizational plaintiffs need only establish that 'at least one member faces a realistic danger' of suffering an injury." </w:t>
      </w:r>
      <w:r>
        <w:rPr>
          <w:rFonts w:ascii="Arial" w:eastAsia="Arial" w:hAnsi="Arial" w:cs="Arial"/>
          <w:color w:val="000000"/>
          <w:sz w:val="20"/>
          <w:u w:val="single"/>
        </w:rPr>
        <w:t>Id.</w:t>
      </w:r>
      <w:r>
        <w:rPr>
          <w:rFonts w:ascii="Arial" w:eastAsia="Arial" w:hAnsi="Arial" w:cs="Arial"/>
          <w:color w:val="000000"/>
          <w:sz w:val="20"/>
        </w:rPr>
        <w:t xml:space="preserve"> (quoting </w:t>
      </w:r>
      <w:bookmarkStart w:id="932" w:name="Bookmark_I62NWBFV2SF8MT0020000400"/>
      <w:bookmarkEnd w:id="932"/>
      <w:r>
        <w:rPr>
          <w:rFonts w:ascii="Arial" w:eastAsia="Arial" w:hAnsi="Arial" w:cs="Arial"/>
          <w:color w:val="000000"/>
          <w:sz w:val="20"/>
          <w:u w:val="single"/>
        </w:rPr>
        <w:t>Fla. State Conf. of N.A.A.C.P. v. Browning</w:t>
      </w:r>
      <w:r>
        <w:rPr>
          <w:rFonts w:ascii="Arial" w:eastAsia="Arial" w:hAnsi="Arial" w:cs="Arial"/>
          <w:color w:val="000000"/>
          <w:sz w:val="20"/>
        </w:rPr>
        <w:t>, 522 F.3d 1153, 1163 (11th Cir. 2008)). So, the question is whether any of the homeowner's association's members would have standing to bring a claim under the Americans with Disabilities Act.</w:t>
      </w:r>
    </w:p>
    <w:p w14:paraId="11C6D715" w14:textId="77777777" w:rsidR="002B10A6" w:rsidRDefault="00000000">
      <w:pPr>
        <w:pStyle w:val="Normal6"/>
        <w:widowControl w:val="0"/>
        <w:spacing w:before="200" w:line="260" w:lineRule="atLeast"/>
        <w:jc w:val="both"/>
      </w:pPr>
      <w:bookmarkStart w:id="933" w:name="Bookmark_para_26_5"/>
      <w:bookmarkStart w:id="934" w:name="Bookmark_I62NWBFV2SF8MT0050000400"/>
      <w:bookmarkStart w:id="935" w:name="Bookmark_LNHNREFclscc10_4"/>
      <w:bookmarkEnd w:id="933"/>
      <w:bookmarkEnd w:id="934"/>
      <w:bookmarkEnd w:id="935"/>
      <w:r>
        <w:rPr>
          <w:rFonts w:ascii="Arial" w:eastAsia="Arial" w:hAnsi="Arial" w:cs="Arial"/>
          <w:color w:val="000000"/>
          <w:sz w:val="20"/>
        </w:rPr>
        <w:t xml:space="preserve">The Americans with Disabilities Act confers on "any person" the right to "be free from discrimination on the basis of disability with respect to the full and equal enjoyment of the facilities." </w:t>
      </w:r>
      <w:bookmarkStart w:id="936" w:name="Bookmark_I62NWBFV2SF8MT0040000400"/>
      <w:bookmarkEnd w:id="936"/>
      <w:r>
        <w:rPr>
          <w:rFonts w:ascii="Arial" w:eastAsia="Arial" w:hAnsi="Arial" w:cs="Arial"/>
          <w:color w:val="000000"/>
          <w:sz w:val="20"/>
          <w:u w:val="single"/>
        </w:rPr>
        <w:t>Houston v. Marod Supermarkets, Inc.</w:t>
      </w:r>
      <w:r>
        <w:rPr>
          <w:rFonts w:ascii="Arial" w:eastAsia="Arial" w:hAnsi="Arial" w:cs="Arial"/>
          <w:color w:val="000000"/>
          <w:sz w:val="20"/>
        </w:rPr>
        <w:t xml:space="preserve">, 733 F.3d 1323, 1332 (11th Cir. 2013) (citing 42 U.S.C. § 12182(a)) (cleaned up). That right is violated when an individual "encounters architectural barriers that discriminate against him on the basis of his disability." </w:t>
      </w:r>
      <w:r>
        <w:rPr>
          <w:rFonts w:ascii="Arial" w:eastAsia="Arial" w:hAnsi="Arial" w:cs="Arial"/>
          <w:color w:val="000000"/>
          <w:sz w:val="20"/>
          <w:u w:val="single"/>
        </w:rPr>
        <w:t>Id.</w:t>
      </w:r>
      <w:r>
        <w:rPr>
          <w:rFonts w:ascii="Arial" w:eastAsia="Arial" w:hAnsi="Arial" w:cs="Arial"/>
          <w:color w:val="000000"/>
          <w:sz w:val="20"/>
        </w:rPr>
        <w:t xml:space="preserve"> Thus, an individual who encounters architectural barriers "has suffered injury in precisely the form the statute was intended to guard against." </w:t>
      </w:r>
      <w:r>
        <w:rPr>
          <w:rFonts w:ascii="Arial" w:eastAsia="Arial" w:hAnsi="Arial" w:cs="Arial"/>
          <w:color w:val="000000"/>
          <w:sz w:val="20"/>
          <w:u w:val="single"/>
        </w:rPr>
        <w:t>Id.</w:t>
      </w:r>
    </w:p>
    <w:p w14:paraId="1435E93E" w14:textId="77777777" w:rsidR="002B10A6" w:rsidRDefault="00000000">
      <w:pPr>
        <w:pStyle w:val="Normal6"/>
        <w:widowControl w:val="0"/>
        <w:spacing w:before="200" w:line="260" w:lineRule="atLeast"/>
        <w:jc w:val="both"/>
      </w:pPr>
      <w:bookmarkStart w:id="937" w:name="Bookmark_para_27_5"/>
      <w:bookmarkEnd w:id="937"/>
      <w:r>
        <w:rPr>
          <w:rFonts w:ascii="Arial" w:eastAsia="Arial" w:hAnsi="Arial" w:cs="Arial"/>
          <w:color w:val="000000"/>
          <w:sz w:val="20"/>
        </w:rPr>
        <w:t>Here, at least some members of the homeowner's association would individually have standing to bring an Americans with Disabilities Act claim. In response to the defendants' motion for summary judgment, the homeowner's association proferred testimony from Phil Featherbay, who suffers from various disabilities that [**16]  require him to use a cane; Joette Kelly, who is paralyzed in one leg and uses a wheelchair; and James Driskell, who has a back condition and is partially paralyzed in one leg. Driskell and Featherbay testified that they have difficulty accessing the common areas of Schalamar Creek due to their disabilities. For example, Driskell explained that he had difficulty accessing the upper level of the clubhouse, and the Featherbays explained that they didn't attend functions at the clubhouse because it was not accessible to them.</w:t>
      </w:r>
    </w:p>
    <w:p w14:paraId="7341B43B" w14:textId="77777777" w:rsidR="002B10A6" w:rsidRDefault="00000000">
      <w:pPr>
        <w:pStyle w:val="Normal6"/>
        <w:widowControl w:val="0"/>
        <w:spacing w:before="200" w:line="260" w:lineRule="atLeast"/>
        <w:jc w:val="both"/>
      </w:pPr>
      <w:bookmarkStart w:id="938" w:name="Bookmark_para_28_5"/>
      <w:bookmarkStart w:id="939" w:name="Bookmark_I62NWBFV2D6N0B0020000400"/>
      <w:bookmarkEnd w:id="938"/>
      <w:bookmarkEnd w:id="939"/>
      <w:r>
        <w:rPr>
          <w:rFonts w:ascii="Arial" w:eastAsia="Arial" w:hAnsi="Arial" w:cs="Arial"/>
          <w:color w:val="000000"/>
          <w:sz w:val="20"/>
        </w:rPr>
        <w:t xml:space="preserve">The homeowner's association also specifically identified barriers at the clubhouse which made it inaccessible to residents, like Driskell, Kelly, and the Featherbays, with "mobility, balance, gait, vision, and hearing difficulties." For example, the homeowner's association pointed to the lack of an elevator and the inaccessible configuration of the clubhouse bathrooms. Thus, at least some of the residents have encountered architectural barriers that discriminate against them on the basis of  [*553]  their disabilities. </w:t>
      </w:r>
      <w:r>
        <w:rPr>
          <w:rFonts w:ascii="Arial" w:eastAsia="Arial" w:hAnsi="Arial" w:cs="Arial"/>
          <w:color w:val="000000"/>
          <w:sz w:val="20"/>
          <w:u w:val="single"/>
        </w:rPr>
        <w:t xml:space="preserve">See </w:t>
      </w:r>
      <w:bookmarkStart w:id="940" w:name="Bookmark_I62NWBFV2D6N0B0010000400"/>
      <w:bookmarkEnd w:id="940"/>
      <w:r>
        <w:rPr>
          <w:rFonts w:ascii="Arial" w:eastAsia="Arial" w:hAnsi="Arial" w:cs="Arial"/>
          <w:color w:val="000000"/>
          <w:sz w:val="20"/>
          <w:u w:val="single"/>
        </w:rPr>
        <w:t>Houston</w:t>
      </w:r>
      <w:r>
        <w:rPr>
          <w:rFonts w:ascii="Arial" w:eastAsia="Arial" w:hAnsi="Arial" w:cs="Arial"/>
          <w:color w:val="000000"/>
          <w:sz w:val="20"/>
        </w:rPr>
        <w:t>, 733 F.3d at 1332.</w:t>
      </w:r>
    </w:p>
    <w:p w14:paraId="3AAC2AED" w14:textId="77777777" w:rsidR="002B10A6" w:rsidRDefault="00000000">
      <w:pPr>
        <w:pStyle w:val="Normal6"/>
        <w:widowControl w:val="0"/>
        <w:spacing w:before="240" w:line="260" w:lineRule="atLeast"/>
      </w:pPr>
      <w:r>
        <w:br/>
      </w:r>
      <w:r>
        <w:rPr>
          <w:rFonts w:ascii="Arial" w:eastAsia="Arial" w:hAnsi="Arial" w:cs="Arial"/>
          <w:color w:val="000000"/>
          <w:sz w:val="20"/>
          <w:u w:val="single"/>
        </w:rPr>
        <w:t>Associational standing: Ensuring that the clubhouse is accessible to residents is germane to the homeowner's association's purpose</w:t>
      </w:r>
      <w:r>
        <w:rPr>
          <w:rFonts w:ascii="Arial" w:eastAsia="Arial" w:hAnsi="Arial" w:cs="Arial"/>
          <w:color w:val="000000"/>
          <w:sz w:val="20"/>
        </w:rPr>
        <w:t>.</w:t>
      </w:r>
    </w:p>
    <w:p w14:paraId="79F7AAB9" w14:textId="77777777" w:rsidR="002B10A6" w:rsidRDefault="00000000">
      <w:pPr>
        <w:pStyle w:val="Normal6"/>
        <w:widowControl w:val="0"/>
        <w:spacing w:before="200" w:line="260" w:lineRule="atLeast"/>
        <w:jc w:val="both"/>
      </w:pPr>
      <w:bookmarkStart w:id="941" w:name="Bookmark_para_29_5"/>
      <w:bookmarkEnd w:id="941"/>
      <w:r>
        <w:rPr>
          <w:rFonts w:ascii="Arial" w:eastAsia="Arial" w:hAnsi="Arial" w:cs="Arial"/>
          <w:color w:val="000000"/>
          <w:sz w:val="20"/>
        </w:rPr>
        <w:t>Next, we consider whether [**17]  the interest at stake—the homeowner's association's interest that the clubhouse be accessible to disabled residents—is "germane" to the organization's purpose. We conclude that it is.</w:t>
      </w:r>
    </w:p>
    <w:p w14:paraId="2D5D793D" w14:textId="77777777" w:rsidR="002B10A6" w:rsidRDefault="00000000">
      <w:pPr>
        <w:pStyle w:val="Normal6"/>
        <w:widowControl w:val="0"/>
        <w:spacing w:before="200" w:line="260" w:lineRule="atLeast"/>
        <w:jc w:val="both"/>
      </w:pPr>
      <w:bookmarkStart w:id="942" w:name="Bookmark_para_30_5"/>
      <w:bookmarkStart w:id="943" w:name="Bookmark_I62NWBFV2D6N0B0040000400"/>
      <w:bookmarkEnd w:id="942"/>
      <w:bookmarkEnd w:id="943"/>
      <w:r>
        <w:rPr>
          <w:rFonts w:ascii="Arial" w:eastAsia="Arial" w:hAnsi="Arial" w:cs="Arial"/>
          <w:color w:val="000000"/>
          <w:sz w:val="20"/>
        </w:rPr>
        <w:t xml:space="preserve">The district court, relying on </w:t>
      </w:r>
      <w:bookmarkStart w:id="944" w:name="Bookmark_I62NWBFV2D6N0B0030000400"/>
      <w:bookmarkEnd w:id="944"/>
      <w:r>
        <w:rPr>
          <w:rFonts w:ascii="Arial" w:eastAsia="Arial" w:hAnsi="Arial" w:cs="Arial"/>
          <w:color w:val="000000"/>
          <w:sz w:val="20"/>
          <w:u w:val="single"/>
        </w:rPr>
        <w:t>Drummond v. Zimmerman</w:t>
      </w:r>
      <w:r>
        <w:rPr>
          <w:rFonts w:ascii="Arial" w:eastAsia="Arial" w:hAnsi="Arial" w:cs="Arial"/>
          <w:color w:val="000000"/>
          <w:sz w:val="20"/>
        </w:rPr>
        <w:t>, 454 F. Supp. 3d 1210, 1221 (S.D. Fla. 2020), concluded that the homeowner's association could not show, as a matter of law, that the Americans with Disabilities Act claim was germane to its purpose, because "[t]he [homeowner's association] exists for the benefit of the homeowners and the mobile home park; it is not a disability advocacy group." But the district court's understanding of what is germane was too limited.</w:t>
      </w:r>
    </w:p>
    <w:p w14:paraId="7600E0B7" w14:textId="77777777" w:rsidR="002B10A6" w:rsidRDefault="00000000">
      <w:pPr>
        <w:pStyle w:val="Normal6"/>
        <w:widowControl w:val="0"/>
        <w:spacing w:before="200" w:line="260" w:lineRule="atLeast"/>
        <w:jc w:val="both"/>
      </w:pPr>
      <w:bookmarkStart w:id="945" w:name="Bookmark_para_31_5"/>
      <w:bookmarkStart w:id="946" w:name="Bookmark_I62NWBFV2HM6DR0010000400"/>
      <w:bookmarkStart w:id="947" w:name="Bookmark_I62NWBFW2N1R5J0020000400"/>
      <w:bookmarkStart w:id="948" w:name="Bookmark_LNHNREFclscc11_4"/>
      <w:bookmarkEnd w:id="945"/>
      <w:bookmarkEnd w:id="946"/>
      <w:bookmarkEnd w:id="947"/>
      <w:bookmarkEnd w:id="948"/>
      <w:r>
        <w:rPr>
          <w:rFonts w:ascii="Arial" w:eastAsia="Arial" w:hAnsi="Arial" w:cs="Arial"/>
          <w:color w:val="000000"/>
          <w:sz w:val="20"/>
        </w:rPr>
        <w:t xml:space="preserve">"[T]he germaneness requirement is 'undemanding' and requires 'mere pertinence' between the litigation at issue and the organization's purpose." </w:t>
      </w:r>
      <w:bookmarkStart w:id="949" w:name="Bookmark_I62NWBFV2D6N0B0050000400"/>
      <w:bookmarkEnd w:id="949"/>
      <w:r>
        <w:rPr>
          <w:rFonts w:ascii="Arial" w:eastAsia="Arial" w:hAnsi="Arial" w:cs="Arial"/>
          <w:color w:val="000000"/>
          <w:sz w:val="20"/>
          <w:u w:val="single"/>
        </w:rPr>
        <w:t>Ass'n of Am. Physicians &amp; Surgeons, Inc. v. Texas Med. Bd.</w:t>
      </w:r>
      <w:r>
        <w:rPr>
          <w:rFonts w:ascii="Arial" w:eastAsia="Arial" w:hAnsi="Arial" w:cs="Arial"/>
          <w:color w:val="000000"/>
          <w:sz w:val="20"/>
        </w:rPr>
        <w:t xml:space="preserve">, 627 F.3d 547, 550 n.2 (5th Cir. 2010) (quoting </w:t>
      </w:r>
      <w:bookmarkStart w:id="950" w:name="Bookmark_I62NWBFV2HM6DR0020000400"/>
      <w:bookmarkEnd w:id="950"/>
      <w:r>
        <w:rPr>
          <w:rFonts w:ascii="Arial" w:eastAsia="Arial" w:hAnsi="Arial" w:cs="Arial"/>
          <w:color w:val="000000"/>
          <w:sz w:val="20"/>
          <w:u w:val="single"/>
        </w:rPr>
        <w:t>Bldg. &amp; Constr. Trades Council of Buffalo v. Downtown Dev., Inc.</w:t>
      </w:r>
      <w:r>
        <w:rPr>
          <w:rFonts w:ascii="Arial" w:eastAsia="Arial" w:hAnsi="Arial" w:cs="Arial"/>
          <w:color w:val="000000"/>
          <w:sz w:val="20"/>
        </w:rPr>
        <w:t xml:space="preserve">, 448 F.3d 138, 148 (2nd Cir. 2006)) (concluding that the Association of American Physicians and Surgeons had standing to sue the Texas Board of Medical Examiners for alleged constitutional violations of member physicians' rights); </w:t>
      </w:r>
      <w:r>
        <w:rPr>
          <w:rFonts w:ascii="Arial" w:eastAsia="Arial" w:hAnsi="Arial" w:cs="Arial"/>
          <w:color w:val="000000"/>
          <w:sz w:val="20"/>
          <w:u w:val="single"/>
        </w:rPr>
        <w:t xml:space="preserve">see also </w:t>
      </w:r>
      <w:bookmarkStart w:id="951" w:name="Bookmark_I62NWBFV2HM6DR0040000400"/>
      <w:bookmarkEnd w:id="951"/>
      <w:r>
        <w:rPr>
          <w:rFonts w:ascii="Arial" w:eastAsia="Arial" w:hAnsi="Arial" w:cs="Arial"/>
          <w:color w:val="000000"/>
          <w:sz w:val="20"/>
          <w:u w:val="single"/>
        </w:rPr>
        <w:t>Ctr. for Sustainable Econ. v. Jewell</w:t>
      </w:r>
      <w:r>
        <w:rPr>
          <w:rFonts w:ascii="Arial" w:eastAsia="Arial" w:hAnsi="Arial" w:cs="Arial"/>
          <w:color w:val="000000"/>
          <w:sz w:val="20"/>
        </w:rPr>
        <w:t xml:space="preserve">, 779 F.3d 588, 597, 414 U.S. App. D.C. 255 (D.C. Cir. 2015) ("The germaneness requirement mandates pertinence between litigation subject and organizational purpose." (quotations marks omitted)). We considered the germaneness prong of associational standing in </w:t>
      </w:r>
      <w:r>
        <w:rPr>
          <w:rFonts w:ascii="Arial" w:eastAsia="Arial" w:hAnsi="Arial" w:cs="Arial"/>
          <w:color w:val="000000"/>
          <w:sz w:val="20"/>
          <w:u w:val="single"/>
        </w:rPr>
        <w:t>White's Place</w:t>
      </w:r>
      <w:r>
        <w:rPr>
          <w:rFonts w:ascii="Arial" w:eastAsia="Arial" w:hAnsi="Arial" w:cs="Arial"/>
          <w:color w:val="000000"/>
          <w:sz w:val="20"/>
        </w:rPr>
        <w:t xml:space="preserve">. </w:t>
      </w:r>
      <w:bookmarkStart w:id="952" w:name="Bookmark_I62NWBFW2N1R5J0040000400"/>
      <w:bookmarkEnd w:id="952"/>
      <w:r>
        <w:rPr>
          <w:rFonts w:ascii="Arial" w:eastAsia="Arial" w:hAnsi="Arial" w:cs="Arial"/>
          <w:color w:val="000000"/>
          <w:sz w:val="20"/>
        </w:rPr>
        <w:t xml:space="preserve">There, White's Place, a gentlemen's [**18]  club, brought a facial overbreadth challenge to a Jacksonville ordinance prohibiting individuals from "opposing a police officer." </w:t>
      </w:r>
      <w:bookmarkStart w:id="953" w:name="Bookmark_I62NWBFW2N1R5J0010000400"/>
      <w:bookmarkEnd w:id="953"/>
      <w:r>
        <w:rPr>
          <w:rFonts w:ascii="Arial" w:eastAsia="Arial" w:hAnsi="Arial" w:cs="Arial"/>
          <w:color w:val="000000"/>
          <w:sz w:val="20"/>
          <w:u w:val="single"/>
        </w:rPr>
        <w:t>White's Place</w:t>
      </w:r>
      <w:r>
        <w:rPr>
          <w:rFonts w:ascii="Arial" w:eastAsia="Arial" w:hAnsi="Arial" w:cs="Arial"/>
          <w:color w:val="000000"/>
          <w:sz w:val="20"/>
        </w:rPr>
        <w:t xml:space="preserve">, 222 F.3d at 1327. </w:t>
      </w:r>
      <w:bookmarkStart w:id="954" w:name="Bookmark_I62NWBFW2N1R5J0040000400_2"/>
      <w:bookmarkEnd w:id="954"/>
      <w:r>
        <w:rPr>
          <w:rFonts w:ascii="Arial" w:eastAsia="Arial" w:hAnsi="Arial" w:cs="Arial"/>
          <w:color w:val="000000"/>
          <w:sz w:val="20"/>
        </w:rPr>
        <w:t xml:space="preserve">We observed that "the ordinance being challenged . . . [did] not directly relate to the interests of the business" because "White's Place [was] a corporation whose primary purpose [was] to present erotic dancing for profit." </w:t>
      </w:r>
      <w:bookmarkStart w:id="955" w:name="Bookmark_I62NWBFW2N1R5J0030000400"/>
      <w:bookmarkEnd w:id="955"/>
      <w:r>
        <w:rPr>
          <w:rFonts w:ascii="Arial" w:eastAsia="Arial" w:hAnsi="Arial" w:cs="Arial"/>
          <w:color w:val="000000"/>
          <w:sz w:val="20"/>
          <w:u w:val="single"/>
        </w:rPr>
        <w:t>Id.</w:t>
      </w:r>
      <w:r>
        <w:rPr>
          <w:rFonts w:ascii="Arial" w:eastAsia="Arial" w:hAnsi="Arial" w:cs="Arial"/>
          <w:color w:val="000000"/>
          <w:sz w:val="20"/>
        </w:rPr>
        <w:t xml:space="preserve"> at 1330. We explained that "the ability to oppose a police officer legitimately through spoken words [was] not related sufficiently" to that purpose. </w:t>
      </w:r>
      <w:bookmarkStart w:id="956" w:name="Bookmark_I62NWBFW2SF8N00010000400"/>
      <w:bookmarkEnd w:id="956"/>
      <w:r>
        <w:rPr>
          <w:rFonts w:ascii="Arial" w:eastAsia="Arial" w:hAnsi="Arial" w:cs="Arial"/>
          <w:color w:val="000000"/>
          <w:sz w:val="20"/>
          <w:u w:val="single"/>
        </w:rPr>
        <w:t>Id.</w:t>
      </w:r>
      <w:r>
        <w:rPr>
          <w:rFonts w:ascii="Arial" w:eastAsia="Arial" w:hAnsi="Arial" w:cs="Arial"/>
          <w:color w:val="000000"/>
          <w:sz w:val="20"/>
        </w:rPr>
        <w:t xml:space="preserve"> Thus, we held that the club did not have associational standing to bring a claim on behalf of its dancers because the challenged law was not germane to the club's purposes. </w:t>
      </w:r>
      <w:r>
        <w:rPr>
          <w:rFonts w:ascii="Arial" w:eastAsia="Arial" w:hAnsi="Arial" w:cs="Arial"/>
          <w:color w:val="000000"/>
          <w:sz w:val="20"/>
          <w:u w:val="single"/>
        </w:rPr>
        <w:t>Id.</w:t>
      </w:r>
      <w:r>
        <w:rPr>
          <w:rFonts w:ascii="Arial" w:eastAsia="Arial" w:hAnsi="Arial" w:cs="Arial"/>
          <w:color w:val="000000"/>
          <w:sz w:val="20"/>
        </w:rPr>
        <w:t xml:space="preserve"> But, other than in </w:t>
      </w:r>
      <w:r>
        <w:rPr>
          <w:rFonts w:ascii="Arial" w:eastAsia="Arial" w:hAnsi="Arial" w:cs="Arial"/>
          <w:color w:val="000000"/>
          <w:sz w:val="20"/>
          <w:u w:val="single"/>
        </w:rPr>
        <w:t>White's Place</w:t>
      </w:r>
      <w:r>
        <w:rPr>
          <w:rFonts w:ascii="Arial" w:eastAsia="Arial" w:hAnsi="Arial" w:cs="Arial"/>
          <w:color w:val="000000"/>
          <w:sz w:val="20"/>
        </w:rPr>
        <w:t xml:space="preserve">, we have not found that an association lacked standing to bring a claim on behalf of its members because the litigation was not germane to the association's purpose. </w:t>
      </w:r>
      <w:r>
        <w:rPr>
          <w:rFonts w:ascii="Arial" w:eastAsia="Arial" w:hAnsi="Arial" w:cs="Arial"/>
          <w:color w:val="000000"/>
          <w:sz w:val="20"/>
          <w:u w:val="single"/>
        </w:rPr>
        <w:t xml:space="preserve">See, e.g., </w:t>
      </w:r>
      <w:bookmarkStart w:id="957" w:name="Bookmark_I62NWBFW2N1R5J0050000400"/>
      <w:bookmarkEnd w:id="957"/>
      <w:r>
        <w:rPr>
          <w:rFonts w:ascii="Arial" w:eastAsia="Arial" w:hAnsi="Arial" w:cs="Arial"/>
          <w:color w:val="000000"/>
          <w:sz w:val="20"/>
          <w:u w:val="single"/>
        </w:rPr>
        <w:t>Greater Birmingham Ministries v. Sec'y of State for Ala.</w:t>
      </w:r>
      <w:r>
        <w:rPr>
          <w:rFonts w:ascii="Arial" w:eastAsia="Arial" w:hAnsi="Arial" w:cs="Arial"/>
          <w:color w:val="000000"/>
          <w:sz w:val="20"/>
        </w:rPr>
        <w:t xml:space="preserve">, 992 F.3d 1299, 2021 WL 1323510, at *10 (11th Cir. 2021) (holding that a lawsuit challenging state voter identification laws was germane to the purposes of the Alabama N.A.A.C.P. and Greater Birmingham Ministries, a social justice charity); </w:t>
      </w:r>
      <w:bookmarkStart w:id="958" w:name="Bookmark_I62NWBFW2SF8N00020000400"/>
      <w:bookmarkEnd w:id="958"/>
      <w:r>
        <w:rPr>
          <w:rFonts w:ascii="Arial" w:eastAsia="Arial" w:hAnsi="Arial" w:cs="Arial"/>
          <w:color w:val="000000"/>
          <w:sz w:val="20"/>
          <w:u w:val="single"/>
        </w:rPr>
        <w:t>Am. Iron &amp; Steel Inst. v. Occupational Safety &amp; Health Admin.</w:t>
      </w:r>
      <w:r>
        <w:rPr>
          <w:rFonts w:ascii="Arial" w:eastAsia="Arial" w:hAnsi="Arial" w:cs="Arial"/>
          <w:color w:val="000000"/>
          <w:sz w:val="20"/>
        </w:rPr>
        <w:t>, 182 F.3d 1261, 1274 n.10 (11th Cir. 1999) (concluding that a lawsuit challenging OSHA regulations of respiratory standards was germane to the purposes of the American [**19]  College of Occupational and Environmental Medicine).</w:t>
      </w:r>
    </w:p>
    <w:p w14:paraId="1AB9B83B" w14:textId="77777777" w:rsidR="002B10A6" w:rsidRDefault="00000000">
      <w:pPr>
        <w:pStyle w:val="Normal6"/>
        <w:widowControl w:val="0"/>
        <w:spacing w:before="200" w:line="260" w:lineRule="atLeast"/>
        <w:jc w:val="both"/>
      </w:pPr>
      <w:bookmarkStart w:id="959" w:name="Bookmark_para_32_5"/>
      <w:bookmarkStart w:id="960" w:name="Bookmark_I1MC11FXPWM000064FN00005"/>
      <w:bookmarkStart w:id="961" w:name="Bookmark_I62NWBFW2SF8N00050000400"/>
      <w:bookmarkEnd w:id="959"/>
      <w:bookmarkEnd w:id="960"/>
      <w:bookmarkEnd w:id="961"/>
      <w:r>
        <w:rPr>
          <w:rFonts w:ascii="Arial" w:eastAsia="Arial" w:hAnsi="Arial" w:cs="Arial"/>
          <w:color w:val="000000"/>
          <w:sz w:val="20"/>
        </w:rPr>
        <w:t xml:space="preserve">Unlike the relationship between the challenged law and the business purpose of the club in </w:t>
      </w:r>
      <w:bookmarkStart w:id="962" w:name="Bookmark_I62NWBFW2SF8N00040000400"/>
      <w:bookmarkEnd w:id="962"/>
      <w:r>
        <w:rPr>
          <w:rFonts w:ascii="Arial" w:eastAsia="Arial" w:hAnsi="Arial" w:cs="Arial"/>
          <w:color w:val="000000"/>
          <w:sz w:val="20"/>
          <w:u w:val="single"/>
        </w:rPr>
        <w:t>White's Place</w:t>
      </w:r>
      <w:r>
        <w:rPr>
          <w:rFonts w:ascii="Arial" w:eastAsia="Arial" w:hAnsi="Arial" w:cs="Arial"/>
          <w:color w:val="000000"/>
          <w:sz w:val="20"/>
        </w:rPr>
        <w:t xml:space="preserve">, here the interests at stake are more closely related to the purposes of the homeowner's association. For example, </w:t>
      </w:r>
      <w:bookmarkStart w:id="963" w:name="Bookmark_LNHNREFclscc12_3"/>
      <w:bookmarkEnd w:id="963"/>
      <w:r>
        <w:rPr>
          <w:rFonts w:ascii="Arial" w:eastAsia="Arial" w:hAnsi="Arial" w:cs="Arial"/>
          <w:color w:val="000000"/>
          <w:sz w:val="20"/>
        </w:rPr>
        <w:t xml:space="preserve">Florida Rule of Civil Procedure 1.222 gives the homeowner's association authority to act as a class representative and bring suits "in its name on  [*554]  behalf of all association members concerning matters of common interest to the members, including but not limited to: the common property [and] structural components of a building or other improvements." Fla. R. Civ. P. 1.222. Florida law also designates the homeowner's association as the representative of "all the mobile home owners in all matters relating to [the Mobile Home Act], regardless of whether the homeowner is a member of the association." </w:t>
      </w:r>
      <w:r>
        <w:rPr>
          <w:rFonts w:ascii="Arial" w:eastAsia="Arial" w:hAnsi="Arial" w:cs="Arial"/>
          <w:color w:val="000000"/>
          <w:sz w:val="20"/>
          <w:u w:val="single"/>
        </w:rPr>
        <w:t>Id.</w:t>
      </w:r>
      <w:r>
        <w:rPr>
          <w:rFonts w:ascii="Arial" w:eastAsia="Arial" w:hAnsi="Arial" w:cs="Arial"/>
          <w:color w:val="000000"/>
          <w:sz w:val="20"/>
        </w:rPr>
        <w:t xml:space="preserve"> § 723.075(1).</w:t>
      </w:r>
    </w:p>
    <w:p w14:paraId="61DD6AB3" w14:textId="77777777" w:rsidR="002B10A6" w:rsidRDefault="00000000">
      <w:pPr>
        <w:pStyle w:val="Normal6"/>
        <w:widowControl w:val="0"/>
        <w:spacing w:before="200" w:line="260" w:lineRule="atLeast"/>
        <w:jc w:val="both"/>
      </w:pPr>
      <w:bookmarkStart w:id="964" w:name="Bookmark_para_33_4"/>
      <w:bookmarkStart w:id="965" w:name="Bookmark_I62NWBFW2D6N0G0020000400"/>
      <w:bookmarkStart w:id="966" w:name="Bookmark_I1MC11FXDGW000064FN00003"/>
      <w:bookmarkStart w:id="967" w:name="Bookmark_I1MC11FXJV9000064FN00004"/>
      <w:bookmarkStart w:id="968" w:name="Bookmark_I62NWBFX2HM6DY0010000400"/>
      <w:bookmarkEnd w:id="964"/>
      <w:bookmarkEnd w:id="965"/>
      <w:bookmarkEnd w:id="966"/>
      <w:bookmarkEnd w:id="967"/>
      <w:bookmarkEnd w:id="968"/>
      <w:r>
        <w:rPr>
          <w:rFonts w:ascii="Arial" w:eastAsia="Arial" w:hAnsi="Arial" w:cs="Arial"/>
          <w:color w:val="000000"/>
          <w:sz w:val="20"/>
        </w:rPr>
        <w:t xml:space="preserve">In response, the defendants argue that Florida courts "require complete commonality for all homeowners" for the homeowner's association to have standing. </w:t>
      </w:r>
      <w:r>
        <w:rPr>
          <w:rFonts w:ascii="Arial" w:eastAsia="Arial" w:hAnsi="Arial" w:cs="Arial"/>
          <w:color w:val="000000"/>
          <w:sz w:val="20"/>
          <w:u w:val="single"/>
        </w:rPr>
        <w:t xml:space="preserve">See, e.g., </w:t>
      </w:r>
      <w:bookmarkStart w:id="969" w:name="Bookmark_I62NWBFW2D6N0G0010000400"/>
      <w:bookmarkEnd w:id="969"/>
      <w:r>
        <w:rPr>
          <w:rFonts w:ascii="Arial" w:eastAsia="Arial" w:hAnsi="Arial" w:cs="Arial"/>
          <w:color w:val="000000"/>
          <w:sz w:val="20"/>
          <w:u w:val="single"/>
        </w:rPr>
        <w:t>Malco Indus., Inc. v. Featherock Homeowners Ass'n, Inc.</w:t>
      </w:r>
      <w:r>
        <w:rPr>
          <w:rFonts w:ascii="Arial" w:eastAsia="Arial" w:hAnsi="Arial" w:cs="Arial"/>
          <w:color w:val="000000"/>
          <w:sz w:val="20"/>
        </w:rPr>
        <w:t xml:space="preserve">, 854 So. 2d 755, 757 (Fla. Dist. Ct. App. 2003) (concluding that a homeowner's association did not have standing to enforce a settlement agreement against future purchasers); </w:t>
      </w:r>
      <w:bookmarkStart w:id="970" w:name="Bookmark_I62NWBFW2D6N0G0030000400"/>
      <w:bookmarkEnd w:id="970"/>
      <w:r>
        <w:rPr>
          <w:rFonts w:ascii="Arial" w:eastAsia="Arial" w:hAnsi="Arial" w:cs="Arial"/>
          <w:color w:val="000000"/>
          <w:sz w:val="20"/>
          <w:u w:val="single"/>
        </w:rPr>
        <w:t>Amber Glades, Inc. v. Leisure Assocs. Ltd. P'ship</w:t>
      </w:r>
      <w:r>
        <w:rPr>
          <w:rFonts w:ascii="Arial" w:eastAsia="Arial" w:hAnsi="Arial" w:cs="Arial"/>
          <w:color w:val="000000"/>
          <w:sz w:val="20"/>
        </w:rPr>
        <w:t xml:space="preserve">, 893 So. 2d 620, 625 (Fla. Dist. Ct. App. 2005) (concluding that a homeowner's association did not [**20]  have standing to enforce park rules against other residents). But these cases dealt with situations where the members of the homeowner's association had competing interests or no interests at all. </w:t>
      </w:r>
      <w:bookmarkStart w:id="971" w:name="Bookmark_I62NWBFW2D6N0G0050000400"/>
      <w:bookmarkEnd w:id="971"/>
      <w:r>
        <w:rPr>
          <w:rFonts w:ascii="Arial" w:eastAsia="Arial" w:hAnsi="Arial" w:cs="Arial"/>
          <w:color w:val="000000"/>
          <w:sz w:val="20"/>
          <w:u w:val="single"/>
        </w:rPr>
        <w:t>Malco</w:t>
      </w:r>
      <w:r>
        <w:rPr>
          <w:rFonts w:ascii="Arial" w:eastAsia="Arial" w:hAnsi="Arial" w:cs="Arial"/>
          <w:color w:val="000000"/>
          <w:sz w:val="20"/>
        </w:rPr>
        <w:t xml:space="preserve">, 854 So. 2d at 757 ("[T]he dispute is of limited interest to all homeowners . . . and, as such, the [homeowner's association] is not the proper party to bring the action."); </w:t>
      </w:r>
      <w:bookmarkStart w:id="972" w:name="Bookmark_I62NWBFX2HM6DY0020000400"/>
      <w:bookmarkEnd w:id="972"/>
      <w:r>
        <w:rPr>
          <w:rFonts w:ascii="Arial" w:eastAsia="Arial" w:hAnsi="Arial" w:cs="Arial"/>
          <w:color w:val="000000"/>
          <w:sz w:val="20"/>
          <w:u w:val="single"/>
        </w:rPr>
        <w:t>Amber Glades</w:t>
      </w:r>
      <w:r>
        <w:rPr>
          <w:rFonts w:ascii="Arial" w:eastAsia="Arial" w:hAnsi="Arial" w:cs="Arial"/>
          <w:color w:val="000000"/>
          <w:sz w:val="20"/>
        </w:rPr>
        <w:t xml:space="preserve">, 893 So. 2d at 625 ("If the mobile homeowners, as a class, include members that will be harmed by the judgment . . . [the homeowner's association] certainly cannot represent all of them."). By contrast, all residents of Schalamar Creek have an interest in making sure that the clubhouse is accessible and compliant with the Americans with Disabilities Act, and there is no issue of conflicting interests, as was the case in </w:t>
      </w:r>
      <w:r>
        <w:rPr>
          <w:rFonts w:ascii="Arial" w:eastAsia="Arial" w:hAnsi="Arial" w:cs="Arial"/>
          <w:color w:val="000000"/>
          <w:sz w:val="20"/>
          <w:u w:val="single"/>
        </w:rPr>
        <w:t>Amber Glades</w:t>
      </w:r>
      <w:r>
        <w:rPr>
          <w:rFonts w:ascii="Arial" w:eastAsia="Arial" w:hAnsi="Arial" w:cs="Arial"/>
          <w:color w:val="000000"/>
          <w:sz w:val="20"/>
        </w:rPr>
        <w:t xml:space="preserve">. </w:t>
      </w:r>
      <w:bookmarkStart w:id="973" w:name="Bookmark_LNHNREFclscc13_2"/>
      <w:bookmarkEnd w:id="973"/>
      <w:r>
        <w:rPr>
          <w:rFonts w:ascii="Arial" w:eastAsia="Arial" w:hAnsi="Arial" w:cs="Arial"/>
          <w:color w:val="000000"/>
          <w:sz w:val="20"/>
        </w:rPr>
        <w:t xml:space="preserve">Moreover, the Mobile Home Act gives the homeowner's association the right to institute certain claims when only a majority of members vote in favor; it does not require "complete commonality." </w:t>
      </w:r>
      <w:r>
        <w:rPr>
          <w:rFonts w:ascii="Arial" w:eastAsia="Arial" w:hAnsi="Arial" w:cs="Arial"/>
          <w:color w:val="000000"/>
          <w:sz w:val="20"/>
          <w:u w:val="single"/>
        </w:rPr>
        <w:t>See</w:t>
      </w:r>
      <w:r>
        <w:rPr>
          <w:rFonts w:ascii="Arial" w:eastAsia="Arial" w:hAnsi="Arial" w:cs="Arial"/>
          <w:color w:val="000000"/>
          <w:sz w:val="20"/>
        </w:rPr>
        <w:t xml:space="preserve"> Fla. Stat. § 723.037 (providing that a homeowner's association has standing to challenge an increase in lot rental amount, a reduction in services or utilities, or a change of rules and regulations if "a majority of the affected homeowners agree"). Thus, [**21]  the defendants' contention that the homeowner's association's standing requires "complete commonality" is without merit.</w:t>
      </w:r>
    </w:p>
    <w:p w14:paraId="065348DF" w14:textId="77777777" w:rsidR="002B10A6" w:rsidRDefault="00000000">
      <w:pPr>
        <w:pStyle w:val="Normal6"/>
        <w:widowControl w:val="0"/>
        <w:spacing w:before="200" w:line="260" w:lineRule="atLeast"/>
        <w:jc w:val="both"/>
      </w:pPr>
      <w:bookmarkStart w:id="974" w:name="Bookmark_para_34_3"/>
      <w:bookmarkEnd w:id="974"/>
      <w:r>
        <w:rPr>
          <w:rFonts w:ascii="Arial" w:eastAsia="Arial" w:hAnsi="Arial" w:cs="Arial"/>
          <w:color w:val="000000"/>
          <w:sz w:val="20"/>
        </w:rPr>
        <w:t xml:space="preserve">For these reasons, we conclude that the homeowner's association has an interest in making sure that the "common property [and] structural components" of Schalamar Creek are accessible to handicapped residents. </w:t>
      </w:r>
      <w:r>
        <w:rPr>
          <w:rFonts w:ascii="Arial" w:eastAsia="Arial" w:hAnsi="Arial" w:cs="Arial"/>
          <w:color w:val="000000"/>
          <w:sz w:val="20"/>
          <w:u w:val="single"/>
        </w:rPr>
        <w:t>See</w:t>
      </w:r>
      <w:r>
        <w:rPr>
          <w:rFonts w:ascii="Arial" w:eastAsia="Arial" w:hAnsi="Arial" w:cs="Arial"/>
          <w:color w:val="000000"/>
          <w:sz w:val="20"/>
        </w:rPr>
        <w:t xml:space="preserve"> Fla. R. Civ. P. 1.222. Its claim under the Americans with Disabilities Act is germane to its purpose.</w:t>
      </w:r>
    </w:p>
    <w:p w14:paraId="441F3F72" w14:textId="77777777" w:rsidR="002B10A6" w:rsidRDefault="00000000">
      <w:pPr>
        <w:pStyle w:val="Normal6"/>
        <w:widowControl w:val="0"/>
        <w:spacing w:before="240" w:line="260" w:lineRule="atLeast"/>
      </w:pPr>
      <w:r>
        <w:br/>
      </w:r>
      <w:r>
        <w:rPr>
          <w:rFonts w:ascii="Arial" w:eastAsia="Arial" w:hAnsi="Arial" w:cs="Arial"/>
          <w:color w:val="000000"/>
          <w:sz w:val="20"/>
          <w:u w:val="single"/>
        </w:rPr>
        <w:t>The proposed modifications were not readily achievable</w:t>
      </w:r>
      <w:r>
        <w:rPr>
          <w:rFonts w:ascii="Arial" w:eastAsia="Arial" w:hAnsi="Arial" w:cs="Arial"/>
          <w:color w:val="000000"/>
          <w:sz w:val="20"/>
        </w:rPr>
        <w:t>.</w:t>
      </w:r>
    </w:p>
    <w:p w14:paraId="7DD1C73C" w14:textId="77777777" w:rsidR="002B10A6" w:rsidRDefault="00000000">
      <w:pPr>
        <w:pStyle w:val="Normal6"/>
        <w:widowControl w:val="0"/>
        <w:spacing w:before="200" w:line="260" w:lineRule="atLeast"/>
        <w:jc w:val="both"/>
      </w:pPr>
      <w:bookmarkStart w:id="975" w:name="Bookmark_para_35_3"/>
      <w:bookmarkEnd w:id="975"/>
      <w:r>
        <w:rPr>
          <w:rFonts w:ascii="Arial" w:eastAsia="Arial" w:hAnsi="Arial" w:cs="Arial"/>
          <w:color w:val="000000"/>
          <w:sz w:val="20"/>
        </w:rPr>
        <w:t>Even if the homeowner's association has standing to bring its claims, the defendants contend that we should still affirm summary judgment because the homeowner's association did not meet its burden to show that the removal of accessibility barriers was "readily achievable." We agree.</w:t>
      </w:r>
    </w:p>
    <w:p w14:paraId="73D54C4B" w14:textId="77777777" w:rsidR="002B10A6" w:rsidRDefault="00000000">
      <w:pPr>
        <w:pStyle w:val="Normal6"/>
        <w:widowControl w:val="0"/>
        <w:spacing w:before="200" w:line="260" w:lineRule="atLeast"/>
        <w:jc w:val="both"/>
      </w:pPr>
      <w:bookmarkStart w:id="976" w:name="Bookmark_para_36_3"/>
      <w:bookmarkStart w:id="977" w:name="Bookmark_I62NWBFX2HM6DY0050000400"/>
      <w:bookmarkStart w:id="978" w:name="Bookmark_LNHNREFclscc14_2"/>
      <w:bookmarkEnd w:id="976"/>
      <w:bookmarkEnd w:id="977"/>
      <w:bookmarkEnd w:id="978"/>
      <w:r>
        <w:rPr>
          <w:rFonts w:ascii="Arial" w:eastAsia="Arial" w:hAnsi="Arial" w:cs="Arial"/>
          <w:color w:val="000000"/>
          <w:sz w:val="20"/>
        </w:rPr>
        <w:t xml:space="preserve">"The [Americans with Disabilities Act] imposes different requirements on the owners and operators of facilities that existed prior to its enactment date [in 1993]." </w:t>
      </w:r>
      <w:bookmarkStart w:id="979" w:name="Bookmark_I62NWBFX2HM6DY0040000400"/>
      <w:bookmarkEnd w:id="979"/>
      <w:r>
        <w:rPr>
          <w:rFonts w:ascii="Arial" w:eastAsia="Arial" w:hAnsi="Arial" w:cs="Arial"/>
          <w:color w:val="000000"/>
          <w:sz w:val="20"/>
          <w:u w:val="single"/>
        </w:rPr>
        <w:t>Garthright-Dietrich v. Atlanta Landmarks, Inc.</w:t>
      </w:r>
      <w:r>
        <w:rPr>
          <w:rFonts w:ascii="Arial" w:eastAsia="Arial" w:hAnsi="Arial" w:cs="Arial"/>
          <w:color w:val="000000"/>
          <w:sz w:val="20"/>
        </w:rPr>
        <w:t xml:space="preserve">, 452 F.3d 1269, 1273 (11th Cir. 2006). In an existing facility, "the [Americans with Disabilities Act] states that discrimination includes a private entity's 'failure to remove architectural barriers . . . where such removal is readily achievable.'" </w:t>
      </w:r>
      <w:r>
        <w:rPr>
          <w:rFonts w:ascii="Arial" w:eastAsia="Arial" w:hAnsi="Arial" w:cs="Arial"/>
          <w:color w:val="000000"/>
          <w:sz w:val="20"/>
          <w:u w:val="single"/>
        </w:rPr>
        <w:t>Id.</w:t>
      </w:r>
      <w:r>
        <w:rPr>
          <w:rFonts w:ascii="Arial" w:eastAsia="Arial" w:hAnsi="Arial" w:cs="Arial"/>
          <w:color w:val="000000"/>
          <w:sz w:val="20"/>
        </w:rPr>
        <w:t xml:space="preserve"> (quoting 42 U.S.C. § 12182(b)(2)(A)(iv)). The Americans with Disabilities Act defines [*555]  "readily [**22]  achievable" as "easily accomplished and able to be carried out without much difficulty or expense." 42 U.S.C. § 12181(9).</w:t>
      </w:r>
    </w:p>
    <w:p w14:paraId="58DCD10E" w14:textId="77777777" w:rsidR="002B10A6" w:rsidRDefault="00000000">
      <w:pPr>
        <w:pStyle w:val="Normal6"/>
        <w:widowControl w:val="0"/>
        <w:spacing w:before="200" w:line="260" w:lineRule="atLeast"/>
        <w:jc w:val="both"/>
      </w:pPr>
      <w:bookmarkStart w:id="980" w:name="Bookmark_para_37_2"/>
      <w:bookmarkStart w:id="981" w:name="Bookmark_I62NWBFX2D6N0K0020000400"/>
      <w:bookmarkStart w:id="982" w:name="Bookmark_I62NWBFX28T4T90010000400"/>
      <w:bookmarkStart w:id="983" w:name="Bookmark_LNHNREFclscc15_0"/>
      <w:bookmarkEnd w:id="980"/>
      <w:bookmarkEnd w:id="981"/>
      <w:bookmarkEnd w:id="982"/>
      <w:bookmarkEnd w:id="983"/>
      <w:r>
        <w:rPr>
          <w:rFonts w:ascii="Arial" w:eastAsia="Arial" w:hAnsi="Arial" w:cs="Arial"/>
          <w:color w:val="000000"/>
          <w:sz w:val="20"/>
        </w:rPr>
        <w:t xml:space="preserve">In </w:t>
      </w:r>
      <w:r>
        <w:rPr>
          <w:rFonts w:ascii="Arial" w:eastAsia="Arial" w:hAnsi="Arial" w:cs="Arial"/>
          <w:color w:val="000000"/>
          <w:sz w:val="20"/>
          <w:u w:val="single"/>
        </w:rPr>
        <w:t>Gathright-Dietrich</w:t>
      </w:r>
      <w:r>
        <w:rPr>
          <w:rFonts w:ascii="Arial" w:eastAsia="Arial" w:hAnsi="Arial" w:cs="Arial"/>
          <w:color w:val="000000"/>
          <w:sz w:val="20"/>
        </w:rPr>
        <w:t xml:space="preserve">, we adopted a burden-shifting framework that applies to summary judgment motions in Americans with Disability Act claims based on the removal of architectural barriers. </w:t>
      </w:r>
      <w:r>
        <w:rPr>
          <w:rFonts w:ascii="Arial" w:eastAsia="Arial" w:hAnsi="Arial" w:cs="Arial"/>
          <w:color w:val="000000"/>
          <w:sz w:val="20"/>
          <w:u w:val="single"/>
        </w:rPr>
        <w:t>See</w:t>
      </w:r>
      <w:r>
        <w:rPr>
          <w:rFonts w:ascii="Arial" w:eastAsia="Arial" w:hAnsi="Arial" w:cs="Arial"/>
          <w:color w:val="000000"/>
          <w:sz w:val="20"/>
        </w:rPr>
        <w:t xml:space="preserve"> </w:t>
      </w:r>
      <w:bookmarkStart w:id="984" w:name="Bookmark_I62NWBFX2D6N0K0010000400"/>
      <w:bookmarkEnd w:id="984"/>
      <w:r>
        <w:rPr>
          <w:rFonts w:ascii="Arial" w:eastAsia="Arial" w:hAnsi="Arial" w:cs="Arial"/>
          <w:color w:val="000000"/>
          <w:sz w:val="20"/>
        </w:rPr>
        <w:t xml:space="preserve">452 F.3d at 1273-74 (adopting the burden-shifting framework set out in </w:t>
      </w:r>
      <w:bookmarkStart w:id="985" w:name="Bookmark_I62NWBFX2D6N0K0030000400"/>
      <w:bookmarkEnd w:id="985"/>
      <w:r>
        <w:rPr>
          <w:rFonts w:ascii="Arial" w:eastAsia="Arial" w:hAnsi="Arial" w:cs="Arial"/>
          <w:color w:val="000000"/>
          <w:sz w:val="20"/>
          <w:u w:val="single"/>
        </w:rPr>
        <w:t>Colo. Cross Disability Coal. v. Hermanson Fam. Ltd. P'ship I</w:t>
      </w:r>
      <w:r>
        <w:rPr>
          <w:rFonts w:ascii="Arial" w:eastAsia="Arial" w:hAnsi="Arial" w:cs="Arial"/>
          <w:color w:val="000000"/>
          <w:sz w:val="20"/>
        </w:rPr>
        <w:t xml:space="preserve">, 264 F.3d 999, 1007 (10th Cir. 2001)). Under this framework, "the plaintiff has the initial burden of production to show (1) that an architectural barrier exists; and (2) that the proposed method of architectural barrier removal is 'readily achievable,' i.e., 'easily accomplishable and able to be carried out without much difficulty or expense' under the particular circumstances of the case." </w:t>
      </w:r>
      <w:bookmarkStart w:id="986" w:name="Bookmark_I62NWBFX2D6N0K0050000400"/>
      <w:bookmarkEnd w:id="986"/>
      <w:r>
        <w:rPr>
          <w:rFonts w:ascii="Arial" w:eastAsia="Arial" w:hAnsi="Arial" w:cs="Arial"/>
          <w:color w:val="000000"/>
          <w:sz w:val="20"/>
          <w:u w:val="single"/>
        </w:rPr>
        <w:t>Id.</w:t>
      </w:r>
      <w:r>
        <w:rPr>
          <w:rFonts w:ascii="Arial" w:eastAsia="Arial" w:hAnsi="Arial" w:cs="Arial"/>
          <w:color w:val="000000"/>
          <w:sz w:val="20"/>
        </w:rPr>
        <w:t xml:space="preserve"> at 1273. We explained that "a plaintiff must present sufficient evidence so that a defendant can evaluate the proposed solution to a barrier, the difficulty of accomplishing it, the cost [of] implementation, and the economic operation of the facility. Without evidence on these issues, a defendant cannot determine if it can meet its subsequent burden of persuasion." </w:t>
      </w:r>
      <w:r>
        <w:rPr>
          <w:rFonts w:ascii="Arial" w:eastAsia="Arial" w:hAnsi="Arial" w:cs="Arial"/>
          <w:color w:val="000000"/>
          <w:sz w:val="20"/>
          <w:u w:val="single"/>
        </w:rPr>
        <w:t>Id.</w:t>
      </w:r>
    </w:p>
    <w:p w14:paraId="2A4CF103" w14:textId="77777777" w:rsidR="002B10A6" w:rsidRDefault="00000000">
      <w:pPr>
        <w:pStyle w:val="Normal6"/>
        <w:widowControl w:val="0"/>
        <w:spacing w:before="200" w:line="260" w:lineRule="atLeast"/>
        <w:jc w:val="both"/>
      </w:pPr>
      <w:bookmarkStart w:id="987" w:name="Bookmark_para_38_1"/>
      <w:bookmarkStart w:id="988" w:name="Bookmark_I1MC11FXVWJ000064FN00006"/>
      <w:bookmarkStart w:id="989" w:name="Bookmark_I62NWBFX28T4T90030000400"/>
      <w:bookmarkStart w:id="990" w:name="Bookmark_I62NWBFX28T4T90050000400"/>
      <w:bookmarkEnd w:id="987"/>
      <w:bookmarkEnd w:id="988"/>
      <w:bookmarkEnd w:id="989"/>
      <w:bookmarkEnd w:id="990"/>
      <w:r>
        <w:rPr>
          <w:rFonts w:ascii="Arial" w:eastAsia="Arial" w:hAnsi="Arial" w:cs="Arial"/>
          <w:color w:val="000000"/>
          <w:sz w:val="20"/>
        </w:rPr>
        <w:t xml:space="preserve">The facts of </w:t>
      </w:r>
      <w:bookmarkStart w:id="991" w:name="Bookmark_I62NWBFX28T4T90020000400"/>
      <w:bookmarkEnd w:id="991"/>
      <w:r>
        <w:rPr>
          <w:rFonts w:ascii="Arial" w:eastAsia="Arial" w:hAnsi="Arial" w:cs="Arial"/>
          <w:color w:val="000000"/>
          <w:sz w:val="20"/>
          <w:u w:val="single"/>
        </w:rPr>
        <w:t>Gathright-Dietrich</w:t>
      </w:r>
      <w:r>
        <w:rPr>
          <w:rFonts w:ascii="Arial" w:eastAsia="Arial" w:hAnsi="Arial" w:cs="Arial"/>
          <w:color w:val="000000"/>
          <w:sz w:val="20"/>
        </w:rPr>
        <w:t xml:space="preserve"> are instructive. There, the plaintiffs "submitted three proposed options" relating to the removal [**23]  of barriers, but they "failed to produce any reliable evidence that those proposals were 'readily achievable.'" </w:t>
      </w:r>
      <w:bookmarkStart w:id="992" w:name="Bookmark_I62NWBFX28T4T90040000400"/>
      <w:bookmarkEnd w:id="992"/>
      <w:r>
        <w:rPr>
          <w:rFonts w:ascii="Arial" w:eastAsia="Arial" w:hAnsi="Arial" w:cs="Arial"/>
          <w:color w:val="000000"/>
          <w:sz w:val="20"/>
          <w:u w:val="single"/>
        </w:rPr>
        <w:t>Id.</w:t>
      </w:r>
      <w:r>
        <w:rPr>
          <w:rFonts w:ascii="Arial" w:eastAsia="Arial" w:hAnsi="Arial" w:cs="Arial"/>
          <w:color w:val="000000"/>
          <w:sz w:val="20"/>
        </w:rPr>
        <w:t xml:space="preserve"> at 1274. </w:t>
      </w:r>
      <w:bookmarkStart w:id="993" w:name="Bookmark_I62NWBFX2HM6F20020000400"/>
      <w:bookmarkEnd w:id="993"/>
      <w:r>
        <w:rPr>
          <w:rFonts w:ascii="Arial" w:eastAsia="Arial" w:hAnsi="Arial" w:cs="Arial"/>
          <w:color w:val="000000"/>
          <w:sz w:val="20"/>
        </w:rPr>
        <w:t xml:space="preserve">Further, the proposed modifications "were non-specific, conceptual proposals that did not provide any detailed cost analysis," and the plaintiffs "failed to provide expert testimony to assure the feasibility of their proposed" modifications. </w:t>
      </w:r>
      <w:bookmarkStart w:id="994" w:name="Bookmark_I62NWBFX2HM6F20020000400_2"/>
      <w:bookmarkStart w:id="995" w:name="Bookmark_I62NWBFX2HM6F20040000400"/>
      <w:bookmarkEnd w:id="994"/>
      <w:bookmarkEnd w:id="995"/>
      <w:r>
        <w:rPr>
          <w:rFonts w:ascii="Arial" w:eastAsia="Arial" w:hAnsi="Arial" w:cs="Arial"/>
          <w:color w:val="000000"/>
          <w:sz w:val="20"/>
          <w:u w:val="single"/>
        </w:rPr>
        <w:t>Id.</w:t>
      </w:r>
      <w:r>
        <w:rPr>
          <w:rFonts w:ascii="Arial" w:eastAsia="Arial" w:hAnsi="Arial" w:cs="Arial"/>
          <w:color w:val="000000"/>
          <w:sz w:val="20"/>
        </w:rPr>
        <w:t xml:space="preserve"> Finally, the plaintiffs did not "produce a financial expert to link the estimated costs of their proposals with [the defendant]'s ability to pay for them" and "failed to take even the rudimentary steps of formulating what those estimated costs might be or providing any evidence of the [defendant]'s financial position and ability to pay those costs." </w:t>
      </w:r>
      <w:r>
        <w:rPr>
          <w:rFonts w:ascii="Arial" w:eastAsia="Arial" w:hAnsi="Arial" w:cs="Arial"/>
          <w:color w:val="000000"/>
          <w:sz w:val="20"/>
          <w:u w:val="single"/>
        </w:rPr>
        <w:t>Id.</w:t>
      </w:r>
      <w:r>
        <w:rPr>
          <w:rFonts w:ascii="Arial" w:eastAsia="Arial" w:hAnsi="Arial" w:cs="Arial"/>
          <w:color w:val="000000"/>
          <w:sz w:val="20"/>
        </w:rPr>
        <w:t xml:space="preserve"> The district court granted summary judgment for the defendants, and we affirmed. </w:t>
      </w:r>
      <w:bookmarkStart w:id="996" w:name="Bookmark_I62NWBFX2HM6F20010000400"/>
      <w:bookmarkEnd w:id="996"/>
      <w:r>
        <w:rPr>
          <w:rFonts w:ascii="Arial" w:eastAsia="Arial" w:hAnsi="Arial" w:cs="Arial"/>
          <w:color w:val="000000"/>
          <w:sz w:val="20"/>
          <w:u w:val="single"/>
        </w:rPr>
        <w:t>Id.</w:t>
      </w:r>
      <w:r>
        <w:rPr>
          <w:rFonts w:ascii="Arial" w:eastAsia="Arial" w:hAnsi="Arial" w:cs="Arial"/>
          <w:color w:val="000000"/>
          <w:sz w:val="20"/>
        </w:rPr>
        <w:t xml:space="preserve"> at 1272, 1275. </w:t>
      </w:r>
      <w:bookmarkStart w:id="997" w:name="Bookmark_I62NWBFX2HM6F20040000400_2"/>
      <w:bookmarkEnd w:id="997"/>
      <w:r>
        <w:rPr>
          <w:rFonts w:ascii="Arial" w:eastAsia="Arial" w:hAnsi="Arial" w:cs="Arial"/>
          <w:color w:val="000000"/>
          <w:sz w:val="20"/>
        </w:rPr>
        <w:t xml:space="preserve">We explained that, given the lack of evidence about the estimated costs or feasibility of the modifications, the plaintiffs didn't carry their burden to show that the proposed modifications were "readily achievable." </w:t>
      </w:r>
      <w:bookmarkStart w:id="998" w:name="Bookmark_I62NWBFX2HM6F20030000400"/>
      <w:bookmarkEnd w:id="998"/>
      <w:r>
        <w:rPr>
          <w:rFonts w:ascii="Arial" w:eastAsia="Arial" w:hAnsi="Arial" w:cs="Arial"/>
          <w:color w:val="000000"/>
          <w:sz w:val="20"/>
          <w:u w:val="single"/>
        </w:rPr>
        <w:t>Id.</w:t>
      </w:r>
      <w:r>
        <w:rPr>
          <w:rFonts w:ascii="Arial" w:eastAsia="Arial" w:hAnsi="Arial" w:cs="Arial"/>
          <w:color w:val="000000"/>
          <w:sz w:val="20"/>
        </w:rPr>
        <w:t xml:space="preserve"> at 1273.</w:t>
      </w:r>
    </w:p>
    <w:p w14:paraId="64C6BB48" w14:textId="77777777" w:rsidR="002B10A6" w:rsidRDefault="00000000">
      <w:pPr>
        <w:pStyle w:val="Normal6"/>
        <w:widowControl w:val="0"/>
        <w:spacing w:before="200" w:line="260" w:lineRule="atLeast"/>
        <w:jc w:val="both"/>
      </w:pPr>
      <w:bookmarkStart w:id="999" w:name="Bookmark_para_39_1"/>
      <w:bookmarkEnd w:id="999"/>
      <w:r>
        <w:rPr>
          <w:rFonts w:ascii="Arial" w:eastAsia="Arial" w:hAnsi="Arial" w:cs="Arial"/>
          <w:color w:val="000000"/>
          <w:sz w:val="20"/>
        </w:rPr>
        <w:t>The same goes here. The clubhouse pre-dates the Americans with Disabilities Act. And although the complaint identified deficiencies with Schalamar Creek's clubhouse, the homeowner's association [**24]  has presented no summary judgment evidence that any of the proposed modifications were readily achievable, choosing instead to rely on the allegations in the complaint. Even in response to the defendants' expert affidavit explaining why the modifications were not readily achievable, the homeowner's association did not put forth any specific evidence about the feasibility of their proposals, the estimated costs associated with them, or Schalamar Creek's ability to pay those costs. Instead, they only presented an expert affidavit that explained why he disagreed with some of the conclusions of the defendants' expert. This is fatal to their claim.</w:t>
      </w:r>
    </w:p>
    <w:p w14:paraId="370BA607" w14:textId="77777777" w:rsidR="002B10A6" w:rsidRDefault="00000000">
      <w:pPr>
        <w:pStyle w:val="Normal6"/>
        <w:widowControl w:val="0"/>
        <w:spacing w:before="200" w:line="260" w:lineRule="atLeast"/>
        <w:jc w:val="both"/>
      </w:pPr>
      <w:bookmarkStart w:id="1000" w:name="Bookmark_para_40_1"/>
      <w:bookmarkEnd w:id="1000"/>
      <w:r>
        <w:rPr>
          <w:rFonts w:ascii="Arial" w:eastAsia="Arial" w:hAnsi="Arial" w:cs="Arial"/>
          <w:color w:val="000000"/>
          <w:sz w:val="20"/>
        </w:rPr>
        <w:t xml:space="preserve">Like the plaintiffs in </w:t>
      </w:r>
      <w:r>
        <w:rPr>
          <w:rFonts w:ascii="Arial" w:eastAsia="Arial" w:hAnsi="Arial" w:cs="Arial"/>
          <w:color w:val="000000"/>
          <w:sz w:val="20"/>
          <w:u w:val="single"/>
        </w:rPr>
        <w:t>Gathright-Dietrich</w:t>
      </w:r>
      <w:r>
        <w:rPr>
          <w:rFonts w:ascii="Arial" w:eastAsia="Arial" w:hAnsi="Arial" w:cs="Arial"/>
          <w:color w:val="000000"/>
          <w:sz w:val="20"/>
        </w:rPr>
        <w:t>, the homeowner's association has failed to carry its burden to show that the proposed modifications were readily achievable. Accordingly, the district court properly granted summary judgment for the defendants on the homeowner's association's Americans with Disabilities Act claim.</w:t>
      </w:r>
    </w:p>
    <w:p w14:paraId="54ED3175" w14:textId="77777777" w:rsidR="002B10A6" w:rsidRDefault="00000000">
      <w:pPr>
        <w:pStyle w:val="Normal6"/>
        <w:widowControl w:val="0"/>
        <w:spacing w:before="240" w:line="260" w:lineRule="atLeast"/>
      </w:pPr>
      <w:r>
        <w:br/>
      </w:r>
      <w:r>
        <w:rPr>
          <w:rFonts w:ascii="Arial" w:eastAsia="Arial" w:hAnsi="Arial" w:cs="Arial"/>
          <w:b/>
          <w:color w:val="000000"/>
          <w:sz w:val="20"/>
        </w:rPr>
        <w:t>CONCLUSION</w:t>
      </w:r>
    </w:p>
    <w:p w14:paraId="2A8F4A52" w14:textId="77777777" w:rsidR="002B10A6" w:rsidRDefault="00000000">
      <w:pPr>
        <w:pStyle w:val="Normal6"/>
        <w:widowControl w:val="0"/>
        <w:spacing w:before="200" w:line="260" w:lineRule="atLeast"/>
        <w:jc w:val="both"/>
      </w:pPr>
      <w:bookmarkStart w:id="1001" w:name="Bookmark_para_41_1"/>
      <w:bookmarkEnd w:id="1001"/>
      <w:r>
        <w:rPr>
          <w:rFonts w:ascii="Arial" w:eastAsia="Arial" w:hAnsi="Arial" w:cs="Arial"/>
          <w:color w:val="000000"/>
          <w:sz w:val="20"/>
        </w:rPr>
        <w:t>Because the district court correctly found that the residents did not have  [*556]  standing as to their RICO claims, and the homeowner's association failed to satisfy its burden of proof on its Americans with Disabilities Act [**25]  claim, we affirm the district court's summary judgment for Schalamar Creek's owners and operators.</w:t>
      </w:r>
    </w:p>
    <w:p w14:paraId="5622E615" w14:textId="77777777" w:rsidR="002B10A6" w:rsidRDefault="00000000">
      <w:pPr>
        <w:pStyle w:val="Normal6"/>
        <w:widowControl w:val="0"/>
        <w:spacing w:before="200" w:line="260" w:lineRule="atLeast"/>
        <w:jc w:val="both"/>
      </w:pPr>
      <w:bookmarkStart w:id="1002" w:name="Bookmark_para_42_1"/>
      <w:bookmarkEnd w:id="1002"/>
      <w:r>
        <w:rPr>
          <w:rFonts w:ascii="Arial" w:eastAsia="Arial" w:hAnsi="Arial" w:cs="Arial"/>
          <w:b/>
          <w:color w:val="000000"/>
          <w:sz w:val="20"/>
        </w:rPr>
        <w:t>AFFIRMED</w:t>
      </w:r>
      <w:r>
        <w:rPr>
          <w:rFonts w:ascii="Arial" w:eastAsia="Arial" w:hAnsi="Arial" w:cs="Arial"/>
          <w:color w:val="000000"/>
          <w:sz w:val="20"/>
        </w:rPr>
        <w:t>.</w:t>
      </w:r>
    </w:p>
    <w:p w14:paraId="13E1999C" w14:textId="77777777" w:rsidR="002B10A6" w:rsidRDefault="002B10A6">
      <w:pPr>
        <w:pStyle w:val="Normal6"/>
      </w:pPr>
    </w:p>
    <w:p w14:paraId="50CEB150" w14:textId="181A1817" w:rsidR="002B10A6" w:rsidRDefault="00000000">
      <w:pPr>
        <w:pStyle w:val="Normal6"/>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71552" behindDoc="0" locked="0" layoutInCell="1" allowOverlap="1" wp14:anchorId="2C1F719D" wp14:editId="18A1F3FE">
                <wp:simplePos x="0" y="0"/>
                <wp:positionH relativeFrom="column">
                  <wp:posOffset>0</wp:posOffset>
                </wp:positionH>
                <wp:positionV relativeFrom="paragraph">
                  <wp:posOffset>127000</wp:posOffset>
                </wp:positionV>
                <wp:extent cx="6502400" cy="0"/>
                <wp:effectExtent l="9525" t="12700" r="12700" b="6350"/>
                <wp:wrapNone/>
                <wp:docPr id="95786714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A7BCA"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4753A62" w14:textId="77777777" w:rsidR="002B10A6" w:rsidRDefault="002B10A6">
      <w:pPr>
        <w:pStyle w:val="Normal7"/>
        <w:sectPr w:rsidR="002B10A6">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gutter="0"/>
          <w:cols w:space="720"/>
          <w:titlePg/>
        </w:sectPr>
      </w:pPr>
    </w:p>
    <w:p w14:paraId="404D7FCB" w14:textId="77777777" w:rsidR="002B10A6" w:rsidRDefault="002B10A6">
      <w:pPr>
        <w:pStyle w:val="Normal7"/>
      </w:pPr>
    </w:p>
    <w:p w14:paraId="782C5F71" w14:textId="77777777" w:rsidR="002B10A6" w:rsidRDefault="00000000">
      <w:pPr>
        <w:pStyle w:val="Heading16"/>
        <w:keepNext w:val="0"/>
        <w:widowControl w:val="0"/>
        <w:spacing w:after="200" w:line="340" w:lineRule="atLeast"/>
        <w:jc w:val="center"/>
      </w:pPr>
      <w:r>
        <w:rPr>
          <w:rFonts w:eastAsia="Arial"/>
          <w:color w:val="000000"/>
          <w:sz w:val="28"/>
        </w:rPr>
        <w:t>Laufer v. Mann Hospitality, L.L.C.</w:t>
      </w:r>
    </w:p>
    <w:p w14:paraId="595663F1" w14:textId="77777777" w:rsidR="002B10A6" w:rsidRDefault="00000000">
      <w:pPr>
        <w:pStyle w:val="Normal7"/>
        <w:widowControl w:val="0"/>
        <w:spacing w:before="120" w:line="260" w:lineRule="atLeast"/>
        <w:jc w:val="center"/>
      </w:pPr>
      <w:r>
        <w:rPr>
          <w:rFonts w:ascii="Arial" w:eastAsia="Arial" w:hAnsi="Arial" w:cs="Arial"/>
          <w:color w:val="000000"/>
          <w:sz w:val="20"/>
        </w:rPr>
        <w:t>United States Court of Appeals for the Fifth Circuit</w:t>
      </w:r>
    </w:p>
    <w:p w14:paraId="6244F1FC" w14:textId="77777777" w:rsidR="002B10A6" w:rsidRDefault="00000000">
      <w:pPr>
        <w:pStyle w:val="Normal7"/>
        <w:widowControl w:val="0"/>
        <w:spacing w:before="120" w:line="260" w:lineRule="atLeast"/>
        <w:jc w:val="center"/>
      </w:pPr>
      <w:r>
        <w:rPr>
          <w:rFonts w:ascii="Arial" w:eastAsia="Arial" w:hAnsi="Arial" w:cs="Arial"/>
          <w:color w:val="000000"/>
          <w:sz w:val="20"/>
        </w:rPr>
        <w:t>April 28, 2021, Filed</w:t>
      </w:r>
    </w:p>
    <w:p w14:paraId="0A043DCC" w14:textId="77777777" w:rsidR="002B10A6" w:rsidRDefault="00000000">
      <w:pPr>
        <w:pStyle w:val="Normal7"/>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20-50858</w:t>
      </w:r>
    </w:p>
    <w:p w14:paraId="5FC36824" w14:textId="77777777" w:rsidR="002B10A6" w:rsidRDefault="002B10A6">
      <w:pPr>
        <w:pStyle w:val="Normal7"/>
        <w:widowControl w:val="0"/>
        <w:spacing w:line="240" w:lineRule="atLeast"/>
        <w:jc w:val="both"/>
      </w:pPr>
      <w:bookmarkStart w:id="1003" w:name="Bookmark_8"/>
      <w:bookmarkEnd w:id="1003"/>
    </w:p>
    <w:p w14:paraId="667F0D49" w14:textId="77777777" w:rsidR="002B10A6" w:rsidRDefault="00000000">
      <w:pPr>
        <w:pStyle w:val="Normal7"/>
        <w:widowControl w:val="0"/>
        <w:spacing w:before="200" w:line="240" w:lineRule="atLeast"/>
      </w:pPr>
      <w:bookmarkStart w:id="1004" w:name="Reporter_6"/>
      <w:bookmarkEnd w:id="1004"/>
      <w:r>
        <w:rPr>
          <w:rFonts w:ascii="Arial" w:eastAsia="Arial" w:hAnsi="Arial" w:cs="Arial"/>
          <w:b/>
          <w:color w:val="000000"/>
          <w:sz w:val="18"/>
        </w:rPr>
        <w:t>Reporter</w:t>
      </w:r>
    </w:p>
    <w:p w14:paraId="332D8C0D" w14:textId="77777777" w:rsidR="002B10A6" w:rsidRDefault="00000000">
      <w:pPr>
        <w:pStyle w:val="Normal7"/>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996 F.3d 269 *; 2021 U.S. App. LEXIS 12710 **; 2021 WL 1657460</w:t>
      </w:r>
    </w:p>
    <w:p w14:paraId="7562A317" w14:textId="77777777" w:rsidR="002B10A6" w:rsidRDefault="00000000">
      <w:pPr>
        <w:pStyle w:val="Normal7"/>
        <w:widowControl w:val="0"/>
        <w:spacing w:before="120" w:line="260" w:lineRule="atLeast"/>
      </w:pPr>
      <w:r>
        <w:rPr>
          <w:rFonts w:ascii="Arial" w:eastAsia="Arial" w:hAnsi="Arial" w:cs="Arial"/>
          <w:color w:val="000000"/>
          <w:sz w:val="20"/>
        </w:rPr>
        <w:t>DEBORAH LAUFER, Plaintiff—Appellant, versus MANN HOSPITALITY, L.L.C., Defendant—Appellee.</w:t>
      </w:r>
    </w:p>
    <w:p w14:paraId="6417976C" w14:textId="77777777" w:rsidR="002B10A6" w:rsidRDefault="00000000">
      <w:pPr>
        <w:pStyle w:val="Normal7"/>
        <w:widowControl w:val="0"/>
        <w:spacing w:before="240" w:line="260" w:lineRule="atLeast"/>
        <w:jc w:val="both"/>
      </w:pPr>
      <w:bookmarkStart w:id="1005" w:name="Prior_History_6"/>
      <w:bookmarkEnd w:id="1005"/>
      <w:r>
        <w:rPr>
          <w:rFonts w:ascii="Arial" w:eastAsia="Arial" w:hAnsi="Arial" w:cs="Arial"/>
          <w:b/>
          <w:color w:val="000000"/>
          <w:sz w:val="20"/>
        </w:rPr>
        <w:t>Prior History:</w:t>
      </w:r>
      <w:r>
        <w:rPr>
          <w:rFonts w:ascii="Arial" w:eastAsia="Arial" w:hAnsi="Arial" w:cs="Arial"/>
          <w:color w:val="000000"/>
          <w:sz w:val="20"/>
        </w:rPr>
        <w:t> </w:t>
      </w:r>
      <w:bookmarkStart w:id="1006" w:name="Bookmark_para_1_6"/>
      <w:bookmarkEnd w:id="1006"/>
      <w:r>
        <w:rPr>
          <w:rFonts w:ascii="Arial" w:eastAsia="Arial" w:hAnsi="Arial" w:cs="Arial"/>
          <w:color w:val="000000"/>
          <w:sz w:val="20"/>
        </w:rPr>
        <w:t> [**1] Appeal from the United States District Court for the Western District of Texas. USDC No. 1:20-CV-620.</w:t>
      </w:r>
    </w:p>
    <w:p w14:paraId="781903FD" w14:textId="77777777" w:rsidR="002B10A6" w:rsidRDefault="00000000">
      <w:pPr>
        <w:pStyle w:val="Normal7"/>
        <w:widowControl w:val="0"/>
        <w:spacing w:before="120" w:line="260" w:lineRule="atLeast"/>
      </w:pPr>
      <w:r>
        <w:rPr>
          <w:rFonts w:ascii="Arial" w:eastAsia="Arial" w:hAnsi="Arial" w:cs="Arial"/>
          <w:color w:val="000000"/>
          <w:sz w:val="20"/>
        </w:rPr>
        <w:t>Laufer v. Mann Hospitality, LLC, 2020 U.S. Dist. LEXIS 191630 (W.D. Tex., Sept. 30, 2020)</w:t>
      </w:r>
    </w:p>
    <w:p w14:paraId="72BB077B" w14:textId="77777777" w:rsidR="002B10A6" w:rsidRDefault="00000000">
      <w:pPr>
        <w:pStyle w:val="Normal7"/>
        <w:widowControl w:val="0"/>
        <w:spacing w:before="240" w:line="260" w:lineRule="atLeast"/>
        <w:jc w:val="both"/>
      </w:pPr>
      <w:bookmarkStart w:id="1007" w:name="Disposition_3"/>
      <w:bookmarkEnd w:id="1007"/>
      <w:r>
        <w:rPr>
          <w:rFonts w:ascii="Arial" w:eastAsia="Arial" w:hAnsi="Arial" w:cs="Arial"/>
          <w:b/>
          <w:color w:val="000000"/>
          <w:sz w:val="20"/>
        </w:rPr>
        <w:t>Disposition:</w:t>
      </w:r>
      <w:r>
        <w:rPr>
          <w:rFonts w:ascii="Arial" w:eastAsia="Arial" w:hAnsi="Arial" w:cs="Arial"/>
          <w:color w:val="000000"/>
          <w:sz w:val="20"/>
        </w:rPr>
        <w:t> </w:t>
      </w:r>
      <w:bookmarkStart w:id="1008" w:name="Bookmark_clspara_4_3"/>
      <w:bookmarkEnd w:id="1008"/>
      <w:r>
        <w:rPr>
          <w:rFonts w:ascii="Arial" w:eastAsia="Arial" w:hAnsi="Arial" w:cs="Arial"/>
          <w:color w:val="000000"/>
          <w:sz w:val="20"/>
        </w:rPr>
        <w:t>AFFIRMED in part, VACATED in part, and REMANDED.</w:t>
      </w:r>
    </w:p>
    <w:p w14:paraId="0C1ADC38" w14:textId="77777777" w:rsidR="002B10A6" w:rsidRDefault="00000000">
      <w:pPr>
        <w:pStyle w:val="Normal7"/>
        <w:widowControl w:val="0"/>
        <w:spacing w:before="240" w:line="260" w:lineRule="atLeast"/>
      </w:pPr>
      <w:bookmarkStart w:id="1009" w:name="Counsel_6"/>
      <w:bookmarkEnd w:id="1009"/>
      <w:r>
        <w:rPr>
          <w:rFonts w:ascii="Arial" w:eastAsia="Arial" w:hAnsi="Arial" w:cs="Arial"/>
          <w:b/>
          <w:color w:val="000000"/>
          <w:sz w:val="20"/>
        </w:rPr>
        <w:t>Counsel:</w:t>
      </w:r>
      <w:r>
        <w:rPr>
          <w:rFonts w:ascii="Arial" w:eastAsia="Arial" w:hAnsi="Arial" w:cs="Arial"/>
          <w:color w:val="000000"/>
          <w:sz w:val="20"/>
        </w:rPr>
        <w:t> For Deborah Laufer, Plaintiff - Appellant: Thomas B. Bacon, Mount Dora, FL; Philip Michael Cullen, Esq., Fort Lauderdale, FL.</w:t>
      </w:r>
    </w:p>
    <w:p w14:paraId="7D7EFE6C" w14:textId="77777777" w:rsidR="002B10A6" w:rsidRDefault="00000000">
      <w:pPr>
        <w:pStyle w:val="Normal7"/>
        <w:widowControl w:val="0"/>
        <w:spacing w:before="120" w:line="260" w:lineRule="atLeast"/>
      </w:pPr>
      <w:r>
        <w:rPr>
          <w:rFonts w:ascii="Arial" w:eastAsia="Arial" w:hAnsi="Arial" w:cs="Arial"/>
          <w:color w:val="000000"/>
          <w:sz w:val="20"/>
        </w:rPr>
        <w:t>For Mann Hospitality, L.L.C., Defendant - Appellee: Pimal Patel, James McMartin, IV, Patel, P.C., Houston, TX.</w:t>
      </w:r>
    </w:p>
    <w:p w14:paraId="0BF36A47" w14:textId="77777777" w:rsidR="002B10A6" w:rsidRDefault="00000000">
      <w:pPr>
        <w:pStyle w:val="Normal7"/>
        <w:widowControl w:val="0"/>
        <w:spacing w:before="240" w:line="260" w:lineRule="atLeast"/>
      </w:pPr>
      <w:bookmarkStart w:id="1010" w:name="Judges_6"/>
      <w:bookmarkEnd w:id="1010"/>
      <w:r>
        <w:rPr>
          <w:rFonts w:ascii="Arial" w:eastAsia="Arial" w:hAnsi="Arial" w:cs="Arial"/>
          <w:b/>
          <w:color w:val="000000"/>
          <w:sz w:val="20"/>
        </w:rPr>
        <w:t>Judges:</w:t>
      </w:r>
      <w:r>
        <w:rPr>
          <w:rFonts w:ascii="Arial" w:eastAsia="Arial" w:hAnsi="Arial" w:cs="Arial"/>
          <w:color w:val="000000"/>
          <w:sz w:val="20"/>
        </w:rPr>
        <w:t> Before JONES, COSTA, and DUNCAN, Circuit Judges.</w:t>
      </w:r>
    </w:p>
    <w:p w14:paraId="1440CEC8" w14:textId="77777777" w:rsidR="002B10A6" w:rsidRDefault="00000000">
      <w:pPr>
        <w:pStyle w:val="Normal7"/>
        <w:widowControl w:val="0"/>
        <w:spacing w:before="240" w:line="260" w:lineRule="atLeast"/>
      </w:pPr>
      <w:bookmarkStart w:id="1011" w:name="Opinion_by_5"/>
      <w:bookmarkEnd w:id="1011"/>
      <w:r>
        <w:rPr>
          <w:rFonts w:ascii="Arial" w:eastAsia="Arial" w:hAnsi="Arial" w:cs="Arial"/>
          <w:b/>
          <w:color w:val="000000"/>
          <w:sz w:val="20"/>
        </w:rPr>
        <w:t>Opinion by:</w:t>
      </w:r>
      <w:r>
        <w:rPr>
          <w:rFonts w:ascii="Arial" w:eastAsia="Arial" w:hAnsi="Arial" w:cs="Arial"/>
          <w:color w:val="000000"/>
          <w:sz w:val="20"/>
        </w:rPr>
        <w:t> STUART KYLE DUNCAN</w:t>
      </w:r>
    </w:p>
    <w:p w14:paraId="15498FD9" w14:textId="77777777" w:rsidR="002B10A6" w:rsidRDefault="00000000">
      <w:pPr>
        <w:pStyle w:val="Normal7"/>
        <w:keepNext/>
        <w:widowControl w:val="0"/>
        <w:spacing w:before="240" w:line="340" w:lineRule="atLeast"/>
      </w:pPr>
      <w:bookmarkStart w:id="1012" w:name="Opinion_6"/>
      <w:bookmarkEnd w:id="1012"/>
      <w:r>
        <w:rPr>
          <w:rFonts w:ascii="Arial" w:eastAsia="Arial" w:hAnsi="Arial" w:cs="Arial"/>
          <w:b/>
          <w:color w:val="000000"/>
          <w:sz w:val="28"/>
        </w:rPr>
        <w:t>Opinion</w:t>
      </w:r>
    </w:p>
    <w:p w14:paraId="42202C5B" w14:textId="026D9FE6" w:rsidR="002B10A6" w:rsidRDefault="002D6974">
      <w:pPr>
        <w:pStyle w:val="Normal7"/>
        <w:spacing w:line="60" w:lineRule="exact"/>
      </w:pPr>
      <w:r>
        <w:rPr>
          <w:noProof/>
        </w:rPr>
        <mc:AlternateContent>
          <mc:Choice Requires="wps">
            <w:drawing>
              <wp:anchor distT="0" distB="0" distL="114300" distR="114300" simplePos="0" relativeHeight="251672576" behindDoc="0" locked="0" layoutInCell="1" allowOverlap="1" wp14:anchorId="4D565D9D" wp14:editId="6302EDE7">
                <wp:simplePos x="0" y="0"/>
                <wp:positionH relativeFrom="column">
                  <wp:posOffset>0</wp:posOffset>
                </wp:positionH>
                <wp:positionV relativeFrom="paragraph">
                  <wp:posOffset>25400</wp:posOffset>
                </wp:positionV>
                <wp:extent cx="3187700" cy="0"/>
                <wp:effectExtent l="19050" t="15875" r="12700" b="12700"/>
                <wp:wrapTopAndBottom/>
                <wp:docPr id="176646055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EAC16"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752858F" w14:textId="77777777" w:rsidR="002B10A6" w:rsidRDefault="002B10A6">
      <w:pPr>
        <w:pStyle w:val="Normal7"/>
      </w:pPr>
    </w:p>
    <w:p w14:paraId="63DAAB5E" w14:textId="77777777" w:rsidR="002B10A6" w:rsidRDefault="00000000">
      <w:pPr>
        <w:pStyle w:val="Normal7"/>
        <w:widowControl w:val="0"/>
        <w:spacing w:before="200" w:line="260" w:lineRule="atLeast"/>
        <w:jc w:val="both"/>
      </w:pPr>
      <w:bookmarkStart w:id="1013" w:name="Bookmark_para_2_6"/>
      <w:bookmarkEnd w:id="1013"/>
      <w:r>
        <w:rPr>
          <w:rFonts w:ascii="Arial" w:eastAsia="Arial" w:hAnsi="Arial" w:cs="Arial"/>
          <w:color w:val="000000"/>
          <w:sz w:val="20"/>
        </w:rPr>
        <w:t xml:space="preserve"> [*271]  </w:t>
      </w:r>
      <w:r>
        <w:rPr>
          <w:rFonts w:ascii="Arial" w:eastAsia="Arial" w:hAnsi="Arial" w:cs="Arial"/>
          <w:smallCaps/>
          <w:color w:val="000000"/>
          <w:sz w:val="20"/>
        </w:rPr>
        <w:t>Stuart Kyle Duncan</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w:t>
      </w:r>
    </w:p>
    <w:p w14:paraId="56ED2EFB" w14:textId="77777777" w:rsidR="002B10A6" w:rsidRDefault="00000000">
      <w:pPr>
        <w:pStyle w:val="Normal7"/>
        <w:widowControl w:val="0"/>
        <w:spacing w:before="200" w:line="260" w:lineRule="atLeast"/>
        <w:jc w:val="both"/>
      </w:pPr>
      <w:bookmarkStart w:id="1014" w:name="Bookmark_para_3_6"/>
      <w:bookmarkEnd w:id="1014"/>
      <w:r>
        <w:rPr>
          <w:rFonts w:ascii="Arial" w:eastAsia="Arial" w:hAnsi="Arial" w:cs="Arial"/>
          <w:color w:val="000000"/>
          <w:sz w:val="20"/>
        </w:rPr>
        <w:t xml:space="preserve">Deborah Laufer sued Mann Hospitality, LLC ("Mann"), owner of the Sunset Inn in Caldwell, Texas, under the Americans with Disabilities Act. </w:t>
      </w:r>
      <w:r>
        <w:rPr>
          <w:rFonts w:ascii="Arial" w:eastAsia="Arial" w:hAnsi="Arial" w:cs="Arial"/>
          <w:i/>
          <w:color w:val="000000"/>
          <w:sz w:val="20"/>
        </w:rPr>
        <w:t>See</w:t>
      </w:r>
      <w:r>
        <w:rPr>
          <w:rFonts w:ascii="Arial" w:eastAsia="Arial" w:hAnsi="Arial" w:cs="Arial"/>
          <w:color w:val="000000"/>
          <w:sz w:val="20"/>
        </w:rPr>
        <w:t xml:space="preserve"> 42 U.S.C. § 12182. </w:t>
      </w:r>
      <w:bookmarkStart w:id="1015" w:name="Bookmark_I62KHN6R2D6N7H0020000400"/>
      <w:bookmarkEnd w:id="1015"/>
      <w:r>
        <w:rPr>
          <w:rFonts w:ascii="Arial" w:eastAsia="Arial" w:hAnsi="Arial" w:cs="Arial"/>
          <w:color w:val="000000"/>
          <w:sz w:val="20"/>
        </w:rPr>
        <w:t>She alleges the inn's information, posted on third-party booking websites, failed to identify rooms accessible to disabled persons like her. Laufer, however, professes no definite plans to travel to the Sunset Inn or anywhere else in Texas. A Florida resident, she does not claim she has ever traveled in Texas. Nor does she allege she tried, or intends to try, to book a room at the Sunset Inn. At most, she claims that, after the coronavirus pandemic abates, she "intend[s] to travel all throughout [Texas], . . . including Caldwell." And while grateful for her show of [**2]  interest in the region, we note that Laufer has filed hundreds of identical lawsuits in federal district courts around the country.</w:t>
      </w:r>
      <w:r>
        <w:rPr>
          <w:rFonts w:ascii="Arial" w:eastAsia="Arial" w:hAnsi="Arial" w:cs="Arial"/>
          <w:vertAlign w:val="superscript"/>
        </w:rPr>
        <w:footnoteReference w:customMarkFollows="1" w:id="29"/>
        <w:t>1</w:t>
      </w:r>
      <w:r>
        <w:rPr>
          <w:rFonts w:ascii="Arial" w:eastAsia="Arial" w:hAnsi="Arial" w:cs="Arial"/>
          <w:color w:val="000000"/>
          <w:sz w:val="20"/>
        </w:rPr>
        <w:t xml:space="preserve"> She considers herself a "tester," monitoring places of public accommodation and suing to ensure their compliance with the ADA.</w:t>
      </w:r>
    </w:p>
    <w:p w14:paraId="64303A5C" w14:textId="77777777" w:rsidR="002B10A6" w:rsidRDefault="00000000">
      <w:pPr>
        <w:pStyle w:val="Normal7"/>
        <w:widowControl w:val="0"/>
        <w:spacing w:before="200" w:line="260" w:lineRule="atLeast"/>
        <w:jc w:val="both"/>
      </w:pPr>
      <w:bookmarkStart w:id="1019" w:name="Bookmark_para_4_6"/>
      <w:bookmarkStart w:id="1020" w:name="Bookmark_I62KHN6T2SF8FX0010000400"/>
      <w:bookmarkEnd w:id="1019"/>
      <w:bookmarkEnd w:id="1020"/>
      <w:r>
        <w:rPr>
          <w:rFonts w:ascii="Arial" w:eastAsia="Arial" w:hAnsi="Arial" w:cs="Arial"/>
          <w:color w:val="000000"/>
          <w:sz w:val="20"/>
        </w:rPr>
        <w:t>The district court dismissed Laufer's suit, finding no standing for want of an injury in fact.</w:t>
      </w:r>
      <w:r>
        <w:rPr>
          <w:rFonts w:ascii="Arial" w:eastAsia="Arial" w:hAnsi="Arial" w:cs="Arial"/>
          <w:vertAlign w:val="superscript"/>
        </w:rPr>
        <w:footnoteReference w:customMarkFollows="1" w:id="30"/>
        <w:t>2</w:t>
      </w:r>
      <w:r>
        <w:rPr>
          <w:rFonts w:ascii="Arial" w:eastAsia="Arial" w:hAnsi="Arial" w:cs="Arial"/>
          <w:color w:val="000000"/>
          <w:sz w:val="20"/>
        </w:rPr>
        <w:t xml:space="preserve"> We agree and affirm. However, the district court also awarded attorneys' fees to Mann under 28 U.S.C. § 1919. This was error because § 1919 authorizes "just costs" but not attorneys' fees, so we vacate the court's order to that extent and remand.</w:t>
      </w:r>
    </w:p>
    <w:p w14:paraId="293BB9D5" w14:textId="77777777" w:rsidR="002B10A6" w:rsidRDefault="00000000">
      <w:pPr>
        <w:pStyle w:val="Normal7"/>
        <w:widowControl w:val="0"/>
        <w:spacing w:before="240" w:line="260" w:lineRule="atLeast"/>
      </w:pPr>
      <w:r>
        <w:br/>
      </w:r>
      <w:r>
        <w:rPr>
          <w:rFonts w:ascii="Arial" w:eastAsia="Arial" w:hAnsi="Arial" w:cs="Arial"/>
          <w:b/>
          <w:color w:val="000000"/>
          <w:sz w:val="20"/>
        </w:rPr>
        <w:t>I</w:t>
      </w:r>
    </w:p>
    <w:p w14:paraId="7354F51F" w14:textId="77777777" w:rsidR="002B10A6" w:rsidRDefault="00000000">
      <w:pPr>
        <w:pStyle w:val="Normal7"/>
        <w:widowControl w:val="0"/>
        <w:spacing w:before="200" w:line="260" w:lineRule="atLeast"/>
        <w:jc w:val="both"/>
      </w:pPr>
      <w:bookmarkStart w:id="1026" w:name="Bookmark_para_5_6"/>
      <w:bookmarkStart w:id="1027" w:name="Bookmark_I62KHN6T2HM6PD0040000400"/>
      <w:bookmarkStart w:id="1028" w:name="Bookmark_LNHNREFclscc1_6"/>
      <w:bookmarkEnd w:id="1026"/>
      <w:bookmarkEnd w:id="1027"/>
      <w:bookmarkEnd w:id="1028"/>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district court's dismissal for lack of subject matter jurisdiction. </w:t>
      </w:r>
      <w:bookmarkStart w:id="1029" w:name="Bookmark_I62KHN6V2SF8G20010000400"/>
      <w:bookmarkStart w:id="1030" w:name="Bookmark_I62KHN6T2HM6PD0030000400"/>
      <w:bookmarkEnd w:id="1029"/>
      <w:bookmarkEnd w:id="1030"/>
      <w:r>
        <w:rPr>
          <w:rFonts w:ascii="Arial" w:eastAsia="Arial" w:hAnsi="Arial" w:cs="Arial"/>
          <w:i/>
          <w:color w:val="000000"/>
          <w:sz w:val="20"/>
        </w:rPr>
        <w:t>Campos v. United States</w:t>
      </w:r>
      <w:r>
        <w:rPr>
          <w:rFonts w:ascii="Arial" w:eastAsia="Arial" w:hAnsi="Arial" w:cs="Arial"/>
          <w:color w:val="000000"/>
          <w:sz w:val="20"/>
        </w:rPr>
        <w:t xml:space="preserve">, 888 F.3d 724, 729 (5th Cir. 2018);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Fed. R. Civ. P.</w:t>
      </w:r>
      <w:r>
        <w:rPr>
          <w:rFonts w:ascii="Arial" w:eastAsia="Arial" w:hAnsi="Arial" w:cs="Arial"/>
          <w:color w:val="000000"/>
          <w:sz w:val="20"/>
        </w:rPr>
        <w:t xml:space="preserve"> 12(b)(1). </w:t>
      </w:r>
      <w:bookmarkStart w:id="1031" w:name="Bookmark_I62KHN6V2SF8G20030000400"/>
      <w:bookmarkEnd w:id="1031"/>
      <w:r>
        <w:rPr>
          <w:rFonts w:ascii="Arial" w:eastAsia="Arial" w:hAnsi="Arial" w:cs="Arial"/>
          <w:color w:val="000000"/>
          <w:sz w:val="20"/>
        </w:rPr>
        <w:t xml:space="preserve">"The burden of proof for a Rule 12(b)(1) motion to dismiss is on the party asserting jurisdiction," here, Laufer. </w:t>
      </w:r>
      <w:bookmarkStart w:id="1032" w:name="Bookmark_I62KHN6V2SF8G20030000400_2"/>
      <w:bookmarkStart w:id="1033" w:name="Bookmark_I62KHN6V2SF8G20010000400_2"/>
      <w:bookmarkStart w:id="1034" w:name="Bookmark_I62KHN6V2SF8G20050000400"/>
      <w:bookmarkStart w:id="1035" w:name="Bookmark_I62KHN6T2HM6PD0050000400"/>
      <w:bookmarkEnd w:id="1032"/>
      <w:bookmarkEnd w:id="1033"/>
      <w:bookmarkEnd w:id="1034"/>
      <w:bookmarkEnd w:id="1035"/>
      <w:r>
        <w:rPr>
          <w:rFonts w:ascii="Arial" w:eastAsia="Arial" w:hAnsi="Arial" w:cs="Arial"/>
          <w:i/>
          <w:color w:val="000000"/>
          <w:sz w:val="20"/>
        </w:rPr>
        <w:t>Ramming v. United States</w:t>
      </w:r>
      <w:r>
        <w:rPr>
          <w:rFonts w:ascii="Arial" w:eastAsia="Arial" w:hAnsi="Arial" w:cs="Arial"/>
          <w:color w:val="000000"/>
          <w:sz w:val="20"/>
        </w:rPr>
        <w:t xml:space="preserve">, 281 F.3d 158, 161 (5th Cir. 2001). </w:t>
      </w:r>
      <w:bookmarkStart w:id="1036" w:name="Bookmark_I62KHN6V2SF8G20050000400_2"/>
      <w:bookmarkEnd w:id="1036"/>
      <w:r>
        <w:rPr>
          <w:rFonts w:ascii="Arial" w:eastAsia="Arial" w:hAnsi="Arial" w:cs="Arial"/>
          <w:color w:val="000000"/>
          <w:sz w:val="20"/>
        </w:rPr>
        <w:t xml:space="preserve">At the pleading stage, her "burden is to allege a plausible set of facts establishing jurisdiction." </w:t>
      </w:r>
      <w:bookmarkStart w:id="1037" w:name="Bookmark_I62KHN6V2SF8G20020000400"/>
      <w:bookmarkEnd w:id="1037"/>
      <w:r>
        <w:rPr>
          <w:rFonts w:ascii="Arial" w:eastAsia="Arial" w:hAnsi="Arial" w:cs="Arial"/>
          <w:i/>
          <w:color w:val="000000"/>
          <w:sz w:val="20"/>
        </w:rPr>
        <w:t>Physician Hosps. of Am. v. Sebelius</w:t>
      </w:r>
      <w:r>
        <w:rPr>
          <w:rFonts w:ascii="Arial" w:eastAsia="Arial" w:hAnsi="Arial" w:cs="Arial"/>
          <w:color w:val="000000"/>
          <w:sz w:val="20"/>
        </w:rPr>
        <w:t xml:space="preserve">, 691 F.3d 649, 652 (5th Cir. 2012). </w:t>
      </w:r>
      <w:bookmarkStart w:id="1038" w:name="Bookmark_I62KHN6V2SF8G20050000400_3"/>
      <w:bookmarkEnd w:id="1038"/>
      <w:r>
        <w:rPr>
          <w:rFonts w:ascii="Arial" w:eastAsia="Arial" w:hAnsi="Arial" w:cs="Arial"/>
          <w:color w:val="000000"/>
          <w:sz w:val="20"/>
        </w:rPr>
        <w:t xml:space="preserve">Where the district court rules on jurisdiction without resolving factual disputes, as here, we "consider  [*272]  the allegations in the plaintiff's complaint as true" and review "whether [**3]  the district court's application of the law is correct." </w:t>
      </w:r>
      <w:bookmarkStart w:id="1039" w:name="Bookmark_I62KHN6V2SF8G20040000400"/>
      <w:bookmarkEnd w:id="1039"/>
      <w:r>
        <w:rPr>
          <w:rFonts w:ascii="Arial" w:eastAsia="Arial" w:hAnsi="Arial" w:cs="Arial"/>
          <w:i/>
          <w:color w:val="000000"/>
          <w:sz w:val="20"/>
        </w:rPr>
        <w:t>St. Tammany Par., ex rel. Davis v. Fed. Emergency Mgmt. Agency</w:t>
      </w:r>
      <w:r>
        <w:rPr>
          <w:rFonts w:ascii="Arial" w:eastAsia="Arial" w:hAnsi="Arial" w:cs="Arial"/>
          <w:color w:val="000000"/>
          <w:sz w:val="20"/>
        </w:rPr>
        <w:t>, 556 F.3d 307, 315 (5th Cir. 2009) (citations omitted).</w:t>
      </w:r>
    </w:p>
    <w:p w14:paraId="1D4C90D0" w14:textId="77777777" w:rsidR="002B10A6" w:rsidRDefault="00000000">
      <w:pPr>
        <w:pStyle w:val="Normal7"/>
        <w:widowControl w:val="0"/>
        <w:spacing w:before="240" w:line="260" w:lineRule="atLeast"/>
      </w:pPr>
      <w:r>
        <w:br/>
      </w:r>
      <w:r>
        <w:rPr>
          <w:rFonts w:ascii="Arial" w:eastAsia="Arial" w:hAnsi="Arial" w:cs="Arial"/>
          <w:b/>
          <w:color w:val="000000"/>
          <w:sz w:val="20"/>
        </w:rPr>
        <w:t>II</w:t>
      </w:r>
    </w:p>
    <w:p w14:paraId="1D5C3A6E" w14:textId="77777777" w:rsidR="002B10A6" w:rsidRDefault="00000000">
      <w:pPr>
        <w:pStyle w:val="Normal7"/>
        <w:widowControl w:val="0"/>
        <w:spacing w:before="200" w:line="260" w:lineRule="atLeast"/>
        <w:jc w:val="both"/>
      </w:pPr>
      <w:bookmarkStart w:id="1040" w:name="Bookmark_para_6_6"/>
      <w:bookmarkStart w:id="1041" w:name="Bookmark_I62KHN6V2D6N800020000400"/>
      <w:bookmarkStart w:id="1042" w:name="Bookmark_I62KHN6W2HM6PM0010000400"/>
      <w:bookmarkStart w:id="1043" w:name="Bookmark_LNHNREFclscc2_6"/>
      <w:bookmarkEnd w:id="1040"/>
      <w:bookmarkEnd w:id="1041"/>
      <w:bookmarkEnd w:id="1042"/>
      <w:bookmarkEnd w:id="1043"/>
      <w:r>
        <w:rPr>
          <w:rFonts w:ascii="Arial" w:eastAsia="Arial" w:hAnsi="Arial" w:cs="Arial"/>
          <w:color w:val="000000"/>
          <w:sz w:val="20"/>
        </w:rPr>
        <w:t xml:space="preserve">To have standing to sue in federal court, a plaintiff must have "(1) suffered an injury in fact, (2) that is fairly traceable to the challenged conduct of the defendant, and (3) that is likely to be redressed by a favorable judicial decision." </w:t>
      </w:r>
      <w:bookmarkStart w:id="1044" w:name="Bookmark_I62KHN6V2D6N800010000400"/>
      <w:bookmarkEnd w:id="1044"/>
      <w:r>
        <w:rPr>
          <w:rFonts w:ascii="Arial" w:eastAsia="Arial" w:hAnsi="Arial" w:cs="Arial"/>
          <w:i/>
          <w:color w:val="000000"/>
          <w:sz w:val="20"/>
        </w:rPr>
        <w:t>Spokeo, Inc. v. Robins</w:t>
      </w:r>
      <w:r>
        <w:rPr>
          <w:rFonts w:ascii="Arial" w:eastAsia="Arial" w:hAnsi="Arial" w:cs="Arial"/>
          <w:color w:val="000000"/>
          <w:sz w:val="20"/>
        </w:rPr>
        <w:t xml:space="preserve">, 136 S. Ct. 1540, 1547, 194 L. Ed. 2d 635 (2016) (citing </w:t>
      </w:r>
      <w:bookmarkStart w:id="1045" w:name="Bookmark_I62KHN6V2D6N800030000400"/>
      <w:bookmarkEnd w:id="1045"/>
      <w:r>
        <w:rPr>
          <w:rFonts w:ascii="Arial" w:eastAsia="Arial" w:hAnsi="Arial" w:cs="Arial"/>
          <w:i/>
          <w:color w:val="000000"/>
          <w:sz w:val="20"/>
        </w:rPr>
        <w:t>Lujan v. Defenders of Wildlife</w:t>
      </w:r>
      <w:r>
        <w:rPr>
          <w:rFonts w:ascii="Arial" w:eastAsia="Arial" w:hAnsi="Arial" w:cs="Arial"/>
          <w:color w:val="000000"/>
          <w:sz w:val="20"/>
        </w:rPr>
        <w:t xml:space="preserve">, 504 U.S. 555, 560-61, 112 S. Ct. 2130, 119 L. Ed. 2d 351 (1992)), </w:t>
      </w:r>
      <w:r>
        <w:rPr>
          <w:rFonts w:ascii="Arial" w:eastAsia="Arial" w:hAnsi="Arial" w:cs="Arial"/>
          <w:i/>
          <w:color w:val="000000"/>
          <w:sz w:val="20"/>
        </w:rPr>
        <w:t>as revised</w:t>
      </w:r>
      <w:r>
        <w:rPr>
          <w:rFonts w:ascii="Arial" w:eastAsia="Arial" w:hAnsi="Arial" w:cs="Arial"/>
          <w:color w:val="000000"/>
          <w:sz w:val="20"/>
        </w:rPr>
        <w:t xml:space="preserve"> (May 24, 2016). This case turns on the first requirement, injury in fact. </w:t>
      </w:r>
      <w:bookmarkStart w:id="1046" w:name="Bookmark_LNHNREFclscc3_6"/>
      <w:bookmarkEnd w:id="1046"/>
      <w:r>
        <w:rPr>
          <w:rFonts w:ascii="Arial" w:eastAsia="Arial" w:hAnsi="Arial" w:cs="Arial"/>
          <w:color w:val="000000"/>
          <w:sz w:val="20"/>
        </w:rPr>
        <w:t xml:space="preserve">"To establish injury in fact, a plaintiff must show that he or she suffered an invasion of a legally protected interest that is concrete and particularized and actual or imminent, not conjectural or hypothetical." </w:t>
      </w:r>
      <w:bookmarkStart w:id="1047" w:name="Bookmark_I62KHN6V2D6N800050000400"/>
      <w:bookmarkEnd w:id="1047"/>
      <w:r>
        <w:rPr>
          <w:rFonts w:ascii="Arial" w:eastAsia="Arial" w:hAnsi="Arial" w:cs="Arial"/>
          <w:i/>
          <w:color w:val="000000"/>
          <w:sz w:val="20"/>
        </w:rPr>
        <w:t>Id.</w:t>
      </w:r>
      <w:r>
        <w:rPr>
          <w:rFonts w:ascii="Arial" w:eastAsia="Arial" w:hAnsi="Arial" w:cs="Arial"/>
          <w:color w:val="000000"/>
          <w:sz w:val="20"/>
        </w:rPr>
        <w:t xml:space="preserve"> at 1548 (quoting </w:t>
      </w:r>
      <w:bookmarkStart w:id="1048" w:name="Bookmark_I62KHN6W2HM6PM0020000400"/>
      <w:bookmarkEnd w:id="1048"/>
      <w:r>
        <w:rPr>
          <w:rFonts w:ascii="Arial" w:eastAsia="Arial" w:hAnsi="Arial" w:cs="Arial"/>
          <w:i/>
          <w:color w:val="000000"/>
          <w:sz w:val="20"/>
        </w:rPr>
        <w:t>Lujan</w:t>
      </w:r>
      <w:r>
        <w:rPr>
          <w:rFonts w:ascii="Arial" w:eastAsia="Arial" w:hAnsi="Arial" w:cs="Arial"/>
          <w:color w:val="000000"/>
          <w:sz w:val="20"/>
        </w:rPr>
        <w:t>, 504 U.S. at 560) (internal quotation marks omitted).</w:t>
      </w:r>
    </w:p>
    <w:p w14:paraId="763A50A5" w14:textId="77777777" w:rsidR="002B10A6" w:rsidRDefault="00000000">
      <w:pPr>
        <w:pStyle w:val="Normal7"/>
        <w:widowControl w:val="0"/>
        <w:spacing w:before="200" w:line="260" w:lineRule="atLeast"/>
        <w:jc w:val="both"/>
      </w:pPr>
      <w:bookmarkStart w:id="1049" w:name="Bookmark_para_7_6"/>
      <w:bookmarkStart w:id="1050" w:name="Bookmark_I62KHN6W2HM6PM0050000400"/>
      <w:bookmarkStart w:id="1051" w:name="Bookmark_I62KHN6W2SF8G70020000400"/>
      <w:bookmarkStart w:id="1052" w:name="Bookmark_LNHNREFclscc4_6"/>
      <w:bookmarkEnd w:id="1049"/>
      <w:bookmarkEnd w:id="1050"/>
      <w:bookmarkEnd w:id="1051"/>
      <w:bookmarkEnd w:id="1052"/>
      <w:r>
        <w:rPr>
          <w:rFonts w:ascii="Arial" w:eastAsia="Arial" w:hAnsi="Arial" w:cs="Arial"/>
          <w:color w:val="000000"/>
          <w:sz w:val="20"/>
        </w:rPr>
        <w:t xml:space="preserve">As the Supreme Court recounted in </w:t>
      </w:r>
      <w:r>
        <w:rPr>
          <w:rFonts w:ascii="Arial" w:eastAsia="Arial" w:hAnsi="Arial" w:cs="Arial"/>
          <w:i/>
          <w:color w:val="000000"/>
          <w:sz w:val="20"/>
        </w:rPr>
        <w:t>Spokeo</w:t>
      </w:r>
      <w:r>
        <w:rPr>
          <w:rFonts w:ascii="Arial" w:eastAsia="Arial" w:hAnsi="Arial" w:cs="Arial"/>
          <w:color w:val="000000"/>
          <w:sz w:val="20"/>
        </w:rPr>
        <w:t xml:space="preserve">, statutes may define what injuries are legally cognizable—including intangible or previously unrecognized harms—but cannot dispense with the injury requirement altogether. </w:t>
      </w:r>
      <w:bookmarkStart w:id="1053" w:name="Bookmark_I62KHN6W2SF8G70040000400"/>
      <w:bookmarkStart w:id="1054" w:name="Bookmark_I62KHN6W2HM6PM0040000400"/>
      <w:bookmarkEnd w:id="1053"/>
      <w:bookmarkEnd w:id="1054"/>
      <w:r>
        <w:rPr>
          <w:rFonts w:ascii="Arial" w:eastAsia="Arial" w:hAnsi="Arial" w:cs="Arial"/>
          <w:i/>
          <w:color w:val="000000"/>
          <w:sz w:val="20"/>
        </w:rPr>
        <w:t>Id.</w:t>
      </w:r>
      <w:r>
        <w:rPr>
          <w:rFonts w:ascii="Arial" w:eastAsia="Arial" w:hAnsi="Arial" w:cs="Arial"/>
          <w:color w:val="000000"/>
          <w:sz w:val="20"/>
        </w:rPr>
        <w:t xml:space="preserve"> at 1549. Congress may undoubtedly "elevat[e] to the status of legally cognizable injuries concrete, </w:t>
      </w:r>
      <w:r>
        <w:rPr>
          <w:rFonts w:ascii="Arial" w:eastAsia="Arial" w:hAnsi="Arial" w:cs="Arial"/>
          <w:i/>
          <w:color w:val="000000"/>
          <w:sz w:val="20"/>
        </w:rPr>
        <w:t>de facto</w:t>
      </w:r>
      <w:r>
        <w:rPr>
          <w:rFonts w:ascii="Arial" w:eastAsia="Arial" w:hAnsi="Arial" w:cs="Arial"/>
          <w:color w:val="000000"/>
          <w:sz w:val="20"/>
        </w:rPr>
        <w:t xml:space="preserve"> injuries that were previously inadequate in law." </w:t>
      </w:r>
      <w:r>
        <w:rPr>
          <w:rFonts w:ascii="Arial" w:eastAsia="Arial" w:hAnsi="Arial" w:cs="Arial"/>
          <w:i/>
          <w:color w:val="000000"/>
          <w:sz w:val="20"/>
        </w:rPr>
        <w:t>Ibid.</w:t>
      </w:r>
      <w:r>
        <w:rPr>
          <w:rFonts w:ascii="Arial" w:eastAsia="Arial" w:hAnsi="Arial" w:cs="Arial"/>
          <w:color w:val="000000"/>
          <w:sz w:val="20"/>
        </w:rPr>
        <w:t xml:space="preserve"> (alteration in original) (quoting </w:t>
      </w:r>
      <w:bookmarkStart w:id="1055" w:name="Bookmark_I62KHN6W2SF8G70010000400"/>
      <w:bookmarkEnd w:id="1055"/>
      <w:r>
        <w:rPr>
          <w:rFonts w:ascii="Arial" w:eastAsia="Arial" w:hAnsi="Arial" w:cs="Arial"/>
          <w:i/>
          <w:color w:val="000000"/>
          <w:sz w:val="20"/>
        </w:rPr>
        <w:t>Lujan</w:t>
      </w:r>
      <w:r>
        <w:rPr>
          <w:rFonts w:ascii="Arial" w:eastAsia="Arial" w:hAnsi="Arial" w:cs="Arial"/>
          <w:color w:val="000000"/>
          <w:sz w:val="20"/>
        </w:rPr>
        <w:t xml:space="preserve">, 504 U.S. at 578). </w:t>
      </w:r>
      <w:bookmarkStart w:id="1056" w:name="Bookmark_I62KHN6W2SF8G70040000400_2"/>
      <w:bookmarkEnd w:id="1056"/>
      <w:r>
        <w:rPr>
          <w:rFonts w:ascii="Arial" w:eastAsia="Arial" w:hAnsi="Arial" w:cs="Arial"/>
          <w:color w:val="000000"/>
          <w:sz w:val="20"/>
        </w:rPr>
        <w:t xml:space="preserve">Nevertheless, "Article III standing requires a concrete injury even in the context of a statutory violation." </w:t>
      </w:r>
      <w:r>
        <w:rPr>
          <w:rFonts w:ascii="Arial" w:eastAsia="Arial" w:hAnsi="Arial" w:cs="Arial"/>
          <w:i/>
          <w:color w:val="000000"/>
          <w:sz w:val="20"/>
        </w:rPr>
        <w:t> [**4] Ibid.</w:t>
      </w:r>
      <w:r>
        <w:rPr>
          <w:rFonts w:ascii="Arial" w:eastAsia="Arial" w:hAnsi="Arial" w:cs="Arial"/>
          <w:color w:val="000000"/>
          <w:sz w:val="20"/>
        </w:rPr>
        <w:t xml:space="preserve"> "Put differently, the deprivation of a right created by statute must be accompanied by 'some concrete interest that is affected by the deprivation.'" </w:t>
      </w:r>
      <w:bookmarkStart w:id="1057" w:name="Bookmark_I62KHN6W2SF8G70030000400"/>
      <w:bookmarkEnd w:id="1057"/>
      <w:r>
        <w:rPr>
          <w:rFonts w:ascii="Arial" w:eastAsia="Arial" w:hAnsi="Arial" w:cs="Arial"/>
          <w:i/>
          <w:color w:val="000000"/>
          <w:sz w:val="20"/>
        </w:rPr>
        <w:t>Lee v. Verizon Communs., Inc.</w:t>
      </w:r>
      <w:r>
        <w:rPr>
          <w:rFonts w:ascii="Arial" w:eastAsia="Arial" w:hAnsi="Arial" w:cs="Arial"/>
          <w:color w:val="000000"/>
          <w:sz w:val="20"/>
        </w:rPr>
        <w:t xml:space="preserve">, 837 F.3d 523, 529 (5th Cir. 2016) (quoting </w:t>
      </w:r>
      <w:bookmarkStart w:id="1058" w:name="Bookmark_I62KHN6W2SF8G70050000400"/>
      <w:bookmarkEnd w:id="1058"/>
      <w:r>
        <w:rPr>
          <w:rFonts w:ascii="Arial" w:eastAsia="Arial" w:hAnsi="Arial" w:cs="Arial"/>
          <w:i/>
          <w:color w:val="000000"/>
          <w:sz w:val="20"/>
        </w:rPr>
        <w:t>Spokeo</w:t>
      </w:r>
      <w:r>
        <w:rPr>
          <w:rFonts w:ascii="Arial" w:eastAsia="Arial" w:hAnsi="Arial" w:cs="Arial"/>
          <w:color w:val="000000"/>
          <w:sz w:val="20"/>
        </w:rPr>
        <w:t>, 136 S. Ct. at 1549).</w:t>
      </w:r>
    </w:p>
    <w:p w14:paraId="3634BD1B" w14:textId="77777777" w:rsidR="002B10A6" w:rsidRDefault="00000000">
      <w:pPr>
        <w:pStyle w:val="Normal7"/>
        <w:widowControl w:val="0"/>
        <w:spacing w:before="200" w:line="260" w:lineRule="atLeast"/>
        <w:jc w:val="both"/>
      </w:pPr>
      <w:bookmarkStart w:id="1059" w:name="Bookmark_para_8_6"/>
      <w:bookmarkEnd w:id="1059"/>
      <w:r>
        <w:rPr>
          <w:rFonts w:ascii="Arial" w:eastAsia="Arial" w:hAnsi="Arial" w:cs="Arial"/>
          <w:color w:val="000000"/>
          <w:sz w:val="20"/>
        </w:rPr>
        <w:t>Laufer fails to show the necessary concrete interest to support standing. She alleges she cannot tell from the Sunset Inn's online reservation systems (ORS), through which Mann markets the motel on third-party platforms, whether it has rooms that could accommodate her disabilities. But regardless whether that violates the ADA—a question we do not reach—Laufer fails to show how the alleged violation affects her in a concrete way. While she does claim to have visited the ORS, she does not claim she tried to book a room or even intended to do so. According to her declaration, she visited the sites "for the purpose of reviewing and assessing the accessible features at the hotel and ascertain[ing] whether the websites contain the information required by [ADA regulations]." As for using that information or the motel's services, though, she attests only to a general intent to visit the area someday: "I have plans to travel to Texas as soon as the Covid crisis is over and it is safe to travel. I intend to travel all throughout [**5]  the State, including Aust[i]n and the surrounding towns, including Caldwell, and I need to stay in hotels when I go."</w:t>
      </w:r>
    </w:p>
    <w:p w14:paraId="204795B1" w14:textId="77777777" w:rsidR="002B10A6" w:rsidRDefault="00000000">
      <w:pPr>
        <w:pStyle w:val="Normal7"/>
        <w:widowControl w:val="0"/>
        <w:spacing w:before="200" w:line="260" w:lineRule="atLeast"/>
        <w:jc w:val="both"/>
      </w:pPr>
      <w:bookmarkStart w:id="1060" w:name="Bookmark_para_9_6"/>
      <w:bookmarkStart w:id="1061" w:name="Bookmark_I62KHN6W2D6N830030000400"/>
      <w:bookmarkEnd w:id="1060"/>
      <w:bookmarkEnd w:id="1061"/>
      <w:r>
        <w:rPr>
          <w:rFonts w:ascii="Arial" w:eastAsia="Arial" w:hAnsi="Arial" w:cs="Arial"/>
          <w:color w:val="000000"/>
          <w:sz w:val="20"/>
        </w:rPr>
        <w:t xml:space="preserve">In other words, she visited the ORS to see if the motel complied with the law, and nothing more. Such allegations do not show enough of a concrete interest in Mann's accommodations to confer standing. </w:t>
      </w:r>
      <w:bookmarkStart w:id="1062" w:name="Bookmark_LNHNREFclscc5_6"/>
      <w:bookmarkEnd w:id="1062"/>
      <w:r>
        <w:rPr>
          <w:rFonts w:ascii="Arial" w:eastAsia="Arial" w:hAnsi="Arial" w:cs="Arial"/>
          <w:color w:val="000000"/>
          <w:sz w:val="20"/>
        </w:rPr>
        <w:t xml:space="preserve">To be sure, Laufer has a right to "the full and equal enjoyment of the . . . services, facilities . . . or accommodations of any place of public accommodation" irrespective of disability. 42 U.S.C. § 12182. But she has failed adequately to allege that her "concrete interest" in the ADA-compliance of Sunset Inn's ORS was "at  [*273]  risk from the purported statutory deprivation." </w:t>
      </w:r>
      <w:bookmarkStart w:id="1063" w:name="Bookmark_I62KHN6W2D6N830020000400"/>
      <w:bookmarkEnd w:id="1063"/>
      <w:r>
        <w:rPr>
          <w:rFonts w:ascii="Arial" w:eastAsia="Arial" w:hAnsi="Arial" w:cs="Arial"/>
          <w:i/>
          <w:color w:val="000000"/>
          <w:sz w:val="20"/>
        </w:rPr>
        <w:t>Lee</w:t>
      </w:r>
      <w:r>
        <w:rPr>
          <w:rFonts w:ascii="Arial" w:eastAsia="Arial" w:hAnsi="Arial" w:cs="Arial"/>
          <w:color w:val="000000"/>
          <w:sz w:val="20"/>
        </w:rPr>
        <w:t>, 837 F.3d at 530.</w:t>
      </w:r>
    </w:p>
    <w:p w14:paraId="75467BD1" w14:textId="77777777" w:rsidR="002B10A6" w:rsidRDefault="00000000">
      <w:pPr>
        <w:pStyle w:val="Normal7"/>
        <w:widowControl w:val="0"/>
        <w:spacing w:before="200" w:line="260" w:lineRule="atLeast"/>
        <w:jc w:val="both"/>
      </w:pPr>
      <w:bookmarkStart w:id="1064" w:name="Bookmark_para_10_6"/>
      <w:bookmarkStart w:id="1065" w:name="Bookmark_I62KHN6W2D6N830050000400"/>
      <w:bookmarkEnd w:id="1064"/>
      <w:bookmarkEnd w:id="1065"/>
      <w:r>
        <w:rPr>
          <w:rFonts w:ascii="Arial" w:eastAsia="Arial" w:hAnsi="Arial" w:cs="Arial"/>
          <w:color w:val="000000"/>
          <w:sz w:val="20"/>
        </w:rPr>
        <w:t xml:space="preserve">Laufer's framing of her harm as an "informational injury" does not cure her lack of standing. Even assuming </w:t>
      </w:r>
      <w:r>
        <w:rPr>
          <w:rFonts w:ascii="Arial" w:eastAsia="Arial" w:hAnsi="Arial" w:cs="Arial"/>
          <w:i/>
          <w:color w:val="000000"/>
          <w:sz w:val="20"/>
        </w:rPr>
        <w:t>arguendo</w:t>
      </w:r>
      <w:r>
        <w:rPr>
          <w:rFonts w:ascii="Arial" w:eastAsia="Arial" w:hAnsi="Arial" w:cs="Arial"/>
          <w:color w:val="000000"/>
          <w:sz w:val="20"/>
        </w:rPr>
        <w:t xml:space="preserve"> that a failure to advertise accessibility information could support an ADA claim,</w:t>
      </w:r>
      <w:r>
        <w:rPr>
          <w:rFonts w:ascii="Arial" w:eastAsia="Arial" w:hAnsi="Arial" w:cs="Arial"/>
          <w:vertAlign w:val="superscript"/>
        </w:rPr>
        <w:footnoteReference w:customMarkFollows="1" w:id="31"/>
        <w:t>3</w:t>
      </w:r>
      <w:r>
        <w:rPr>
          <w:rFonts w:ascii="Arial" w:eastAsia="Arial" w:hAnsi="Arial" w:cs="Arial"/>
          <w:color w:val="000000"/>
          <w:sz w:val="20"/>
        </w:rPr>
        <w:t xml:space="preserve"> Laufer still "would need to allege at least that the information had 'some relevance' to </w:t>
      </w:r>
      <w:r>
        <w:rPr>
          <w:rFonts w:ascii="Arial" w:eastAsia="Arial" w:hAnsi="Arial" w:cs="Arial"/>
          <w:i/>
          <w:color w:val="000000"/>
          <w:sz w:val="20"/>
        </w:rPr>
        <w:t>her</w:t>
      </w:r>
      <w:r>
        <w:rPr>
          <w:rFonts w:ascii="Arial" w:eastAsia="Arial" w:hAnsi="Arial" w:cs="Arial"/>
          <w:color w:val="000000"/>
          <w:sz w:val="20"/>
        </w:rPr>
        <w:t xml:space="preserve">." </w:t>
      </w:r>
      <w:bookmarkStart w:id="1068" w:name="Bookmark_I62KHN6W2D6N830040000400"/>
      <w:bookmarkEnd w:id="1068"/>
      <w:r>
        <w:rPr>
          <w:rFonts w:ascii="Arial" w:eastAsia="Arial" w:hAnsi="Arial" w:cs="Arial"/>
          <w:i/>
          <w:color w:val="000000"/>
          <w:sz w:val="20"/>
        </w:rPr>
        <w:t>Brintley v. Aeroquip Credit Union</w:t>
      </w:r>
      <w:r>
        <w:rPr>
          <w:rFonts w:ascii="Arial" w:eastAsia="Arial" w:hAnsi="Arial" w:cs="Arial"/>
          <w:color w:val="000000"/>
          <w:sz w:val="20"/>
        </w:rPr>
        <w:t xml:space="preserve">, 936 F.3d 489, 493 (6th Cir. 2019) (citation omitted); </w:t>
      </w:r>
      <w:r>
        <w:rPr>
          <w:rFonts w:ascii="Arial" w:eastAsia="Arial" w:hAnsi="Arial" w:cs="Arial"/>
          <w:i/>
          <w:color w:val="000000"/>
          <w:sz w:val="20"/>
        </w:rPr>
        <w:t xml:space="preserve">see also </w:t>
      </w:r>
      <w:bookmarkStart w:id="1069" w:name="Bookmark_I62KHN6W2N1RH80010000400"/>
      <w:bookmarkEnd w:id="1069"/>
      <w:r>
        <w:rPr>
          <w:rFonts w:ascii="Arial" w:eastAsia="Arial" w:hAnsi="Arial" w:cs="Arial"/>
          <w:i/>
          <w:color w:val="000000"/>
          <w:sz w:val="20"/>
        </w:rPr>
        <w:t>Griffin v. Dep't of Lab. Fed. Credit Union</w:t>
      </w:r>
      <w:r>
        <w:rPr>
          <w:rFonts w:ascii="Arial" w:eastAsia="Arial" w:hAnsi="Arial" w:cs="Arial"/>
          <w:color w:val="000000"/>
          <w:sz w:val="20"/>
        </w:rPr>
        <w:t>, 912 F.3d 649, 654 (4th Cir. 2019) ("</w:t>
      </w:r>
      <w:bookmarkStart w:id="1070" w:name="Bookmark_LNHNREFclscc6_6"/>
      <w:bookmarkEnd w:id="1070"/>
      <w:r>
        <w:rPr>
          <w:rFonts w:ascii="Arial" w:eastAsia="Arial" w:hAnsi="Arial" w:cs="Arial"/>
          <w:color w:val="000000"/>
          <w:sz w:val="20"/>
        </w:rPr>
        <w:t>Inability to obtain information is sufficiently concrete to constitute injury in fact only when the information has some relevance to the litigant."). Without sufficiently concrete plans to book a [**6]  stay at the motel, Laufer has failed to do so.</w:t>
      </w:r>
    </w:p>
    <w:p w14:paraId="2C08FCEF" w14:textId="77777777" w:rsidR="002B10A6" w:rsidRDefault="00000000">
      <w:pPr>
        <w:pStyle w:val="Normal7"/>
        <w:widowControl w:val="0"/>
        <w:spacing w:before="200" w:line="260" w:lineRule="atLeast"/>
        <w:jc w:val="both"/>
      </w:pPr>
      <w:bookmarkStart w:id="1071" w:name="Bookmark_para_11_6"/>
      <w:bookmarkStart w:id="1072" w:name="Bookmark_I73R1VX1NJR000061VV0001J"/>
      <w:bookmarkStart w:id="1073" w:name="Bookmark_I62KHN6W2N1RH80040000400"/>
      <w:bookmarkStart w:id="1074" w:name="Bookmark_I62KHN6W2D6N850030000400"/>
      <w:bookmarkEnd w:id="1071"/>
      <w:bookmarkEnd w:id="1072"/>
      <w:bookmarkEnd w:id="1073"/>
      <w:bookmarkEnd w:id="1074"/>
      <w:r>
        <w:rPr>
          <w:rFonts w:ascii="Arial" w:eastAsia="Arial" w:hAnsi="Arial" w:cs="Arial"/>
          <w:color w:val="000000"/>
          <w:sz w:val="20"/>
        </w:rPr>
        <w:t>Likewise, Laufer's assumed status as an "ADA tester" does not absolve her of the need to show an injury in fact for standing purposes.</w:t>
      </w:r>
      <w:r>
        <w:rPr>
          <w:rFonts w:ascii="Arial" w:eastAsia="Arial" w:hAnsi="Arial" w:cs="Arial"/>
          <w:vertAlign w:val="superscript"/>
        </w:rPr>
        <w:footnoteReference w:customMarkFollows="1" w:id="32"/>
        <w:t>4</w:t>
      </w:r>
      <w:r>
        <w:rPr>
          <w:rFonts w:ascii="Arial" w:eastAsia="Arial" w:hAnsi="Arial" w:cs="Arial"/>
          <w:color w:val="000000"/>
          <w:sz w:val="20"/>
        </w:rPr>
        <w:t xml:space="preserve"> Laufer's case differs from the Supreme Court's seminal "tester" case, </w:t>
      </w:r>
      <w:r>
        <w:rPr>
          <w:rFonts w:ascii="Arial" w:eastAsia="Arial" w:hAnsi="Arial" w:cs="Arial"/>
          <w:i/>
          <w:color w:val="000000"/>
          <w:sz w:val="20"/>
        </w:rPr>
        <w:t>Havens Realty</w:t>
      </w:r>
      <w:r>
        <w:rPr>
          <w:rFonts w:ascii="Arial" w:eastAsia="Arial" w:hAnsi="Arial" w:cs="Arial"/>
          <w:color w:val="000000"/>
          <w:sz w:val="20"/>
        </w:rPr>
        <w:t xml:space="preserve">, where a tester plaintiff was "the object of a misrepresentation made unlawful under § 804(d)" of the Fair Housing Act. </w:t>
      </w:r>
      <w:bookmarkStart w:id="1079" w:name="Bookmark_I62KHN6W2N1RH80030000400"/>
      <w:bookmarkEnd w:id="1079"/>
      <w:r>
        <w:rPr>
          <w:rFonts w:ascii="Arial" w:eastAsia="Arial" w:hAnsi="Arial" w:cs="Arial"/>
          <w:i/>
          <w:color w:val="000000"/>
          <w:sz w:val="20"/>
        </w:rPr>
        <w:t>Havens Realty Corp. v. Coleman</w:t>
      </w:r>
      <w:r>
        <w:rPr>
          <w:rFonts w:ascii="Arial" w:eastAsia="Arial" w:hAnsi="Arial" w:cs="Arial"/>
          <w:color w:val="000000"/>
          <w:sz w:val="20"/>
        </w:rPr>
        <w:t>, 455 U.S. 363, 373, 102 S. Ct. 1114, 71 L. Ed. 2d 214 (1982).</w:t>
      </w:r>
      <w:r>
        <w:rPr>
          <w:rFonts w:ascii="Arial" w:eastAsia="Arial" w:hAnsi="Arial" w:cs="Arial"/>
          <w:vertAlign w:val="superscript"/>
        </w:rPr>
        <w:footnoteReference w:customMarkFollows="1" w:id="33"/>
        <w:t>5</w:t>
      </w:r>
      <w:r>
        <w:rPr>
          <w:rFonts w:ascii="Arial" w:eastAsia="Arial" w:hAnsi="Arial" w:cs="Arial"/>
          <w:color w:val="000000"/>
          <w:sz w:val="20"/>
        </w:rPr>
        <w:t xml:space="preserve"> There, the "information" had "some relevance" to the tester, </w:t>
      </w:r>
      <w:r>
        <w:rPr>
          <w:rFonts w:ascii="Arial" w:eastAsia="Arial" w:hAnsi="Arial" w:cs="Arial"/>
          <w:i/>
          <w:color w:val="000000"/>
          <w:sz w:val="20"/>
        </w:rPr>
        <w:t xml:space="preserve">cf. </w:t>
      </w:r>
      <w:bookmarkStart w:id="1081" w:name="Bookmark_I62KHN6W2N1RH80050000400"/>
      <w:bookmarkEnd w:id="1081"/>
      <w:r>
        <w:rPr>
          <w:rFonts w:ascii="Arial" w:eastAsia="Arial" w:hAnsi="Arial" w:cs="Arial"/>
          <w:i/>
          <w:color w:val="000000"/>
          <w:sz w:val="20"/>
        </w:rPr>
        <w:t>Griffin</w:t>
      </w:r>
      <w:r>
        <w:rPr>
          <w:rFonts w:ascii="Arial" w:eastAsia="Arial" w:hAnsi="Arial" w:cs="Arial"/>
          <w:color w:val="000000"/>
          <w:sz w:val="20"/>
        </w:rPr>
        <w:t>, 912 F.3d at 654, because the statute forbade misrepresenting it to "any person," quite apart from whether the tester needed it for some other purpose. Laufer cannot say the same here.</w:t>
      </w:r>
    </w:p>
    <w:p w14:paraId="6FDC27FA" w14:textId="77777777" w:rsidR="002B10A6" w:rsidRDefault="00000000">
      <w:pPr>
        <w:pStyle w:val="Normal7"/>
        <w:widowControl w:val="0"/>
        <w:spacing w:before="200" w:line="260" w:lineRule="atLeast"/>
        <w:jc w:val="both"/>
      </w:pPr>
      <w:bookmarkStart w:id="1082" w:name="Bookmark_para_12_6"/>
      <w:bookmarkEnd w:id="1082"/>
      <w:r>
        <w:rPr>
          <w:rFonts w:ascii="Arial" w:eastAsia="Arial" w:hAnsi="Arial" w:cs="Arial"/>
          <w:color w:val="000000"/>
          <w:sz w:val="20"/>
        </w:rPr>
        <w:t>In sum, the district court correctly dismissed Laufer's complaint for lack of subject-matter jurisdiction.</w:t>
      </w:r>
    </w:p>
    <w:p w14:paraId="6BF682C6" w14:textId="77777777" w:rsidR="002B10A6" w:rsidRDefault="00000000">
      <w:pPr>
        <w:pStyle w:val="Normal7"/>
        <w:widowControl w:val="0"/>
        <w:spacing w:before="240" w:line="260" w:lineRule="atLeast"/>
      </w:pPr>
      <w:r>
        <w:br/>
      </w:r>
      <w:r>
        <w:rPr>
          <w:rFonts w:ascii="Arial" w:eastAsia="Arial" w:hAnsi="Arial" w:cs="Arial"/>
          <w:b/>
          <w:color w:val="000000"/>
          <w:sz w:val="20"/>
        </w:rPr>
        <w:t>III</w:t>
      </w:r>
    </w:p>
    <w:p w14:paraId="6B03E7EE" w14:textId="77777777" w:rsidR="002B10A6" w:rsidRDefault="00000000">
      <w:pPr>
        <w:pStyle w:val="Normal7"/>
        <w:widowControl w:val="0"/>
        <w:spacing w:before="200" w:line="260" w:lineRule="atLeast"/>
        <w:jc w:val="both"/>
      </w:pPr>
      <w:bookmarkStart w:id="1083" w:name="Bookmark_para_13_6"/>
      <w:bookmarkStart w:id="1084" w:name="Bookmark_I62KHN6W2HM6PS0040000400"/>
      <w:bookmarkStart w:id="1085" w:name="Bookmark_I62KHN6X2D6N870010000400"/>
      <w:bookmarkStart w:id="1086" w:name="Bookmark_LNHNREFclscc8_5"/>
      <w:bookmarkEnd w:id="1083"/>
      <w:bookmarkEnd w:id="1084"/>
      <w:bookmarkEnd w:id="1085"/>
      <w:bookmarkEnd w:id="1086"/>
      <w:r>
        <w:rPr>
          <w:rFonts w:ascii="Arial" w:eastAsia="Arial" w:hAnsi="Arial" w:cs="Arial"/>
          <w:color w:val="000000"/>
          <w:sz w:val="20"/>
        </w:rPr>
        <w:t xml:space="preserve">Laufer also appeals the district court's award of attorneys' fees to Mann under 28 U.S.C. § 1919, which we review for abuse of discretion. </w:t>
      </w:r>
      <w:bookmarkStart w:id="1087" w:name="Bookmark_I62KHN6W2HM6PS0030000400"/>
      <w:bookmarkEnd w:id="1087"/>
      <w:r>
        <w:rPr>
          <w:rFonts w:ascii="Arial" w:eastAsia="Arial" w:hAnsi="Arial" w:cs="Arial"/>
          <w:i/>
          <w:color w:val="000000"/>
          <w:sz w:val="20"/>
        </w:rPr>
        <w:t>Iscavo Avocados USA, L.L.C. v. Pryor</w:t>
      </w:r>
      <w:r>
        <w:rPr>
          <w:rFonts w:ascii="Arial" w:eastAsia="Arial" w:hAnsi="Arial" w:cs="Arial"/>
          <w:color w:val="000000"/>
          <w:sz w:val="20"/>
        </w:rPr>
        <w:t>, 953 F.3d 316, 319 (5th Cir. 2020). She is correct that this statute authorizes costs, which the district court also awarded, but not attorneys' fees.</w:t>
      </w:r>
      <w:r>
        <w:rPr>
          <w:rFonts w:ascii="Arial" w:eastAsia="Arial" w:hAnsi="Arial" w:cs="Arial"/>
          <w:vertAlign w:val="superscript"/>
        </w:rPr>
        <w:footnoteReference w:customMarkFollows="1" w:id="34"/>
        <w:t>6</w:t>
      </w:r>
      <w:r>
        <w:rPr>
          <w:rFonts w:ascii="Arial" w:eastAsia="Arial" w:hAnsi="Arial" w:cs="Arial"/>
          <w:color w:val="000000"/>
          <w:sz w:val="20"/>
        </w:rPr>
        <w:t xml:space="preserve"> </w:t>
      </w:r>
      <w:r>
        <w:rPr>
          <w:rFonts w:ascii="Arial" w:eastAsia="Arial" w:hAnsi="Arial" w:cs="Arial"/>
          <w:i/>
          <w:color w:val="000000"/>
          <w:sz w:val="20"/>
        </w:rPr>
        <w:t xml:space="preserve">See </w:t>
      </w:r>
      <w:bookmarkStart w:id="1089" w:name="Bookmark_I62KHN6W2HM6PS0050000400"/>
      <w:bookmarkEnd w:id="1089"/>
      <w:r>
        <w:rPr>
          <w:rFonts w:ascii="Arial" w:eastAsia="Arial" w:hAnsi="Arial" w:cs="Arial"/>
          <w:i/>
          <w:color w:val="000000"/>
          <w:sz w:val="20"/>
        </w:rPr>
        <w:t>Wilkinson v. D.M. Weatherly Co.</w:t>
      </w:r>
      <w:r>
        <w:rPr>
          <w:rFonts w:ascii="Arial" w:eastAsia="Arial" w:hAnsi="Arial" w:cs="Arial"/>
          <w:color w:val="000000"/>
          <w:sz w:val="20"/>
        </w:rPr>
        <w:t>, 655 F.2d 47, 49 (5th Cir. Unit A Aug. 1981) ("Although [the district court] may order the payment of 'just costs,' 28 U.S.C. [§] 1919, such 'costs' do not include attorney's fees."). Unlike other fee-shifting statutes with explicit provisions governing fees, § 1919 references only "just costs" [**7]  without mentioning attorneys' fees.</w:t>
      </w:r>
      <w:r>
        <w:rPr>
          <w:rFonts w:ascii="Arial" w:eastAsia="Arial" w:hAnsi="Arial" w:cs="Arial"/>
          <w:vertAlign w:val="superscript"/>
        </w:rPr>
        <w:footnoteReference w:customMarkFollows="1" w:id="35"/>
        <w:t>7</w:t>
      </w:r>
      <w:r>
        <w:rPr>
          <w:rFonts w:ascii="Arial" w:eastAsia="Arial" w:hAnsi="Arial" w:cs="Arial"/>
          <w:color w:val="000000"/>
          <w:sz w:val="20"/>
        </w:rPr>
        <w:t xml:space="preserve"> The district  [*274]  court's fee award under this statute was therefore an abuse of discretion.</w:t>
      </w:r>
    </w:p>
    <w:p w14:paraId="0FE574FF" w14:textId="77777777" w:rsidR="002B10A6" w:rsidRDefault="00000000">
      <w:pPr>
        <w:pStyle w:val="Normal7"/>
        <w:widowControl w:val="0"/>
        <w:spacing w:before="200" w:line="260" w:lineRule="atLeast"/>
        <w:jc w:val="both"/>
      </w:pPr>
      <w:bookmarkStart w:id="1091" w:name="Bookmark_para_14_6"/>
      <w:bookmarkStart w:id="1092" w:name="Bookmark_I62KHN6X2D6N870030000400"/>
      <w:bookmarkStart w:id="1093" w:name="Bookmark_I62KHN6X2D6N870050000400"/>
      <w:bookmarkStart w:id="1094" w:name="Bookmark_LNHNREFclscc9_5"/>
      <w:bookmarkEnd w:id="1091"/>
      <w:bookmarkEnd w:id="1092"/>
      <w:bookmarkEnd w:id="1093"/>
      <w:bookmarkEnd w:id="1094"/>
      <w:r>
        <w:rPr>
          <w:rFonts w:ascii="Arial" w:eastAsia="Arial" w:hAnsi="Arial" w:cs="Arial"/>
          <w:color w:val="000000"/>
          <w:sz w:val="20"/>
        </w:rPr>
        <w:t xml:space="preserve">To be sure, federal courts may award attorneys' fees "in the exercise of their equitable powers . . . when the interests of justice so require." </w:t>
      </w:r>
      <w:bookmarkStart w:id="1095" w:name="Bookmark_I62KHN6X2D6N870020000400"/>
      <w:bookmarkEnd w:id="1095"/>
      <w:r>
        <w:rPr>
          <w:rFonts w:ascii="Arial" w:eastAsia="Arial" w:hAnsi="Arial" w:cs="Arial"/>
          <w:i/>
          <w:color w:val="000000"/>
          <w:sz w:val="20"/>
        </w:rPr>
        <w:t>Hall v. Cole</w:t>
      </w:r>
      <w:r>
        <w:rPr>
          <w:rFonts w:ascii="Arial" w:eastAsia="Arial" w:hAnsi="Arial" w:cs="Arial"/>
          <w:color w:val="000000"/>
          <w:sz w:val="20"/>
        </w:rPr>
        <w:t xml:space="preserve">, 412 U.S. 1, 5, 93 S. Ct. 1943, 36 L. Ed. 2d 702 (1973). The Supreme Court has recognized such awards as a "punitive" measure for litigants acting "in bad faith, vexatiously, wantonly, or for oppressive reasons." </w:t>
      </w:r>
      <w:r>
        <w:rPr>
          <w:rFonts w:ascii="Arial" w:eastAsia="Arial" w:hAnsi="Arial" w:cs="Arial"/>
          <w:i/>
          <w:color w:val="000000"/>
          <w:sz w:val="20"/>
        </w:rPr>
        <w:t>Ibid.</w:t>
      </w:r>
      <w:r>
        <w:rPr>
          <w:rFonts w:ascii="Arial" w:eastAsia="Arial" w:hAnsi="Arial" w:cs="Arial"/>
          <w:color w:val="000000"/>
          <w:sz w:val="20"/>
        </w:rPr>
        <w:t xml:space="preserve"> (citation omitted); </w:t>
      </w:r>
      <w:r>
        <w:rPr>
          <w:rFonts w:ascii="Arial" w:eastAsia="Arial" w:hAnsi="Arial" w:cs="Arial"/>
          <w:i/>
          <w:color w:val="000000"/>
          <w:sz w:val="20"/>
        </w:rPr>
        <w:t xml:space="preserve">see also </w:t>
      </w:r>
      <w:bookmarkStart w:id="1096" w:name="Bookmark_I62KHN6X2D6N870040000400"/>
      <w:bookmarkEnd w:id="1096"/>
      <w:r>
        <w:rPr>
          <w:rFonts w:ascii="Arial" w:eastAsia="Arial" w:hAnsi="Arial" w:cs="Arial"/>
          <w:i/>
          <w:color w:val="000000"/>
          <w:sz w:val="20"/>
        </w:rPr>
        <w:t>Williams v. Lockheed Martin Corp.</w:t>
      </w:r>
      <w:r>
        <w:rPr>
          <w:rFonts w:ascii="Arial" w:eastAsia="Arial" w:hAnsi="Arial" w:cs="Arial"/>
          <w:color w:val="000000"/>
          <w:sz w:val="20"/>
        </w:rPr>
        <w:t xml:space="preserve">, 990 F.3d 852, 867 (5th Cir. 2021) ("When acting pursuant to its inherent powers, a court can shift attorney's fees only in a few circumstances," such as when "a litigant has engaged in bad-faith conduct or willful disobedience of a court's orders" (quoting </w:t>
      </w:r>
      <w:bookmarkStart w:id="1097" w:name="Bookmark_I62KHN6X2HM6PW0010000400"/>
      <w:bookmarkEnd w:id="1097"/>
      <w:r>
        <w:rPr>
          <w:rFonts w:ascii="Arial" w:eastAsia="Arial" w:hAnsi="Arial" w:cs="Arial"/>
          <w:i/>
          <w:color w:val="000000"/>
          <w:sz w:val="20"/>
        </w:rPr>
        <w:t>Chambers v. NASCO, Inc.</w:t>
      </w:r>
      <w:r>
        <w:rPr>
          <w:rFonts w:ascii="Arial" w:eastAsia="Arial" w:hAnsi="Arial" w:cs="Arial"/>
          <w:color w:val="000000"/>
          <w:sz w:val="20"/>
        </w:rPr>
        <w:t>, 501 U.S. 32, 47, 111 S. Ct. 2123, 115 L. Ed. 2d 27 (1991))). But here the district court made no such determination, finding only that fees were "appropriate." We therefore vacate the award of attorneys' fees and remand for further proceedings consistent with this opinion. We do not preclude the district court from imposing attorneys' fees on remand under another applicable rule or statute, or under the court's inherent power.</w:t>
      </w:r>
    </w:p>
    <w:p w14:paraId="70C624E3" w14:textId="77777777" w:rsidR="002B10A6" w:rsidRDefault="00000000">
      <w:pPr>
        <w:pStyle w:val="Normal7"/>
        <w:widowControl w:val="0"/>
        <w:spacing w:before="200" w:line="260" w:lineRule="atLeast"/>
        <w:jc w:val="both"/>
      </w:pPr>
      <w:bookmarkStart w:id="1098" w:name="Bookmark_para_15_6"/>
      <w:bookmarkEnd w:id="1098"/>
      <w:r>
        <w:rPr>
          <w:rFonts w:ascii="Arial" w:eastAsia="Arial" w:hAnsi="Arial" w:cs="Arial"/>
          <w:color w:val="000000"/>
          <w:sz w:val="20"/>
        </w:rPr>
        <w:t>AFFIRMED in part, VACATED in part, and REMANDED.</w:t>
      </w:r>
    </w:p>
    <w:p w14:paraId="7C8218E3" w14:textId="77777777" w:rsidR="002B10A6" w:rsidRDefault="002B10A6">
      <w:pPr>
        <w:pStyle w:val="Normal7"/>
      </w:pPr>
    </w:p>
    <w:p w14:paraId="2601C98F" w14:textId="1BABEED3" w:rsidR="002B10A6" w:rsidRDefault="00000000">
      <w:pPr>
        <w:pStyle w:val="Normal7"/>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73600" behindDoc="0" locked="0" layoutInCell="1" allowOverlap="1" wp14:anchorId="0552381D" wp14:editId="050493EF">
                <wp:simplePos x="0" y="0"/>
                <wp:positionH relativeFrom="column">
                  <wp:posOffset>0</wp:posOffset>
                </wp:positionH>
                <wp:positionV relativeFrom="paragraph">
                  <wp:posOffset>127000</wp:posOffset>
                </wp:positionV>
                <wp:extent cx="6502400" cy="0"/>
                <wp:effectExtent l="9525" t="12700" r="12700" b="6350"/>
                <wp:wrapNone/>
                <wp:docPr id="109542258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C6145" id="Line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D9E27A0" w14:textId="77777777" w:rsidR="002B10A6" w:rsidRDefault="002B10A6">
      <w:pPr>
        <w:pStyle w:val="Normal8"/>
        <w:sectPr w:rsidR="002B10A6">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gutter="0"/>
          <w:cols w:space="720"/>
          <w:titlePg/>
        </w:sectPr>
      </w:pPr>
    </w:p>
    <w:p w14:paraId="2762F334" w14:textId="77777777" w:rsidR="002B10A6" w:rsidRDefault="002B10A6">
      <w:pPr>
        <w:pStyle w:val="Normal8"/>
      </w:pPr>
    </w:p>
    <w:p w14:paraId="1A18CFB6" w14:textId="77777777" w:rsidR="002B10A6" w:rsidRDefault="00000000">
      <w:pPr>
        <w:pStyle w:val="Heading17"/>
        <w:keepNext w:val="0"/>
        <w:widowControl w:val="0"/>
        <w:spacing w:after="200" w:line="340" w:lineRule="atLeast"/>
        <w:jc w:val="center"/>
      </w:pPr>
      <w:r>
        <w:rPr>
          <w:rFonts w:eastAsia="Arial"/>
          <w:color w:val="000000"/>
          <w:sz w:val="28"/>
        </w:rPr>
        <w:t>Webb v. United States Veterans Initiative (US Vets)</w:t>
      </w:r>
    </w:p>
    <w:p w14:paraId="44E526F9" w14:textId="77777777" w:rsidR="002B10A6" w:rsidRDefault="00000000">
      <w:pPr>
        <w:pStyle w:val="Normal8"/>
        <w:widowControl w:val="0"/>
        <w:spacing w:before="120" w:line="260" w:lineRule="atLeast"/>
        <w:jc w:val="center"/>
      </w:pPr>
      <w:r>
        <w:rPr>
          <w:rFonts w:ascii="Arial" w:eastAsia="Arial" w:hAnsi="Arial" w:cs="Arial"/>
          <w:color w:val="000000"/>
          <w:sz w:val="20"/>
        </w:rPr>
        <w:t>United States Court of Appeals for the District of Columbia Circuit</w:t>
      </w:r>
    </w:p>
    <w:p w14:paraId="2614FE98" w14:textId="77777777" w:rsidR="002B10A6" w:rsidRDefault="00000000">
      <w:pPr>
        <w:pStyle w:val="Normal8"/>
        <w:widowControl w:val="0"/>
        <w:spacing w:before="120" w:line="260" w:lineRule="atLeast"/>
        <w:jc w:val="center"/>
      </w:pPr>
      <w:r>
        <w:rPr>
          <w:rFonts w:ascii="Arial" w:eastAsia="Arial" w:hAnsi="Arial" w:cs="Arial"/>
          <w:color w:val="000000"/>
          <w:sz w:val="20"/>
        </w:rPr>
        <w:t>March 3, 2021, Argued; April 16, 2021, Decided</w:t>
      </w:r>
    </w:p>
    <w:p w14:paraId="0E77C26C" w14:textId="77777777" w:rsidR="002B10A6" w:rsidRDefault="00000000">
      <w:pPr>
        <w:pStyle w:val="Normal8"/>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20-7004</w:t>
      </w:r>
    </w:p>
    <w:p w14:paraId="236A5B5D" w14:textId="77777777" w:rsidR="002B10A6" w:rsidRDefault="002B10A6">
      <w:pPr>
        <w:pStyle w:val="Normal8"/>
        <w:widowControl w:val="0"/>
        <w:spacing w:line="240" w:lineRule="atLeast"/>
        <w:jc w:val="both"/>
      </w:pPr>
      <w:bookmarkStart w:id="1099" w:name="Bookmark_9"/>
      <w:bookmarkEnd w:id="1099"/>
    </w:p>
    <w:p w14:paraId="423FC61E" w14:textId="77777777" w:rsidR="002B10A6" w:rsidRDefault="00000000">
      <w:pPr>
        <w:pStyle w:val="Normal8"/>
        <w:widowControl w:val="0"/>
        <w:spacing w:before="200" w:line="240" w:lineRule="atLeast"/>
      </w:pPr>
      <w:bookmarkStart w:id="1100" w:name="Reporter_7"/>
      <w:bookmarkEnd w:id="1100"/>
      <w:r>
        <w:rPr>
          <w:rFonts w:ascii="Arial" w:eastAsia="Arial" w:hAnsi="Arial" w:cs="Arial"/>
          <w:b/>
          <w:color w:val="000000"/>
          <w:sz w:val="18"/>
        </w:rPr>
        <w:t>Reporter</w:t>
      </w:r>
    </w:p>
    <w:p w14:paraId="23A043BE" w14:textId="77777777" w:rsidR="002B10A6" w:rsidRDefault="00000000">
      <w:pPr>
        <w:pStyle w:val="Normal8"/>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993 F.3d 970 *; 451 U.S. App. D.C. 507 **; 2021 U.S. App. LEXIS 10926 ***; 2021 WL 1437190</w:t>
      </w:r>
    </w:p>
    <w:p w14:paraId="56539781" w14:textId="77777777" w:rsidR="002B10A6" w:rsidRDefault="00000000">
      <w:pPr>
        <w:pStyle w:val="Normal8"/>
        <w:widowControl w:val="0"/>
        <w:spacing w:before="120" w:line="260" w:lineRule="atLeast"/>
      </w:pPr>
      <w:r>
        <w:rPr>
          <w:rFonts w:ascii="Arial" w:eastAsia="Arial" w:hAnsi="Arial" w:cs="Arial"/>
          <w:color w:val="000000"/>
          <w:sz w:val="20"/>
        </w:rPr>
        <w:t>STANLEY WEBB, APPELLANT v. UNITED STATES VETERANS INITIATIVE (US VETS) AND COMMUNITY PARTNERSHIP, APPELLEES</w:t>
      </w:r>
    </w:p>
    <w:p w14:paraId="5FE814A4" w14:textId="77777777" w:rsidR="002B10A6" w:rsidRDefault="00000000">
      <w:pPr>
        <w:pStyle w:val="Normal8"/>
        <w:widowControl w:val="0"/>
        <w:spacing w:before="240" w:line="260" w:lineRule="atLeast"/>
        <w:jc w:val="both"/>
      </w:pPr>
      <w:bookmarkStart w:id="1101" w:name="Prior_History_7"/>
      <w:bookmarkEnd w:id="1101"/>
      <w:r>
        <w:rPr>
          <w:rFonts w:ascii="Arial" w:eastAsia="Arial" w:hAnsi="Arial" w:cs="Arial"/>
          <w:b/>
          <w:color w:val="000000"/>
          <w:sz w:val="20"/>
        </w:rPr>
        <w:t>Prior History:</w:t>
      </w:r>
      <w:r>
        <w:rPr>
          <w:rFonts w:ascii="Arial" w:eastAsia="Arial" w:hAnsi="Arial" w:cs="Arial"/>
          <w:color w:val="000000"/>
          <w:sz w:val="20"/>
        </w:rPr>
        <w:t> </w:t>
      </w:r>
      <w:bookmarkStart w:id="1102" w:name="Bookmark_para_1_7"/>
      <w:bookmarkEnd w:id="1102"/>
      <w:r>
        <w:rPr>
          <w:rFonts w:ascii="Arial" w:eastAsia="Arial" w:hAnsi="Arial" w:cs="Arial"/>
          <w:color w:val="000000"/>
          <w:sz w:val="20"/>
        </w:rPr>
        <w:t> [***1] Appeal from the United States District Court for the District of Columbia. (No. 1:18-cv-02931).</w:t>
      </w:r>
    </w:p>
    <w:p w14:paraId="656CBD2E" w14:textId="77777777" w:rsidR="002B10A6" w:rsidRDefault="00000000">
      <w:pPr>
        <w:pStyle w:val="Normal8"/>
        <w:widowControl w:val="0"/>
        <w:spacing w:before="240" w:line="260" w:lineRule="atLeast"/>
      </w:pPr>
      <w:bookmarkStart w:id="1103" w:name="Counsel_7"/>
      <w:bookmarkEnd w:id="1103"/>
      <w:r>
        <w:rPr>
          <w:rFonts w:ascii="Arial" w:eastAsia="Arial" w:hAnsi="Arial" w:cs="Arial"/>
          <w:b/>
          <w:color w:val="000000"/>
          <w:sz w:val="20"/>
        </w:rPr>
        <w:t>Counsel:</w:t>
      </w:r>
      <w:r>
        <w:rPr>
          <w:rFonts w:ascii="Arial" w:eastAsia="Arial" w:hAnsi="Arial" w:cs="Arial"/>
          <w:color w:val="000000"/>
          <w:sz w:val="20"/>
        </w:rPr>
        <w:t> Mollie Fiero, Student Counsel, argued the cause as amicus curiae in support of appellant. With her on the briefs were Thomas Burch and Anne Howard, both appointed by the court, and Jason Sigalos, Student Counsel.</w:t>
      </w:r>
    </w:p>
    <w:p w14:paraId="17A2733E" w14:textId="77777777" w:rsidR="002B10A6" w:rsidRDefault="00000000">
      <w:pPr>
        <w:pStyle w:val="Normal8"/>
        <w:widowControl w:val="0"/>
        <w:spacing w:before="120" w:line="260" w:lineRule="atLeast"/>
      </w:pPr>
      <w:r>
        <w:rPr>
          <w:rFonts w:ascii="Arial" w:eastAsia="Arial" w:hAnsi="Arial" w:cs="Arial"/>
          <w:color w:val="000000"/>
          <w:sz w:val="20"/>
        </w:rPr>
        <w:t>Stanley Webb, Pro se, filed the briefs for appellant.</w:t>
      </w:r>
    </w:p>
    <w:p w14:paraId="4E2BC9B8" w14:textId="77777777" w:rsidR="002B10A6" w:rsidRDefault="00000000">
      <w:pPr>
        <w:pStyle w:val="Normal8"/>
        <w:widowControl w:val="0"/>
        <w:spacing w:before="120" w:line="260" w:lineRule="atLeast"/>
      </w:pPr>
      <w:r>
        <w:rPr>
          <w:rFonts w:ascii="Arial" w:eastAsia="Arial" w:hAnsi="Arial" w:cs="Arial"/>
          <w:color w:val="000000"/>
          <w:sz w:val="20"/>
        </w:rPr>
        <w:t>Laura N. Steel argued the cause and filed the brief for appellees.</w:t>
      </w:r>
    </w:p>
    <w:p w14:paraId="00E67A87" w14:textId="77777777" w:rsidR="002B10A6" w:rsidRDefault="00000000">
      <w:pPr>
        <w:pStyle w:val="Normal8"/>
        <w:widowControl w:val="0"/>
        <w:spacing w:before="240" w:line="260" w:lineRule="atLeast"/>
      </w:pPr>
      <w:bookmarkStart w:id="1104" w:name="Judges_7"/>
      <w:bookmarkEnd w:id="1104"/>
      <w:r>
        <w:rPr>
          <w:rFonts w:ascii="Arial" w:eastAsia="Arial" w:hAnsi="Arial" w:cs="Arial"/>
          <w:b/>
          <w:color w:val="000000"/>
          <w:sz w:val="20"/>
        </w:rPr>
        <w:t>Judges:</w:t>
      </w:r>
      <w:r>
        <w:rPr>
          <w:rFonts w:ascii="Arial" w:eastAsia="Arial" w:hAnsi="Arial" w:cs="Arial"/>
          <w:color w:val="000000"/>
          <w:sz w:val="20"/>
        </w:rPr>
        <w:t> Before: TATEL and PILLARD, Circuit Judges, and SENTELLE, Senior Circuit Judge. Opinion for the Court filed by Circuit Judge TATEL.</w:t>
      </w:r>
    </w:p>
    <w:p w14:paraId="24F748FD" w14:textId="77777777" w:rsidR="002B10A6" w:rsidRDefault="00000000">
      <w:pPr>
        <w:pStyle w:val="Normal8"/>
        <w:widowControl w:val="0"/>
        <w:spacing w:before="240" w:line="260" w:lineRule="atLeast"/>
      </w:pPr>
      <w:bookmarkStart w:id="1105" w:name="Opinion_by_6"/>
      <w:bookmarkEnd w:id="1105"/>
      <w:r>
        <w:rPr>
          <w:rFonts w:ascii="Arial" w:eastAsia="Arial" w:hAnsi="Arial" w:cs="Arial"/>
          <w:b/>
          <w:color w:val="000000"/>
          <w:sz w:val="20"/>
        </w:rPr>
        <w:t>Opinion by:</w:t>
      </w:r>
      <w:r>
        <w:rPr>
          <w:rFonts w:ascii="Arial" w:eastAsia="Arial" w:hAnsi="Arial" w:cs="Arial"/>
          <w:color w:val="000000"/>
          <w:sz w:val="20"/>
        </w:rPr>
        <w:t> TATEL</w:t>
      </w:r>
    </w:p>
    <w:p w14:paraId="3DB7D160" w14:textId="77777777" w:rsidR="002B10A6" w:rsidRDefault="00000000">
      <w:pPr>
        <w:pStyle w:val="Normal8"/>
        <w:keepNext/>
        <w:widowControl w:val="0"/>
        <w:spacing w:before="240" w:line="340" w:lineRule="atLeast"/>
      </w:pPr>
      <w:bookmarkStart w:id="1106" w:name="Opinion_7"/>
      <w:bookmarkEnd w:id="1106"/>
      <w:r>
        <w:rPr>
          <w:rFonts w:ascii="Arial" w:eastAsia="Arial" w:hAnsi="Arial" w:cs="Arial"/>
          <w:b/>
          <w:color w:val="000000"/>
          <w:sz w:val="28"/>
        </w:rPr>
        <w:t>Opinion</w:t>
      </w:r>
    </w:p>
    <w:p w14:paraId="4FE82F72" w14:textId="3F7F7D7F" w:rsidR="002B10A6" w:rsidRDefault="002D6974">
      <w:pPr>
        <w:pStyle w:val="Normal8"/>
        <w:spacing w:line="60" w:lineRule="exact"/>
      </w:pPr>
      <w:r>
        <w:rPr>
          <w:noProof/>
        </w:rPr>
        <mc:AlternateContent>
          <mc:Choice Requires="wps">
            <w:drawing>
              <wp:anchor distT="0" distB="0" distL="114300" distR="114300" simplePos="0" relativeHeight="251674624" behindDoc="0" locked="0" layoutInCell="1" allowOverlap="1" wp14:anchorId="3E3F6F7A" wp14:editId="01C6B7A2">
                <wp:simplePos x="0" y="0"/>
                <wp:positionH relativeFrom="column">
                  <wp:posOffset>0</wp:posOffset>
                </wp:positionH>
                <wp:positionV relativeFrom="paragraph">
                  <wp:posOffset>25400</wp:posOffset>
                </wp:positionV>
                <wp:extent cx="3187700" cy="0"/>
                <wp:effectExtent l="19050" t="15875" r="12700" b="12700"/>
                <wp:wrapTopAndBottom/>
                <wp:docPr id="145797756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D1665"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9710939" w14:textId="77777777" w:rsidR="002B10A6" w:rsidRDefault="002B10A6">
      <w:pPr>
        <w:pStyle w:val="Normal8"/>
      </w:pPr>
    </w:p>
    <w:p w14:paraId="207B9D43" w14:textId="77777777" w:rsidR="002B10A6" w:rsidRDefault="00000000">
      <w:pPr>
        <w:pStyle w:val="Normal8"/>
        <w:widowControl w:val="0"/>
        <w:spacing w:before="200" w:line="260" w:lineRule="atLeast"/>
        <w:jc w:val="both"/>
      </w:pPr>
      <w:bookmarkStart w:id="1107" w:name="Bookmark_para_2_7"/>
      <w:bookmarkEnd w:id="1107"/>
      <w:r>
        <w:rPr>
          <w:rFonts w:ascii="Arial" w:eastAsia="Arial" w:hAnsi="Arial" w:cs="Arial"/>
          <w:color w:val="000000"/>
          <w:sz w:val="20"/>
        </w:rPr>
        <w:t xml:space="preserve"> [**508]  [*971]   </w:t>
      </w:r>
      <w:r>
        <w:rPr>
          <w:rFonts w:ascii="Arial" w:eastAsia="Arial" w:hAnsi="Arial" w:cs="Arial"/>
          <w:smallCaps/>
          <w:color w:val="000000"/>
          <w:sz w:val="20"/>
        </w:rPr>
        <w:t>Tatel</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Pro se plaintiff Stanley Webb alleges that U.S. Veterans Initiative ("U.S. Vets"), a nonprofit veterans' services provider, discriminated against him because of his sex when it refused to offer him a one-bedroom apartment while offering one to a less-qualified female applicant. The district court dismissed the complaint, concluding that Webb could not sue under the Fair Housing Act because he had paid no rent. The Fair Housing Act, however, prohibits making a dwelling "unavailable" based on sex regardless of whether the injured party paid rent. Accordingly, we reverse.</w:t>
      </w:r>
    </w:p>
    <w:p w14:paraId="414CC6BE" w14:textId="77777777" w:rsidR="002B10A6" w:rsidRDefault="00000000">
      <w:pPr>
        <w:pStyle w:val="Normal8"/>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397131BA" w14:textId="77777777" w:rsidR="002B10A6" w:rsidRDefault="00000000">
      <w:pPr>
        <w:pStyle w:val="Normal8"/>
        <w:widowControl w:val="0"/>
        <w:spacing w:before="200" w:line="260" w:lineRule="atLeast"/>
        <w:jc w:val="both"/>
      </w:pPr>
      <w:bookmarkStart w:id="1108" w:name="Bookmark_para_3_7"/>
      <w:bookmarkEnd w:id="1108"/>
      <w:r>
        <w:rPr>
          <w:rFonts w:ascii="Arial" w:eastAsia="Arial" w:hAnsi="Arial" w:cs="Arial"/>
          <w:color w:val="000000"/>
          <w:sz w:val="20"/>
        </w:rPr>
        <w:t xml:space="preserve">In 2010, Stanley Webb, a disabled veteran, [***2]  was referred to U.S. Vets for housing assistance. At the time of the referral, U.S. Vets administered two housing programs: the Supportive Housing Program, which allowed participants to live with a roommate in multiple-occupancy units, and Shelter Plus Care, which allowed chronically homeless veterans with disabilities to live in one-bedroom units without roommates or two-bedroom units with a roommate. Webb alleges that he qualified for a one-bedroom unit through Shelter Plus Care. Compl. ¶ 13. When he arrived, however, U.S. Vets allegedly told him that because no one-bedroom unit was available, it needed to place him temporarily in a multiple-occupancy unit through its Supportive Housing Program. </w:t>
      </w:r>
      <w:r>
        <w:rPr>
          <w:rFonts w:ascii="Arial" w:eastAsia="Arial" w:hAnsi="Arial" w:cs="Arial"/>
          <w:i/>
          <w:color w:val="000000"/>
          <w:sz w:val="20"/>
        </w:rPr>
        <w:t>Id.</w:t>
      </w:r>
      <w:r>
        <w:rPr>
          <w:rFonts w:ascii="Arial" w:eastAsia="Arial" w:hAnsi="Arial" w:cs="Arial"/>
          <w:color w:val="000000"/>
          <w:sz w:val="20"/>
        </w:rPr>
        <w:t xml:space="preserve"> ¶¶ 2, 4, 6.</w:t>
      </w:r>
    </w:p>
    <w:p w14:paraId="468D8A15" w14:textId="77777777" w:rsidR="002B10A6" w:rsidRDefault="00000000">
      <w:pPr>
        <w:pStyle w:val="Normal8"/>
        <w:widowControl w:val="0"/>
        <w:spacing w:before="200" w:line="260" w:lineRule="atLeast"/>
        <w:jc w:val="both"/>
      </w:pPr>
      <w:bookmarkStart w:id="1109" w:name="Bookmark_para_4_7"/>
      <w:bookmarkEnd w:id="1109"/>
      <w:r>
        <w:rPr>
          <w:rFonts w:ascii="Arial" w:eastAsia="Arial" w:hAnsi="Arial" w:cs="Arial"/>
          <w:color w:val="000000"/>
          <w:sz w:val="20"/>
        </w:rPr>
        <w:t xml:space="preserve">A few months after Webb moved in, U.S. Vets placed a female applicant in its Shelter Plus Care program even though she had indicated on her application that she was not chronically homeless. </w:t>
      </w:r>
      <w:r>
        <w:rPr>
          <w:rFonts w:ascii="Arial" w:eastAsia="Arial" w:hAnsi="Arial" w:cs="Arial"/>
          <w:i/>
          <w:color w:val="000000"/>
          <w:sz w:val="20"/>
        </w:rPr>
        <w:t>Id.</w:t>
      </w:r>
      <w:r>
        <w:rPr>
          <w:rFonts w:ascii="Arial" w:eastAsia="Arial" w:hAnsi="Arial" w:cs="Arial"/>
          <w:color w:val="000000"/>
          <w:sz w:val="20"/>
        </w:rPr>
        <w:t xml:space="preserve"> ¶¶ 6-7; Compl. Ex. 2, Joint Appendix (J.A.) 11. Webb alleges that U.S. Vets told him that she was "given preferential treatment because she is a female." Compl. ¶ 7.</w:t>
      </w:r>
    </w:p>
    <w:p w14:paraId="3EF7157B" w14:textId="77777777" w:rsidR="002B10A6" w:rsidRDefault="00000000">
      <w:pPr>
        <w:pStyle w:val="Normal8"/>
        <w:widowControl w:val="0"/>
        <w:spacing w:before="200" w:line="260" w:lineRule="atLeast"/>
        <w:jc w:val="both"/>
      </w:pPr>
      <w:bookmarkStart w:id="1110" w:name="Bookmark_para_5_7"/>
      <w:bookmarkEnd w:id="1110"/>
      <w:r>
        <w:rPr>
          <w:rFonts w:ascii="Arial" w:eastAsia="Arial" w:hAnsi="Arial" w:cs="Arial"/>
          <w:color w:val="000000"/>
          <w:sz w:val="20"/>
        </w:rPr>
        <w:t xml:space="preserve">Webb filed a complaint with the Department of Housing and Urban Development (HUD), claiming that U.S. Vets discriminated [***3]  against him because of his sex in violation of the Fair Housing Act. HUD referred the complaint to the D.C. Office of Human Rights, which in turn found no probable cause to believe that U.S. Vets had discriminated against Webb. </w:t>
      </w:r>
      <w:r>
        <w:rPr>
          <w:rFonts w:ascii="Arial" w:eastAsia="Arial" w:hAnsi="Arial" w:cs="Arial"/>
          <w:i/>
          <w:color w:val="000000"/>
          <w:sz w:val="20"/>
        </w:rPr>
        <w:t>See</w:t>
      </w:r>
      <w:r>
        <w:rPr>
          <w:rFonts w:ascii="Arial" w:eastAsia="Arial" w:hAnsi="Arial" w:cs="Arial"/>
          <w:color w:val="000000"/>
          <w:sz w:val="20"/>
        </w:rPr>
        <w:t xml:space="preserve"> Letter of Determination, D.C. Office of Human Rights 2 (Feb. 12, 2018), J.A. 75.</w:t>
      </w:r>
    </w:p>
    <w:p w14:paraId="27FFDEF6" w14:textId="77777777" w:rsidR="002B10A6" w:rsidRDefault="00000000">
      <w:pPr>
        <w:pStyle w:val="Normal8"/>
        <w:widowControl w:val="0"/>
        <w:spacing w:before="200" w:line="260" w:lineRule="atLeast"/>
        <w:jc w:val="both"/>
      </w:pPr>
      <w:bookmarkStart w:id="1111" w:name="Bookmark_para_6_7"/>
      <w:bookmarkEnd w:id="1111"/>
      <w:r>
        <w:rPr>
          <w:rFonts w:ascii="Arial" w:eastAsia="Arial" w:hAnsi="Arial" w:cs="Arial"/>
          <w:color w:val="000000"/>
          <w:sz w:val="20"/>
        </w:rPr>
        <w:t>Proceeding pro se, Webb then filed this suit in the district court, alleging that U.S. Vets violated the Fair Housing Act. A month later, Webb filed an amended complaint, explaining that the original complaint omitted his mailing address, "correct jurisdiction information and other important facts." Request to Submit Updated Complaint 2 (Jan. 30, 2019), J.A. 27. Of relevance to one of the issues before us, the amended complaint did not reiterate the factual allegations contained in the original complaint.</w:t>
      </w:r>
    </w:p>
    <w:p w14:paraId="1E193D97" w14:textId="77777777" w:rsidR="002B10A6" w:rsidRDefault="00000000">
      <w:pPr>
        <w:pStyle w:val="Normal8"/>
        <w:widowControl w:val="0"/>
        <w:spacing w:before="200" w:line="260" w:lineRule="atLeast"/>
        <w:jc w:val="both"/>
      </w:pPr>
      <w:bookmarkStart w:id="1112" w:name="Bookmark_para_7_7"/>
      <w:bookmarkStart w:id="1113" w:name="Bookmark_I62GS24J2HM6KF0020000400"/>
      <w:bookmarkStart w:id="1114" w:name="Bookmark_I62GS24J2HM6KF0040000400"/>
      <w:bookmarkStart w:id="1115" w:name="Bookmark_I62GS24M2D6N0X0010000400"/>
      <w:bookmarkEnd w:id="1112"/>
      <w:bookmarkEnd w:id="1113"/>
      <w:bookmarkEnd w:id="1114"/>
      <w:bookmarkEnd w:id="1115"/>
      <w:r>
        <w:rPr>
          <w:rFonts w:ascii="Arial" w:eastAsia="Arial" w:hAnsi="Arial" w:cs="Arial"/>
          <w:color w:val="000000"/>
          <w:sz w:val="20"/>
        </w:rPr>
        <w:t xml:space="preserve">The district court granted U.S. Vets' motion to dismiss under Federal Rule of Civil Procedure 12(b)(1), concluding that because Webb had paid no rent, he had "no legally protected interest" under the Fair Housing Act. </w:t>
      </w:r>
      <w:bookmarkStart w:id="1116" w:name="Bookmark_I62GS24J2HM6KF0010000400"/>
      <w:bookmarkEnd w:id="1116"/>
      <w:r>
        <w:rPr>
          <w:rFonts w:ascii="Arial" w:eastAsia="Arial" w:hAnsi="Arial" w:cs="Arial"/>
          <w:i/>
          <w:color w:val="000000"/>
          <w:sz w:val="20"/>
        </w:rPr>
        <w:t>Webb v. United States Veterans Initiative</w:t>
      </w:r>
      <w:r>
        <w:rPr>
          <w:rFonts w:ascii="Arial" w:eastAsia="Arial" w:hAnsi="Arial" w:cs="Arial"/>
          <w:color w:val="000000"/>
          <w:sz w:val="20"/>
        </w:rPr>
        <w:t xml:space="preserve">, No. CV 18-2931, 2019 U.S. Dist. LEXIS 218097, 2019 WL 6877835, at *5 (D.D.C. Dec. 17, 2019)  [*972]   [**509]  (internal quotation marks omitted). Alternatively, the court granted U.S. Vets' motion to dismiss under Federal Rule of Civil Procedure 12(b)(6). </w:t>
      </w:r>
      <w:bookmarkStart w:id="1117" w:name="Bookmark_I62GS24J2HM6KF0030000400"/>
      <w:bookmarkEnd w:id="1117"/>
      <w:r>
        <w:rPr>
          <w:rFonts w:ascii="Arial" w:eastAsia="Arial" w:hAnsi="Arial" w:cs="Arial"/>
          <w:color w:val="000000"/>
          <w:sz w:val="20"/>
        </w:rPr>
        <w:t xml:space="preserve">2019 U.S. Dist. LEXIS 218097, [WL] at *5 n.6. </w:t>
      </w:r>
      <w:bookmarkStart w:id="1118" w:name="Bookmark_LNHNREFclscc1_7"/>
      <w:bookmarkEnd w:id="1118"/>
      <w:r>
        <w:rPr>
          <w:rFonts w:ascii="Arial" w:eastAsia="Arial" w:hAnsi="Arial" w:cs="Arial"/>
          <w:color w:val="000000"/>
          <w:sz w:val="20"/>
        </w:rPr>
        <w:t xml:space="preserve">Webb appeals, and our review is [***4]  de novo. </w:t>
      </w:r>
      <w:r>
        <w:rPr>
          <w:rFonts w:ascii="Arial" w:eastAsia="Arial" w:hAnsi="Arial" w:cs="Arial"/>
          <w:i/>
          <w:color w:val="000000"/>
          <w:sz w:val="20"/>
        </w:rPr>
        <w:t xml:space="preserve">See </w:t>
      </w:r>
      <w:bookmarkStart w:id="1119" w:name="Bookmark_I62GS24J2HM6KF0050000400"/>
      <w:bookmarkEnd w:id="1119"/>
      <w:r>
        <w:rPr>
          <w:rFonts w:ascii="Arial" w:eastAsia="Arial" w:hAnsi="Arial" w:cs="Arial"/>
          <w:i/>
          <w:color w:val="000000"/>
          <w:sz w:val="20"/>
        </w:rPr>
        <w:t>Barr v. Clinton</w:t>
      </w:r>
      <w:r>
        <w:rPr>
          <w:rFonts w:ascii="Arial" w:eastAsia="Arial" w:hAnsi="Arial" w:cs="Arial"/>
          <w:color w:val="000000"/>
          <w:sz w:val="20"/>
        </w:rPr>
        <w:t>, 370 F.3d 1196, 1201, 361 U.S. App. D.C. 472 (D.C. Cir. 2004) (reviewing dismissal under Rules 12(b)(1) and 12(b)(6) de novo). We appointed counsel to appear as amicus curiae in support of Webb and appreciate the outstanding efforts by appointed counsel and the student attorney who argued the case.</w:t>
      </w:r>
    </w:p>
    <w:p w14:paraId="495C8280" w14:textId="77777777" w:rsidR="002B10A6" w:rsidRDefault="00000000">
      <w:pPr>
        <w:pStyle w:val="Normal8"/>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7D074EA0" w14:textId="77777777" w:rsidR="002B10A6" w:rsidRDefault="00000000">
      <w:pPr>
        <w:pStyle w:val="Normal8"/>
        <w:widowControl w:val="0"/>
        <w:spacing w:before="200" w:line="260" w:lineRule="atLeast"/>
        <w:jc w:val="both"/>
      </w:pPr>
      <w:bookmarkStart w:id="1120" w:name="Bookmark_para_8_7"/>
      <w:bookmarkStart w:id="1121" w:name="Bookmark_LNHNREFclscc2_7"/>
      <w:bookmarkEnd w:id="1120"/>
      <w:bookmarkEnd w:id="1121"/>
      <w:r>
        <w:rPr>
          <w:rFonts w:ascii="Arial" w:eastAsia="Arial" w:hAnsi="Arial" w:cs="Arial"/>
          <w:color w:val="000000"/>
          <w:sz w:val="20"/>
        </w:rPr>
        <w:t xml:space="preserve">Under the Fair Housing Act, it is unlawful to "refuse to sell or rent after the making of a bona fide offer, . . . or </w:t>
      </w:r>
      <w:r>
        <w:rPr>
          <w:rFonts w:ascii="Arial" w:eastAsia="Arial" w:hAnsi="Arial" w:cs="Arial"/>
          <w:i/>
          <w:color w:val="000000"/>
          <w:sz w:val="20"/>
        </w:rPr>
        <w:t>otherwise make unavailable or deny, a dwelling to any person</w:t>
      </w:r>
      <w:r>
        <w:rPr>
          <w:rFonts w:ascii="Arial" w:eastAsia="Arial" w:hAnsi="Arial" w:cs="Arial"/>
          <w:color w:val="000000"/>
          <w:sz w:val="20"/>
        </w:rPr>
        <w:t xml:space="preserve"> because of race, color, religion, sex, familial status, or national origin." 42 U.S.C. § 3604(a) (emphasis added). "[A]ny person who . . . claims to have been injured by" conduct prohibited by section 3604, </w:t>
      </w:r>
      <w:r>
        <w:rPr>
          <w:rFonts w:ascii="Arial" w:eastAsia="Arial" w:hAnsi="Arial" w:cs="Arial"/>
          <w:i/>
          <w:color w:val="000000"/>
          <w:sz w:val="20"/>
        </w:rPr>
        <w:t>id.</w:t>
      </w:r>
      <w:r>
        <w:rPr>
          <w:rFonts w:ascii="Arial" w:eastAsia="Arial" w:hAnsi="Arial" w:cs="Arial"/>
          <w:color w:val="000000"/>
          <w:sz w:val="20"/>
        </w:rPr>
        <w:t xml:space="preserve"> §§ 3602(f), 3602(i), is an "aggrieved person" who "may commence a civil action," </w:t>
      </w:r>
      <w:r>
        <w:rPr>
          <w:rFonts w:ascii="Arial" w:eastAsia="Arial" w:hAnsi="Arial" w:cs="Arial"/>
          <w:i/>
          <w:color w:val="000000"/>
          <w:sz w:val="20"/>
        </w:rPr>
        <w:t>id.</w:t>
      </w:r>
      <w:r>
        <w:rPr>
          <w:rFonts w:ascii="Arial" w:eastAsia="Arial" w:hAnsi="Arial" w:cs="Arial"/>
          <w:color w:val="000000"/>
          <w:sz w:val="20"/>
        </w:rPr>
        <w:t xml:space="preserve"> § 3613(a)(1)(A).</w:t>
      </w:r>
    </w:p>
    <w:p w14:paraId="1C604012" w14:textId="77777777" w:rsidR="002B10A6" w:rsidRDefault="00000000">
      <w:pPr>
        <w:pStyle w:val="Normal8"/>
        <w:widowControl w:val="0"/>
        <w:spacing w:before="200" w:line="260" w:lineRule="atLeast"/>
        <w:jc w:val="both"/>
      </w:pPr>
      <w:bookmarkStart w:id="1122" w:name="Bookmark_para_9_7"/>
      <w:bookmarkStart w:id="1123" w:name="Bookmark_I62GS24M2D6N0X0030000400"/>
      <w:bookmarkEnd w:id="1122"/>
      <w:bookmarkEnd w:id="1123"/>
      <w:r>
        <w:rPr>
          <w:rFonts w:ascii="Arial" w:eastAsia="Arial" w:hAnsi="Arial" w:cs="Arial"/>
          <w:color w:val="000000"/>
          <w:sz w:val="20"/>
        </w:rPr>
        <w:t xml:space="preserve">Echoing the district court and emphasizing the phrase "sell or rent," U.S. Vets argues that Webb is not an aggrieved person under the Fair Housing Act because he paid no rent. U.S. Vets might have had a good case if the statute did not contain the phrase "otherwise make unavailable," but that language, following the phrase "to sell or rent," clearly demonstrates that the section encompasses conduct beyond simply refusing to sell or rent. </w:t>
      </w:r>
      <w:r>
        <w:rPr>
          <w:rFonts w:ascii="Arial" w:eastAsia="Arial" w:hAnsi="Arial" w:cs="Arial"/>
          <w:i/>
          <w:color w:val="000000"/>
          <w:sz w:val="20"/>
        </w:rPr>
        <w:t>See id.</w:t>
      </w:r>
      <w:r>
        <w:rPr>
          <w:rFonts w:ascii="Arial" w:eastAsia="Arial" w:hAnsi="Arial" w:cs="Arial"/>
          <w:color w:val="000000"/>
          <w:sz w:val="20"/>
        </w:rPr>
        <w:t xml:space="preserve"> § 3604(a). Our court so held in </w:t>
      </w:r>
      <w:bookmarkStart w:id="1124" w:name="Bookmark_I62GS24M2D6N0X0020000400"/>
      <w:bookmarkEnd w:id="1124"/>
      <w:r>
        <w:rPr>
          <w:rFonts w:ascii="Arial" w:eastAsia="Arial" w:hAnsi="Arial" w:cs="Arial"/>
          <w:i/>
          <w:color w:val="000000"/>
          <w:sz w:val="20"/>
        </w:rPr>
        <w:t>2922 Sherman Avenue Tenants' Ass'n v. District of Columbia</w:t>
      </w:r>
      <w:r>
        <w:rPr>
          <w:rFonts w:ascii="Arial" w:eastAsia="Arial" w:hAnsi="Arial" w:cs="Arial"/>
          <w:color w:val="000000"/>
          <w:sz w:val="20"/>
        </w:rPr>
        <w:t xml:space="preserve">, 444 F.3d 673, 370 U.S. App. D.C. 328 (D.C. Cir. 2006), explaining that the District of Columbia government made housing [***5]  "unavailable" under section 3604(a) by advising tenants to "'seek alternative housing accommodations,'" </w:t>
      </w:r>
      <w:bookmarkStart w:id="1125" w:name="Bookmark_I62GS24M2D6N0X0040000400"/>
      <w:bookmarkEnd w:id="1125"/>
      <w:r>
        <w:rPr>
          <w:rFonts w:ascii="Arial" w:eastAsia="Arial" w:hAnsi="Arial" w:cs="Arial"/>
          <w:i/>
          <w:color w:val="000000"/>
          <w:sz w:val="20"/>
        </w:rPr>
        <w:t>id.</w:t>
      </w:r>
      <w:r>
        <w:rPr>
          <w:rFonts w:ascii="Arial" w:eastAsia="Arial" w:hAnsi="Arial" w:cs="Arial"/>
          <w:color w:val="000000"/>
          <w:sz w:val="20"/>
        </w:rPr>
        <w:t xml:space="preserve"> at 685, even though it had not "refuse[d] to sell or rent," 42 U.S.C. § 3604(a).</w:t>
      </w:r>
    </w:p>
    <w:p w14:paraId="3386B467" w14:textId="77777777" w:rsidR="002B10A6" w:rsidRDefault="00000000">
      <w:pPr>
        <w:pStyle w:val="Normal8"/>
        <w:widowControl w:val="0"/>
        <w:spacing w:before="200" w:line="260" w:lineRule="atLeast"/>
        <w:jc w:val="both"/>
      </w:pPr>
      <w:bookmarkStart w:id="1126" w:name="Bookmark_para_10_7"/>
      <w:bookmarkStart w:id="1127" w:name="Bookmark_I62GS24M2D6N100020000400"/>
      <w:bookmarkEnd w:id="1126"/>
      <w:bookmarkEnd w:id="1127"/>
      <w:r>
        <w:rPr>
          <w:rFonts w:ascii="Arial" w:eastAsia="Arial" w:hAnsi="Arial" w:cs="Arial"/>
          <w:color w:val="000000"/>
          <w:sz w:val="20"/>
        </w:rPr>
        <w:t xml:space="preserve">Here, Webb alleges that U.S. Vets rejected his application for a single-occupancy unit even though he was qualified, while offering one to a less-qualified female applicant, i.e., that U.S. Vets made housing "unavailable" to him because of his sex. Because Webb claims to have been injured by that conduct, he qualifies as an aggrieved person who may bring suit under the Act, whether he paid rent or not. </w:t>
      </w:r>
      <w:r>
        <w:rPr>
          <w:rFonts w:ascii="Arial" w:eastAsia="Arial" w:hAnsi="Arial" w:cs="Arial"/>
          <w:i/>
          <w:color w:val="000000"/>
          <w:sz w:val="20"/>
        </w:rPr>
        <w:t xml:space="preserve">See </w:t>
      </w:r>
      <w:bookmarkStart w:id="1128" w:name="Bookmark_I62GS24M2D6N100010000400"/>
      <w:bookmarkEnd w:id="1128"/>
      <w:r>
        <w:rPr>
          <w:rFonts w:ascii="Arial" w:eastAsia="Arial" w:hAnsi="Arial" w:cs="Arial"/>
          <w:i/>
          <w:color w:val="000000"/>
          <w:sz w:val="20"/>
        </w:rPr>
        <w:t>Bank of America Corp. v. City of Miami</w:t>
      </w:r>
      <w:r>
        <w:rPr>
          <w:rFonts w:ascii="Arial" w:eastAsia="Arial" w:hAnsi="Arial" w:cs="Arial"/>
          <w:color w:val="000000"/>
          <w:sz w:val="20"/>
        </w:rPr>
        <w:t>, 137 S. Ct. 1296, 1303, 197 L. Ed. 2d 678 (2017) (explaining that under the Fair Housing Act, the Court has allowed suits by plaintiffs who were plainly not buyers or renters, such as "a village alleging that it lost tax revenue" and "a nonprofit organization that spent money to combat housing discrimination").</w:t>
      </w:r>
    </w:p>
    <w:p w14:paraId="51C3A04B" w14:textId="77777777" w:rsidR="002B10A6" w:rsidRDefault="00000000">
      <w:pPr>
        <w:pStyle w:val="Normal8"/>
        <w:widowControl w:val="0"/>
        <w:spacing w:before="200" w:line="260" w:lineRule="atLeast"/>
        <w:jc w:val="both"/>
      </w:pPr>
      <w:bookmarkStart w:id="1129" w:name="Bookmark_para_11_7"/>
      <w:bookmarkStart w:id="1130" w:name="Bookmark_I62GS24M2D6N100040000400"/>
      <w:bookmarkEnd w:id="1129"/>
      <w:bookmarkEnd w:id="1130"/>
      <w:r>
        <w:rPr>
          <w:rFonts w:ascii="Arial" w:eastAsia="Arial" w:hAnsi="Arial" w:cs="Arial"/>
          <w:color w:val="000000"/>
          <w:sz w:val="20"/>
        </w:rPr>
        <w:t xml:space="preserve">In the alternative, the district court granted U.S. Vets' Rule 12(b)(6) motion because Webb "has not alleged an actual injury." </w:t>
      </w:r>
      <w:bookmarkStart w:id="1131" w:name="Bookmark_I62GS24M2D6N100030000400"/>
      <w:bookmarkEnd w:id="1131"/>
      <w:r>
        <w:rPr>
          <w:rFonts w:ascii="Arial" w:eastAsia="Arial" w:hAnsi="Arial" w:cs="Arial"/>
          <w:i/>
          <w:color w:val="000000"/>
          <w:sz w:val="20"/>
        </w:rPr>
        <w:t>Webb</w:t>
      </w:r>
      <w:r>
        <w:rPr>
          <w:rFonts w:ascii="Arial" w:eastAsia="Arial" w:hAnsi="Arial" w:cs="Arial"/>
          <w:color w:val="000000"/>
          <w:sz w:val="20"/>
        </w:rPr>
        <w:t>, 2019 U.S. Dist. LEXIS 218097, 2019 WL 6877835, at *5 n.6. Defending that ruling, U.S. Vets makes three arguments, all unpersuasive.</w:t>
      </w:r>
    </w:p>
    <w:p w14:paraId="58E94505" w14:textId="77777777" w:rsidR="002B10A6" w:rsidRDefault="00000000">
      <w:pPr>
        <w:pStyle w:val="Normal8"/>
        <w:widowControl w:val="0"/>
        <w:spacing w:before="200" w:line="260" w:lineRule="atLeast"/>
        <w:jc w:val="both"/>
      </w:pPr>
      <w:bookmarkStart w:id="1132" w:name="Bookmark_para_12_7"/>
      <w:bookmarkStart w:id="1133" w:name="Bookmark_I62GS24N2SF8G00010000400"/>
      <w:bookmarkEnd w:id="1132"/>
      <w:bookmarkEnd w:id="1133"/>
      <w:r>
        <w:rPr>
          <w:rFonts w:ascii="Arial" w:eastAsia="Arial" w:hAnsi="Arial" w:cs="Arial"/>
          <w:color w:val="000000"/>
          <w:sz w:val="20"/>
        </w:rPr>
        <w:t xml:space="preserve">First, U.S. Vets argues that Webb's amended complaint fails to repeat the allegations contained in his original complaint. </w:t>
      </w:r>
      <w:bookmarkStart w:id="1134" w:name="Bookmark_I62GS24N2SF8G00050000400"/>
      <w:bookmarkStart w:id="1135" w:name="Bookmark_LNHNREFclscc3_7"/>
      <w:bookmarkEnd w:id="1134"/>
      <w:bookmarkEnd w:id="1135"/>
      <w:r>
        <w:rPr>
          <w:rFonts w:ascii="Arial" w:eastAsia="Arial" w:hAnsi="Arial" w:cs="Arial"/>
          <w:color w:val="000000"/>
          <w:sz w:val="20"/>
        </w:rPr>
        <w:t xml:space="preserve">Although it is generally true that "an amended complaint supersedes an [***6]  original complaint," </w:t>
      </w:r>
      <w:bookmarkStart w:id="1136" w:name="Bookmark_I62GS24M2D6N100050000400"/>
      <w:bookmarkEnd w:id="1136"/>
      <w:r>
        <w:rPr>
          <w:rFonts w:ascii="Arial" w:eastAsia="Arial" w:hAnsi="Arial" w:cs="Arial"/>
          <w:i/>
          <w:color w:val="000000"/>
          <w:sz w:val="20"/>
        </w:rPr>
        <w:t>In re Atlas Van Lines, Inc.</w:t>
      </w:r>
      <w:r>
        <w:rPr>
          <w:rFonts w:ascii="Arial" w:eastAsia="Arial" w:hAnsi="Arial" w:cs="Arial"/>
          <w:color w:val="000000"/>
          <w:sz w:val="20"/>
        </w:rPr>
        <w:t xml:space="preserve">, 209 F.3d 1064, 1067 (8th Cir. 2000), our court holds pro se pleadings to "less stringent standards than formal pleadings drafted by lawyers," so long as they contain "factual matter" that allows us to "infer more than the mere possibility of misconduct," </w:t>
      </w:r>
      <w:bookmarkStart w:id="1137" w:name="Bookmark_I62GS24N2SF8G00020000400"/>
      <w:bookmarkEnd w:id="1137"/>
      <w:r>
        <w:rPr>
          <w:rFonts w:ascii="Arial" w:eastAsia="Arial" w:hAnsi="Arial" w:cs="Arial"/>
          <w:i/>
          <w:color w:val="000000"/>
          <w:sz w:val="20"/>
        </w:rPr>
        <w:t>Atherton v. District of Columbia Office of the Mayor</w:t>
      </w:r>
      <w:r>
        <w:rPr>
          <w:rFonts w:ascii="Arial" w:eastAsia="Arial" w:hAnsi="Arial" w:cs="Arial"/>
          <w:color w:val="000000"/>
          <w:sz w:val="20"/>
        </w:rPr>
        <w:t xml:space="preserve">, 567 F.3d 672, 681-82, 386 U.S. App. D.C. 144 (D.C. Cir. 2009) (internal quotation marks and citation omitted). Courts must consider a pro se plaintiff's complaint "in light of all filings" before dismissing for failing to  [**510]   [*973]  state a claim. </w:t>
      </w:r>
      <w:bookmarkStart w:id="1138" w:name="Bookmark_I62GS24N2SF8G00050000400_2"/>
      <w:bookmarkStart w:id="1139" w:name="Bookmark_I62GS24N2SF8G00040000400"/>
      <w:bookmarkEnd w:id="1138"/>
      <w:bookmarkEnd w:id="1139"/>
      <w:r>
        <w:rPr>
          <w:rFonts w:ascii="Arial" w:eastAsia="Arial" w:hAnsi="Arial" w:cs="Arial"/>
          <w:i/>
          <w:color w:val="000000"/>
          <w:sz w:val="20"/>
        </w:rPr>
        <w:t>Brown v. Whole Foods Market Group, Inc.</w:t>
      </w:r>
      <w:r>
        <w:rPr>
          <w:rFonts w:ascii="Arial" w:eastAsia="Arial" w:hAnsi="Arial" w:cs="Arial"/>
          <w:color w:val="000000"/>
          <w:sz w:val="20"/>
        </w:rPr>
        <w:t xml:space="preserve">, 789 F.3d 146, 152, 416 U.S. App. D.C. 1 (D.C. Cir. 2015) (per curiam); </w:t>
      </w:r>
      <w:r>
        <w:rPr>
          <w:rFonts w:ascii="Arial" w:eastAsia="Arial" w:hAnsi="Arial" w:cs="Arial"/>
          <w:i/>
          <w:color w:val="000000"/>
          <w:sz w:val="20"/>
        </w:rPr>
        <w:t xml:space="preserve">see also </w:t>
      </w:r>
      <w:bookmarkStart w:id="1140" w:name="Bookmark_I62GS24N2N1RH10010000400"/>
      <w:bookmarkEnd w:id="1140"/>
      <w:r>
        <w:rPr>
          <w:rFonts w:ascii="Arial" w:eastAsia="Arial" w:hAnsi="Arial" w:cs="Arial"/>
          <w:i/>
          <w:color w:val="000000"/>
          <w:sz w:val="20"/>
        </w:rPr>
        <w:t>Greenhill v. Spellings</w:t>
      </w:r>
      <w:r>
        <w:rPr>
          <w:rFonts w:ascii="Arial" w:eastAsia="Arial" w:hAnsi="Arial" w:cs="Arial"/>
          <w:color w:val="000000"/>
          <w:sz w:val="20"/>
        </w:rPr>
        <w:t>, 482 F.3d 569, 572, 375 U.S. App. D.C. 477 (D.C. Cir. 2007) (considering "supplemental material filed by a pro se litigant in order to clarify the precise claims being urged").</w:t>
      </w:r>
    </w:p>
    <w:p w14:paraId="0809C09D" w14:textId="77777777" w:rsidR="002B10A6" w:rsidRDefault="00000000">
      <w:pPr>
        <w:pStyle w:val="Normal8"/>
        <w:widowControl w:val="0"/>
        <w:spacing w:before="200" w:line="260" w:lineRule="atLeast"/>
        <w:jc w:val="both"/>
      </w:pPr>
      <w:bookmarkStart w:id="1141" w:name="Bookmark_para_13_7"/>
      <w:bookmarkEnd w:id="1141"/>
      <w:r>
        <w:rPr>
          <w:rFonts w:ascii="Arial" w:eastAsia="Arial" w:hAnsi="Arial" w:cs="Arial"/>
          <w:color w:val="000000"/>
          <w:sz w:val="20"/>
        </w:rPr>
        <w:t xml:space="preserve">Although Webb's amended complaint did not restate the factual allegations from the original complaint, the amended complaint refers to his "[HUD] . . . complaint of housing discrimination," which laid out the allegations underlying his sex discrimination claim. Am. Compl. 2. Moreover, U.S. Vets responded to the allegations contained in the original complaint in its motion to dismiss, and Webb's responsive filings also discussed those allegations. </w:t>
      </w:r>
      <w:r>
        <w:rPr>
          <w:rFonts w:ascii="Arial" w:eastAsia="Arial" w:hAnsi="Arial" w:cs="Arial"/>
          <w:i/>
          <w:color w:val="000000"/>
          <w:sz w:val="20"/>
        </w:rPr>
        <w:t>See</w:t>
      </w:r>
      <w:r>
        <w:rPr>
          <w:rFonts w:ascii="Arial" w:eastAsia="Arial" w:hAnsi="Arial" w:cs="Arial"/>
          <w:color w:val="000000"/>
          <w:sz w:val="20"/>
        </w:rPr>
        <w:t xml:space="preserve"> Mem. in Supp. of Mot. to Dismiss at 20-22, J.A. 57-59; Opp'n to Mot. to Dismiss at 11, J.A. 126; Resp. in Opp'n to Mot. for Summ. J. at 10, 15-17, J.A. 143, 148-50; Reply Mem. in Supp. of [***7]  Mot. to Dismiss at 7-8, J.A. 101-02. In other words, Webb's filings following his "amended" complaint reflect his intent to supplement, rather than replace, his claims in the original complaint. Considering all of this pro se plaintiff's filings together, we find that his allegations of sex discrimination—that U.S. Vets refused to offer him a one-bedroom unit because of his sex while offering one to a less-qualified female applicant—clear the motion to dismiss bar.</w:t>
      </w:r>
    </w:p>
    <w:p w14:paraId="792EFACF" w14:textId="77777777" w:rsidR="002B10A6" w:rsidRDefault="00000000">
      <w:pPr>
        <w:pStyle w:val="Normal8"/>
        <w:widowControl w:val="0"/>
        <w:spacing w:before="200" w:line="260" w:lineRule="atLeast"/>
        <w:jc w:val="both"/>
      </w:pPr>
      <w:bookmarkStart w:id="1142" w:name="Bookmark_para_14_7"/>
      <w:bookmarkStart w:id="1143" w:name="Bookmark_I62GS24N2N1RH10040000400"/>
      <w:bookmarkEnd w:id="1142"/>
      <w:bookmarkEnd w:id="1143"/>
      <w:r>
        <w:rPr>
          <w:rFonts w:ascii="Arial" w:eastAsia="Arial" w:hAnsi="Arial" w:cs="Arial"/>
          <w:color w:val="000000"/>
          <w:sz w:val="20"/>
        </w:rPr>
        <w:t xml:space="preserve">Second, U.S. Vets argues that even if Webb's factual allegations were adequate, his discrimination claim fails as a matter of law because he was never "deprived of a place to live." Appellee's Br. 30; </w:t>
      </w:r>
      <w:r>
        <w:rPr>
          <w:rFonts w:ascii="Arial" w:eastAsia="Arial" w:hAnsi="Arial" w:cs="Arial"/>
          <w:i/>
          <w:color w:val="000000"/>
          <w:sz w:val="20"/>
        </w:rPr>
        <w:t xml:space="preserve">see also </w:t>
      </w:r>
      <w:bookmarkStart w:id="1144" w:name="Bookmark_I62GS24N2N1RH10030000400"/>
      <w:bookmarkEnd w:id="1144"/>
      <w:r>
        <w:rPr>
          <w:rFonts w:ascii="Arial" w:eastAsia="Arial" w:hAnsi="Arial" w:cs="Arial"/>
          <w:i/>
          <w:color w:val="000000"/>
          <w:sz w:val="20"/>
        </w:rPr>
        <w:t>Webb</w:t>
      </w:r>
      <w:r>
        <w:rPr>
          <w:rFonts w:ascii="Arial" w:eastAsia="Arial" w:hAnsi="Arial" w:cs="Arial"/>
          <w:color w:val="000000"/>
          <w:sz w:val="20"/>
        </w:rPr>
        <w:t xml:space="preserve">, 2019 U.S. Dist. LEXIS 218097, 2019 WL 6877835, at *5 n.6 (concluding that Webb suffered no actual injury because "U.S. Vets has never deprived him of a rent-free apartment"). </w:t>
      </w:r>
      <w:bookmarkStart w:id="1145" w:name="Bookmark_LNHNREFclscc4_7"/>
      <w:bookmarkEnd w:id="1145"/>
      <w:r>
        <w:rPr>
          <w:rFonts w:ascii="Arial" w:eastAsia="Arial" w:hAnsi="Arial" w:cs="Arial"/>
          <w:color w:val="000000"/>
          <w:sz w:val="20"/>
        </w:rPr>
        <w:t>Section 3604, however, contains no textual limitation making an otherwise discriminatory housing practice lawful simply because the aggrieved person is not yet homeless. Rather, alleging that someone made "</w:t>
      </w:r>
      <w:r>
        <w:rPr>
          <w:rFonts w:ascii="Arial" w:eastAsia="Arial" w:hAnsi="Arial" w:cs="Arial"/>
          <w:i/>
          <w:color w:val="000000"/>
          <w:sz w:val="20"/>
        </w:rPr>
        <w:t>a</w:t>
      </w:r>
      <w:r>
        <w:rPr>
          <w:rFonts w:ascii="Arial" w:eastAsia="Arial" w:hAnsi="Arial" w:cs="Arial"/>
          <w:color w:val="000000"/>
          <w:sz w:val="20"/>
        </w:rPr>
        <w:t xml:space="preserve"> dwelling"—whether or not the plaintiff's current dwelling—unavailable based on a protected characteristic is sufficient. 42 U.S.C. § 3604(a) (emphasis added). Put differently, nothing in the statute required Webb to be kicked [***8]  out of his multiple-occupancy unit to sue U.S. Vets for refusing to offer him a one-bedroom unit on the basis of his sex.</w:t>
      </w:r>
    </w:p>
    <w:p w14:paraId="1A58C4BF" w14:textId="77777777" w:rsidR="002B10A6" w:rsidRDefault="00000000">
      <w:pPr>
        <w:pStyle w:val="Normal8"/>
        <w:widowControl w:val="0"/>
        <w:spacing w:before="200" w:line="260" w:lineRule="atLeast"/>
        <w:jc w:val="both"/>
      </w:pPr>
      <w:bookmarkStart w:id="1146" w:name="Bookmark_para_15_7"/>
      <w:bookmarkEnd w:id="1146"/>
      <w:r>
        <w:rPr>
          <w:rFonts w:ascii="Arial" w:eastAsia="Arial" w:hAnsi="Arial" w:cs="Arial"/>
          <w:color w:val="000000"/>
          <w:sz w:val="20"/>
        </w:rPr>
        <w:t>Finally, U.S. Vets argues that the Fair Housing Act does not extend to Webb's "post-acquisition grievances" that arose after he acquired housing from U.S. Vets. Appellee's Br. 34. But Webb's discrimination claim arose at the very outset: he asked for a single-occupancy unit and was told by U.S. Vets that one was unavailable, and yet, he alleges, U.S. Vets placed a less-qualified female applicant in a single-occupancy unit. There is nothing "post"-acquisition about this claim.</w:t>
      </w:r>
    </w:p>
    <w:p w14:paraId="5A809C71" w14:textId="77777777" w:rsidR="002B10A6" w:rsidRDefault="00000000">
      <w:pPr>
        <w:pStyle w:val="Normal8"/>
        <w:widowControl w:val="0"/>
        <w:spacing w:before="200" w:line="260" w:lineRule="atLeast"/>
        <w:jc w:val="both"/>
      </w:pPr>
      <w:bookmarkStart w:id="1147" w:name="Bookmark_para_16_6"/>
      <w:bookmarkStart w:id="1148" w:name="Bookmark_I62GS24N2HM6KY0010000400"/>
      <w:bookmarkStart w:id="1149" w:name="Bookmark_I1V43PS6V5600001GXV00001"/>
      <w:bookmarkStart w:id="1150" w:name="Bookmark_I62GS24N2HM6KY0050000400"/>
      <w:bookmarkEnd w:id="1147"/>
      <w:bookmarkEnd w:id="1148"/>
      <w:bookmarkEnd w:id="1149"/>
      <w:bookmarkEnd w:id="1150"/>
      <w:r>
        <w:rPr>
          <w:rFonts w:ascii="Arial" w:eastAsia="Arial" w:hAnsi="Arial" w:cs="Arial"/>
          <w:color w:val="000000"/>
          <w:sz w:val="20"/>
        </w:rPr>
        <w:t xml:space="preserve">U.S. Vets' argument would fail even were we to construe Webb's request for a one-bedroom unit as a transfer request after acquiring his multiple-occupancy unit. </w:t>
      </w:r>
      <w:bookmarkStart w:id="1151" w:name="Bookmark_LNHNREFclscc5_7"/>
      <w:bookmarkEnd w:id="1151"/>
      <w:r>
        <w:rPr>
          <w:rFonts w:ascii="Arial" w:eastAsia="Arial" w:hAnsi="Arial" w:cs="Arial"/>
          <w:color w:val="000000"/>
          <w:sz w:val="20"/>
        </w:rPr>
        <w:t xml:space="preserve">As our sister circuits have held, nothing in section 3604 limits its scope to discriminatory conduct occurring before or at the time of signing a lease. </w:t>
      </w:r>
      <w:bookmarkStart w:id="1152" w:name="Bookmark_I62GS24P2D6N190020000400"/>
      <w:bookmarkEnd w:id="1152"/>
      <w:r>
        <w:rPr>
          <w:rFonts w:ascii="Arial" w:eastAsia="Arial" w:hAnsi="Arial" w:cs="Arial"/>
          <w:i/>
          <w:color w:val="000000"/>
          <w:sz w:val="20"/>
        </w:rPr>
        <w:t>See, e.g.</w:t>
      </w:r>
      <w:r>
        <w:rPr>
          <w:rFonts w:ascii="Arial" w:eastAsia="Arial" w:hAnsi="Arial" w:cs="Arial"/>
          <w:color w:val="000000"/>
          <w:sz w:val="20"/>
        </w:rPr>
        <w:t xml:space="preserve">, </w:t>
      </w:r>
      <w:bookmarkStart w:id="1153" w:name="Bookmark_I62GS24N2N1RH10050000400"/>
      <w:bookmarkEnd w:id="1153"/>
      <w:r>
        <w:rPr>
          <w:rFonts w:ascii="Arial" w:eastAsia="Arial" w:hAnsi="Arial" w:cs="Arial"/>
          <w:i/>
          <w:color w:val="000000"/>
          <w:sz w:val="20"/>
        </w:rPr>
        <w:t>Georgia State Conference of the NAACP v. City of LaGrange</w:t>
      </w:r>
      <w:r>
        <w:rPr>
          <w:rFonts w:ascii="Arial" w:eastAsia="Arial" w:hAnsi="Arial" w:cs="Arial"/>
          <w:color w:val="000000"/>
          <w:sz w:val="20"/>
        </w:rPr>
        <w:t xml:space="preserve">, 940 F.3d 627, 632 (11th Cir. 2019) ("The statute does not contain any language limiting its application to discriminatory conduct that occurs prior to or at the moment of the sale or rental."); </w:t>
      </w:r>
      <w:bookmarkStart w:id="1154" w:name="Bookmark_I62GS24N2HM6KY0020000400"/>
      <w:bookmarkEnd w:id="1154"/>
      <w:r>
        <w:rPr>
          <w:rFonts w:ascii="Arial" w:eastAsia="Arial" w:hAnsi="Arial" w:cs="Arial"/>
          <w:i/>
          <w:color w:val="000000"/>
          <w:sz w:val="20"/>
        </w:rPr>
        <w:t>The Committee Concerning Community Improvement v. City of Modesto</w:t>
      </w:r>
      <w:r>
        <w:rPr>
          <w:rFonts w:ascii="Arial" w:eastAsia="Arial" w:hAnsi="Arial" w:cs="Arial"/>
          <w:color w:val="000000"/>
          <w:sz w:val="20"/>
        </w:rPr>
        <w:t xml:space="preserve">, 583 F.3d 690, 713 (9th Cir. 2009) ("[W]e conclude that the [Fair Housing Act] reaches post-acquisition discrimination."). U.S. Vets cites </w:t>
      </w:r>
      <w:bookmarkStart w:id="1155" w:name="Bookmark_I62GS24N2HM6KY0040000400"/>
      <w:bookmarkEnd w:id="1155"/>
      <w:r>
        <w:rPr>
          <w:rFonts w:ascii="Arial" w:eastAsia="Arial" w:hAnsi="Arial" w:cs="Arial"/>
          <w:i/>
          <w:color w:val="000000"/>
          <w:sz w:val="20"/>
        </w:rPr>
        <w:t>Clifton Terrace Associates v. United Technologies Corp.</w:t>
      </w:r>
      <w:r>
        <w:rPr>
          <w:rFonts w:ascii="Arial" w:eastAsia="Arial" w:hAnsi="Arial" w:cs="Arial"/>
          <w:color w:val="000000"/>
          <w:sz w:val="20"/>
        </w:rPr>
        <w:t xml:space="preserve">, 929 F.2d 714, 289 U.S. App. D.C. 121 (D.C. Cir. 1991), but that case has nothing [***9]  to do with the timing of alleged discriminatory  [*974]   [**511]  conduct; it held only that property owners could not sue private building services providers under section 3604(b). </w:t>
      </w:r>
      <w:bookmarkStart w:id="1156" w:name="Bookmark_I62GS24P2D6N190020000400_2"/>
      <w:bookmarkStart w:id="1157" w:name="Bookmark_I62GS24P2D6N190010000400"/>
      <w:bookmarkEnd w:id="1156"/>
      <w:bookmarkEnd w:id="1157"/>
      <w:r>
        <w:rPr>
          <w:rFonts w:ascii="Arial" w:eastAsia="Arial" w:hAnsi="Arial" w:cs="Arial"/>
          <w:i/>
          <w:color w:val="000000"/>
          <w:sz w:val="20"/>
        </w:rPr>
        <w:t>Id.</w:t>
      </w:r>
      <w:r>
        <w:rPr>
          <w:rFonts w:ascii="Arial" w:eastAsia="Arial" w:hAnsi="Arial" w:cs="Arial"/>
          <w:color w:val="000000"/>
          <w:sz w:val="20"/>
        </w:rPr>
        <w:t xml:space="preserve"> at 720.</w:t>
      </w:r>
    </w:p>
    <w:p w14:paraId="12FE78B7" w14:textId="77777777" w:rsidR="002B10A6" w:rsidRDefault="00000000">
      <w:pPr>
        <w:pStyle w:val="Normal8"/>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14:paraId="4769B9E7" w14:textId="77777777" w:rsidR="002B10A6" w:rsidRDefault="00000000">
      <w:pPr>
        <w:pStyle w:val="Normal8"/>
        <w:widowControl w:val="0"/>
        <w:spacing w:before="200" w:line="260" w:lineRule="atLeast"/>
        <w:jc w:val="both"/>
      </w:pPr>
      <w:bookmarkStart w:id="1158" w:name="Bookmark_para_17_6"/>
      <w:bookmarkEnd w:id="1158"/>
      <w:r>
        <w:rPr>
          <w:rFonts w:ascii="Arial" w:eastAsia="Arial" w:hAnsi="Arial" w:cs="Arial"/>
          <w:color w:val="000000"/>
          <w:sz w:val="20"/>
        </w:rPr>
        <w:t>For the foregoing reasons, we reverse the district court's judgment dismissing Webb's complaint and remand for further proceedings consistent with this opinion. In doing so, we express no view on the merits of Webb's Fair Housing Act claim or any claims over which the district court declined to exercise jurisdiction. We also remind the parties that the district court has broad discretion to limit the scope of discovery pursuant to Federal Rule of Civil Procedure 26(b).</w:t>
      </w:r>
    </w:p>
    <w:p w14:paraId="3E0DC050" w14:textId="77777777" w:rsidR="002B10A6" w:rsidRDefault="00000000">
      <w:pPr>
        <w:pStyle w:val="Normal8"/>
        <w:widowControl w:val="0"/>
        <w:spacing w:before="200" w:line="260" w:lineRule="atLeast"/>
        <w:jc w:val="both"/>
      </w:pPr>
      <w:bookmarkStart w:id="1159" w:name="Bookmark_para_18_6"/>
      <w:bookmarkEnd w:id="1159"/>
      <w:r>
        <w:rPr>
          <w:rFonts w:ascii="Arial" w:eastAsia="Arial" w:hAnsi="Arial" w:cs="Arial"/>
          <w:i/>
          <w:color w:val="000000"/>
          <w:sz w:val="20"/>
        </w:rPr>
        <w:t>So ordered</w:t>
      </w:r>
      <w:r>
        <w:rPr>
          <w:rFonts w:ascii="Arial" w:eastAsia="Arial" w:hAnsi="Arial" w:cs="Arial"/>
          <w:color w:val="000000"/>
          <w:sz w:val="20"/>
        </w:rPr>
        <w:t>.</w:t>
      </w:r>
    </w:p>
    <w:p w14:paraId="30979E65" w14:textId="77777777" w:rsidR="002B10A6" w:rsidRDefault="002B10A6">
      <w:pPr>
        <w:pStyle w:val="Normal8"/>
      </w:pPr>
    </w:p>
    <w:p w14:paraId="43A460A8" w14:textId="7B4E5A3D" w:rsidR="002B10A6" w:rsidRDefault="00000000">
      <w:pPr>
        <w:pStyle w:val="Normal8"/>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75648" behindDoc="0" locked="0" layoutInCell="1" allowOverlap="1" wp14:anchorId="22A464FA" wp14:editId="0A550931">
                <wp:simplePos x="0" y="0"/>
                <wp:positionH relativeFrom="column">
                  <wp:posOffset>0</wp:posOffset>
                </wp:positionH>
                <wp:positionV relativeFrom="paragraph">
                  <wp:posOffset>127000</wp:posOffset>
                </wp:positionV>
                <wp:extent cx="6502400" cy="0"/>
                <wp:effectExtent l="9525" t="12700" r="12700" b="6350"/>
                <wp:wrapNone/>
                <wp:docPr id="32214252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F4FF6" id="Line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41CF050" w14:textId="77777777" w:rsidR="002B10A6" w:rsidRDefault="002B10A6">
      <w:pPr>
        <w:pStyle w:val="Normal9"/>
        <w:sectPr w:rsidR="002B10A6">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gutter="0"/>
          <w:cols w:space="720"/>
          <w:titlePg/>
        </w:sectPr>
      </w:pPr>
    </w:p>
    <w:p w14:paraId="353BFA64" w14:textId="77777777" w:rsidR="002B10A6" w:rsidRDefault="002B10A6">
      <w:pPr>
        <w:pStyle w:val="Normal9"/>
      </w:pPr>
    </w:p>
    <w:p w14:paraId="59019330" w14:textId="77777777" w:rsidR="002B10A6" w:rsidRDefault="00000000">
      <w:pPr>
        <w:pStyle w:val="Heading18"/>
        <w:keepNext w:val="0"/>
        <w:widowControl w:val="0"/>
        <w:spacing w:after="200" w:line="340" w:lineRule="atLeast"/>
        <w:jc w:val="center"/>
      </w:pPr>
      <w:r>
        <w:rPr>
          <w:rFonts w:eastAsia="Arial"/>
          <w:color w:val="000000"/>
          <w:sz w:val="28"/>
        </w:rPr>
        <w:t>Gil v. Winn-Dixie Stores, Inc.</w:t>
      </w:r>
    </w:p>
    <w:p w14:paraId="2C786F81" w14:textId="77777777" w:rsidR="002B10A6" w:rsidRDefault="00000000">
      <w:pPr>
        <w:pStyle w:val="Normal9"/>
        <w:widowControl w:val="0"/>
        <w:spacing w:before="120" w:line="260" w:lineRule="atLeast"/>
        <w:jc w:val="center"/>
      </w:pPr>
      <w:r>
        <w:rPr>
          <w:rFonts w:ascii="Arial" w:eastAsia="Arial" w:hAnsi="Arial" w:cs="Arial"/>
          <w:color w:val="000000"/>
          <w:sz w:val="20"/>
        </w:rPr>
        <w:t>United States Court of Appeals for the Eleventh Circuit</w:t>
      </w:r>
    </w:p>
    <w:p w14:paraId="235A8440" w14:textId="77777777" w:rsidR="002B10A6" w:rsidRDefault="00000000">
      <w:pPr>
        <w:pStyle w:val="Normal9"/>
        <w:widowControl w:val="0"/>
        <w:spacing w:before="120" w:line="260" w:lineRule="atLeast"/>
        <w:jc w:val="center"/>
      </w:pPr>
      <w:r>
        <w:rPr>
          <w:rFonts w:ascii="Arial" w:eastAsia="Arial" w:hAnsi="Arial" w:cs="Arial"/>
          <w:color w:val="000000"/>
          <w:sz w:val="20"/>
        </w:rPr>
        <w:t>April 7, 2021, Decided</w:t>
      </w:r>
    </w:p>
    <w:p w14:paraId="629063AA" w14:textId="77777777" w:rsidR="002B10A6" w:rsidRDefault="00000000">
      <w:pPr>
        <w:pStyle w:val="Normal9"/>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17-13467</w:t>
      </w:r>
    </w:p>
    <w:p w14:paraId="584C577C" w14:textId="77777777" w:rsidR="002B10A6" w:rsidRDefault="002B10A6">
      <w:pPr>
        <w:pStyle w:val="Normal9"/>
        <w:widowControl w:val="0"/>
        <w:spacing w:line="240" w:lineRule="atLeast"/>
        <w:jc w:val="both"/>
      </w:pPr>
      <w:bookmarkStart w:id="1160" w:name="Bookmark_10"/>
      <w:bookmarkEnd w:id="1160"/>
    </w:p>
    <w:p w14:paraId="03C50B04" w14:textId="77777777" w:rsidR="002B10A6" w:rsidRDefault="00000000">
      <w:pPr>
        <w:pStyle w:val="Normal9"/>
        <w:widowControl w:val="0"/>
        <w:spacing w:before="200" w:line="240" w:lineRule="atLeast"/>
      </w:pPr>
      <w:bookmarkStart w:id="1161" w:name="Reporter_8"/>
      <w:bookmarkEnd w:id="1161"/>
      <w:r>
        <w:rPr>
          <w:rFonts w:ascii="Arial" w:eastAsia="Arial" w:hAnsi="Arial" w:cs="Arial"/>
          <w:b/>
          <w:color w:val="000000"/>
          <w:sz w:val="18"/>
        </w:rPr>
        <w:t>Reporter</w:t>
      </w:r>
    </w:p>
    <w:p w14:paraId="39443933" w14:textId="77777777" w:rsidR="002B10A6" w:rsidRDefault="00000000">
      <w:pPr>
        <w:pStyle w:val="Normal9"/>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993 F.3d 1266 *; 2021 U.S. App. LEXIS 10024 **; 28 Fla. L. Weekly Fed. C 2673; 2021 WL 1289906</w:t>
      </w:r>
    </w:p>
    <w:p w14:paraId="09531B78" w14:textId="77777777" w:rsidR="002B10A6" w:rsidRDefault="00000000">
      <w:pPr>
        <w:pStyle w:val="Normal9"/>
        <w:widowControl w:val="0"/>
        <w:spacing w:before="120" w:line="260" w:lineRule="atLeast"/>
      </w:pPr>
      <w:r>
        <w:rPr>
          <w:rFonts w:ascii="Arial" w:eastAsia="Arial" w:hAnsi="Arial" w:cs="Arial"/>
          <w:color w:val="000000"/>
          <w:sz w:val="20"/>
        </w:rPr>
        <w:t>JUAN CARLOS GIL, Plaintiff - Appellee, versus WINN-DIXIE STORES, INC., Defendant - Appellant.</w:t>
      </w:r>
    </w:p>
    <w:p w14:paraId="54517813" w14:textId="77777777" w:rsidR="002B10A6" w:rsidRDefault="00000000">
      <w:pPr>
        <w:pStyle w:val="Normal9"/>
        <w:widowControl w:val="0"/>
        <w:spacing w:before="240" w:line="260" w:lineRule="atLeast"/>
      </w:pPr>
      <w:bookmarkStart w:id="1162" w:name="Subsequent_History_2"/>
      <w:bookmarkEnd w:id="1162"/>
      <w:r>
        <w:rPr>
          <w:rFonts w:ascii="Arial" w:eastAsia="Arial" w:hAnsi="Arial" w:cs="Arial"/>
          <w:b/>
          <w:color w:val="000000"/>
          <w:sz w:val="20"/>
        </w:rPr>
        <w:t>Subsequent History:</w:t>
      </w:r>
      <w:r>
        <w:rPr>
          <w:rFonts w:ascii="Arial" w:eastAsia="Arial" w:hAnsi="Arial" w:cs="Arial"/>
          <w:color w:val="000000"/>
          <w:sz w:val="20"/>
        </w:rPr>
        <w:t> Vacated by, Remanded by, Rehearing granted by, En banc, Appeal dismissed by Gil v. Winn-Dixie Stores, Inc., 2021 U.S. App. LEXIS 38489, 2021 WL 6129128 (11th Cir. Fla., Dec. 28, 2021)</w:t>
      </w:r>
    </w:p>
    <w:p w14:paraId="5478548E" w14:textId="77777777" w:rsidR="002B10A6" w:rsidRDefault="00000000">
      <w:pPr>
        <w:pStyle w:val="Normal9"/>
        <w:widowControl w:val="0"/>
        <w:spacing w:before="240" w:line="260" w:lineRule="atLeast"/>
        <w:jc w:val="both"/>
      </w:pPr>
      <w:bookmarkStart w:id="1163" w:name="Prior_History_8"/>
      <w:bookmarkEnd w:id="1163"/>
      <w:r>
        <w:rPr>
          <w:rFonts w:ascii="Arial" w:eastAsia="Arial" w:hAnsi="Arial" w:cs="Arial"/>
          <w:b/>
          <w:color w:val="000000"/>
          <w:sz w:val="20"/>
        </w:rPr>
        <w:t>Prior History:</w:t>
      </w:r>
      <w:r>
        <w:rPr>
          <w:rFonts w:ascii="Arial" w:eastAsia="Arial" w:hAnsi="Arial" w:cs="Arial"/>
          <w:color w:val="000000"/>
          <w:sz w:val="20"/>
        </w:rPr>
        <w:t> </w:t>
      </w:r>
      <w:bookmarkStart w:id="1164" w:name="Bookmark_para_1_8"/>
      <w:bookmarkEnd w:id="1164"/>
      <w:r>
        <w:rPr>
          <w:rFonts w:ascii="Arial" w:eastAsia="Arial" w:hAnsi="Arial" w:cs="Arial"/>
          <w:color w:val="000000"/>
          <w:sz w:val="20"/>
        </w:rPr>
        <w:t> [**1] Appeal from the United States District Court for the Southern District of Florida. D.C. Docket No. 1:16-cv-23020-RNS.</w:t>
      </w:r>
    </w:p>
    <w:p w14:paraId="2750BBC1" w14:textId="77777777" w:rsidR="002B10A6" w:rsidRDefault="00000000">
      <w:pPr>
        <w:pStyle w:val="Normal9"/>
        <w:widowControl w:val="0"/>
        <w:spacing w:before="120" w:line="260" w:lineRule="atLeast"/>
      </w:pPr>
      <w:r>
        <w:rPr>
          <w:rFonts w:ascii="Arial" w:eastAsia="Arial" w:hAnsi="Arial" w:cs="Arial"/>
          <w:color w:val="000000"/>
          <w:sz w:val="20"/>
        </w:rPr>
        <w:t>Gil v. Winn-Dixie Stores, Inc., 257 F. Supp. 3d 1340, 2017 U.S. Dist. LEXIS 90204, 2017 WL 2547242 (S.D. Fla., June 12, 2017)</w:t>
      </w:r>
    </w:p>
    <w:p w14:paraId="5F3FB1BB" w14:textId="77777777" w:rsidR="002B10A6" w:rsidRDefault="00000000">
      <w:pPr>
        <w:pStyle w:val="Normal9"/>
        <w:widowControl w:val="0"/>
        <w:spacing w:before="240" w:line="260" w:lineRule="atLeast"/>
        <w:jc w:val="both"/>
      </w:pPr>
      <w:bookmarkStart w:id="1165" w:name="Disposition_4"/>
      <w:bookmarkEnd w:id="1165"/>
      <w:r>
        <w:rPr>
          <w:rFonts w:ascii="Arial" w:eastAsia="Arial" w:hAnsi="Arial" w:cs="Arial"/>
          <w:b/>
          <w:color w:val="000000"/>
          <w:sz w:val="20"/>
        </w:rPr>
        <w:t>Disposition:</w:t>
      </w:r>
      <w:r>
        <w:rPr>
          <w:rFonts w:ascii="Arial" w:eastAsia="Arial" w:hAnsi="Arial" w:cs="Arial"/>
          <w:color w:val="000000"/>
          <w:sz w:val="20"/>
        </w:rPr>
        <w:t> </w:t>
      </w:r>
      <w:bookmarkStart w:id="1166" w:name="Bookmark_clspara_4_4"/>
      <w:bookmarkEnd w:id="1166"/>
      <w:r>
        <w:rPr>
          <w:rFonts w:ascii="Arial" w:eastAsia="Arial" w:hAnsi="Arial" w:cs="Arial"/>
          <w:color w:val="000000"/>
          <w:sz w:val="20"/>
        </w:rPr>
        <w:t>VACATED and REMANDED.</w:t>
      </w:r>
    </w:p>
    <w:p w14:paraId="29922BE0" w14:textId="77777777" w:rsidR="002B10A6" w:rsidRDefault="00000000">
      <w:pPr>
        <w:pStyle w:val="Normal9"/>
        <w:widowControl w:val="0"/>
        <w:spacing w:before="240" w:line="260" w:lineRule="atLeast"/>
      </w:pPr>
      <w:bookmarkStart w:id="1167" w:name="Counsel_8"/>
      <w:bookmarkEnd w:id="1167"/>
      <w:r>
        <w:rPr>
          <w:rFonts w:ascii="Arial" w:eastAsia="Arial" w:hAnsi="Arial" w:cs="Arial"/>
          <w:b/>
          <w:color w:val="000000"/>
          <w:sz w:val="20"/>
        </w:rPr>
        <w:t>Counsel:</w:t>
      </w:r>
      <w:r>
        <w:rPr>
          <w:rFonts w:ascii="Arial" w:eastAsia="Arial" w:hAnsi="Arial" w:cs="Arial"/>
          <w:color w:val="000000"/>
          <w:sz w:val="20"/>
        </w:rPr>
        <w:t> For JUAN CARLOS GIL, Plaintiff - Appellee: David Ferleger, Law Office of David Ferleger, JENKINTOWN, PA; Joshua Michael Entin, Entin &amp; Della Fera, PA, FORT LAUDERDALE, FL.</w:t>
      </w:r>
    </w:p>
    <w:p w14:paraId="67A9FB27" w14:textId="77777777" w:rsidR="002B10A6" w:rsidRDefault="00000000">
      <w:pPr>
        <w:pStyle w:val="Normal9"/>
        <w:widowControl w:val="0"/>
        <w:spacing w:before="120" w:line="260" w:lineRule="atLeast"/>
      </w:pPr>
      <w:r>
        <w:rPr>
          <w:rFonts w:ascii="Arial" w:eastAsia="Arial" w:hAnsi="Arial" w:cs="Arial"/>
          <w:color w:val="000000"/>
          <w:sz w:val="20"/>
        </w:rPr>
        <w:t>For WINN-DIXIE STORES, INC., Defendant - Appellant: Susan Virginia Warner, FisherBroyles, LLP, MIAMI, FL.</w:t>
      </w:r>
    </w:p>
    <w:p w14:paraId="7F14EBA5" w14:textId="77777777" w:rsidR="002B10A6" w:rsidRDefault="00000000">
      <w:pPr>
        <w:pStyle w:val="Normal9"/>
        <w:widowControl w:val="0"/>
        <w:spacing w:before="120" w:line="260" w:lineRule="atLeast"/>
      </w:pPr>
      <w:r>
        <w:rPr>
          <w:rFonts w:ascii="Arial" w:eastAsia="Arial" w:hAnsi="Arial" w:cs="Arial"/>
          <w:color w:val="000000"/>
          <w:sz w:val="20"/>
        </w:rPr>
        <w:t>For THE RESTAURANT LAW CENTER, AMERICAN BANKERS ASSOCIATION, AMERICAN HOTEL &amp; LODGING ASSOCIATION, ASIAN AMERICAN HOTEL OWNERS ASSOCIATION, CHAMBER OF COMMERCE OF THE UNITED STATES OF AMERICA, INTERNATIONAL COUNCIL OF SHOPPING CENTERS, NATIONAL ASSOCIATION OF THEATRE OWNERS, NATIONAL FEDERATION OF INDEPENDENT BUSINESSES, NATIONAL MULTIFAMILY HOUSING COUNCIL, NATIONAL ASSOCIATION OF CONVENIENCE STORES, NATIONAL ASSOCIATION OF REALTORS, NATIONAL RETAIL FEDERATION, AMERICAN RESORT DEVELOPMENT ASSOCIATION, Amicus Curiae: Joyce Ackerbaum Cox, Kevin W. Shaughnessy, Baker &amp; Hostetler, LLP, ORLANDO, FL.</w:t>
      </w:r>
    </w:p>
    <w:p w14:paraId="60A10908" w14:textId="77777777" w:rsidR="002B10A6" w:rsidRDefault="00000000">
      <w:pPr>
        <w:pStyle w:val="Normal9"/>
        <w:widowControl w:val="0"/>
        <w:spacing w:before="120" w:line="260" w:lineRule="atLeast"/>
      </w:pPr>
      <w:r>
        <w:rPr>
          <w:rFonts w:ascii="Arial" w:eastAsia="Arial" w:hAnsi="Arial" w:cs="Arial"/>
          <w:color w:val="000000"/>
          <w:sz w:val="20"/>
        </w:rPr>
        <w:t>For FLORIDA JUSTICE REFORM INSTITUTE, Amicus Curiae: Carol Celeiro Lumpkin, Stephanie N. Moot, K&amp;L Gates, LLP, MIAMI, FL.</w:t>
      </w:r>
    </w:p>
    <w:p w14:paraId="1CE46DEC" w14:textId="77777777" w:rsidR="002B10A6" w:rsidRDefault="00000000">
      <w:pPr>
        <w:pStyle w:val="Normal9"/>
        <w:widowControl w:val="0"/>
        <w:spacing w:before="120" w:line="260" w:lineRule="atLeast"/>
      </w:pPr>
      <w:r>
        <w:rPr>
          <w:rFonts w:ascii="Arial" w:eastAsia="Arial" w:hAnsi="Arial" w:cs="Arial"/>
          <w:color w:val="000000"/>
          <w:sz w:val="20"/>
        </w:rPr>
        <w:t>For NATIONAL FEDERATION OF THE BLIND, AMERICAN COUNCIL OF THE BLIND, [**2]  AMERICAN FOUNDATION FOR THE BLIND, AMERICAN FOUNDATION FOR THE BLIND, ASSOCIATION OF LATE DEAFENED ADULTS, DISABILITY INDEPENDENCE GROUP, INC., DISABILITY RIGHTS ADVOCATES, DISABILITY RIGHTS EDUCATION &amp; DEFENSE FUND, DISABILITY RIGHTS FLORIDA, FLORIDA COUNCIL OF THE BLIND, NATIONAL ASSOCIATION OF THE DEAF, NATIONAL DISABILITY RIGHTS NETWORK, NATIONAL COUNCIL ON INDEPENDENT LIVING, NATIONAL FEDERATION OF THE BLIND OF FLORIDA, WASHINGTON LAWYERS' COMMITTEE FOR CIVIL RIGHTS AND URBAN AFFAIRS, WORLD INSTITUTE ON DISABILITY, Amicus Curiae: Gregory Prescott Care, Brown Goldstein &amp; Levy, LLP, BALTIMORE, MD.</w:t>
      </w:r>
    </w:p>
    <w:p w14:paraId="0259AD70" w14:textId="77777777" w:rsidR="002B10A6" w:rsidRDefault="00000000">
      <w:pPr>
        <w:pStyle w:val="Normal9"/>
        <w:widowControl w:val="0"/>
        <w:spacing w:before="240" w:line="260" w:lineRule="atLeast"/>
      </w:pPr>
      <w:bookmarkStart w:id="1168" w:name="Judges_8"/>
      <w:bookmarkEnd w:id="1168"/>
      <w:r>
        <w:rPr>
          <w:rFonts w:ascii="Arial" w:eastAsia="Arial" w:hAnsi="Arial" w:cs="Arial"/>
          <w:b/>
          <w:color w:val="000000"/>
          <w:sz w:val="20"/>
        </w:rPr>
        <w:t>Judges:</w:t>
      </w:r>
      <w:r>
        <w:rPr>
          <w:rFonts w:ascii="Arial" w:eastAsia="Arial" w:hAnsi="Arial" w:cs="Arial"/>
          <w:color w:val="000000"/>
          <w:sz w:val="20"/>
        </w:rPr>
        <w:t> Before JILL PRYOR and BRANCH, Circuit Judges, and REEVES,</w:t>
      </w:r>
      <w:r>
        <w:rPr>
          <w:rFonts w:ascii="Arial" w:eastAsia="Arial" w:hAnsi="Arial" w:cs="Arial"/>
          <w:vertAlign w:val="superscript"/>
        </w:rPr>
        <w:footnoteReference w:customMarkFollows="1" w:id="36"/>
        <w:t>*</w:t>
      </w:r>
      <w:r>
        <w:rPr>
          <w:rFonts w:ascii="Arial" w:eastAsia="Arial" w:hAnsi="Arial" w:cs="Arial"/>
          <w:color w:val="000000"/>
          <w:sz w:val="20"/>
        </w:rPr>
        <w:t xml:space="preserve"> District Judge.</w:t>
      </w:r>
    </w:p>
    <w:p w14:paraId="455F45BA" w14:textId="77777777" w:rsidR="002B10A6" w:rsidRDefault="00000000">
      <w:pPr>
        <w:pStyle w:val="Normal9"/>
        <w:widowControl w:val="0"/>
        <w:spacing w:before="240" w:line="260" w:lineRule="atLeast"/>
      </w:pPr>
      <w:bookmarkStart w:id="1170" w:name="Opinion_by_7"/>
      <w:bookmarkEnd w:id="1170"/>
      <w:r>
        <w:rPr>
          <w:rFonts w:ascii="Arial" w:eastAsia="Arial" w:hAnsi="Arial" w:cs="Arial"/>
          <w:b/>
          <w:color w:val="000000"/>
          <w:sz w:val="20"/>
        </w:rPr>
        <w:t>Opinion by:</w:t>
      </w:r>
      <w:r>
        <w:rPr>
          <w:rFonts w:ascii="Arial" w:eastAsia="Arial" w:hAnsi="Arial" w:cs="Arial"/>
          <w:color w:val="000000"/>
          <w:sz w:val="20"/>
        </w:rPr>
        <w:t> BRANCH</w:t>
      </w:r>
    </w:p>
    <w:p w14:paraId="7302D892" w14:textId="77777777" w:rsidR="002B10A6" w:rsidRDefault="00000000">
      <w:pPr>
        <w:pStyle w:val="Normal9"/>
        <w:keepNext/>
        <w:widowControl w:val="0"/>
        <w:spacing w:before="240" w:line="340" w:lineRule="atLeast"/>
      </w:pPr>
      <w:bookmarkStart w:id="1171" w:name="Opinion_8"/>
      <w:bookmarkEnd w:id="1171"/>
      <w:r>
        <w:rPr>
          <w:rFonts w:ascii="Arial" w:eastAsia="Arial" w:hAnsi="Arial" w:cs="Arial"/>
          <w:b/>
          <w:color w:val="000000"/>
          <w:sz w:val="28"/>
        </w:rPr>
        <w:t>Opinion</w:t>
      </w:r>
    </w:p>
    <w:p w14:paraId="4F3B4E60" w14:textId="793D4E59" w:rsidR="002B10A6" w:rsidRDefault="002D6974">
      <w:pPr>
        <w:pStyle w:val="Normal9"/>
        <w:spacing w:line="60" w:lineRule="exact"/>
      </w:pPr>
      <w:r>
        <w:rPr>
          <w:noProof/>
        </w:rPr>
        <mc:AlternateContent>
          <mc:Choice Requires="wps">
            <w:drawing>
              <wp:anchor distT="0" distB="0" distL="114300" distR="114300" simplePos="0" relativeHeight="251676672" behindDoc="0" locked="0" layoutInCell="1" allowOverlap="1" wp14:anchorId="17C29381" wp14:editId="5776879C">
                <wp:simplePos x="0" y="0"/>
                <wp:positionH relativeFrom="column">
                  <wp:posOffset>0</wp:posOffset>
                </wp:positionH>
                <wp:positionV relativeFrom="paragraph">
                  <wp:posOffset>25400</wp:posOffset>
                </wp:positionV>
                <wp:extent cx="3187700" cy="0"/>
                <wp:effectExtent l="19050" t="15875" r="12700" b="12700"/>
                <wp:wrapTopAndBottom/>
                <wp:docPr id="97249696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ECDDC" id="Line 1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13AA419" w14:textId="77777777" w:rsidR="002B10A6" w:rsidRDefault="002B10A6">
      <w:pPr>
        <w:pStyle w:val="Normal9"/>
      </w:pPr>
    </w:p>
    <w:p w14:paraId="31B62A26" w14:textId="77777777" w:rsidR="002B10A6" w:rsidRDefault="00000000">
      <w:pPr>
        <w:pStyle w:val="Normal9"/>
        <w:widowControl w:val="0"/>
        <w:spacing w:before="200" w:line="260" w:lineRule="atLeast"/>
        <w:jc w:val="both"/>
      </w:pPr>
      <w:bookmarkStart w:id="1172" w:name="Bookmark_para_2_8"/>
      <w:bookmarkEnd w:id="1172"/>
      <w:r>
        <w:rPr>
          <w:rFonts w:ascii="Arial" w:eastAsia="Arial" w:hAnsi="Arial" w:cs="Arial"/>
          <w:color w:val="000000"/>
          <w:sz w:val="20"/>
        </w:rPr>
        <w:t> [*1270]  BRANCH, Circuit Judge:</w:t>
      </w:r>
    </w:p>
    <w:p w14:paraId="347BD031" w14:textId="77777777" w:rsidR="002B10A6" w:rsidRDefault="00000000">
      <w:pPr>
        <w:pStyle w:val="Normal9"/>
        <w:widowControl w:val="0"/>
        <w:spacing w:before="200" w:line="260" w:lineRule="atLeast"/>
        <w:jc w:val="both"/>
      </w:pPr>
      <w:bookmarkStart w:id="1173" w:name="Bookmark_para_3_8"/>
      <w:bookmarkStart w:id="1174" w:name="Bookmark_I62F889D2SF8020020000400"/>
      <w:bookmarkEnd w:id="1173"/>
      <w:bookmarkEnd w:id="1174"/>
      <w:r>
        <w:rPr>
          <w:rFonts w:ascii="Arial" w:eastAsia="Arial" w:hAnsi="Arial" w:cs="Arial"/>
          <w:color w:val="000000"/>
          <w:sz w:val="20"/>
        </w:rPr>
        <w:t>Appellant Winn-Dixie Stores, Inc. ("Winn-Dixie"), a grocery store chain, operates a website for the convenience of its customers but does not offer any sales directly through the site. Appellee Juan Carlos Gil ("Gil") is a long-time customer with a visual disability who must access websites with screen reader software, which vocalizes the content of the web pages. Unable to access Winn-Dixie's website with his software, Gil filed suit against Winn-Dixie under Title III of the Americans with [**3]  Disabilities Act ("ADA").</w:t>
      </w:r>
      <w:r>
        <w:rPr>
          <w:rFonts w:ascii="Arial" w:eastAsia="Arial" w:hAnsi="Arial" w:cs="Arial"/>
          <w:vertAlign w:val="superscript"/>
        </w:rPr>
        <w:footnoteReference w:customMarkFollows="1" w:id="37"/>
        <w:t>1</w:t>
      </w:r>
      <w:r>
        <w:rPr>
          <w:rFonts w:ascii="Arial" w:eastAsia="Arial" w:hAnsi="Arial" w:cs="Arial"/>
          <w:color w:val="000000"/>
          <w:sz w:val="20"/>
        </w:rPr>
        <w:t xml:space="preserve"> After a bench trial, the district court found that Winn-Dixie's website violated the ADA. </w:t>
      </w:r>
      <w:bookmarkStart w:id="1176" w:name="Bookmark_I62F889D2SF8020010000400"/>
      <w:bookmarkEnd w:id="1176"/>
      <w:r>
        <w:rPr>
          <w:rFonts w:ascii="Arial" w:eastAsia="Arial" w:hAnsi="Arial" w:cs="Arial"/>
          <w:i/>
          <w:color w:val="000000"/>
          <w:sz w:val="20"/>
        </w:rPr>
        <w:t>Gil v. Winn-Dixie Stores, Inc.</w:t>
      </w:r>
      <w:r>
        <w:rPr>
          <w:rFonts w:ascii="Arial" w:eastAsia="Arial" w:hAnsi="Arial" w:cs="Arial"/>
          <w:color w:val="000000"/>
          <w:sz w:val="20"/>
        </w:rPr>
        <w:t>, 257 F. Supp. 3d 1340, 1345 (S.D. Fla. 2017). Winn-Dixie timely appealed. After the benefit of oral argument and careful consideration, we vacate and remand.</w:t>
      </w:r>
    </w:p>
    <w:p w14:paraId="0CEEC038" w14:textId="77777777" w:rsidR="002B10A6" w:rsidRDefault="00000000">
      <w:pPr>
        <w:pStyle w:val="Normal9"/>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3E50E4B5" w14:textId="77777777" w:rsidR="002B10A6" w:rsidRDefault="00000000">
      <w:pPr>
        <w:pStyle w:val="Normal9"/>
        <w:widowControl w:val="0"/>
        <w:spacing w:before="200" w:line="260" w:lineRule="atLeast"/>
        <w:jc w:val="both"/>
      </w:pPr>
      <w:bookmarkStart w:id="1177" w:name="Bookmark_para_4_8"/>
      <w:bookmarkEnd w:id="1177"/>
      <w:r>
        <w:rPr>
          <w:rFonts w:ascii="Arial" w:eastAsia="Arial" w:hAnsi="Arial" w:cs="Arial"/>
          <w:color w:val="000000"/>
          <w:sz w:val="20"/>
        </w:rPr>
        <w:t>Winn-Dixie owns and operates grocery stores in the Southeastern United States. It is undisputed that Winn-Dixie only sells goods in its physical stores and does not offer any sales directly through its limited use website. The website's primary functions at issue in this appeal are the ability to re-fill existing prescriptions for in-store pickup, and to link digital manufacturer coupons to the customer's Winn-Dixie rewards card so that the coupons are applied automatically upon check out at a physical store.</w:t>
      </w:r>
      <w:r>
        <w:rPr>
          <w:rFonts w:ascii="Arial" w:eastAsia="Arial" w:hAnsi="Arial" w:cs="Arial"/>
          <w:vertAlign w:val="superscript"/>
        </w:rPr>
        <w:footnoteReference w:customMarkFollows="1" w:id="38"/>
        <w:t>2</w:t>
      </w:r>
    </w:p>
    <w:p w14:paraId="4062CEB8" w14:textId="77777777" w:rsidR="002B10A6" w:rsidRDefault="00000000">
      <w:pPr>
        <w:pStyle w:val="Normal9"/>
        <w:widowControl w:val="0"/>
        <w:spacing w:before="200" w:line="260" w:lineRule="atLeast"/>
        <w:jc w:val="both"/>
      </w:pPr>
      <w:bookmarkStart w:id="1179" w:name="Bookmark_para_5_8"/>
      <w:bookmarkEnd w:id="1179"/>
      <w:r>
        <w:rPr>
          <w:rFonts w:ascii="Arial" w:eastAsia="Arial" w:hAnsi="Arial" w:cs="Arial"/>
          <w:color w:val="000000"/>
          <w:sz w:val="20"/>
        </w:rPr>
        <w:t>For over fifteen years, Gil, who is legally blind, frequented Winn-Dixie's physical grocery stores to shop and occasionally to fill his prescriptions. Upon learning of the existence of Winn-Dixie's website, Gil visited the site and discovered that it was incompatible with screen reader software,  [*1271]  which he uses to access websites and vocalize the site's content.</w:t>
      </w:r>
      <w:r>
        <w:rPr>
          <w:rFonts w:ascii="Arial" w:eastAsia="Arial" w:hAnsi="Arial" w:cs="Arial"/>
          <w:vertAlign w:val="superscript"/>
        </w:rPr>
        <w:footnoteReference w:customMarkFollows="1" w:id="39"/>
        <w:t>3</w:t>
      </w:r>
    </w:p>
    <w:p w14:paraId="29A12FF4" w14:textId="77777777" w:rsidR="002B10A6" w:rsidRDefault="00000000">
      <w:pPr>
        <w:pStyle w:val="Normal9"/>
        <w:widowControl w:val="0"/>
        <w:spacing w:before="200" w:line="260" w:lineRule="atLeast"/>
        <w:jc w:val="both"/>
      </w:pPr>
      <w:bookmarkStart w:id="1181" w:name="Bookmark_para_6_8"/>
      <w:bookmarkEnd w:id="1181"/>
      <w:r>
        <w:rPr>
          <w:rFonts w:ascii="Arial" w:eastAsia="Arial" w:hAnsi="Arial" w:cs="Arial"/>
          <w:color w:val="000000"/>
          <w:sz w:val="20"/>
        </w:rPr>
        <w:t>On July 1, 2016, Gil brought this action in the form of a single claim under Title III of the [**4]  ADA, 42 U.S.C. §§ 12181-12189, alleging in his complaint that he was a Winn-Dixie customer, and that he was "interested in filling/refilling pharmacy prescriptions on-line," but was unable to access the website because it was incompatible with screen reader software. Gil alleged that the website itself was "a place of public accommodation under the ADA," and that the website had "a direct nexus to Winn Dixie grocery stores and on-site pharmacies." Thus, he asserted that Winn-Dixie violated the ADA because the website was inaccessible to visually impaired individuals, and, therefore, Winn-Dixie "ha[d] not provided full and equal enjoyment of the services, facilities, privileges, advantages and accommodations provided by and through its website www.winndixie.com." Gil sought declaratory and injunctive relief, attorney's fees, and costs. In particular, Gil requested an order requiring Winn-Dixie to update its website "to remove barriers in order that individuals with visual disabilities can access the website to the full extent required" by Title III.</w:t>
      </w:r>
      <w:r>
        <w:rPr>
          <w:rFonts w:ascii="Arial" w:eastAsia="Arial" w:hAnsi="Arial" w:cs="Arial"/>
          <w:vertAlign w:val="superscript"/>
        </w:rPr>
        <w:footnoteReference w:customMarkFollows="1" w:id="40"/>
        <w:t>4</w:t>
      </w:r>
    </w:p>
    <w:p w14:paraId="27B96594" w14:textId="77777777" w:rsidR="002B10A6" w:rsidRDefault="00000000">
      <w:pPr>
        <w:pStyle w:val="Normal9"/>
        <w:widowControl w:val="0"/>
        <w:spacing w:before="200" w:line="260" w:lineRule="atLeast"/>
        <w:jc w:val="both"/>
      </w:pPr>
      <w:bookmarkStart w:id="1184" w:name="Bookmark_para_7_8"/>
      <w:bookmarkEnd w:id="1184"/>
      <w:r>
        <w:rPr>
          <w:rFonts w:ascii="Arial" w:eastAsia="Arial" w:hAnsi="Arial" w:cs="Arial"/>
          <w:color w:val="000000"/>
          <w:sz w:val="20"/>
        </w:rPr>
        <w:t>Winn-Dixie answered the complaint, admitting that "its physical grocery stores and pharmacies are places of public accommodation," but denying the complaint's [**5]  allegations that its website was a place of public accommodation and in violation of the ADA. The parties then engaged in discovery, and on October 24, 2016, Winn-Dixie filed a motion for judgment on the pleadings under Federal Rule of Civil Procedure 12(c), arguing that the ADA's "public accommodation" provisions do not apply to its website because the site is not a physical location and lacks a sufficient "nexus" to any physical location.</w:t>
      </w:r>
    </w:p>
    <w:p w14:paraId="0E7AB29D" w14:textId="77777777" w:rsidR="002B10A6" w:rsidRDefault="00000000">
      <w:pPr>
        <w:pStyle w:val="Normal9"/>
        <w:widowControl w:val="0"/>
        <w:spacing w:before="200" w:line="260" w:lineRule="atLeast"/>
        <w:jc w:val="both"/>
      </w:pPr>
      <w:bookmarkStart w:id="1185" w:name="Bookmark_para_8_8"/>
      <w:bookmarkStart w:id="1186" w:name="Bookmark_I62F889D2SF8020040000400"/>
      <w:bookmarkEnd w:id="1185"/>
      <w:bookmarkEnd w:id="1186"/>
      <w:r>
        <w:rPr>
          <w:rFonts w:ascii="Arial" w:eastAsia="Arial" w:hAnsi="Arial" w:cs="Arial"/>
          <w:color w:val="000000"/>
          <w:sz w:val="20"/>
        </w:rPr>
        <w:t xml:space="preserve">On March 15, 2017, the district court denied the motion for judgment on the pleadings. </w:t>
      </w:r>
      <w:bookmarkStart w:id="1187" w:name="Bookmark_I62F889G2HM64B0010000400"/>
      <w:bookmarkStart w:id="1188" w:name="Bookmark_I62F889D2SF8020030000400"/>
      <w:bookmarkEnd w:id="1187"/>
      <w:bookmarkEnd w:id="1188"/>
      <w:r>
        <w:rPr>
          <w:rFonts w:ascii="Arial" w:eastAsia="Arial" w:hAnsi="Arial" w:cs="Arial"/>
          <w:i/>
          <w:color w:val="000000"/>
          <w:sz w:val="20"/>
        </w:rPr>
        <w:t>Gil v. Winn Dixie Stores, Inc.</w:t>
      </w:r>
      <w:r>
        <w:rPr>
          <w:rFonts w:ascii="Arial" w:eastAsia="Arial" w:hAnsi="Arial" w:cs="Arial"/>
          <w:color w:val="000000"/>
          <w:sz w:val="20"/>
        </w:rPr>
        <w:t xml:space="preserve">, 242 F. Supp. 3d 1315, 1316 (S.D. Fla. 2017). </w:t>
      </w:r>
      <w:bookmarkStart w:id="1189" w:name="Bookmark_I62F889G2HM64B0030000400"/>
      <w:bookmarkEnd w:id="1189"/>
      <w:r>
        <w:rPr>
          <w:rFonts w:ascii="Arial" w:eastAsia="Arial" w:hAnsi="Arial" w:cs="Arial"/>
          <w:color w:val="000000"/>
          <w:sz w:val="20"/>
        </w:rPr>
        <w:t xml:space="preserve">The court acknowledged that the circuit courts are split on the issue of whether the ADA limits places of public  [*1272]  accommodation to physical locations. </w:t>
      </w:r>
      <w:bookmarkStart w:id="1190" w:name="Bookmark_I62F889G2HM64B0030000400_2"/>
      <w:bookmarkStart w:id="1191" w:name="Bookmark_I62F889G2HM64B0010000400_2"/>
      <w:bookmarkStart w:id="1192" w:name="Bookmark_I62F889D2SF8020050000400"/>
      <w:bookmarkEnd w:id="1190"/>
      <w:bookmarkEnd w:id="1191"/>
      <w:bookmarkEnd w:id="1192"/>
      <w:r>
        <w:rPr>
          <w:rFonts w:ascii="Arial" w:eastAsia="Arial" w:hAnsi="Arial" w:cs="Arial"/>
          <w:i/>
          <w:color w:val="000000"/>
          <w:sz w:val="20"/>
        </w:rPr>
        <w:t>Id.</w:t>
      </w:r>
      <w:r>
        <w:rPr>
          <w:rFonts w:ascii="Arial" w:eastAsia="Arial" w:hAnsi="Arial" w:cs="Arial"/>
          <w:color w:val="000000"/>
          <w:sz w:val="20"/>
        </w:rPr>
        <w:t xml:space="preserve"> at 1318. </w:t>
      </w:r>
      <w:bookmarkStart w:id="1193" w:name="Bookmark_I62F889G2HM64B0050000400"/>
      <w:bookmarkEnd w:id="1193"/>
      <w:r>
        <w:rPr>
          <w:rFonts w:ascii="Arial" w:eastAsia="Arial" w:hAnsi="Arial" w:cs="Arial"/>
          <w:color w:val="000000"/>
          <w:sz w:val="20"/>
        </w:rPr>
        <w:t xml:space="preserve">It noted that this Circuit has not specifically determined whether websites are public accommodations under the ADA, but cited </w:t>
      </w:r>
      <w:bookmarkStart w:id="1194" w:name="Bookmark_I62F889G2HM64B0020000400"/>
      <w:bookmarkEnd w:id="1194"/>
      <w:r>
        <w:rPr>
          <w:rFonts w:ascii="Arial" w:eastAsia="Arial" w:hAnsi="Arial" w:cs="Arial"/>
          <w:i/>
          <w:color w:val="000000"/>
          <w:sz w:val="20"/>
        </w:rPr>
        <w:t>Rendon v. Valleycrest Productions, Ltd.</w:t>
      </w:r>
      <w:r>
        <w:rPr>
          <w:rFonts w:ascii="Arial" w:eastAsia="Arial" w:hAnsi="Arial" w:cs="Arial"/>
          <w:color w:val="000000"/>
          <w:sz w:val="20"/>
        </w:rPr>
        <w:t xml:space="preserve">, 294 F.3d 1279 (11th Cir. 2002) as offering guidance. </w:t>
      </w:r>
      <w:bookmarkStart w:id="1195" w:name="Bookmark_I62F889G2HM64B0050000400_2"/>
      <w:bookmarkEnd w:id="1195"/>
      <w:r>
        <w:rPr>
          <w:rFonts w:ascii="Arial" w:eastAsia="Arial" w:hAnsi="Arial" w:cs="Arial"/>
          <w:color w:val="000000"/>
          <w:sz w:val="20"/>
        </w:rPr>
        <w:t xml:space="preserve">The court reasoned that </w:t>
      </w:r>
      <w:r>
        <w:rPr>
          <w:rFonts w:ascii="Arial" w:eastAsia="Arial" w:hAnsi="Arial" w:cs="Arial"/>
          <w:i/>
          <w:color w:val="000000"/>
          <w:sz w:val="20"/>
        </w:rPr>
        <w:t>Rendon</w:t>
      </w:r>
      <w:r>
        <w:rPr>
          <w:rFonts w:ascii="Arial" w:eastAsia="Arial" w:hAnsi="Arial" w:cs="Arial"/>
          <w:color w:val="000000"/>
          <w:sz w:val="20"/>
        </w:rPr>
        <w:t xml:space="preserve"> extends the ADA's coverage to "intangible barriers" that restrict a disabled person's enjoyment of the "goods, services, and privileges" of a public accommodation. </w:t>
      </w:r>
      <w:bookmarkStart w:id="1196" w:name="Bookmark_I62F889G2HM64C0020000400"/>
      <w:bookmarkStart w:id="1197" w:name="Bookmark_I62F889G2HM64B0040000400"/>
      <w:bookmarkEnd w:id="1196"/>
      <w:bookmarkEnd w:id="1197"/>
      <w:r>
        <w:rPr>
          <w:rFonts w:ascii="Arial" w:eastAsia="Arial" w:hAnsi="Arial" w:cs="Arial"/>
          <w:i/>
          <w:color w:val="000000"/>
          <w:sz w:val="20"/>
        </w:rPr>
        <w:t>Gil</w:t>
      </w:r>
      <w:r>
        <w:rPr>
          <w:rFonts w:ascii="Arial" w:eastAsia="Arial" w:hAnsi="Arial" w:cs="Arial"/>
          <w:color w:val="000000"/>
          <w:sz w:val="20"/>
        </w:rPr>
        <w:t xml:space="preserve">, 242 F. Supp. 3d at 1319. </w:t>
      </w:r>
      <w:bookmarkStart w:id="1198" w:name="Bookmark_I62F889G2HM64C0020000400_2"/>
      <w:bookmarkStart w:id="1199" w:name="Bookmark_I62F889G2HM64C0040000400"/>
      <w:bookmarkEnd w:id="1198"/>
      <w:bookmarkEnd w:id="1199"/>
      <w:r>
        <w:rPr>
          <w:rFonts w:ascii="Arial" w:eastAsia="Arial" w:hAnsi="Arial" w:cs="Arial"/>
          <w:color w:val="000000"/>
          <w:sz w:val="20"/>
        </w:rPr>
        <w:t xml:space="preserve">It agreed with other district courts within this Circuit that have held that websites are subject to the ADA if a plaintiff shows a sufficient "nexus" between the website and physical premises. </w:t>
      </w:r>
      <w:bookmarkStart w:id="1200" w:name="Bookmark_I62F889G2SF8080010000400"/>
      <w:bookmarkStart w:id="1201" w:name="Bookmark_I62F889G2HM64C0010000400"/>
      <w:bookmarkEnd w:id="1200"/>
      <w:bookmarkEnd w:id="1201"/>
      <w:r>
        <w:rPr>
          <w:rFonts w:ascii="Arial" w:eastAsia="Arial" w:hAnsi="Arial" w:cs="Arial"/>
          <w:i/>
          <w:color w:val="000000"/>
          <w:sz w:val="20"/>
        </w:rPr>
        <w:t>Id.</w:t>
      </w:r>
      <w:r>
        <w:rPr>
          <w:rFonts w:ascii="Arial" w:eastAsia="Arial" w:hAnsi="Arial" w:cs="Arial"/>
          <w:color w:val="000000"/>
          <w:sz w:val="20"/>
        </w:rPr>
        <w:t xml:space="preserve"> at 1319-20. </w:t>
      </w:r>
      <w:bookmarkStart w:id="1202" w:name="Bookmark_I62F889G2SF8080010000400_2"/>
      <w:bookmarkStart w:id="1203" w:name="Bookmark_I62F889G2HM64C0040000400_2"/>
      <w:bookmarkEnd w:id="1202"/>
      <w:bookmarkEnd w:id="1203"/>
      <w:r>
        <w:rPr>
          <w:rFonts w:ascii="Arial" w:eastAsia="Arial" w:hAnsi="Arial" w:cs="Arial"/>
          <w:color w:val="000000"/>
          <w:sz w:val="20"/>
        </w:rPr>
        <w:t xml:space="preserve">Ultimately, [**6]  the court concluded that "Winn-Dixie's website is heavily integrated with, and in many ways operates as a gateway to, Winn-Dixie's physical store locations." </w:t>
      </w:r>
      <w:bookmarkStart w:id="1204" w:name="Bookmark_I62F889G2HM64C0030000400"/>
      <w:bookmarkEnd w:id="1204"/>
      <w:r>
        <w:rPr>
          <w:rFonts w:ascii="Arial" w:eastAsia="Arial" w:hAnsi="Arial" w:cs="Arial"/>
          <w:i/>
          <w:color w:val="000000"/>
          <w:sz w:val="20"/>
        </w:rPr>
        <w:t>Id.</w:t>
      </w:r>
      <w:r>
        <w:rPr>
          <w:rFonts w:ascii="Arial" w:eastAsia="Arial" w:hAnsi="Arial" w:cs="Arial"/>
          <w:color w:val="000000"/>
          <w:sz w:val="20"/>
        </w:rPr>
        <w:t xml:space="preserve"> at 1321. The court thus found that Gil had shown a sufficient nexus between the website and Winn-Dixie's physical stores such that Winn-Dixie was not entitled to judgment as a matter of law. Viewing the facts in a light most favorable to Gil, the district court held that the website's inaccessibility denied Gil "equal access to the services, privileges, and advantages of Winn-Dixie's physical stores and pharmacies." </w:t>
      </w:r>
      <w:bookmarkStart w:id="1205" w:name="Bookmark_I62F889G2HM64C0050000400"/>
      <w:bookmarkEnd w:id="1205"/>
      <w:r>
        <w:rPr>
          <w:rFonts w:ascii="Arial" w:eastAsia="Arial" w:hAnsi="Arial" w:cs="Arial"/>
          <w:i/>
          <w:color w:val="000000"/>
          <w:sz w:val="20"/>
        </w:rPr>
        <w:t>Id.</w:t>
      </w:r>
      <w:r>
        <w:rPr>
          <w:rFonts w:ascii="Arial" w:eastAsia="Arial" w:hAnsi="Arial" w:cs="Arial"/>
          <w:color w:val="000000"/>
          <w:sz w:val="20"/>
        </w:rPr>
        <w:t xml:space="preserve"> at 1321. The court also concluded that it "need not determine whether Winn-Dixie's website is a public accommodation in and of itself." </w:t>
      </w:r>
      <w:r>
        <w:rPr>
          <w:rFonts w:ascii="Arial" w:eastAsia="Arial" w:hAnsi="Arial" w:cs="Arial"/>
          <w:i/>
          <w:color w:val="000000"/>
          <w:sz w:val="20"/>
        </w:rPr>
        <w:t>Id.</w:t>
      </w:r>
    </w:p>
    <w:p w14:paraId="1422EE54" w14:textId="77777777" w:rsidR="002B10A6" w:rsidRDefault="00000000">
      <w:pPr>
        <w:pStyle w:val="Normal9"/>
        <w:widowControl w:val="0"/>
        <w:spacing w:before="200" w:line="260" w:lineRule="atLeast"/>
        <w:jc w:val="both"/>
      </w:pPr>
      <w:bookmarkStart w:id="1206" w:name="Bookmark_para_9_8"/>
      <w:bookmarkEnd w:id="1206"/>
      <w:r>
        <w:rPr>
          <w:rFonts w:ascii="Arial" w:eastAsia="Arial" w:hAnsi="Arial" w:cs="Arial"/>
          <w:color w:val="000000"/>
          <w:sz w:val="20"/>
        </w:rPr>
        <w:t>At the bench trial, Gil testified that in the fifteen years during which he shopped in Winn-Dixie stores, when he needed to re-fill a prescription, he would ask an associate to guide him to the pharmacy area where he would tell the pharmacist what he needed, and he would wait anywhere from 20 to 30 minutes for the prescription. He explained that he was uncomfortable requesting his prescription refills in person because he did not know who might be standing near him and could overhear his conversation. [**7]  Therefore, when he learned Winn-Dixie had a website, he was interested in utilizing its potential online capabilities so that he would not have to request help from Winn-Dixie employees in refilling his prescriptions. Upon determining that he was unable to use much of the website's functionality, however, Gil decided to discontinue shopping at Winn-Dixie's physical stores entirely. He testified at trial that he was "deterred" from going to the physical store, not by any change in the physical access available to him at the physical store, but due to his frustration with the lack of functionality on the website. He last shopped there in the summer of 2016 but testified that he will return to shopping at Winn-Dixie's physical stores when the website is accessible to him.</w:t>
      </w:r>
    </w:p>
    <w:p w14:paraId="1B1DD653" w14:textId="77777777" w:rsidR="002B10A6" w:rsidRDefault="00000000">
      <w:pPr>
        <w:pStyle w:val="Normal9"/>
        <w:widowControl w:val="0"/>
        <w:spacing w:before="200" w:line="260" w:lineRule="atLeast"/>
        <w:jc w:val="both"/>
      </w:pPr>
      <w:bookmarkStart w:id="1207" w:name="Bookmark_para_10_8"/>
      <w:bookmarkEnd w:id="1207"/>
      <w:r>
        <w:rPr>
          <w:rFonts w:ascii="Arial" w:eastAsia="Arial" w:hAnsi="Arial" w:cs="Arial"/>
          <w:color w:val="000000"/>
          <w:sz w:val="20"/>
        </w:rPr>
        <w:t>Gil also mentioned for the first time at trial that he was interested in using the coupon linking option of the website, which permits customers to use the website to link manufacturer's digital coupons to the customer's Winn-Dixie rewards card for automatic application at checkout.</w:t>
      </w:r>
      <w:r>
        <w:rPr>
          <w:rFonts w:ascii="Arial" w:eastAsia="Arial" w:hAnsi="Arial" w:cs="Arial"/>
          <w:vertAlign w:val="superscript"/>
        </w:rPr>
        <w:footnoteReference w:customMarkFollows="1" w:id="41"/>
        <w:t>5</w:t>
      </w:r>
      <w:r>
        <w:rPr>
          <w:rFonts w:ascii="Arial" w:eastAsia="Arial" w:hAnsi="Arial" w:cs="Arial"/>
          <w:color w:val="000000"/>
          <w:sz w:val="20"/>
        </w:rPr>
        <w:t xml:space="preserve"> He explained that he used coupons before when he shopped in the physical stores, but due to his visual impairment, the only way for him to [**8]  get coupons was to ask a friend to read the newspaper coupons to him or ask Winn-Dixie employees for assistance.</w:t>
      </w:r>
    </w:p>
    <w:p w14:paraId="62B3DE68" w14:textId="77777777" w:rsidR="002B10A6" w:rsidRDefault="00000000">
      <w:pPr>
        <w:pStyle w:val="Normal9"/>
        <w:widowControl w:val="0"/>
        <w:spacing w:before="200" w:line="260" w:lineRule="atLeast"/>
        <w:jc w:val="both"/>
      </w:pPr>
      <w:bookmarkStart w:id="1209" w:name="Bookmark_para_11_8"/>
      <w:bookmarkStart w:id="1210" w:name="Bookmark_I62F889G2SF8080030000400"/>
      <w:bookmarkStart w:id="1211" w:name="Bookmark_I62F889G2SF8080050000400"/>
      <w:bookmarkStart w:id="1212" w:name="Bookmark_I62F889G2SF80B0020000400"/>
      <w:bookmarkEnd w:id="1209"/>
      <w:bookmarkEnd w:id="1210"/>
      <w:bookmarkEnd w:id="1211"/>
      <w:bookmarkEnd w:id="1212"/>
      <w:r>
        <w:rPr>
          <w:rFonts w:ascii="Arial" w:eastAsia="Arial" w:hAnsi="Arial" w:cs="Arial"/>
          <w:color w:val="000000"/>
          <w:sz w:val="20"/>
        </w:rPr>
        <w:t xml:space="preserve">After a bench trial, the district court entered judgment in favor of Gil, finding that Winn-Dixie had violated Gil's rights under Title III of the ADA. </w:t>
      </w:r>
      <w:bookmarkStart w:id="1213" w:name="Bookmark_I62F889G2SF8080020000400"/>
      <w:bookmarkEnd w:id="1213"/>
      <w:r>
        <w:rPr>
          <w:rFonts w:ascii="Arial" w:eastAsia="Arial" w:hAnsi="Arial" w:cs="Arial"/>
          <w:i/>
          <w:color w:val="000000"/>
          <w:sz w:val="20"/>
        </w:rPr>
        <w:t>Gil v. Winn-Dixie Stores, Inc.</w:t>
      </w:r>
      <w:r>
        <w:rPr>
          <w:rFonts w:ascii="Arial" w:eastAsia="Arial" w:hAnsi="Arial" w:cs="Arial"/>
          <w:color w:val="000000"/>
          <w:sz w:val="20"/>
        </w:rPr>
        <w:t xml:space="preserve">, 257 F. Supp. 3d 1340  [*1273]  (S.D. Fla. 2017). </w:t>
      </w:r>
      <w:bookmarkStart w:id="1214" w:name="Bookmark_I62F889G2SF80B0040000400"/>
      <w:bookmarkEnd w:id="1214"/>
      <w:r>
        <w:rPr>
          <w:rFonts w:ascii="Arial" w:eastAsia="Arial" w:hAnsi="Arial" w:cs="Arial"/>
          <w:color w:val="000000"/>
          <w:sz w:val="20"/>
        </w:rPr>
        <w:t xml:space="preserve">Specifically, the court noted again that it need not decide whether Winn-Dixie's website is a public accommodation "in and of itself," because the website is "heavily integrated" with Winn-Dixie's physical stores—so much so that it "operates as a gateway to the physical store locations," </w:t>
      </w:r>
      <w:bookmarkStart w:id="1215" w:name="Bookmark_I62F889G2SF8080040000400"/>
      <w:bookmarkEnd w:id="1215"/>
      <w:r>
        <w:rPr>
          <w:rFonts w:ascii="Arial" w:eastAsia="Arial" w:hAnsi="Arial" w:cs="Arial"/>
          <w:i/>
          <w:color w:val="000000"/>
          <w:sz w:val="20"/>
        </w:rPr>
        <w:t>id.</w:t>
      </w:r>
      <w:r>
        <w:rPr>
          <w:rFonts w:ascii="Arial" w:eastAsia="Arial" w:hAnsi="Arial" w:cs="Arial"/>
          <w:color w:val="000000"/>
          <w:sz w:val="20"/>
        </w:rPr>
        <w:t xml:space="preserve"> at 1348-49. It held that, as the ADA "requires that disabled people be provided 'full and equal enjoyment of the goods, services, facilities, privileges, advantages, or accommodations of any place of public accommodation . . .,'" the fact that the website is "inaccessible to visually impaired individuals who must use screen reader software" means that Winn-Dixie has violated the ADA. </w:t>
      </w:r>
      <w:bookmarkStart w:id="1216" w:name="Bookmark_I62F889G2SF80B0010000400"/>
      <w:bookmarkEnd w:id="1216"/>
      <w:r>
        <w:rPr>
          <w:rFonts w:ascii="Arial" w:eastAsia="Arial" w:hAnsi="Arial" w:cs="Arial"/>
          <w:i/>
          <w:color w:val="000000"/>
          <w:sz w:val="20"/>
        </w:rPr>
        <w:t>Id.</w:t>
      </w:r>
      <w:r>
        <w:rPr>
          <w:rFonts w:ascii="Arial" w:eastAsia="Arial" w:hAnsi="Arial" w:cs="Arial"/>
          <w:color w:val="000000"/>
          <w:sz w:val="20"/>
        </w:rPr>
        <w:t xml:space="preserve"> at 1349 (quoting 42 U.S.C. § 12182(a)). </w:t>
      </w:r>
      <w:bookmarkStart w:id="1217" w:name="Bookmark_I62F889G2SF80B0040000400_2"/>
      <w:bookmarkEnd w:id="1217"/>
      <w:r>
        <w:rPr>
          <w:rFonts w:ascii="Arial" w:eastAsia="Arial" w:hAnsi="Arial" w:cs="Arial"/>
          <w:color w:val="000000"/>
          <w:sz w:val="20"/>
        </w:rPr>
        <w:t>The district court issued an injunction that, among other terms, required Winn-Dixie to make its website accessible to individuals with disabilities, specifically by conforming its website—including "third party vendors who participate on its website—to Web [**9]  Content Accessibility Guidelines 2.0 ("WCAG 2.0"), which is a set of accessibility standards generated by a private consortium.</w:t>
      </w:r>
      <w:r>
        <w:rPr>
          <w:rFonts w:ascii="Arial" w:eastAsia="Arial" w:hAnsi="Arial" w:cs="Arial"/>
          <w:vertAlign w:val="superscript"/>
        </w:rPr>
        <w:footnoteReference w:customMarkFollows="1" w:id="42"/>
        <w:t>6</w:t>
      </w:r>
      <w:r>
        <w:rPr>
          <w:rFonts w:ascii="Arial" w:eastAsia="Arial" w:hAnsi="Arial" w:cs="Arial"/>
          <w:color w:val="000000"/>
          <w:sz w:val="20"/>
        </w:rPr>
        <w:t xml:space="preserve"> </w:t>
      </w:r>
      <w:bookmarkStart w:id="1219" w:name="Bookmark_I62F889G2SF80B0030000400"/>
      <w:bookmarkEnd w:id="1219"/>
      <w:r>
        <w:rPr>
          <w:rFonts w:ascii="Arial" w:eastAsia="Arial" w:hAnsi="Arial" w:cs="Arial"/>
          <w:i/>
          <w:color w:val="000000"/>
          <w:sz w:val="20"/>
        </w:rPr>
        <w:t>Id.</w:t>
      </w:r>
      <w:r>
        <w:rPr>
          <w:rFonts w:ascii="Arial" w:eastAsia="Arial" w:hAnsi="Arial" w:cs="Arial"/>
          <w:color w:val="000000"/>
          <w:sz w:val="20"/>
        </w:rPr>
        <w:t xml:space="preserve"> at 1351. The injunction also required Winn-Dixie to implement a publicly available Web Accessibility Policy, "provide mandatory web accessibility training to all employees who write or develop programs or code for, or who publish final content to" its website on an annual basis, and conduct accessibility tests of the website every three months. </w:t>
      </w:r>
      <w:r>
        <w:rPr>
          <w:rFonts w:ascii="Arial" w:eastAsia="Arial" w:hAnsi="Arial" w:cs="Arial"/>
          <w:i/>
          <w:color w:val="000000"/>
          <w:sz w:val="20"/>
        </w:rPr>
        <w:t>Id.</w:t>
      </w:r>
      <w:r>
        <w:rPr>
          <w:rFonts w:ascii="Arial" w:eastAsia="Arial" w:hAnsi="Arial" w:cs="Arial"/>
          <w:color w:val="000000"/>
          <w:sz w:val="20"/>
        </w:rPr>
        <w:t xml:space="preserve"> Winn-Dixie appealed.</w:t>
      </w:r>
    </w:p>
    <w:p w14:paraId="296814B9" w14:textId="77777777" w:rsidR="002B10A6" w:rsidRDefault="00000000">
      <w:pPr>
        <w:pStyle w:val="Normal9"/>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18EFC7FD" w14:textId="77777777" w:rsidR="002B10A6" w:rsidRDefault="00000000">
      <w:pPr>
        <w:pStyle w:val="Normal9"/>
        <w:widowControl w:val="0"/>
        <w:spacing w:before="200" w:line="260" w:lineRule="atLeast"/>
        <w:jc w:val="both"/>
      </w:pPr>
      <w:bookmarkStart w:id="1220" w:name="Bookmark_para_12_8"/>
      <w:bookmarkEnd w:id="1220"/>
      <w:r>
        <w:rPr>
          <w:rFonts w:ascii="Arial" w:eastAsia="Arial" w:hAnsi="Arial" w:cs="Arial"/>
          <w:color w:val="000000"/>
          <w:sz w:val="20"/>
        </w:rPr>
        <w:t>Winn-Dixie raises three key issues on appeal: (1) whether Gil has standing to bring this case, (2) whether websites are places of public accommodation under Title III of the ADA, and (3) whether the district court erred in its verdict and judgment in favor of Gil, including the court's injunction. After first addressing the standing issue, we turn to whether websites are (in and of themselves) places of public accommodations under the ADA.</w:t>
      </w:r>
      <w:r>
        <w:rPr>
          <w:rFonts w:ascii="Arial" w:eastAsia="Arial" w:hAnsi="Arial" w:cs="Arial"/>
          <w:vertAlign w:val="superscript"/>
        </w:rPr>
        <w:footnoteReference w:customMarkFollows="1" w:id="43"/>
        <w:t>7</w:t>
      </w:r>
      <w:r>
        <w:rPr>
          <w:rFonts w:ascii="Arial" w:eastAsia="Arial" w:hAnsi="Arial" w:cs="Arial"/>
          <w:color w:val="000000"/>
          <w:sz w:val="20"/>
        </w:rPr>
        <w:t xml:space="preserve"> We then determine whether Winn-Dixie's website violates the ADA.</w:t>
      </w:r>
    </w:p>
    <w:p w14:paraId="41D7F307" w14:textId="77777777" w:rsidR="002B10A6" w:rsidRDefault="00000000">
      <w:pPr>
        <w:pStyle w:val="Normal9"/>
        <w:widowControl w:val="0"/>
        <w:spacing w:before="200" w:line="260" w:lineRule="atLeast"/>
        <w:jc w:val="both"/>
      </w:pPr>
      <w:bookmarkStart w:id="1222" w:name="Bookmark_para_13_8"/>
      <w:bookmarkStart w:id="1223" w:name="Bookmark_I62F889G2D6NT80010000400"/>
      <w:bookmarkStart w:id="1224" w:name="Bookmark_LNHNREFclscc2_8"/>
      <w:bookmarkEnd w:id="1222"/>
      <w:bookmarkEnd w:id="1223"/>
      <w:bookmarkEnd w:id="1224"/>
      <w:r>
        <w:rPr>
          <w:rFonts w:ascii="Arial" w:eastAsia="Arial" w:hAnsi="Arial" w:cs="Arial"/>
          <w:color w:val="000000"/>
          <w:sz w:val="20"/>
        </w:rPr>
        <w:t xml:space="preserve">"We review standing determinations </w:t>
      </w:r>
      <w:r>
        <w:rPr>
          <w:rFonts w:ascii="Arial" w:eastAsia="Arial" w:hAnsi="Arial" w:cs="Arial"/>
          <w:i/>
          <w:color w:val="000000"/>
          <w:sz w:val="20"/>
        </w:rPr>
        <w:t>de novo</w:t>
      </w:r>
      <w:r>
        <w:rPr>
          <w:rFonts w:ascii="Arial" w:eastAsia="Arial" w:hAnsi="Arial" w:cs="Arial"/>
          <w:color w:val="000000"/>
          <w:sz w:val="20"/>
        </w:rPr>
        <w:t xml:space="preserve">." </w:t>
      </w:r>
      <w:bookmarkStart w:id="1225" w:name="Bookmark_I62F889G2SF80B0050000400"/>
      <w:bookmarkEnd w:id="1225"/>
      <w:r>
        <w:rPr>
          <w:rFonts w:ascii="Arial" w:eastAsia="Arial" w:hAnsi="Arial" w:cs="Arial"/>
          <w:i/>
          <w:color w:val="000000"/>
          <w:sz w:val="20"/>
        </w:rPr>
        <w:t>A&amp;M Gerber Chiropractic LLC v. GEICO Gen. Ins. Co.</w:t>
      </w:r>
      <w:r>
        <w:rPr>
          <w:rFonts w:ascii="Arial" w:eastAsia="Arial" w:hAnsi="Arial" w:cs="Arial"/>
          <w:color w:val="000000"/>
          <w:sz w:val="20"/>
        </w:rPr>
        <w:t>, 925 F.3d 1205, 1210 (11th Cir. 2019).</w:t>
      </w:r>
    </w:p>
    <w:p w14:paraId="14931D46" w14:textId="77777777" w:rsidR="002B10A6" w:rsidRDefault="00000000">
      <w:pPr>
        <w:pStyle w:val="Normal9"/>
        <w:widowControl w:val="0"/>
        <w:spacing w:before="200" w:line="260" w:lineRule="atLeast"/>
        <w:jc w:val="both"/>
      </w:pPr>
      <w:bookmarkStart w:id="1226" w:name="Bookmark_para_14_8"/>
      <w:bookmarkStart w:id="1227" w:name="Bookmark_I62F889G2D6NT80030000400"/>
      <w:bookmarkStart w:id="1228" w:name="Bookmark_LNHNREFclscc3_8"/>
      <w:bookmarkEnd w:id="1226"/>
      <w:bookmarkEnd w:id="1227"/>
      <w:bookmarkEnd w:id="1228"/>
      <w:r>
        <w:rPr>
          <w:rFonts w:ascii="Arial" w:eastAsia="Arial" w:hAnsi="Arial" w:cs="Arial"/>
          <w:color w:val="000000"/>
          <w:sz w:val="20"/>
        </w:rPr>
        <w:t xml:space="preserve">Following a bench trial, we review the district court's conclusions of law </w:t>
      </w:r>
      <w:r>
        <w:rPr>
          <w:rFonts w:ascii="Arial" w:eastAsia="Arial" w:hAnsi="Arial" w:cs="Arial"/>
          <w:i/>
          <w:color w:val="000000"/>
          <w:sz w:val="20"/>
        </w:rPr>
        <w:t>de novo</w:t>
      </w:r>
      <w:r>
        <w:rPr>
          <w:rFonts w:ascii="Arial" w:eastAsia="Arial" w:hAnsi="Arial" w:cs="Arial"/>
          <w:color w:val="000000"/>
          <w:sz w:val="20"/>
        </w:rPr>
        <w:t xml:space="preserve">, and its factual findings for clear error. </w:t>
      </w:r>
      <w:bookmarkStart w:id="1229" w:name="Bookmark_I62F889G2D6NT80050000400"/>
      <w:bookmarkStart w:id="1230" w:name="Bookmark_I62F889G2D6NT80020000400"/>
      <w:bookmarkEnd w:id="1229"/>
      <w:bookmarkEnd w:id="1230"/>
      <w:r>
        <w:rPr>
          <w:rFonts w:ascii="Arial" w:eastAsia="Arial" w:hAnsi="Arial" w:cs="Arial"/>
          <w:i/>
          <w:color w:val="000000"/>
          <w:sz w:val="20"/>
        </w:rPr>
        <w:t>AIG Centennial Ins. Co. v. O'Neill</w:t>
      </w:r>
      <w:r>
        <w:rPr>
          <w:rFonts w:ascii="Arial" w:eastAsia="Arial" w:hAnsi="Arial" w:cs="Arial"/>
          <w:color w:val="000000"/>
          <w:sz w:val="20"/>
        </w:rPr>
        <w:t xml:space="preserve">, 782 F.3d 1296, 1301 n.4, 1308 (11th Cir. 2015). We review the grant of [**10]  an injunction for abuse of discretion. </w:t>
      </w:r>
      <w:bookmarkStart w:id="1231" w:name="Bookmark_I62F889G2D6NT80050000400_2"/>
      <w:bookmarkStart w:id="1232" w:name="Bookmark_I62F889G2D6NT80040000400"/>
      <w:bookmarkEnd w:id="1231"/>
      <w:bookmarkEnd w:id="1232"/>
      <w:r>
        <w:rPr>
          <w:rFonts w:ascii="Arial" w:eastAsia="Arial" w:hAnsi="Arial" w:cs="Arial"/>
          <w:i/>
          <w:color w:val="000000"/>
          <w:sz w:val="20"/>
        </w:rPr>
        <w:t>Simmons v. Conger</w:t>
      </w:r>
      <w:r>
        <w:rPr>
          <w:rFonts w:ascii="Arial" w:eastAsia="Arial" w:hAnsi="Arial" w:cs="Arial"/>
          <w:color w:val="000000"/>
          <w:sz w:val="20"/>
        </w:rPr>
        <w:t>, 86 F.3d 1080, 1085 (11th Cir. 1996).</w:t>
      </w:r>
    </w:p>
    <w:p w14:paraId="6AD6D614" w14:textId="77777777" w:rsidR="002B10A6" w:rsidRDefault="00000000">
      <w:pPr>
        <w:pStyle w:val="Normal9"/>
        <w:widowControl w:val="0"/>
        <w:spacing w:before="240" w:line="260" w:lineRule="atLeast"/>
      </w:pPr>
      <w:r>
        <w:br/>
      </w:r>
      <w:r>
        <w:rPr>
          <w:rFonts w:ascii="Arial" w:eastAsia="Arial" w:hAnsi="Arial" w:cs="Arial"/>
          <w:b/>
          <w:color w:val="000000"/>
          <w:sz w:val="20"/>
        </w:rPr>
        <w:t>A. Standing</w:t>
      </w:r>
    </w:p>
    <w:p w14:paraId="4EDF9A53" w14:textId="77777777" w:rsidR="002B10A6" w:rsidRDefault="00000000">
      <w:pPr>
        <w:pStyle w:val="Normal9"/>
        <w:widowControl w:val="0"/>
        <w:spacing w:before="200" w:line="260" w:lineRule="atLeast"/>
        <w:jc w:val="both"/>
      </w:pPr>
      <w:bookmarkStart w:id="1233" w:name="Bookmark_para_15_8"/>
      <w:bookmarkEnd w:id="1233"/>
      <w:r>
        <w:rPr>
          <w:rFonts w:ascii="Arial" w:eastAsia="Arial" w:hAnsi="Arial" w:cs="Arial"/>
          <w:color w:val="000000"/>
          <w:sz w:val="20"/>
        </w:rPr>
        <w:t>As an initial matter, we address Winn-Dixie's argument that Gil lacks standing to bring this action—in particular, that Gil has suffered no injury in fact. Gil argues that his inability to access Winn-Dixie's website is a particularized injury in fact.</w:t>
      </w:r>
    </w:p>
    <w:p w14:paraId="73305311" w14:textId="77777777" w:rsidR="002B10A6" w:rsidRDefault="00000000">
      <w:pPr>
        <w:pStyle w:val="Normal9"/>
        <w:widowControl w:val="0"/>
        <w:spacing w:before="200" w:line="260" w:lineRule="atLeast"/>
        <w:jc w:val="both"/>
      </w:pPr>
      <w:bookmarkStart w:id="1234" w:name="Bookmark_para_16_7"/>
      <w:bookmarkStart w:id="1235" w:name="Bookmark_I62F889H28T4KF0020000400"/>
      <w:bookmarkStart w:id="1236" w:name="Bookmark_I4J4T31GKJM000066620005R"/>
      <w:bookmarkStart w:id="1237" w:name="Bookmark_I4J4T31GP4Y000066620005S"/>
      <w:bookmarkStart w:id="1238" w:name="Bookmark_I62F889H28T4KF0040000400"/>
      <w:bookmarkStart w:id="1239" w:name="Bookmark_I62F889H2HM64M0030000400"/>
      <w:bookmarkStart w:id="1240" w:name="Bookmark_LNHNREFclscc4_8"/>
      <w:bookmarkEnd w:id="1234"/>
      <w:bookmarkEnd w:id="1235"/>
      <w:bookmarkEnd w:id="1236"/>
      <w:bookmarkEnd w:id="1237"/>
      <w:bookmarkEnd w:id="1238"/>
      <w:bookmarkEnd w:id="1239"/>
      <w:bookmarkEnd w:id="1240"/>
      <w:r>
        <w:rPr>
          <w:rFonts w:ascii="Arial" w:eastAsia="Arial" w:hAnsi="Arial" w:cs="Arial"/>
          <w:color w:val="000000"/>
          <w:sz w:val="20"/>
        </w:rPr>
        <w:t xml:space="preserve">The Constitution limits the jurisdiction of federal courts to "cases" and "controversies," U.S. Const. Art. III § 2, and "the doctrine of standing serves to identify those disputes which are appropriately resolved through the judicial process." </w:t>
      </w:r>
      <w:bookmarkStart w:id="1241" w:name="Bookmark_I62F889H28T4KF0010000400"/>
      <w:bookmarkEnd w:id="1241"/>
      <w:r>
        <w:rPr>
          <w:rFonts w:ascii="Arial" w:eastAsia="Arial" w:hAnsi="Arial" w:cs="Arial"/>
          <w:i/>
          <w:color w:val="000000"/>
          <w:sz w:val="20"/>
        </w:rPr>
        <w:t>Whitmore v. Arkansas</w:t>
      </w:r>
      <w:r>
        <w:rPr>
          <w:rFonts w:ascii="Arial" w:eastAsia="Arial" w:hAnsi="Arial" w:cs="Arial"/>
          <w:color w:val="000000"/>
          <w:sz w:val="20"/>
        </w:rPr>
        <w:t xml:space="preserve">, 495 U.S. 149, 155, 110 S. Ct. 1717, 109 L. Ed. 2d 135 (1990). </w:t>
      </w:r>
      <w:bookmarkStart w:id="1242" w:name="Bookmark_I62F889H2HM64M0050000400"/>
      <w:bookmarkEnd w:id="1242"/>
      <w:r>
        <w:rPr>
          <w:rFonts w:ascii="Arial" w:eastAsia="Arial" w:hAnsi="Arial" w:cs="Arial"/>
          <w:color w:val="000000"/>
          <w:sz w:val="20"/>
        </w:rPr>
        <w:t xml:space="preserve">The elements of standing are (1) "injury in fact," (2) a causal connection between the injury and the conduct complained  [*1274]  of, and (3) that the injury "is likely to be redressed by a favorable judicial decision." </w:t>
      </w:r>
      <w:bookmarkStart w:id="1243" w:name="Bookmark_I62F889H28T4KF0030000400"/>
      <w:bookmarkEnd w:id="1243"/>
      <w:r>
        <w:rPr>
          <w:rFonts w:ascii="Arial" w:eastAsia="Arial" w:hAnsi="Arial" w:cs="Arial"/>
          <w:i/>
          <w:color w:val="000000"/>
          <w:sz w:val="20"/>
        </w:rPr>
        <w:t>Muransky v. Godiva Chocolatier, Inc.</w:t>
      </w:r>
      <w:r>
        <w:rPr>
          <w:rFonts w:ascii="Arial" w:eastAsia="Arial" w:hAnsi="Arial" w:cs="Arial"/>
          <w:color w:val="000000"/>
          <w:sz w:val="20"/>
        </w:rPr>
        <w:t xml:space="preserve">, 979 F.3d 917, 924 (11th Cir. 2020) (quoting </w:t>
      </w:r>
      <w:bookmarkStart w:id="1244" w:name="Bookmark_I62F889H28T4KF0050000400"/>
      <w:bookmarkEnd w:id="1244"/>
      <w:r>
        <w:rPr>
          <w:rFonts w:ascii="Arial" w:eastAsia="Arial" w:hAnsi="Arial" w:cs="Arial"/>
          <w:i/>
          <w:color w:val="000000"/>
          <w:sz w:val="20"/>
        </w:rPr>
        <w:t>Spokeo, Inc. v. Robins</w:t>
      </w:r>
      <w:r>
        <w:rPr>
          <w:rFonts w:ascii="Arial" w:eastAsia="Arial" w:hAnsi="Arial" w:cs="Arial"/>
          <w:color w:val="000000"/>
          <w:sz w:val="20"/>
        </w:rPr>
        <w:t xml:space="preserve">, 578 U.S. 330, 338, 136 S. Ct. 1540, 194 L. Ed. 2d 635 (2016)). </w:t>
      </w:r>
      <w:bookmarkStart w:id="1245" w:name="Bookmark_I62F889J2N1R1K0040000400"/>
      <w:bookmarkEnd w:id="1245"/>
      <w:r>
        <w:rPr>
          <w:rFonts w:ascii="Arial" w:eastAsia="Arial" w:hAnsi="Arial" w:cs="Arial"/>
          <w:color w:val="000000"/>
          <w:sz w:val="20"/>
        </w:rPr>
        <w:t xml:space="preserve">The "injury in fact" element requires a plaintiff to demonstrate a personal stake in the litigation and an "[a]bstract injury is not enough." </w:t>
      </w:r>
      <w:bookmarkStart w:id="1246" w:name="Bookmark_I62F889H2HM64M0020000400"/>
      <w:bookmarkEnd w:id="1246"/>
      <w:r>
        <w:rPr>
          <w:rFonts w:ascii="Arial" w:eastAsia="Arial" w:hAnsi="Arial" w:cs="Arial"/>
          <w:i/>
          <w:color w:val="000000"/>
          <w:sz w:val="20"/>
        </w:rPr>
        <w:t>City of Los Angeles v. Lyons</w:t>
      </w:r>
      <w:r>
        <w:rPr>
          <w:rFonts w:ascii="Arial" w:eastAsia="Arial" w:hAnsi="Arial" w:cs="Arial"/>
          <w:color w:val="000000"/>
          <w:sz w:val="20"/>
        </w:rPr>
        <w:t xml:space="preserve">, 461 U.S. 95, 101, 103 S. Ct. 1660, 75 L. Ed. 2d 675 (1983). </w:t>
      </w:r>
      <w:bookmarkStart w:id="1247" w:name="Bookmark_I62F889J2N1R1K0040000400_2"/>
      <w:bookmarkStart w:id="1248" w:name="Bookmark_I62F889H2HM64M0050000400_2"/>
      <w:bookmarkEnd w:id="1247"/>
      <w:bookmarkEnd w:id="1248"/>
      <w:r>
        <w:rPr>
          <w:rFonts w:ascii="Arial" w:eastAsia="Arial" w:hAnsi="Arial" w:cs="Arial"/>
          <w:color w:val="000000"/>
          <w:sz w:val="20"/>
        </w:rPr>
        <w:t xml:space="preserve">In addition, when seeking injunctive relief, a plaintiff "must show past injury and a real and immediate threat of future injury" that is not "conjectural" or "hypothetical." </w:t>
      </w:r>
      <w:bookmarkStart w:id="1249" w:name="Bookmark_I62F889H2HM64M0040000400"/>
      <w:bookmarkEnd w:id="1249"/>
      <w:r>
        <w:rPr>
          <w:rFonts w:ascii="Arial" w:eastAsia="Arial" w:hAnsi="Arial" w:cs="Arial"/>
          <w:i/>
          <w:color w:val="000000"/>
          <w:sz w:val="20"/>
        </w:rPr>
        <w:t>Lujan v. Defenders. of Wildlife</w:t>
      </w:r>
      <w:r>
        <w:rPr>
          <w:rFonts w:ascii="Arial" w:eastAsia="Arial" w:hAnsi="Arial" w:cs="Arial"/>
          <w:color w:val="000000"/>
          <w:sz w:val="20"/>
        </w:rPr>
        <w:t xml:space="preserve">, 504 U.S. 555, 560, 112 S. Ct. 2130, 119 L. Ed. 2d 351 (1992); </w:t>
      </w:r>
      <w:bookmarkStart w:id="1250" w:name="Bookmark_I62F889J2N1R1K0010000400"/>
      <w:bookmarkEnd w:id="1250"/>
      <w:r>
        <w:rPr>
          <w:rFonts w:ascii="Arial" w:eastAsia="Arial" w:hAnsi="Arial" w:cs="Arial"/>
          <w:i/>
          <w:color w:val="000000"/>
          <w:sz w:val="20"/>
        </w:rPr>
        <w:t>Houston v. Marod Supermarkets, Inc.</w:t>
      </w:r>
      <w:r>
        <w:rPr>
          <w:rFonts w:ascii="Arial" w:eastAsia="Arial" w:hAnsi="Arial" w:cs="Arial"/>
          <w:color w:val="000000"/>
          <w:sz w:val="20"/>
        </w:rPr>
        <w:t xml:space="preserve">, 733 F.3d 1323, 1329 (11th Cir. 2013). Further, if a party seeks an injunction under Title III, the party "either must have attempted to return to the non-compliant building" [**11]  or "intend to do so in the future." </w:t>
      </w:r>
      <w:bookmarkStart w:id="1251" w:name="Bookmark_I62F889J2N1R1K0030000400"/>
      <w:bookmarkEnd w:id="1251"/>
      <w:r>
        <w:rPr>
          <w:rFonts w:ascii="Arial" w:eastAsia="Arial" w:hAnsi="Arial" w:cs="Arial"/>
          <w:i/>
          <w:color w:val="000000"/>
          <w:sz w:val="20"/>
        </w:rPr>
        <w:t>Houston</w:t>
      </w:r>
      <w:r>
        <w:rPr>
          <w:rFonts w:ascii="Arial" w:eastAsia="Arial" w:hAnsi="Arial" w:cs="Arial"/>
          <w:color w:val="000000"/>
          <w:sz w:val="20"/>
        </w:rPr>
        <w:t>, 733 F.3d at 1336 (citations omitted).</w:t>
      </w:r>
    </w:p>
    <w:p w14:paraId="1FEFA91D" w14:textId="77777777" w:rsidR="002B10A6" w:rsidRDefault="00000000">
      <w:pPr>
        <w:pStyle w:val="Normal9"/>
        <w:widowControl w:val="0"/>
        <w:spacing w:before="200" w:line="260" w:lineRule="atLeast"/>
        <w:jc w:val="both"/>
      </w:pPr>
      <w:bookmarkStart w:id="1252" w:name="Bookmark_para_17_7"/>
      <w:bookmarkStart w:id="1253" w:name="Bookmark_I62F889J2HM64R0010000400"/>
      <w:bookmarkEnd w:id="1252"/>
      <w:bookmarkEnd w:id="1253"/>
      <w:r>
        <w:rPr>
          <w:rFonts w:ascii="Arial" w:eastAsia="Arial" w:hAnsi="Arial" w:cs="Arial"/>
          <w:color w:val="000000"/>
          <w:sz w:val="20"/>
        </w:rPr>
        <w:t xml:space="preserve">Of the required elements of standing, Winn-Dixie disputes only whether Gil has suffered an injury in fact, given that he was able to use the physical stores for years before he knew the website existed. While Gil does not dispute that he was able to access the physical store without impediment, he argues that he suffered an injury both when "he was unable to avail himself of the goods and services" on the website and when the website interfered with his "ability to equally enjoy the goods and services of Winn-Dixie's stores." The difficulties caused by his inability to access much of the Winn-Dixie website constitute a "concrete and particularized" injury that is not "conjectural" or "hypothetical," and will continue if the website remains inaccessible. </w:t>
      </w:r>
      <w:r>
        <w:rPr>
          <w:rFonts w:ascii="Arial" w:eastAsia="Arial" w:hAnsi="Arial" w:cs="Arial"/>
          <w:i/>
          <w:color w:val="000000"/>
          <w:sz w:val="20"/>
        </w:rPr>
        <w:t xml:space="preserve">See </w:t>
      </w:r>
      <w:bookmarkStart w:id="1254" w:name="Bookmark_I62F889J2N1R1K0050000400"/>
      <w:bookmarkEnd w:id="1254"/>
      <w:r>
        <w:rPr>
          <w:rFonts w:ascii="Arial" w:eastAsia="Arial" w:hAnsi="Arial" w:cs="Arial"/>
          <w:i/>
          <w:color w:val="000000"/>
          <w:sz w:val="20"/>
        </w:rPr>
        <w:t>Muransky</w:t>
      </w:r>
      <w:r>
        <w:rPr>
          <w:rFonts w:ascii="Arial" w:eastAsia="Arial" w:hAnsi="Arial" w:cs="Arial"/>
          <w:color w:val="000000"/>
          <w:sz w:val="20"/>
        </w:rPr>
        <w:t xml:space="preserve">, 979 F.3d at 925; </w:t>
      </w:r>
      <w:bookmarkStart w:id="1255" w:name="Bookmark_I62F889J2HM64R0020000400"/>
      <w:bookmarkEnd w:id="1255"/>
      <w:r>
        <w:rPr>
          <w:rFonts w:ascii="Arial" w:eastAsia="Arial" w:hAnsi="Arial" w:cs="Arial"/>
          <w:i/>
          <w:color w:val="000000"/>
          <w:sz w:val="20"/>
        </w:rPr>
        <w:t>Lujan</w:t>
      </w:r>
      <w:r>
        <w:rPr>
          <w:rFonts w:ascii="Arial" w:eastAsia="Arial" w:hAnsi="Arial" w:cs="Arial"/>
          <w:color w:val="000000"/>
          <w:sz w:val="20"/>
        </w:rPr>
        <w:t>, 504 U.S. at 560-61. Accordingly, Gil has Article III standing to bring the case.</w:t>
      </w:r>
    </w:p>
    <w:p w14:paraId="483793C7" w14:textId="77777777" w:rsidR="002B10A6" w:rsidRDefault="00000000">
      <w:pPr>
        <w:pStyle w:val="Normal9"/>
        <w:widowControl w:val="0"/>
        <w:spacing w:before="240" w:line="260" w:lineRule="atLeast"/>
      </w:pPr>
      <w:r>
        <w:br/>
      </w:r>
      <w:r>
        <w:rPr>
          <w:rFonts w:ascii="Arial" w:eastAsia="Arial" w:hAnsi="Arial" w:cs="Arial"/>
          <w:b/>
          <w:color w:val="000000"/>
          <w:sz w:val="20"/>
        </w:rPr>
        <w:t>B. Websites and Public Accommodations</w:t>
      </w:r>
    </w:p>
    <w:p w14:paraId="172D15C2" w14:textId="77777777" w:rsidR="002B10A6" w:rsidRDefault="00000000">
      <w:pPr>
        <w:pStyle w:val="Normal9"/>
        <w:widowControl w:val="0"/>
        <w:spacing w:before="200" w:line="260" w:lineRule="atLeast"/>
        <w:jc w:val="both"/>
      </w:pPr>
      <w:bookmarkStart w:id="1256" w:name="Bookmark_para_18_7"/>
      <w:bookmarkEnd w:id="1256"/>
      <w:r>
        <w:rPr>
          <w:rFonts w:ascii="Arial" w:eastAsia="Arial" w:hAnsi="Arial" w:cs="Arial"/>
          <w:color w:val="000000"/>
          <w:sz w:val="20"/>
        </w:rPr>
        <w:t>Turning to the merits, this case presents two primary issues: (1) whether Winn-Dixie's website is a place of public accommodation in and of itself, such that its inaccessibility violates Title III; and (2) if it is not a place of public accommodation, whether the website otherwise [**12]  violates Title III.</w:t>
      </w:r>
    </w:p>
    <w:p w14:paraId="37A86C7F" w14:textId="77777777" w:rsidR="002B10A6" w:rsidRDefault="00000000">
      <w:pPr>
        <w:pStyle w:val="Normal9"/>
        <w:widowControl w:val="0"/>
        <w:spacing w:before="240" w:line="260" w:lineRule="atLeast"/>
      </w:pPr>
      <w:r>
        <w:br/>
      </w:r>
      <w:r>
        <w:rPr>
          <w:rFonts w:ascii="Arial" w:eastAsia="Arial" w:hAnsi="Arial" w:cs="Arial"/>
          <w:b/>
          <w:color w:val="000000"/>
          <w:sz w:val="20"/>
        </w:rPr>
        <w:t>1. Is the website, in and of itself, a place of public accommodation under Title III</w:t>
      </w:r>
      <w:r>
        <w:rPr>
          <w:rFonts w:ascii="Arial" w:eastAsia="Arial" w:hAnsi="Arial" w:cs="Arial"/>
          <w:color w:val="000000"/>
          <w:sz w:val="20"/>
        </w:rPr>
        <w:t>?</w:t>
      </w:r>
      <w:r>
        <w:rPr>
          <w:rFonts w:ascii="Arial" w:eastAsia="Arial" w:hAnsi="Arial" w:cs="Arial"/>
          <w:vertAlign w:val="superscript"/>
        </w:rPr>
        <w:footnoteReference w:customMarkFollows="1" w:id="44"/>
        <w:t>8</w:t>
      </w:r>
    </w:p>
    <w:p w14:paraId="535726BE" w14:textId="77777777" w:rsidR="002B10A6" w:rsidRDefault="00000000">
      <w:pPr>
        <w:pStyle w:val="Normal9"/>
        <w:widowControl w:val="0"/>
        <w:spacing w:before="200" w:line="260" w:lineRule="atLeast"/>
        <w:jc w:val="both"/>
      </w:pPr>
      <w:bookmarkStart w:id="1258" w:name="Bookmark_para_19_6"/>
      <w:bookmarkEnd w:id="1258"/>
      <w:r>
        <w:rPr>
          <w:rFonts w:ascii="Arial" w:eastAsia="Arial" w:hAnsi="Arial" w:cs="Arial"/>
          <w:color w:val="000000"/>
          <w:sz w:val="20"/>
        </w:rPr>
        <w:t>We must first determine whether Winn-Dixie's website is considered a place of public accommodation under Title III of the ADA.</w:t>
      </w:r>
    </w:p>
    <w:p w14:paraId="5176225C" w14:textId="77777777" w:rsidR="002B10A6" w:rsidRDefault="00000000">
      <w:pPr>
        <w:pStyle w:val="Normal9"/>
        <w:widowControl w:val="0"/>
        <w:spacing w:before="200" w:line="260" w:lineRule="atLeast"/>
        <w:jc w:val="both"/>
      </w:pPr>
      <w:bookmarkStart w:id="1259" w:name="Bookmark_para_20_6"/>
      <w:bookmarkStart w:id="1260" w:name="Bookmark_I62F889J2HM64R0050000400"/>
      <w:bookmarkEnd w:id="1259"/>
      <w:bookmarkEnd w:id="1260"/>
      <w:r>
        <w:rPr>
          <w:rFonts w:ascii="Arial" w:eastAsia="Arial" w:hAnsi="Arial" w:cs="Arial"/>
          <w:color w:val="000000"/>
          <w:sz w:val="20"/>
        </w:rPr>
        <w:t xml:space="preserve">Congress passed the ADA in 1990 and amended it in 2008. </w:t>
      </w:r>
      <w:bookmarkStart w:id="1261" w:name="Bookmark_LNHNREFclscc5_8"/>
      <w:bookmarkEnd w:id="1261"/>
      <w:r>
        <w:rPr>
          <w:rFonts w:ascii="Arial" w:eastAsia="Arial" w:hAnsi="Arial" w:cs="Arial"/>
          <w:color w:val="000000"/>
          <w:sz w:val="20"/>
        </w:rPr>
        <w:t xml:space="preserve">"[T]he ADA forbids discrimination against disabled individuals in major areas of public life, among them employment (Title I of the Act), public services (Title II), and public accommodations (Title III). </w:t>
      </w:r>
      <w:bookmarkStart w:id="1262" w:name="Bookmark_I62F889J2HM64R0040000400"/>
      <w:bookmarkEnd w:id="1262"/>
      <w:r>
        <w:rPr>
          <w:rFonts w:ascii="Arial" w:eastAsia="Arial" w:hAnsi="Arial" w:cs="Arial"/>
          <w:i/>
          <w:color w:val="000000"/>
          <w:sz w:val="20"/>
        </w:rPr>
        <w:t>PGA Tour, Inc. v. Martin</w:t>
      </w:r>
      <w:r>
        <w:rPr>
          <w:rFonts w:ascii="Arial" w:eastAsia="Arial" w:hAnsi="Arial" w:cs="Arial"/>
          <w:color w:val="000000"/>
          <w:sz w:val="20"/>
        </w:rPr>
        <w:t>, 532 U.S. 661, 675, 121 S. Ct. 1879, 149 L. Ed. 2d 904 (2001).</w:t>
      </w:r>
    </w:p>
    <w:p w14:paraId="3C110D5F" w14:textId="77777777" w:rsidR="002B10A6" w:rsidRDefault="00000000">
      <w:pPr>
        <w:pStyle w:val="Normal9"/>
        <w:widowControl w:val="0"/>
        <w:spacing w:before="200" w:line="260" w:lineRule="atLeast"/>
        <w:jc w:val="both"/>
      </w:pPr>
      <w:bookmarkStart w:id="1263" w:name="Bookmark_para_21_6"/>
      <w:bookmarkEnd w:id="1263"/>
      <w:r>
        <w:rPr>
          <w:rFonts w:ascii="Arial" w:eastAsia="Arial" w:hAnsi="Arial" w:cs="Arial"/>
          <w:color w:val="000000"/>
          <w:sz w:val="20"/>
        </w:rPr>
        <w:t xml:space="preserve">Our analysis in this place of public accommodation case begins with the text  [*1275]  of Title III. Under Title III, "[n]o individual shall be discriminated against on the basis of disability in the full and equal enjoyment of the goods, services, facilities, privileges, advantages, or accommodations of </w:t>
      </w:r>
      <w:r>
        <w:rPr>
          <w:rFonts w:ascii="Arial" w:eastAsia="Arial" w:hAnsi="Arial" w:cs="Arial"/>
          <w:i/>
          <w:color w:val="000000"/>
          <w:sz w:val="20"/>
        </w:rPr>
        <w:t>any place of public accommodation</w:t>
      </w:r>
      <w:r>
        <w:rPr>
          <w:rFonts w:ascii="Arial" w:eastAsia="Arial" w:hAnsi="Arial" w:cs="Arial"/>
          <w:color w:val="000000"/>
          <w:sz w:val="20"/>
        </w:rPr>
        <w:t xml:space="preserve"> by any person who owns, leases (or leases to), or operates a place of public accommodation." 42 U.S.C. § 12182(a) (emphasis added).</w:t>
      </w:r>
    </w:p>
    <w:p w14:paraId="753AC934" w14:textId="77777777" w:rsidR="002B10A6" w:rsidRDefault="00000000">
      <w:pPr>
        <w:pStyle w:val="Normal9"/>
        <w:widowControl w:val="0"/>
        <w:spacing w:before="200" w:line="260" w:lineRule="atLeast"/>
        <w:jc w:val="both"/>
      </w:pPr>
      <w:bookmarkStart w:id="1264" w:name="Bookmark_para_22_6"/>
      <w:bookmarkStart w:id="1265" w:name="Bookmark_LNHNREFclscc6_7"/>
      <w:bookmarkEnd w:id="1264"/>
      <w:bookmarkEnd w:id="1265"/>
      <w:r>
        <w:rPr>
          <w:rFonts w:ascii="Arial" w:eastAsia="Arial" w:hAnsi="Arial" w:cs="Arial"/>
          <w:color w:val="000000"/>
          <w:sz w:val="20"/>
        </w:rPr>
        <w:t xml:space="preserve">Title III then provides more specific examples of what constitutes discrimination for purposes of § 12182(a). </w:t>
      </w:r>
      <w:r>
        <w:rPr>
          <w:rFonts w:ascii="Arial" w:eastAsia="Arial" w:hAnsi="Arial" w:cs="Arial"/>
          <w:i/>
          <w:color w:val="000000"/>
          <w:sz w:val="20"/>
        </w:rPr>
        <w:t>Id.</w:t>
      </w:r>
      <w:r>
        <w:rPr>
          <w:rFonts w:ascii="Arial" w:eastAsia="Arial" w:hAnsi="Arial" w:cs="Arial"/>
          <w:color w:val="000000"/>
          <w:sz w:val="20"/>
        </w:rPr>
        <w:t xml:space="preserve"> § 12182(b)(2)(A)(i)-(v).</w:t>
      </w:r>
      <w:r>
        <w:rPr>
          <w:rFonts w:ascii="Arial" w:eastAsia="Arial" w:hAnsi="Arial" w:cs="Arial"/>
          <w:vertAlign w:val="superscript"/>
        </w:rPr>
        <w:footnoteReference w:customMarkFollows="1" w:id="45"/>
        <w:t>9</w:t>
      </w:r>
      <w:r>
        <w:rPr>
          <w:rFonts w:ascii="Arial" w:eastAsia="Arial" w:hAnsi="Arial" w:cs="Arial"/>
          <w:color w:val="000000"/>
          <w:sz w:val="20"/>
        </w:rPr>
        <w:t xml:space="preserve"> The only provision relevant to this appeal is § 12182(b)(2)(A)(iii), which provides that discrimination occurs when an operator of a place of public accommodation "fail[s] to take such [**13]  steps as may be necessary to ensure that no individual with a disability is excluded, denied services, segregated or otherwise treated differently than other individuals because of the absence of auxiliary aids and services." </w:t>
      </w:r>
      <w:r>
        <w:rPr>
          <w:rFonts w:ascii="Arial" w:eastAsia="Arial" w:hAnsi="Arial" w:cs="Arial"/>
          <w:i/>
          <w:color w:val="000000"/>
          <w:sz w:val="20"/>
        </w:rPr>
        <w:t>Id.</w:t>
      </w:r>
      <w:r>
        <w:rPr>
          <w:rFonts w:ascii="Arial" w:eastAsia="Arial" w:hAnsi="Arial" w:cs="Arial"/>
          <w:color w:val="000000"/>
          <w:sz w:val="20"/>
        </w:rPr>
        <w:t xml:space="preserve"> § 12182(b)(2)(A)(iii). A place of public accommodation does not have to provide auxiliary aids or services if "taking such steps would fundamentally alter the nature of the good, service, facility, privilege, advantage, or accommodation being offered or would result in an undue burden." </w:t>
      </w:r>
      <w:r>
        <w:rPr>
          <w:rFonts w:ascii="Arial" w:eastAsia="Arial" w:hAnsi="Arial" w:cs="Arial"/>
          <w:i/>
          <w:color w:val="000000"/>
          <w:sz w:val="20"/>
        </w:rPr>
        <w:t>Id.</w:t>
      </w:r>
    </w:p>
    <w:p w14:paraId="6B45CBF8" w14:textId="77777777" w:rsidR="002B10A6" w:rsidRDefault="00000000">
      <w:pPr>
        <w:pStyle w:val="Normal9"/>
        <w:widowControl w:val="0"/>
        <w:spacing w:before="200" w:line="260" w:lineRule="atLeast"/>
        <w:jc w:val="both"/>
      </w:pPr>
      <w:bookmarkStart w:id="1273" w:name="Bookmark_para_28_6"/>
      <w:bookmarkEnd w:id="1273"/>
      <w:r>
        <w:rPr>
          <w:rFonts w:ascii="Arial" w:eastAsia="Arial" w:hAnsi="Arial" w:cs="Arial"/>
          <w:color w:val="000000"/>
          <w:sz w:val="20"/>
        </w:rPr>
        <w:t>So what is a "a public accommodation" under Title III of the ADA? It is defined as follows:</w:t>
      </w:r>
    </w:p>
    <w:p w14:paraId="6FAEE180" w14:textId="77777777" w:rsidR="002B10A6" w:rsidRDefault="00000000">
      <w:pPr>
        <w:pStyle w:val="Normal9"/>
        <w:widowControl w:val="0"/>
        <w:spacing w:line="260" w:lineRule="atLeast"/>
        <w:ind w:left="400"/>
        <w:jc w:val="both"/>
      </w:pPr>
      <w:bookmarkStart w:id="1274" w:name="Bookmark_para_29_6"/>
      <w:bookmarkEnd w:id="1274"/>
      <w:r>
        <w:rPr>
          <w:rFonts w:ascii="Arial" w:eastAsia="Arial" w:hAnsi="Arial" w:cs="Arial"/>
          <w:color w:val="000000"/>
          <w:sz w:val="20"/>
        </w:rPr>
        <w:t>The following private entities are considered public accommodations for purposes of this subchapter, if the operations of such entities affect commerce--</w:t>
      </w:r>
    </w:p>
    <w:p w14:paraId="230DE7CF" w14:textId="77777777" w:rsidR="002B10A6" w:rsidRDefault="00000000">
      <w:pPr>
        <w:pStyle w:val="Normal9"/>
        <w:widowControl w:val="0"/>
        <w:spacing w:line="260" w:lineRule="atLeast"/>
        <w:ind w:left="400"/>
        <w:jc w:val="both"/>
      </w:pPr>
      <w:bookmarkStart w:id="1275" w:name="Bookmark_para_30_6"/>
      <w:bookmarkEnd w:id="1275"/>
      <w:r>
        <w:rPr>
          <w:rFonts w:ascii="Arial" w:eastAsia="Arial" w:hAnsi="Arial" w:cs="Arial"/>
          <w:color w:val="000000"/>
          <w:sz w:val="20"/>
        </w:rPr>
        <w:t>(A) an inn, hotel, motel, or other place of lodging, except for an establishment located within a building that contains not more than five rooms for rent or hire and that is actually occupied by the proprietor of such establishment as the residence of such proprietor;</w:t>
      </w:r>
    </w:p>
    <w:p w14:paraId="6782B0DC" w14:textId="77777777" w:rsidR="002B10A6" w:rsidRDefault="00000000">
      <w:pPr>
        <w:pStyle w:val="Normal9"/>
        <w:widowControl w:val="0"/>
        <w:spacing w:before="200" w:line="260" w:lineRule="atLeast"/>
        <w:ind w:left="400"/>
        <w:jc w:val="both"/>
      </w:pPr>
      <w:bookmarkStart w:id="1276" w:name="Bookmark_para_31_6"/>
      <w:bookmarkEnd w:id="1276"/>
      <w:r>
        <w:rPr>
          <w:rFonts w:ascii="Arial" w:eastAsia="Arial" w:hAnsi="Arial" w:cs="Arial"/>
          <w:color w:val="000000"/>
          <w:sz w:val="20"/>
        </w:rPr>
        <w:t> [*1276]  (B) a restaurant, bar, or other establishment serving food or drink;</w:t>
      </w:r>
    </w:p>
    <w:p w14:paraId="1BC7DEC3" w14:textId="77777777" w:rsidR="002B10A6" w:rsidRDefault="00000000">
      <w:pPr>
        <w:pStyle w:val="Normal9"/>
        <w:widowControl w:val="0"/>
        <w:spacing w:line="260" w:lineRule="atLeast"/>
        <w:ind w:left="400"/>
        <w:jc w:val="both"/>
      </w:pPr>
      <w:bookmarkStart w:id="1277" w:name="Bookmark_para_32_6"/>
      <w:bookmarkEnd w:id="1277"/>
      <w:r>
        <w:rPr>
          <w:rFonts w:ascii="Arial" w:eastAsia="Arial" w:hAnsi="Arial" w:cs="Arial"/>
          <w:color w:val="000000"/>
          <w:sz w:val="20"/>
        </w:rPr>
        <w:t>(C) a motion picture house, theater, concert hall, stadium, or other place of exhibition or entertainment;</w:t>
      </w:r>
    </w:p>
    <w:p w14:paraId="5DB99576" w14:textId="77777777" w:rsidR="002B10A6" w:rsidRDefault="00000000">
      <w:pPr>
        <w:pStyle w:val="Normal9"/>
        <w:widowControl w:val="0"/>
        <w:spacing w:line="260" w:lineRule="atLeast"/>
        <w:ind w:left="400"/>
        <w:jc w:val="both"/>
      </w:pPr>
      <w:bookmarkStart w:id="1278" w:name="Bookmark_para_33_5"/>
      <w:bookmarkEnd w:id="1278"/>
      <w:r>
        <w:rPr>
          <w:rFonts w:ascii="Arial" w:eastAsia="Arial" w:hAnsi="Arial" w:cs="Arial"/>
          <w:color w:val="000000"/>
          <w:sz w:val="20"/>
        </w:rPr>
        <w:t>(D) an auditorium, convention center, lecture hall, or other place of public gathering;</w:t>
      </w:r>
    </w:p>
    <w:p w14:paraId="33A7B9AB" w14:textId="77777777" w:rsidR="002B10A6" w:rsidRDefault="00000000">
      <w:pPr>
        <w:pStyle w:val="Normal9"/>
        <w:widowControl w:val="0"/>
        <w:spacing w:line="260" w:lineRule="atLeast"/>
        <w:ind w:left="400"/>
        <w:jc w:val="both"/>
      </w:pPr>
      <w:bookmarkStart w:id="1279" w:name="Bookmark_para_34_4"/>
      <w:bookmarkEnd w:id="1279"/>
      <w:r>
        <w:rPr>
          <w:rFonts w:ascii="Arial" w:eastAsia="Arial" w:hAnsi="Arial" w:cs="Arial"/>
          <w:color w:val="000000"/>
          <w:sz w:val="20"/>
        </w:rPr>
        <w:t>(E) a bakery, grocery store, clothing store, hardware store, shopping center, or other sales or rental establishment;</w:t>
      </w:r>
    </w:p>
    <w:p w14:paraId="448A9AE1" w14:textId="77777777" w:rsidR="002B10A6" w:rsidRDefault="00000000">
      <w:pPr>
        <w:pStyle w:val="Normal9"/>
        <w:widowControl w:val="0"/>
        <w:spacing w:before="200" w:line="260" w:lineRule="atLeast"/>
        <w:ind w:left="400"/>
        <w:jc w:val="both"/>
      </w:pPr>
      <w:bookmarkStart w:id="1280" w:name="Bookmark_para_35_4"/>
      <w:bookmarkEnd w:id="1280"/>
      <w:r>
        <w:rPr>
          <w:rFonts w:ascii="Arial" w:eastAsia="Arial" w:hAnsi="Arial" w:cs="Arial"/>
          <w:color w:val="000000"/>
          <w:sz w:val="20"/>
        </w:rPr>
        <w:t>(F) a laundromat, dry-cleaner, bank, barber shop, beauty shop, travel service, shoe repair service, funeral parlor, gas station, office of [**16]  an accountant or lawyer, pharmacy, insurance office, professional office of a health care provider, hospital, or other service establishment;</w:t>
      </w:r>
    </w:p>
    <w:p w14:paraId="146487B4" w14:textId="77777777" w:rsidR="002B10A6" w:rsidRDefault="00000000">
      <w:pPr>
        <w:pStyle w:val="Normal9"/>
        <w:widowControl w:val="0"/>
        <w:spacing w:line="260" w:lineRule="atLeast"/>
        <w:ind w:left="400"/>
        <w:jc w:val="both"/>
      </w:pPr>
      <w:bookmarkStart w:id="1281" w:name="Bookmark_para_36_4"/>
      <w:bookmarkEnd w:id="1281"/>
      <w:r>
        <w:rPr>
          <w:rFonts w:ascii="Arial" w:eastAsia="Arial" w:hAnsi="Arial" w:cs="Arial"/>
          <w:color w:val="000000"/>
          <w:sz w:val="20"/>
        </w:rPr>
        <w:t>(G) a terminal, depot, or other station used for specified public transportation;</w:t>
      </w:r>
    </w:p>
    <w:p w14:paraId="6FB6AF52" w14:textId="77777777" w:rsidR="002B10A6" w:rsidRDefault="00000000">
      <w:pPr>
        <w:pStyle w:val="Normal9"/>
        <w:widowControl w:val="0"/>
        <w:spacing w:line="260" w:lineRule="atLeast"/>
        <w:ind w:left="400"/>
        <w:jc w:val="both"/>
      </w:pPr>
      <w:bookmarkStart w:id="1282" w:name="Bookmark_para_37_3"/>
      <w:bookmarkEnd w:id="1282"/>
      <w:r>
        <w:rPr>
          <w:rFonts w:ascii="Arial" w:eastAsia="Arial" w:hAnsi="Arial" w:cs="Arial"/>
          <w:color w:val="000000"/>
          <w:sz w:val="20"/>
        </w:rPr>
        <w:t>(H) a museum, library, gallery, or other place of public display or collection;</w:t>
      </w:r>
    </w:p>
    <w:p w14:paraId="4E70E010" w14:textId="77777777" w:rsidR="002B10A6" w:rsidRDefault="00000000">
      <w:pPr>
        <w:pStyle w:val="Normal9"/>
        <w:widowControl w:val="0"/>
        <w:spacing w:line="260" w:lineRule="atLeast"/>
        <w:ind w:left="400"/>
        <w:jc w:val="both"/>
      </w:pPr>
      <w:bookmarkStart w:id="1283" w:name="Bookmark_para_38_2"/>
      <w:bookmarkEnd w:id="1283"/>
      <w:r>
        <w:rPr>
          <w:rFonts w:ascii="Arial" w:eastAsia="Arial" w:hAnsi="Arial" w:cs="Arial"/>
          <w:color w:val="000000"/>
          <w:sz w:val="20"/>
        </w:rPr>
        <w:t>(I) a park, zoo, amusement park, or other place of recreation;</w:t>
      </w:r>
    </w:p>
    <w:p w14:paraId="5B50A8A4" w14:textId="77777777" w:rsidR="002B10A6" w:rsidRDefault="00000000">
      <w:pPr>
        <w:pStyle w:val="Normal9"/>
        <w:widowControl w:val="0"/>
        <w:spacing w:line="260" w:lineRule="atLeast"/>
        <w:ind w:left="400"/>
        <w:jc w:val="both"/>
      </w:pPr>
      <w:bookmarkStart w:id="1284" w:name="Bookmark_para_39_2"/>
      <w:bookmarkEnd w:id="1284"/>
      <w:r>
        <w:rPr>
          <w:rFonts w:ascii="Arial" w:eastAsia="Arial" w:hAnsi="Arial" w:cs="Arial"/>
          <w:color w:val="000000"/>
          <w:sz w:val="20"/>
        </w:rPr>
        <w:t>(J) a nursery, elementary, secondary, undergraduate, or postgraduate private school, or other place of education;</w:t>
      </w:r>
    </w:p>
    <w:p w14:paraId="40628BD2" w14:textId="77777777" w:rsidR="002B10A6" w:rsidRDefault="00000000">
      <w:pPr>
        <w:pStyle w:val="Normal9"/>
        <w:widowControl w:val="0"/>
        <w:spacing w:line="260" w:lineRule="atLeast"/>
        <w:ind w:left="400"/>
        <w:jc w:val="both"/>
      </w:pPr>
      <w:bookmarkStart w:id="1285" w:name="Bookmark_para_40_2"/>
      <w:bookmarkEnd w:id="1285"/>
      <w:r>
        <w:rPr>
          <w:rFonts w:ascii="Arial" w:eastAsia="Arial" w:hAnsi="Arial" w:cs="Arial"/>
          <w:color w:val="000000"/>
          <w:sz w:val="20"/>
        </w:rPr>
        <w:t>(K) a day care center, senior citizen center, homeless shelter, food bank, adoption agency, or other social service center establishment; and</w:t>
      </w:r>
    </w:p>
    <w:p w14:paraId="1F9AD4E0" w14:textId="77777777" w:rsidR="002B10A6" w:rsidRDefault="00000000">
      <w:pPr>
        <w:pStyle w:val="Normal9"/>
        <w:widowControl w:val="0"/>
        <w:spacing w:line="260" w:lineRule="atLeast"/>
        <w:ind w:left="400"/>
        <w:jc w:val="both"/>
      </w:pPr>
      <w:bookmarkStart w:id="1286" w:name="Bookmark_para_41_2"/>
      <w:bookmarkEnd w:id="1286"/>
      <w:r>
        <w:rPr>
          <w:rFonts w:ascii="Arial" w:eastAsia="Arial" w:hAnsi="Arial" w:cs="Arial"/>
          <w:color w:val="000000"/>
          <w:sz w:val="20"/>
        </w:rPr>
        <w:t>(L) a gymnasium, health spa, bowling alley, golf course, or other place of exercise or recreation.</w:t>
      </w:r>
    </w:p>
    <w:p w14:paraId="11E56A32" w14:textId="77777777" w:rsidR="002B10A6" w:rsidRDefault="00000000">
      <w:pPr>
        <w:pStyle w:val="Normal9"/>
        <w:widowControl w:val="0"/>
        <w:spacing w:before="200" w:line="260" w:lineRule="atLeast"/>
        <w:jc w:val="both"/>
      </w:pPr>
      <w:r>
        <w:rPr>
          <w:rFonts w:ascii="Arial" w:eastAsia="Arial" w:hAnsi="Arial" w:cs="Arial"/>
          <w:color w:val="000000"/>
          <w:sz w:val="20"/>
        </w:rPr>
        <w:t xml:space="preserve">42 U.S.C. § 12181(7). </w:t>
      </w:r>
      <w:bookmarkStart w:id="1287" w:name="Bookmark_LNHNREFclscc7_7"/>
      <w:bookmarkEnd w:id="1287"/>
      <w:r>
        <w:rPr>
          <w:rFonts w:ascii="Arial" w:eastAsia="Arial" w:hAnsi="Arial" w:cs="Arial"/>
          <w:color w:val="000000"/>
          <w:sz w:val="20"/>
        </w:rPr>
        <w:t xml:space="preserve">This section provides an expansive list of physical locations which are "public accommodations," including, as is relevant here, a "grocery store." </w:t>
      </w:r>
      <w:r>
        <w:rPr>
          <w:rFonts w:ascii="Arial" w:eastAsia="Arial" w:hAnsi="Arial" w:cs="Arial"/>
          <w:i/>
          <w:color w:val="000000"/>
          <w:sz w:val="20"/>
        </w:rPr>
        <w:t>Id.</w:t>
      </w:r>
      <w:r>
        <w:rPr>
          <w:rFonts w:ascii="Arial" w:eastAsia="Arial" w:hAnsi="Arial" w:cs="Arial"/>
          <w:color w:val="000000"/>
          <w:sz w:val="20"/>
        </w:rPr>
        <w:t xml:space="preserve"> The list covers most physical locations in which individuals will find themselves in their daily lives. Notably, however, the list does not include websites.</w:t>
      </w:r>
    </w:p>
    <w:p w14:paraId="2927CB52" w14:textId="77777777" w:rsidR="002B10A6" w:rsidRDefault="00000000">
      <w:pPr>
        <w:pStyle w:val="Normal9"/>
        <w:widowControl w:val="0"/>
        <w:spacing w:before="200" w:line="260" w:lineRule="atLeast"/>
        <w:jc w:val="both"/>
      </w:pPr>
      <w:bookmarkStart w:id="1288" w:name="Bookmark_para_42_2"/>
      <w:bookmarkStart w:id="1289" w:name="Bookmark_LNHNREFclscc8_6"/>
      <w:bookmarkEnd w:id="1288"/>
      <w:bookmarkEnd w:id="1289"/>
      <w:r>
        <w:rPr>
          <w:rFonts w:ascii="Arial" w:eastAsia="Arial" w:hAnsi="Arial" w:cs="Arial"/>
          <w:color w:val="000000"/>
          <w:sz w:val="20"/>
        </w:rPr>
        <w:t>The Department of Justice, responsible for promulgating regulations to implement the ADA, 42 U.S.C. § 12186(b),</w:t>
      </w:r>
      <w:r>
        <w:rPr>
          <w:rFonts w:ascii="Arial" w:eastAsia="Arial" w:hAnsi="Arial" w:cs="Arial"/>
          <w:vertAlign w:val="superscript"/>
        </w:rPr>
        <w:footnoteReference w:customMarkFollows="1" w:id="46"/>
        <w:t>10</w:t>
      </w:r>
      <w:r>
        <w:rPr>
          <w:rFonts w:ascii="Arial" w:eastAsia="Arial" w:hAnsi="Arial" w:cs="Arial"/>
          <w:color w:val="000000"/>
          <w:sz w:val="20"/>
        </w:rPr>
        <w:t xml:space="preserve"> has provided a detailed explanation of the meaning of "public accommodation." 28 C.F.R. § 36.104. The [**17]  regulation echoes the language of the statute, listing a plethora of physical spaces including "[a] bakery, grocery store, clothing store, hardware store, shopping center, or other sales or rental establishment," not including websites.</w:t>
      </w:r>
      <w:r>
        <w:rPr>
          <w:rFonts w:ascii="Arial" w:eastAsia="Arial" w:hAnsi="Arial" w:cs="Arial"/>
          <w:vertAlign w:val="superscript"/>
        </w:rPr>
        <w:footnoteReference w:customMarkFollows="1" w:id="47"/>
        <w:t>11</w:t>
      </w:r>
      <w:r>
        <w:rPr>
          <w:rFonts w:ascii="Arial" w:eastAsia="Arial" w:hAnsi="Arial" w:cs="Arial"/>
          <w:color w:val="000000"/>
          <w:sz w:val="20"/>
        </w:rPr>
        <w:t xml:space="preserve"> </w:t>
      </w:r>
      <w:r>
        <w:rPr>
          <w:rFonts w:ascii="Arial" w:eastAsia="Arial" w:hAnsi="Arial" w:cs="Arial"/>
          <w:i/>
          <w:color w:val="000000"/>
          <w:sz w:val="20"/>
        </w:rPr>
        <w:t>Id.</w:t>
      </w:r>
    </w:p>
    <w:p w14:paraId="76AFC361" w14:textId="77777777" w:rsidR="002B10A6" w:rsidRDefault="00000000">
      <w:pPr>
        <w:pStyle w:val="Normal9"/>
        <w:widowControl w:val="0"/>
        <w:spacing w:before="200" w:line="260" w:lineRule="atLeast"/>
        <w:jc w:val="both"/>
      </w:pPr>
      <w:bookmarkStart w:id="1293" w:name="Bookmark_para_44_1"/>
      <w:bookmarkStart w:id="1294" w:name="Bookmark_I62F889J2D6NTK0020000400"/>
      <w:bookmarkStart w:id="1295" w:name="Bookmark_LNHNREFclscc9_6"/>
      <w:bookmarkEnd w:id="1293"/>
      <w:bookmarkEnd w:id="1294"/>
      <w:bookmarkEnd w:id="1295"/>
      <w:r>
        <w:rPr>
          <w:rFonts w:ascii="Arial" w:eastAsia="Arial" w:hAnsi="Arial" w:cs="Arial"/>
          <w:color w:val="000000"/>
          <w:sz w:val="20"/>
        </w:rPr>
        <w:t xml:space="preserve">Our analysis is straightforward. "[I]n interpreting a statute a court should always turn first to one, cardinal canon before all others. </w:t>
      </w:r>
      <w:bookmarkStart w:id="1296" w:name="Bookmark_I62F889J2D6NTK0040000400"/>
      <w:bookmarkEnd w:id="1296"/>
      <w:r>
        <w:rPr>
          <w:rFonts w:ascii="Arial" w:eastAsia="Arial" w:hAnsi="Arial" w:cs="Arial"/>
          <w:color w:val="000000"/>
          <w:sz w:val="20"/>
        </w:rPr>
        <w:t xml:space="preserve">We have stated time and again that courts must presume that a legislature says in a statute what it means and means in a statute what it says there." </w:t>
      </w:r>
      <w:bookmarkStart w:id="1297" w:name="Bookmark_I62F889J2D6NTK0010000400"/>
      <w:bookmarkEnd w:id="1297"/>
      <w:r>
        <w:rPr>
          <w:rFonts w:ascii="Arial" w:eastAsia="Arial" w:hAnsi="Arial" w:cs="Arial"/>
          <w:i/>
          <w:color w:val="000000"/>
          <w:sz w:val="20"/>
        </w:rPr>
        <w:t>Conn. Nat'l Bank v. Germain</w:t>
      </w:r>
      <w:r>
        <w:rPr>
          <w:rFonts w:ascii="Arial" w:eastAsia="Arial" w:hAnsi="Arial" w:cs="Arial"/>
          <w:color w:val="000000"/>
          <w:sz w:val="20"/>
        </w:rPr>
        <w:t xml:space="preserve">, 503 U.S. 249, 253-54, 112 S. Ct. 1146, 117 L. Ed. 2d 391 (1992). </w:t>
      </w:r>
      <w:bookmarkStart w:id="1298" w:name="Bookmark_I62F889J2D6NTK0040000400_2"/>
      <w:bookmarkEnd w:id="1298"/>
      <w:r>
        <w:rPr>
          <w:rFonts w:ascii="Arial" w:eastAsia="Arial" w:hAnsi="Arial" w:cs="Arial"/>
          <w:color w:val="000000"/>
          <w:sz w:val="20"/>
        </w:rPr>
        <w:t xml:space="preserve">"When the words of a statute are unambiguous . . . [our] 'judicial inquiry is complete.'" </w:t>
      </w:r>
      <w:bookmarkStart w:id="1299" w:name="Bookmark_I62F889J2D6NTK0030000400"/>
      <w:bookmarkEnd w:id="1299"/>
      <w:r>
        <w:rPr>
          <w:rFonts w:ascii="Arial" w:eastAsia="Arial" w:hAnsi="Arial" w:cs="Arial"/>
          <w:i/>
          <w:color w:val="000000"/>
          <w:sz w:val="20"/>
        </w:rPr>
        <w:t>Villarreal v. R.J. Reynolds Tobacco Co.</w:t>
      </w:r>
      <w:r>
        <w:rPr>
          <w:rFonts w:ascii="Arial" w:eastAsia="Arial" w:hAnsi="Arial" w:cs="Arial"/>
          <w:color w:val="000000"/>
          <w:sz w:val="20"/>
        </w:rPr>
        <w:t xml:space="preserve">, 839 F.3d 958, 969 (11th Cir. 2016) (quoting </w:t>
      </w:r>
      <w:bookmarkStart w:id="1300" w:name="Bookmark_I62F889J2D6NTK0050000400"/>
      <w:bookmarkEnd w:id="1300"/>
      <w:r>
        <w:rPr>
          <w:rFonts w:ascii="Arial" w:eastAsia="Arial" w:hAnsi="Arial" w:cs="Arial"/>
          <w:i/>
          <w:color w:val="000000"/>
          <w:sz w:val="20"/>
        </w:rPr>
        <w:t>Conn. Nat'l Bank</w:t>
      </w:r>
      <w:r>
        <w:rPr>
          <w:rFonts w:ascii="Arial" w:eastAsia="Arial" w:hAnsi="Arial" w:cs="Arial"/>
          <w:color w:val="000000"/>
          <w:sz w:val="20"/>
        </w:rPr>
        <w:t>, 503 U.S. at 254).</w:t>
      </w:r>
    </w:p>
    <w:p w14:paraId="4FE76217" w14:textId="77777777" w:rsidR="002B10A6" w:rsidRDefault="00000000">
      <w:pPr>
        <w:pStyle w:val="Normal9"/>
        <w:widowControl w:val="0"/>
        <w:spacing w:before="200" w:line="260" w:lineRule="atLeast"/>
        <w:jc w:val="both"/>
      </w:pPr>
      <w:bookmarkStart w:id="1301" w:name="Bookmark_para_45_1"/>
      <w:bookmarkStart w:id="1302" w:name="Bookmark_LNHNREFclscc10_5"/>
      <w:bookmarkEnd w:id="1301"/>
      <w:bookmarkEnd w:id="1302"/>
      <w:r>
        <w:rPr>
          <w:rFonts w:ascii="Arial" w:eastAsia="Arial" w:hAnsi="Arial" w:cs="Arial"/>
          <w:color w:val="000000"/>
          <w:sz w:val="20"/>
        </w:rPr>
        <w:t>The statutory language in Title III of the ADA defining "public accommodation" is unambiguous and clear.</w:t>
      </w:r>
      <w:r>
        <w:rPr>
          <w:rFonts w:ascii="Arial" w:eastAsia="Arial" w:hAnsi="Arial" w:cs="Arial"/>
          <w:vertAlign w:val="superscript"/>
        </w:rPr>
        <w:footnoteReference w:customMarkFollows="1" w:id="48"/>
        <w:t>12</w:t>
      </w:r>
      <w:r>
        <w:rPr>
          <w:rFonts w:ascii="Arial" w:eastAsia="Arial" w:hAnsi="Arial" w:cs="Arial"/>
          <w:color w:val="000000"/>
          <w:sz w:val="20"/>
        </w:rPr>
        <w:t xml:space="preserve"> It describes  [*1277]  twelve types of locations that are public accommodations. All of these listed types of locations are tangible, physical places. No intangible places or spaces, such as websites, are [**18]  listed. Thus, we conclude that, pursuant to the plain language of Title III of the ADA, public accommodations are limited to actual, physical places.</w:t>
      </w:r>
      <w:r>
        <w:rPr>
          <w:rFonts w:ascii="Arial" w:eastAsia="Arial" w:hAnsi="Arial" w:cs="Arial"/>
          <w:vertAlign w:val="superscript"/>
        </w:rPr>
        <w:footnoteReference w:customMarkFollows="1" w:id="49"/>
        <w:t>13</w:t>
      </w:r>
      <w:r>
        <w:rPr>
          <w:rFonts w:ascii="Arial" w:eastAsia="Arial" w:hAnsi="Arial" w:cs="Arial"/>
          <w:color w:val="000000"/>
          <w:sz w:val="20"/>
        </w:rPr>
        <w:t xml:space="preserve"> Necessarily then, we hold that websites are not a place of public accommodation under Title III of the ADA.</w:t>
      </w:r>
      <w:r>
        <w:rPr>
          <w:rFonts w:ascii="Arial" w:eastAsia="Arial" w:hAnsi="Arial" w:cs="Arial"/>
          <w:vertAlign w:val="superscript"/>
        </w:rPr>
        <w:footnoteReference w:customMarkFollows="1" w:id="50"/>
        <w:t>14</w:t>
      </w:r>
      <w:r>
        <w:rPr>
          <w:rFonts w:ascii="Arial" w:eastAsia="Arial" w:hAnsi="Arial" w:cs="Arial"/>
          <w:color w:val="000000"/>
          <w:sz w:val="20"/>
        </w:rPr>
        <w:t xml:space="preserve"> Therefore, Gil's inability to access and communicate with the website itself is not a violation of Title III.</w:t>
      </w:r>
    </w:p>
    <w:p w14:paraId="7AAADDF3" w14:textId="77777777" w:rsidR="002B10A6" w:rsidRDefault="00000000">
      <w:pPr>
        <w:pStyle w:val="Normal9"/>
        <w:widowControl w:val="0"/>
        <w:spacing w:before="240" w:line="260" w:lineRule="atLeast"/>
      </w:pPr>
      <w:r>
        <w:br/>
      </w:r>
      <w:r>
        <w:rPr>
          <w:rFonts w:ascii="Arial" w:eastAsia="Arial" w:hAnsi="Arial" w:cs="Arial"/>
          <w:b/>
          <w:color w:val="000000"/>
          <w:sz w:val="20"/>
        </w:rPr>
        <w:t>2. Does Winn-Dixie's website otherwise violate Title III</w:t>
      </w:r>
      <w:r>
        <w:rPr>
          <w:rFonts w:ascii="Arial" w:eastAsia="Arial" w:hAnsi="Arial" w:cs="Arial"/>
          <w:color w:val="000000"/>
          <w:sz w:val="20"/>
        </w:rPr>
        <w:t>?</w:t>
      </w:r>
    </w:p>
    <w:p w14:paraId="0811AC11" w14:textId="77777777" w:rsidR="002B10A6" w:rsidRDefault="00000000">
      <w:pPr>
        <w:pStyle w:val="Normal9"/>
        <w:widowControl w:val="0"/>
        <w:spacing w:before="200" w:line="260" w:lineRule="atLeast"/>
        <w:jc w:val="both"/>
      </w:pPr>
      <w:bookmarkStart w:id="1340" w:name="Bookmark_para_46_0"/>
      <w:bookmarkEnd w:id="1340"/>
      <w:r>
        <w:rPr>
          <w:rFonts w:ascii="Arial" w:eastAsia="Arial" w:hAnsi="Arial" w:cs="Arial"/>
          <w:color w:val="000000"/>
          <w:sz w:val="20"/>
        </w:rPr>
        <w:t>Our analysis does not end with the conclusion that a website is not a place of public accommodation as Gil does not take the position that websites must be declared places of public accommodation for him to be afforded relief. Instead, he argues that, pursuant to this Circuit's precedent, the ADA forbids not just physical barriers, but also "intangible barriers," that prevent an individual with a disability from fully and equally enjoying the goods,  [*1278]  services, privileges, or advantages of a place of public accommodation. Thus, he contends that the website violates Title III because its inaccessibility serves as an intangible barrier to his "equal access to the services, privileges, and advantages of Winn-Dixie's physical [**19]  stores," which are a place of public accommodation.</w:t>
      </w:r>
    </w:p>
    <w:p w14:paraId="2902B429" w14:textId="77777777" w:rsidR="002B10A6" w:rsidRDefault="00000000">
      <w:pPr>
        <w:pStyle w:val="Normal9"/>
        <w:widowControl w:val="0"/>
        <w:spacing w:before="200" w:line="260" w:lineRule="atLeast"/>
        <w:jc w:val="both"/>
      </w:pPr>
      <w:bookmarkStart w:id="1341" w:name="Bookmark_para_47_0"/>
      <w:bookmarkEnd w:id="1341"/>
      <w:r>
        <w:rPr>
          <w:rFonts w:ascii="Arial" w:eastAsia="Arial" w:hAnsi="Arial" w:cs="Arial"/>
          <w:color w:val="000000"/>
          <w:sz w:val="20"/>
        </w:rPr>
        <w:t xml:space="preserve">As discussed in section one, Title III provides that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 42 U.S.C. § 12182(a). </w:t>
      </w:r>
      <w:bookmarkStart w:id="1342" w:name="Bookmark_LNHNREFclscc13_3"/>
      <w:bookmarkEnd w:id="1342"/>
      <w:r>
        <w:rPr>
          <w:rFonts w:ascii="Arial" w:eastAsia="Arial" w:hAnsi="Arial" w:cs="Arial"/>
          <w:color w:val="000000"/>
          <w:sz w:val="20"/>
        </w:rPr>
        <w:t xml:space="preserve">For purposes of this general discrimination prohibition, discrimination includes instances where a place of public accommodation "fail[s] to take such steps as may be necessary to ensure that no individual with a disability is excluded, denied services, segregated or otherwise treated differently than other individuals because of the absence of auxiliary aids and services." </w:t>
      </w:r>
      <w:r>
        <w:rPr>
          <w:rFonts w:ascii="Arial" w:eastAsia="Arial" w:hAnsi="Arial" w:cs="Arial"/>
          <w:i/>
          <w:color w:val="000000"/>
          <w:sz w:val="20"/>
        </w:rPr>
        <w:t>See id.</w:t>
      </w:r>
      <w:r>
        <w:rPr>
          <w:rFonts w:ascii="Arial" w:eastAsia="Arial" w:hAnsi="Arial" w:cs="Arial"/>
          <w:color w:val="000000"/>
          <w:sz w:val="20"/>
        </w:rPr>
        <w:t xml:space="preserve"> § 12182(b)(2)(A)(iii). </w:t>
      </w:r>
      <w:bookmarkStart w:id="1343" w:name="Bookmark_I62F889N2D6NTX0030000400"/>
      <w:bookmarkEnd w:id="1343"/>
      <w:r>
        <w:rPr>
          <w:rFonts w:ascii="Arial" w:eastAsia="Arial" w:hAnsi="Arial" w:cs="Arial"/>
          <w:color w:val="000000"/>
          <w:sz w:val="20"/>
        </w:rPr>
        <w:t xml:space="preserve">And in </w:t>
      </w:r>
      <w:r>
        <w:rPr>
          <w:rFonts w:ascii="Arial" w:eastAsia="Arial" w:hAnsi="Arial" w:cs="Arial"/>
          <w:i/>
          <w:color w:val="000000"/>
          <w:sz w:val="20"/>
        </w:rPr>
        <w:t>Rendon v. Valleycrest Productions, Ltd.</w:t>
      </w:r>
      <w:r>
        <w:rPr>
          <w:rFonts w:ascii="Arial" w:eastAsia="Arial" w:hAnsi="Arial" w:cs="Arial"/>
          <w:color w:val="000000"/>
          <w:sz w:val="20"/>
        </w:rPr>
        <w:t>, we held that the</w:t>
      </w:r>
    </w:p>
    <w:p w14:paraId="67C65445" w14:textId="77777777" w:rsidR="002B10A6" w:rsidRDefault="00000000">
      <w:pPr>
        <w:pStyle w:val="Normal9"/>
        <w:widowControl w:val="0"/>
        <w:spacing w:before="200" w:line="260" w:lineRule="atLeast"/>
        <w:ind w:left="400"/>
        <w:jc w:val="both"/>
      </w:pPr>
      <w:bookmarkStart w:id="1344" w:name="Bookmark_para_48_0"/>
      <w:bookmarkStart w:id="1345" w:name="Bookmark_I62F889N2D6NTX0030000400_2"/>
      <w:bookmarkStart w:id="1346" w:name="Bookmark_I4J4T31HMV80000666200064"/>
      <w:bookmarkStart w:id="1347" w:name="Bookmark_I62F889N2D6NTX0050000400"/>
      <w:bookmarkEnd w:id="1344"/>
      <w:bookmarkEnd w:id="1345"/>
      <w:bookmarkEnd w:id="1346"/>
      <w:bookmarkEnd w:id="1347"/>
      <w:r>
        <w:rPr>
          <w:rFonts w:ascii="Arial" w:eastAsia="Arial" w:hAnsi="Arial" w:cs="Arial"/>
          <w:color w:val="000000"/>
          <w:sz w:val="20"/>
        </w:rPr>
        <w:t xml:space="preserve">plain and unambiguous statutory language . . . reveals that the definition of discrimination provided in Title III covers both tangible barriers, that is physical and architectural barriers that would prevent a disabled person from entering an accommodation's facilities and accessing its goods, services and privileges, </w:t>
      </w:r>
      <w:r>
        <w:rPr>
          <w:rFonts w:ascii="Arial" w:eastAsia="Arial" w:hAnsi="Arial" w:cs="Arial"/>
          <w:i/>
          <w:color w:val="000000"/>
          <w:sz w:val="20"/>
        </w:rPr>
        <w:t>see</w:t>
      </w:r>
      <w:r>
        <w:rPr>
          <w:rFonts w:ascii="Arial" w:eastAsia="Arial" w:hAnsi="Arial" w:cs="Arial"/>
          <w:color w:val="000000"/>
          <w:sz w:val="20"/>
        </w:rPr>
        <w:t xml:space="preserve"> 42 U.S.C. § 12182(b)(2)(A)(iv), and [**20]  </w:t>
      </w:r>
      <w:r>
        <w:rPr>
          <w:rFonts w:ascii="Arial" w:eastAsia="Arial" w:hAnsi="Arial" w:cs="Arial"/>
          <w:i/>
          <w:color w:val="000000"/>
          <w:sz w:val="20"/>
        </w:rPr>
        <w:t>intangible barriers</w:t>
      </w:r>
      <w:r>
        <w:rPr>
          <w:rFonts w:ascii="Arial" w:eastAsia="Arial" w:hAnsi="Arial" w:cs="Arial"/>
          <w:color w:val="000000"/>
          <w:sz w:val="20"/>
        </w:rPr>
        <w:t xml:space="preserve">, such as eligibility requirements and screening rules or discriminatory policies and procedures that restrict a disabled person's ability to enjoy the defendant entity's goods, services and privileges, </w:t>
      </w:r>
      <w:r>
        <w:rPr>
          <w:rFonts w:ascii="Arial" w:eastAsia="Arial" w:hAnsi="Arial" w:cs="Arial"/>
          <w:i/>
          <w:color w:val="000000"/>
          <w:sz w:val="20"/>
        </w:rPr>
        <w:t>see</w:t>
      </w:r>
      <w:r>
        <w:rPr>
          <w:rFonts w:ascii="Arial" w:eastAsia="Arial" w:hAnsi="Arial" w:cs="Arial"/>
          <w:color w:val="000000"/>
          <w:sz w:val="20"/>
        </w:rPr>
        <w:t xml:space="preserve"> 42 U.S.C. § 12182(b)(2)(A)(i)-(ii).</w:t>
      </w:r>
    </w:p>
    <w:p w14:paraId="3E9BD0EE" w14:textId="77777777" w:rsidR="002B10A6" w:rsidRDefault="00000000">
      <w:pPr>
        <w:pStyle w:val="Normal9"/>
        <w:widowControl w:val="0"/>
        <w:spacing w:before="200" w:line="260" w:lineRule="atLeast"/>
        <w:jc w:val="both"/>
      </w:pPr>
      <w:bookmarkStart w:id="1348" w:name="Bookmark_I62F889N2D6NTX0050000400_2"/>
      <w:bookmarkStart w:id="1349" w:name="Bookmark_I62F889N2D6NTX0030000400_3"/>
      <w:bookmarkStart w:id="1350" w:name="Bookmark_I62F889N2D6NTX0020000400"/>
      <w:bookmarkEnd w:id="1348"/>
      <w:bookmarkEnd w:id="1349"/>
      <w:bookmarkEnd w:id="1350"/>
      <w:r>
        <w:rPr>
          <w:rFonts w:ascii="Arial" w:eastAsia="Arial" w:hAnsi="Arial" w:cs="Arial"/>
          <w:color w:val="000000"/>
          <w:sz w:val="20"/>
        </w:rPr>
        <w:t>294 F.3d 1279, 1283 (11th Cir. 2002) (emphasis added). We also noted in dicta that "an intangible barrier may result as a consequence of a defendant entity's failure to act, that is, when it refuses to provide a reasonable auxiliary service that would permit the disabled to gain access to or use its goods and services," which would violate 42 U.S.C. § 12182(b)(2)(A)(iii).</w:t>
      </w:r>
      <w:r>
        <w:rPr>
          <w:rFonts w:ascii="Arial" w:eastAsia="Arial" w:hAnsi="Arial" w:cs="Arial"/>
          <w:vertAlign w:val="superscript"/>
        </w:rPr>
        <w:footnoteReference w:customMarkFollows="1" w:id="51"/>
        <w:t>15</w:t>
      </w:r>
      <w:r>
        <w:rPr>
          <w:rFonts w:ascii="Arial" w:eastAsia="Arial" w:hAnsi="Arial" w:cs="Arial"/>
          <w:color w:val="000000"/>
          <w:sz w:val="20"/>
        </w:rPr>
        <w:t xml:space="preserve"> </w:t>
      </w:r>
      <w:bookmarkStart w:id="1358" w:name="Bookmark_I62F889N2D6NTX0040000400"/>
      <w:bookmarkEnd w:id="1358"/>
      <w:r>
        <w:rPr>
          <w:rFonts w:ascii="Arial" w:eastAsia="Arial" w:hAnsi="Arial" w:cs="Arial"/>
          <w:i/>
          <w:color w:val="000000"/>
          <w:sz w:val="20"/>
        </w:rPr>
        <w:t>Rendon</w:t>
      </w:r>
      <w:r>
        <w:rPr>
          <w:rFonts w:ascii="Arial" w:eastAsia="Arial" w:hAnsi="Arial" w:cs="Arial"/>
          <w:color w:val="000000"/>
          <w:sz w:val="20"/>
        </w:rPr>
        <w:t xml:space="preserve">, 294 F.3d at 1283 n.7. Gil relies upon this intangible barrier discussion in </w:t>
      </w:r>
      <w:r>
        <w:rPr>
          <w:rFonts w:ascii="Arial" w:eastAsia="Arial" w:hAnsi="Arial" w:cs="Arial"/>
          <w:i/>
          <w:color w:val="000000"/>
          <w:sz w:val="20"/>
        </w:rPr>
        <w:t>Rendon</w:t>
      </w:r>
      <w:r>
        <w:rPr>
          <w:rFonts w:ascii="Arial" w:eastAsia="Arial" w:hAnsi="Arial" w:cs="Arial"/>
          <w:color w:val="000000"/>
          <w:sz w:val="20"/>
        </w:rPr>
        <w:t xml:space="preserve"> to argue that, even though Winn-Dixie's website is not itself a place of public accommodation, its inaccessibility to individuals who are visually disabled nevertheless violates Title III because it operates as an "intangible barrier" to accessing the goods, services, privileges, or advantages of Winn-Dixie's physical stores.</w:t>
      </w:r>
      <w:r>
        <w:rPr>
          <w:rFonts w:ascii="Arial" w:eastAsia="Arial" w:hAnsi="Arial" w:cs="Arial"/>
          <w:vertAlign w:val="superscript"/>
        </w:rPr>
        <w:footnoteReference w:customMarkFollows="1" w:id="52"/>
        <w:t>16</w:t>
      </w:r>
    </w:p>
    <w:p w14:paraId="7AAB0995" w14:textId="77777777" w:rsidR="002B10A6" w:rsidRDefault="00000000">
      <w:pPr>
        <w:pStyle w:val="Normal9"/>
        <w:widowControl w:val="0"/>
        <w:spacing w:before="200" w:line="260" w:lineRule="atLeast"/>
        <w:jc w:val="both"/>
      </w:pPr>
      <w:bookmarkStart w:id="1360" w:name="Bookmark_para_49_0"/>
      <w:bookmarkStart w:id="1361" w:name="Bookmark_I4J4T31RJ7H0000666200087"/>
      <w:bookmarkStart w:id="1362" w:name="Bookmark_I62F889N2D6NTY0010000400"/>
      <w:bookmarkStart w:id="1363" w:name="Bookmark_I62F889N2D6NTY0030000400"/>
      <w:bookmarkEnd w:id="1360"/>
      <w:bookmarkEnd w:id="1361"/>
      <w:bookmarkEnd w:id="1362"/>
      <w:bookmarkEnd w:id="1363"/>
      <w:r>
        <w:rPr>
          <w:rFonts w:ascii="Arial" w:eastAsia="Arial" w:hAnsi="Arial" w:cs="Arial"/>
          <w:color w:val="000000"/>
          <w:sz w:val="20"/>
        </w:rPr>
        <w:t xml:space="preserve">But at a fundamental level, Winn-Dixie's limited use website is unlike the intangible barrier asserted in </w:t>
      </w:r>
      <w:bookmarkStart w:id="1364" w:name="Bookmark_I62F889N2N1R210050000400"/>
      <w:bookmarkEnd w:id="1364"/>
      <w:r>
        <w:rPr>
          <w:rFonts w:ascii="Arial" w:eastAsia="Arial" w:hAnsi="Arial" w:cs="Arial"/>
          <w:i/>
          <w:color w:val="000000"/>
          <w:sz w:val="20"/>
        </w:rPr>
        <w:t>Rendon</w:t>
      </w:r>
      <w:r>
        <w:rPr>
          <w:rFonts w:ascii="Arial" w:eastAsia="Arial" w:hAnsi="Arial" w:cs="Arial"/>
          <w:color w:val="000000"/>
          <w:sz w:val="20"/>
        </w:rPr>
        <w:t xml:space="preserve">. Specifically, the </w:t>
      </w:r>
      <w:r>
        <w:rPr>
          <w:rFonts w:ascii="Arial" w:eastAsia="Arial" w:hAnsi="Arial" w:cs="Arial"/>
          <w:i/>
          <w:color w:val="000000"/>
          <w:sz w:val="20"/>
        </w:rPr>
        <w:t>Rendon</w:t>
      </w:r>
      <w:r>
        <w:rPr>
          <w:rFonts w:ascii="Arial" w:eastAsia="Arial" w:hAnsi="Arial" w:cs="Arial"/>
          <w:color w:val="000000"/>
          <w:sz w:val="20"/>
        </w:rPr>
        <w:t xml:space="preserve"> plaintiffs brought a Title III  [*1279]  ADA claim against the production companies of the television [**21]  game show "Who Wants To Be A Millionaire." </w:t>
      </w:r>
      <w:bookmarkStart w:id="1365" w:name="Bookmark_I62F889N2D6NTY0020000400"/>
      <w:bookmarkEnd w:id="1365"/>
      <w:r>
        <w:rPr>
          <w:rFonts w:ascii="Arial" w:eastAsia="Arial" w:hAnsi="Arial" w:cs="Arial"/>
          <w:color w:val="000000"/>
          <w:sz w:val="20"/>
        </w:rPr>
        <w:t xml:space="preserve">294 F.3d at 1280. </w:t>
      </w:r>
      <w:bookmarkStart w:id="1366" w:name="Bookmark_I62F889N2D6NTY0050000400"/>
      <w:bookmarkEnd w:id="1366"/>
      <w:r>
        <w:rPr>
          <w:rFonts w:ascii="Arial" w:eastAsia="Arial" w:hAnsi="Arial" w:cs="Arial"/>
          <w:color w:val="000000"/>
          <w:sz w:val="20"/>
        </w:rPr>
        <w:t xml:space="preserve">The producers of the show conducted contestant selection by using an automated hotline that provided a series of questions. Callers could use their telephone keypads to respond to the questions, and those who answered correctly could proceed through multiple rounds of the selection process and ultimately have a chance of appearing on the show. </w:t>
      </w:r>
      <w:r>
        <w:rPr>
          <w:rFonts w:ascii="Arial" w:eastAsia="Arial" w:hAnsi="Arial" w:cs="Arial"/>
          <w:i/>
          <w:color w:val="000000"/>
          <w:sz w:val="20"/>
        </w:rPr>
        <w:t>Id.</w:t>
      </w:r>
      <w:r>
        <w:rPr>
          <w:rFonts w:ascii="Arial" w:eastAsia="Arial" w:hAnsi="Arial" w:cs="Arial"/>
          <w:color w:val="000000"/>
          <w:sz w:val="20"/>
        </w:rPr>
        <w:t xml:space="preserve"> Notably, this hotline was the only method of contestant selection. </w:t>
      </w:r>
      <w:bookmarkStart w:id="1367" w:name="Bookmark_I62F889N2D6NV00020000400"/>
      <w:bookmarkEnd w:id="1367"/>
      <w:r>
        <w:rPr>
          <w:rFonts w:ascii="Arial" w:eastAsia="Arial" w:hAnsi="Arial" w:cs="Arial"/>
          <w:color w:val="000000"/>
          <w:sz w:val="20"/>
        </w:rPr>
        <w:t xml:space="preserve">The </w:t>
      </w:r>
      <w:r>
        <w:rPr>
          <w:rFonts w:ascii="Arial" w:eastAsia="Arial" w:hAnsi="Arial" w:cs="Arial"/>
          <w:i/>
          <w:color w:val="000000"/>
          <w:sz w:val="20"/>
        </w:rPr>
        <w:t>Rendon</w:t>
      </w:r>
      <w:r>
        <w:rPr>
          <w:rFonts w:ascii="Arial" w:eastAsia="Arial" w:hAnsi="Arial" w:cs="Arial"/>
          <w:color w:val="000000"/>
          <w:sz w:val="20"/>
        </w:rPr>
        <w:t xml:space="preserve"> plaintiffs' disabilities included lack of hearing and "upper-body mobility impairments," such that they "could not register their entries, either because they were deaf and could not hear the questions on the automated system, or because they could not move their fingers rapidly enough to record their answers on their telephone key pads." </w:t>
      </w:r>
      <w:bookmarkStart w:id="1368" w:name="Bookmark_I62F889N2D6NTY0040000400"/>
      <w:bookmarkEnd w:id="1368"/>
      <w:r>
        <w:rPr>
          <w:rFonts w:ascii="Arial" w:eastAsia="Arial" w:hAnsi="Arial" w:cs="Arial"/>
          <w:i/>
          <w:color w:val="000000"/>
          <w:sz w:val="20"/>
        </w:rPr>
        <w:t>Id.</w:t>
      </w:r>
      <w:r>
        <w:rPr>
          <w:rFonts w:ascii="Arial" w:eastAsia="Arial" w:hAnsi="Arial" w:cs="Arial"/>
          <w:color w:val="000000"/>
          <w:sz w:val="20"/>
        </w:rPr>
        <w:t xml:space="preserve"> at 1280-81. </w:t>
      </w:r>
      <w:bookmarkStart w:id="1369" w:name="Bookmark_I62F889N2D6NV00020000400_2"/>
      <w:bookmarkStart w:id="1370" w:name="Bookmark_I62F889N2D6NV00040000400"/>
      <w:bookmarkEnd w:id="1369"/>
      <w:bookmarkEnd w:id="1370"/>
      <w:r>
        <w:rPr>
          <w:rFonts w:ascii="Arial" w:eastAsia="Arial" w:hAnsi="Arial" w:cs="Arial"/>
          <w:color w:val="000000"/>
          <w:sz w:val="20"/>
        </w:rPr>
        <w:t xml:space="preserve">The system lacked Telecommunications Devices for the Deaf ("TDD") services, which allow deaf people to communicate with each other via text sent from each user's TDD machine, or between a deaf person and a hearing person using a relay operator provided by the telecommunication carrier. </w:t>
      </w:r>
      <w:bookmarkStart w:id="1371" w:name="Bookmark_I62F889N2D6NV00010000400"/>
      <w:bookmarkEnd w:id="1371"/>
      <w:r>
        <w:rPr>
          <w:rFonts w:ascii="Arial" w:eastAsia="Arial" w:hAnsi="Arial" w:cs="Arial"/>
          <w:i/>
          <w:color w:val="000000"/>
          <w:sz w:val="20"/>
        </w:rPr>
        <w:t>Id.</w:t>
      </w:r>
      <w:r>
        <w:rPr>
          <w:rFonts w:ascii="Arial" w:eastAsia="Arial" w:hAnsi="Arial" w:cs="Arial"/>
          <w:color w:val="000000"/>
          <w:sz w:val="20"/>
        </w:rPr>
        <w:t xml:space="preserve"> at 1281 n.1. </w:t>
      </w:r>
      <w:bookmarkStart w:id="1372" w:name="Bookmark_I62F889N2D6NV00040000400_2"/>
      <w:bookmarkStart w:id="1373" w:name="Bookmark_I62F889N28T4M20010000400"/>
      <w:bookmarkEnd w:id="1372"/>
      <w:bookmarkEnd w:id="1373"/>
      <w:r>
        <w:rPr>
          <w:rFonts w:ascii="Arial" w:eastAsia="Arial" w:hAnsi="Arial" w:cs="Arial"/>
          <w:color w:val="000000"/>
          <w:sz w:val="20"/>
        </w:rPr>
        <w:t xml:space="preserve">Accordingly, the plaintiffs alleged that the automated contestant hotline was a discriminatory [**22]  procedure that screened out disabled hearing-impaired and mobility-impaired individuals who sought to be contestants on the show. </w:t>
      </w:r>
      <w:bookmarkStart w:id="1374" w:name="Bookmark_I62F889N2D6NV00030000400"/>
      <w:bookmarkEnd w:id="1374"/>
      <w:r>
        <w:rPr>
          <w:rFonts w:ascii="Arial" w:eastAsia="Arial" w:hAnsi="Arial" w:cs="Arial"/>
          <w:i/>
          <w:color w:val="000000"/>
          <w:sz w:val="20"/>
        </w:rPr>
        <w:t>Id.</w:t>
      </w:r>
      <w:r>
        <w:rPr>
          <w:rFonts w:ascii="Arial" w:eastAsia="Arial" w:hAnsi="Arial" w:cs="Arial"/>
          <w:color w:val="000000"/>
          <w:sz w:val="20"/>
        </w:rPr>
        <w:t xml:space="preserve"> at 1281. </w:t>
      </w:r>
      <w:bookmarkStart w:id="1375" w:name="Bookmark_I62F889N28T4M20010000400_2"/>
      <w:bookmarkEnd w:id="1375"/>
      <w:r>
        <w:rPr>
          <w:rFonts w:ascii="Arial" w:eastAsia="Arial" w:hAnsi="Arial" w:cs="Arial"/>
          <w:color w:val="000000"/>
          <w:sz w:val="20"/>
        </w:rPr>
        <w:t xml:space="preserve">The district court dismissed the complaint, concluding that Title III did not apply to the contestant hotline because it was not administered in a place of public accommodation. </w:t>
      </w:r>
      <w:bookmarkStart w:id="1376" w:name="Bookmark_I62F889N28T4M20030000400"/>
      <w:bookmarkEnd w:id="1376"/>
      <w:r>
        <w:rPr>
          <w:rFonts w:ascii="Arial" w:eastAsia="Arial" w:hAnsi="Arial" w:cs="Arial"/>
          <w:i/>
          <w:color w:val="000000"/>
          <w:sz w:val="20"/>
        </w:rPr>
        <w:t>Id.</w:t>
      </w:r>
      <w:r>
        <w:rPr>
          <w:rFonts w:ascii="Arial" w:eastAsia="Arial" w:hAnsi="Arial" w:cs="Arial"/>
          <w:color w:val="000000"/>
          <w:sz w:val="20"/>
        </w:rPr>
        <w:t xml:space="preserve"> We reversed on appeal based on our holding that the ADA's discrimination provisions applied not just to physical barriers but also to "intangible barriers." </w:t>
      </w:r>
      <w:bookmarkStart w:id="1377" w:name="Bookmark_I62F889N2D6NV00050000400"/>
      <w:bookmarkEnd w:id="1377"/>
      <w:r>
        <w:rPr>
          <w:rFonts w:ascii="Arial" w:eastAsia="Arial" w:hAnsi="Arial" w:cs="Arial"/>
          <w:i/>
          <w:color w:val="000000"/>
          <w:sz w:val="20"/>
        </w:rPr>
        <w:t>Id.</w:t>
      </w:r>
      <w:r>
        <w:rPr>
          <w:rFonts w:ascii="Arial" w:eastAsia="Arial" w:hAnsi="Arial" w:cs="Arial"/>
          <w:color w:val="000000"/>
          <w:sz w:val="20"/>
        </w:rPr>
        <w:t xml:space="preserve"> at 1283-84. </w:t>
      </w:r>
      <w:bookmarkStart w:id="1378" w:name="Bookmark_I62F889N28T4M20030000400_2"/>
      <w:bookmarkEnd w:id="1378"/>
      <w:r>
        <w:rPr>
          <w:rFonts w:ascii="Arial" w:eastAsia="Arial" w:hAnsi="Arial" w:cs="Arial"/>
          <w:color w:val="000000"/>
          <w:sz w:val="20"/>
        </w:rPr>
        <w:t xml:space="preserve">And we concluded that the plaintiffs had "stated a valid claim under Title III by alleging that the . . . telephone selection process is a discriminatory screening mechanism, policy or procedure, which deprives them of the opportunity to compete for the privilege of being a contestant" on the gameshow. </w:t>
      </w:r>
      <w:bookmarkStart w:id="1379" w:name="Bookmark_I62F889N28T4M20020000400"/>
      <w:bookmarkEnd w:id="1379"/>
      <w:r>
        <w:rPr>
          <w:rFonts w:ascii="Arial" w:eastAsia="Arial" w:hAnsi="Arial" w:cs="Arial"/>
          <w:i/>
          <w:color w:val="000000"/>
          <w:sz w:val="20"/>
        </w:rPr>
        <w:t>Id.</w:t>
      </w:r>
      <w:r>
        <w:rPr>
          <w:rFonts w:ascii="Arial" w:eastAsia="Arial" w:hAnsi="Arial" w:cs="Arial"/>
          <w:color w:val="000000"/>
          <w:sz w:val="20"/>
        </w:rPr>
        <w:t xml:space="preserve"> at 1286.</w:t>
      </w:r>
    </w:p>
    <w:p w14:paraId="0E9B9224" w14:textId="77777777" w:rsidR="002B10A6" w:rsidRDefault="00000000">
      <w:pPr>
        <w:pStyle w:val="Normal9"/>
        <w:widowControl w:val="0"/>
        <w:spacing w:before="200" w:line="260" w:lineRule="atLeast"/>
        <w:jc w:val="both"/>
      </w:pPr>
      <w:bookmarkStart w:id="1380" w:name="Bookmark_para_50_0"/>
      <w:bookmarkStart w:id="1381" w:name="Bookmark_I4J4T31RN200000666200088"/>
      <w:bookmarkStart w:id="1382" w:name="Bookmark_I62F889N28T4M20050000400"/>
      <w:bookmarkEnd w:id="1380"/>
      <w:bookmarkEnd w:id="1381"/>
      <w:bookmarkEnd w:id="1382"/>
      <w:r>
        <w:rPr>
          <w:rFonts w:ascii="Arial" w:eastAsia="Arial" w:hAnsi="Arial" w:cs="Arial"/>
          <w:color w:val="000000"/>
          <w:sz w:val="20"/>
        </w:rPr>
        <w:t xml:space="preserve">Because the phone system in </w:t>
      </w:r>
      <w:bookmarkStart w:id="1383" w:name="Bookmark_I62F889N28T4M20040000400"/>
      <w:bookmarkEnd w:id="1383"/>
      <w:r>
        <w:rPr>
          <w:rFonts w:ascii="Arial" w:eastAsia="Arial" w:hAnsi="Arial" w:cs="Arial"/>
          <w:i/>
          <w:color w:val="000000"/>
          <w:sz w:val="20"/>
        </w:rPr>
        <w:t>Rendon</w:t>
      </w:r>
      <w:r>
        <w:rPr>
          <w:rFonts w:ascii="Arial" w:eastAsia="Arial" w:hAnsi="Arial" w:cs="Arial"/>
          <w:color w:val="000000"/>
          <w:sz w:val="20"/>
        </w:rPr>
        <w:t xml:space="preserve"> provided the sole access point for individuals to compete for the privilege of being a contestant on the game show and that same phone system was inaccessible by individuals with certain disabilities, it necessarily acted as an "intangible barrier" that prevented the plaintiffs from "accessing a privilege" of a physical place of public accommodation (the game show). In the case at hand, [**23]  however, Winn-Dixie's limited use website, although inaccessible by individuals who are visually disabled, does not function as an intangible barrier to an individual with a visual disability accessing the goods, services, privileges, or advantages of Winn-Dixie's physical stores (the operative place of public accommodation). Specifically, Winn-Dixie's website has only limited functionality.</w:t>
      </w:r>
      <w:r>
        <w:rPr>
          <w:rFonts w:ascii="Arial" w:eastAsia="Arial" w:hAnsi="Arial" w:cs="Arial"/>
          <w:vertAlign w:val="superscript"/>
        </w:rPr>
        <w:footnoteReference w:customMarkFollows="1" w:id="53"/>
        <w:t>17</w:t>
      </w:r>
      <w:r>
        <w:rPr>
          <w:rFonts w:ascii="Arial" w:eastAsia="Arial" w:hAnsi="Arial" w:cs="Arial"/>
          <w:color w:val="000000"/>
          <w:sz w:val="20"/>
        </w:rPr>
        <w:t xml:space="preserve"> Most importantly, it is not a point of sale; all purchases must occur at the store. Further, all interactions with Winn-Dixie which can be (although need not be) initiated on the website must be completed in-store: prescription pick-ups and redemption of coupons. And nothing prevents Gil from shopping at the physical store. In fact, he had done so for many years before he freely chose to stop shopping there. Although Gil was not always happy with the speed or privacy of the service he received at the pharmacy, nothing prevented Gil from refilling his prescriptions during his time as a Winn-Dixie customer.</w:t>
      </w:r>
      <w:r>
        <w:rPr>
          <w:rFonts w:ascii="Arial" w:eastAsia="Arial" w:hAnsi="Arial" w:cs="Arial"/>
          <w:vertAlign w:val="superscript"/>
        </w:rPr>
        <w:footnoteReference w:customMarkFollows="1" w:id="54"/>
        <w:t>18</w:t>
      </w:r>
      <w:r>
        <w:rPr>
          <w:rFonts w:ascii="Arial" w:eastAsia="Arial" w:hAnsi="Arial" w:cs="Arial"/>
          <w:color w:val="000000"/>
          <w:sz w:val="20"/>
        </w:rPr>
        <w:t xml:space="preserve"> And for years, Gil used paper coupons at Winn-Dixie's stores, despite  [*1280]  any inconveniences such use entailed. Accordingly, we hold that Winn-Dixie's website does not constitute an "intangible barrier" [**24]  to Gil's ability to access and enjoy fully and equally "the goods, services, facilities, privileges, advantages, or accommodations of" a place of public accommodation (here, a physical Winn-Dixie store). Consequently, Gil's inability to access the website does not violate Title III of the ADA in this way.</w:t>
      </w:r>
    </w:p>
    <w:p w14:paraId="0142300C" w14:textId="77777777" w:rsidR="002B10A6" w:rsidRDefault="00000000">
      <w:pPr>
        <w:pStyle w:val="Normal9"/>
        <w:widowControl w:val="0"/>
        <w:spacing w:before="200" w:line="260" w:lineRule="atLeast"/>
        <w:jc w:val="both"/>
      </w:pPr>
      <w:bookmarkStart w:id="1386" w:name="Bookmark_para_51_0"/>
      <w:bookmarkEnd w:id="1386"/>
      <w:r>
        <w:rPr>
          <w:rFonts w:ascii="Arial" w:eastAsia="Arial" w:hAnsi="Arial" w:cs="Arial"/>
          <w:color w:val="000000"/>
          <w:sz w:val="20"/>
        </w:rPr>
        <w:t xml:space="preserve">The dissent reaches the opposite conclusion, reasoning that because Gil is not able to access the services or privileges offered on the website, he is therefore "treated differently" than sighted customers because of the absence of an auxiliary aid on the website in violation of 42 U.S.C. § 12182(b)(2)(A)(iii). As the dissent points out, the term "auxiliary aid" refers to a tool or service that ensures "effective communication" with a person who has a hearing, vision, or speech disability and the place of public accommodation. </w:t>
      </w:r>
      <w:r>
        <w:rPr>
          <w:rFonts w:ascii="Arial" w:eastAsia="Arial" w:hAnsi="Arial" w:cs="Arial"/>
          <w:i/>
          <w:color w:val="000000"/>
          <w:sz w:val="20"/>
        </w:rPr>
        <w:t>See</w:t>
      </w:r>
      <w:r>
        <w:rPr>
          <w:rFonts w:ascii="Arial" w:eastAsia="Arial" w:hAnsi="Arial" w:cs="Arial"/>
          <w:color w:val="000000"/>
          <w:sz w:val="20"/>
        </w:rPr>
        <w:t xml:space="preserve"> 28 C.F.R. § 36.303(c)(1). </w:t>
      </w:r>
      <w:bookmarkStart w:id="1387" w:name="Bookmark_I62F889N2HM6550020000400"/>
      <w:bookmarkEnd w:id="1387"/>
      <w:r>
        <w:rPr>
          <w:rFonts w:ascii="Arial" w:eastAsia="Arial" w:hAnsi="Arial" w:cs="Arial"/>
          <w:color w:val="000000"/>
          <w:sz w:val="20"/>
        </w:rPr>
        <w:t>Thus, the dissent concludes that Winn-Dixie is in violation of § 12182(b)(2)(A)(iii) because its website is incompatible with screen reader software (an auxiliary aid), which prevents Gil and other visually disabled patrons from accessing the services, privileges, and advantages offered on the website which "'improve[s] [the] position or condition' of Winn-Dixie's [sighted] customers." The problem with the [**25]  dissent's conclusion in this case is that, as we explained above, the website itself is not a place of public accommodation; rather places of public accommodation are limited to actual, physical spaces. Therefore, Gil's mere inability to communicate with and access the services available on the website does not mean that Winn-Dixie necessarily is in violation of 42 U.S.C. § 12182(b)(2)(A)(iii). Rather, in order for there to be a violation of § 12182(b)(2)(A)(iii), the inaccessibility of the website must serve as an "intangible barrier" to Gil's ability to communicate with Winn-Dixie's physical stores, which results in Gil being excluded, denied services, segregated, or otherwise treated differently from other individuals in the physical stores.</w:t>
      </w:r>
      <w:r>
        <w:rPr>
          <w:rFonts w:ascii="Arial" w:eastAsia="Arial" w:hAnsi="Arial" w:cs="Arial"/>
          <w:vertAlign w:val="superscript"/>
        </w:rPr>
        <w:footnoteReference w:customMarkFollows="1" w:id="55"/>
        <w:t>19</w:t>
      </w:r>
      <w:r>
        <w:rPr>
          <w:rFonts w:ascii="Arial" w:eastAsia="Arial" w:hAnsi="Arial" w:cs="Arial"/>
          <w:color w:val="000000"/>
          <w:sz w:val="20"/>
        </w:rPr>
        <w:t xml:space="preserve"> </w:t>
      </w:r>
      <w:r>
        <w:rPr>
          <w:rFonts w:ascii="Arial" w:eastAsia="Arial" w:hAnsi="Arial" w:cs="Arial"/>
          <w:i/>
          <w:color w:val="000000"/>
          <w:sz w:val="20"/>
        </w:rPr>
        <w:t xml:space="preserve">See </w:t>
      </w:r>
      <w:bookmarkStart w:id="1391" w:name="Bookmark_I62F889N2HM6550010000400"/>
      <w:bookmarkEnd w:id="1391"/>
      <w:r>
        <w:rPr>
          <w:rFonts w:ascii="Arial" w:eastAsia="Arial" w:hAnsi="Arial" w:cs="Arial"/>
          <w:i/>
          <w:color w:val="000000"/>
          <w:sz w:val="20"/>
        </w:rPr>
        <w:t>Rendon</w:t>
      </w:r>
      <w:r>
        <w:rPr>
          <w:rFonts w:ascii="Arial" w:eastAsia="Arial" w:hAnsi="Arial" w:cs="Arial"/>
          <w:color w:val="000000"/>
          <w:sz w:val="20"/>
        </w:rPr>
        <w:t xml:space="preserve">, 294 F.3d at 1283-84. And while Gil asserted that he could not "comprehend [Winn-Dixie's] </w:t>
      </w:r>
      <w:r>
        <w:rPr>
          <w:rFonts w:ascii="Arial" w:eastAsia="Arial" w:hAnsi="Arial" w:cs="Arial"/>
          <w:i/>
          <w:color w:val="000000"/>
          <w:sz w:val="20"/>
        </w:rPr>
        <w:t>website</w:t>
      </w:r>
      <w:r>
        <w:rPr>
          <w:rFonts w:ascii="Arial" w:eastAsia="Arial" w:hAnsi="Arial" w:cs="Arial"/>
          <w:color w:val="000000"/>
          <w:sz w:val="20"/>
        </w:rPr>
        <w:t xml:space="preserve"> in an effective manner" due to the absence of an auxiliary aid, he never asserted that he was not able to communicate effectively with, or access the services offered in, the physical stores. Nor could he, because as explained previously the record clearly establishes that for at least fifteen years, Gil was able to enjoy fully and equally the services in question—filling  [*1281]  prescriptions and using coupons—in Winn-Dixie's [**26]  physical stores. Consequently, there is no basis for concluding that Winn-Dixie violated § 12182(b)(2)(A)(iii).</w:t>
      </w:r>
    </w:p>
    <w:p w14:paraId="6339DBFA" w14:textId="77777777" w:rsidR="002B10A6" w:rsidRDefault="00000000">
      <w:pPr>
        <w:pStyle w:val="Normal9"/>
        <w:widowControl w:val="0"/>
        <w:spacing w:before="200" w:line="260" w:lineRule="atLeast"/>
        <w:jc w:val="both"/>
      </w:pPr>
      <w:bookmarkStart w:id="1392" w:name="Bookmark_para_52_0"/>
      <w:bookmarkStart w:id="1393" w:name="Bookmark_I4J4T31RRP80000666200089"/>
      <w:bookmarkStart w:id="1394" w:name="Bookmark_I62F889N28T4M30010000400"/>
      <w:bookmarkEnd w:id="1392"/>
      <w:bookmarkEnd w:id="1393"/>
      <w:bookmarkEnd w:id="1394"/>
      <w:r>
        <w:rPr>
          <w:rFonts w:ascii="Arial" w:eastAsia="Arial" w:hAnsi="Arial" w:cs="Arial"/>
          <w:color w:val="000000"/>
          <w:sz w:val="20"/>
        </w:rPr>
        <w:t xml:space="preserve">Gil erroneously assumes in his arguments that </w:t>
      </w:r>
      <w:r>
        <w:rPr>
          <w:rFonts w:ascii="Arial" w:eastAsia="Arial" w:hAnsi="Arial" w:cs="Arial"/>
          <w:i/>
          <w:color w:val="000000"/>
          <w:sz w:val="20"/>
        </w:rPr>
        <w:t>Rendon</w:t>
      </w:r>
      <w:r>
        <w:rPr>
          <w:rFonts w:ascii="Arial" w:eastAsia="Arial" w:hAnsi="Arial" w:cs="Arial"/>
          <w:color w:val="000000"/>
          <w:sz w:val="20"/>
        </w:rPr>
        <w:t xml:space="preserve"> established a "nexus" standard, whereby a plaintiff only has to demonstrate that there is a "nexus" between the service and the physical public accommodation. </w:t>
      </w:r>
      <w:bookmarkStart w:id="1395" w:name="Bookmark_I62F889N28T4M30030000400"/>
      <w:bookmarkEnd w:id="1395"/>
      <w:r>
        <w:rPr>
          <w:rFonts w:ascii="Arial" w:eastAsia="Arial" w:hAnsi="Arial" w:cs="Arial"/>
          <w:color w:val="000000"/>
          <w:sz w:val="20"/>
        </w:rPr>
        <w:t xml:space="preserve">In other words, the gravamen of Gil's argument is that the website is in violation of Title III because it "augments" the physical store's services or privileges in various ways. But we did not adopt or otherwise endorse a "nexus" standard in </w:t>
      </w:r>
      <w:bookmarkStart w:id="1396" w:name="Bookmark_I62F889N2HM6550050000400"/>
      <w:bookmarkEnd w:id="1396"/>
      <w:r>
        <w:rPr>
          <w:rFonts w:ascii="Arial" w:eastAsia="Arial" w:hAnsi="Arial" w:cs="Arial"/>
          <w:i/>
          <w:color w:val="000000"/>
          <w:sz w:val="20"/>
        </w:rPr>
        <w:t>Rendon</w:t>
      </w:r>
      <w:r>
        <w:rPr>
          <w:rFonts w:ascii="Arial" w:eastAsia="Arial" w:hAnsi="Arial" w:cs="Arial"/>
          <w:color w:val="000000"/>
          <w:sz w:val="20"/>
        </w:rPr>
        <w:t xml:space="preserve">. </w:t>
      </w:r>
      <w:bookmarkStart w:id="1397" w:name="Bookmark_I62F889N28T4M30030000400_2"/>
      <w:bookmarkEnd w:id="1397"/>
      <w:r>
        <w:rPr>
          <w:rFonts w:ascii="Arial" w:eastAsia="Arial" w:hAnsi="Arial" w:cs="Arial"/>
          <w:color w:val="000000"/>
          <w:sz w:val="20"/>
        </w:rPr>
        <w:t xml:space="preserve">Indeed, the only mention of a "nexus" in </w:t>
      </w:r>
      <w:r>
        <w:rPr>
          <w:rFonts w:ascii="Arial" w:eastAsia="Arial" w:hAnsi="Arial" w:cs="Arial"/>
          <w:i/>
          <w:color w:val="000000"/>
          <w:sz w:val="20"/>
        </w:rPr>
        <w:t>Rendon</w:t>
      </w:r>
      <w:r>
        <w:rPr>
          <w:rFonts w:ascii="Arial" w:eastAsia="Arial" w:hAnsi="Arial" w:cs="Arial"/>
          <w:color w:val="000000"/>
          <w:sz w:val="20"/>
        </w:rPr>
        <w:t xml:space="preserve"> is a footnote acknowledging that certain precedent from </w:t>
      </w:r>
      <w:r>
        <w:rPr>
          <w:rFonts w:ascii="Arial" w:eastAsia="Arial" w:hAnsi="Arial" w:cs="Arial"/>
          <w:i/>
          <w:color w:val="000000"/>
          <w:sz w:val="20"/>
        </w:rPr>
        <w:t>other</w:t>
      </w:r>
      <w:r>
        <w:rPr>
          <w:rFonts w:ascii="Arial" w:eastAsia="Arial" w:hAnsi="Arial" w:cs="Arial"/>
          <w:color w:val="000000"/>
          <w:sz w:val="20"/>
        </w:rPr>
        <w:t xml:space="preserve"> circuits "</w:t>
      </w:r>
      <w:r>
        <w:rPr>
          <w:rFonts w:ascii="Arial" w:eastAsia="Arial" w:hAnsi="Arial" w:cs="Arial"/>
          <w:i/>
          <w:color w:val="000000"/>
          <w:sz w:val="20"/>
        </w:rPr>
        <w:t>[a]t most</w:t>
      </w:r>
      <w:r>
        <w:rPr>
          <w:rFonts w:ascii="Arial" w:eastAsia="Arial" w:hAnsi="Arial" w:cs="Arial"/>
          <w:color w:val="000000"/>
          <w:sz w:val="20"/>
        </w:rPr>
        <w:t xml:space="preserve">, . . . can be read to require a nexus between the challenged service and the premises of the public accommodation." </w:t>
      </w:r>
      <w:bookmarkStart w:id="1398" w:name="Bookmark_I62F889N28T4M30020000400"/>
      <w:bookmarkEnd w:id="1398"/>
      <w:r>
        <w:rPr>
          <w:rFonts w:ascii="Arial" w:eastAsia="Arial" w:hAnsi="Arial" w:cs="Arial"/>
          <w:i/>
          <w:color w:val="000000"/>
          <w:sz w:val="20"/>
        </w:rPr>
        <w:t>Id.</w:t>
      </w:r>
      <w:r>
        <w:rPr>
          <w:rFonts w:ascii="Arial" w:eastAsia="Arial" w:hAnsi="Arial" w:cs="Arial"/>
          <w:color w:val="000000"/>
          <w:sz w:val="20"/>
        </w:rPr>
        <w:t xml:space="preserve"> at 1284 n.8 (emphasis added). And we decline to adopt a "nexus" standard here, as we find no basis for it in the statute or in our precedent.</w:t>
      </w:r>
    </w:p>
    <w:p w14:paraId="3DB8F8B0" w14:textId="77777777" w:rsidR="002B10A6" w:rsidRDefault="00000000">
      <w:pPr>
        <w:pStyle w:val="Normal9"/>
        <w:widowControl w:val="0"/>
        <w:spacing w:before="200" w:line="260" w:lineRule="atLeast"/>
        <w:jc w:val="both"/>
      </w:pPr>
      <w:bookmarkStart w:id="1399" w:name="Bookmark_para_53_0"/>
      <w:bookmarkStart w:id="1400" w:name="Bookmark_I62F889N28T4M30050000400"/>
      <w:bookmarkStart w:id="1401" w:name="Bookmark_I62F889N28T4M40040000400"/>
      <w:bookmarkEnd w:id="1399"/>
      <w:bookmarkEnd w:id="1400"/>
      <w:bookmarkEnd w:id="1401"/>
      <w:r>
        <w:rPr>
          <w:rFonts w:ascii="Arial" w:eastAsia="Arial" w:hAnsi="Arial" w:cs="Arial"/>
          <w:color w:val="000000"/>
          <w:sz w:val="20"/>
        </w:rPr>
        <w:t xml:space="preserve">While acknowledging that the ADA does not require that places of public accommodation provide identical experiences for disabled and non-disabled patrons, </w:t>
      </w:r>
      <w:r>
        <w:rPr>
          <w:rFonts w:ascii="Arial" w:eastAsia="Arial" w:hAnsi="Arial" w:cs="Arial"/>
          <w:i/>
          <w:color w:val="000000"/>
          <w:sz w:val="20"/>
        </w:rPr>
        <w:t xml:space="preserve">see </w:t>
      </w:r>
      <w:bookmarkStart w:id="1402" w:name="Bookmark_I62F889N28T4M30040000400"/>
      <w:bookmarkEnd w:id="1402"/>
      <w:r>
        <w:rPr>
          <w:rFonts w:ascii="Arial" w:eastAsia="Arial" w:hAnsi="Arial" w:cs="Arial"/>
          <w:i/>
          <w:color w:val="000000"/>
          <w:sz w:val="20"/>
        </w:rPr>
        <w:t>A.L. by and through D.L. v. Walt Disney Parks &amp; Resorts US, Inc.</w:t>
      </w:r>
      <w:r>
        <w:rPr>
          <w:rFonts w:ascii="Arial" w:eastAsia="Arial" w:hAnsi="Arial" w:cs="Arial"/>
          <w:color w:val="000000"/>
          <w:sz w:val="20"/>
        </w:rPr>
        <w:t xml:space="preserve">, 900 F.3d 1270, 1294-95 (11th Cir. 2018); </w:t>
      </w:r>
      <w:bookmarkStart w:id="1403" w:name="Bookmark_I62F889N28T4M40010000400"/>
      <w:bookmarkEnd w:id="1403"/>
      <w:r>
        <w:rPr>
          <w:rFonts w:ascii="Arial" w:eastAsia="Arial" w:hAnsi="Arial" w:cs="Arial"/>
          <w:i/>
          <w:color w:val="000000"/>
          <w:sz w:val="20"/>
        </w:rPr>
        <w:t>Silva v. Baptist Health S. Fla., Inc.</w:t>
      </w:r>
      <w:r>
        <w:rPr>
          <w:rFonts w:ascii="Arial" w:eastAsia="Arial" w:hAnsi="Arial" w:cs="Arial"/>
          <w:color w:val="000000"/>
          <w:sz w:val="20"/>
        </w:rPr>
        <w:t>, 856 F.3d 824, 834 (11th Cir. 2017), the dissent argues that the lack of accessibility of the website nevertheless violated [**27]  the ADA because it failed to provide comparable or "like" experiences to disabled and non-disabled Winn-Dixie customers. Specifically, noting that the ADA does not define what constitutes "goods, services, privileges, or advantages," the dissent invokes a broad definition to conclude that Winn-Dixie's website's content itself (</w:t>
      </w:r>
      <w:r>
        <w:rPr>
          <w:rFonts w:ascii="Arial" w:eastAsia="Arial" w:hAnsi="Arial" w:cs="Arial"/>
          <w:i/>
          <w:color w:val="000000"/>
          <w:sz w:val="20"/>
        </w:rPr>
        <w:t>i.e.</w:t>
      </w:r>
      <w:r>
        <w:rPr>
          <w:rFonts w:ascii="Arial" w:eastAsia="Arial" w:hAnsi="Arial" w:cs="Arial"/>
          <w:color w:val="000000"/>
          <w:sz w:val="20"/>
        </w:rPr>
        <w:t>, the prescription refill and coupon-linking tools) constitute a "service," "privilege," and an "advantage" because those tools offer customers the benefit of obtaining goods or services through "a streamlined, faster process that offered greater privacy." Thus, the dissent concludes that because visually disabled individuals cannot access the website's content, they are not receiving a "comparable" or "like" experience to that of sighted customers as required by the ADA. But under such an expansive interpretation, virtually anything—from the tangible to the intangible—might be deemed a "service," "privilege," or "advantage" for purposes of Title III. In turn, the place of public accommodation would then be required to provide "full and equal enjoyment" to not only tangible services—in this case the filling of prescriptions and redemption of coupons—but intangible [**28]  "privileges" or "advantages" such as increased privacy and time saving benefits.</w:t>
      </w:r>
      <w:r>
        <w:rPr>
          <w:rFonts w:ascii="Arial" w:eastAsia="Arial" w:hAnsi="Arial" w:cs="Arial"/>
          <w:vertAlign w:val="superscript"/>
        </w:rPr>
        <w:footnoteReference w:customMarkFollows="1" w:id="56"/>
        <w:t>20</w:t>
      </w:r>
      <w:r>
        <w:rPr>
          <w:rFonts w:ascii="Arial" w:eastAsia="Arial" w:hAnsi="Arial" w:cs="Arial"/>
          <w:color w:val="000000"/>
          <w:sz w:val="20"/>
        </w:rPr>
        <w:t xml:space="preserve">  [*1282]  </w:t>
      </w:r>
      <w:bookmarkStart w:id="1411" w:name="Bookmark_LNHNREFclscc15_1"/>
      <w:bookmarkEnd w:id="1411"/>
      <w:r>
        <w:rPr>
          <w:rFonts w:ascii="Arial" w:eastAsia="Arial" w:hAnsi="Arial" w:cs="Arial"/>
          <w:color w:val="000000"/>
          <w:sz w:val="20"/>
        </w:rPr>
        <w:t xml:space="preserve">When the text of Title III is read in context and with a view to the overall statutory scheme, it is clear that Title III will not bear such a sweeping interpretation. </w:t>
      </w:r>
      <w:r>
        <w:rPr>
          <w:rFonts w:ascii="Arial" w:eastAsia="Arial" w:hAnsi="Arial" w:cs="Arial"/>
          <w:i/>
          <w:color w:val="000000"/>
          <w:sz w:val="20"/>
        </w:rPr>
        <w:t xml:space="preserve">See </w:t>
      </w:r>
      <w:bookmarkStart w:id="1412" w:name="Bookmark_I62F889N28T4M40030000400"/>
      <w:bookmarkEnd w:id="1412"/>
      <w:r>
        <w:rPr>
          <w:rFonts w:ascii="Arial" w:eastAsia="Arial" w:hAnsi="Arial" w:cs="Arial"/>
          <w:i/>
          <w:color w:val="000000"/>
          <w:sz w:val="20"/>
        </w:rPr>
        <w:t>Nat'l Ass'n of Home Builders v. Defs. of Wildlife</w:t>
      </w:r>
      <w:r>
        <w:rPr>
          <w:rFonts w:ascii="Arial" w:eastAsia="Arial" w:hAnsi="Arial" w:cs="Arial"/>
          <w:color w:val="000000"/>
          <w:sz w:val="20"/>
        </w:rPr>
        <w:t xml:space="preserve">, 551 U.S. 644, 666, 127 S. Ct. 2518, 168 L. Ed. 2d 467 (2007) ("It is a 'fundamental canon of statutory construction that the words of a statute must be read in their context and with a view to their place in the overall statutory scheme.'" (quoting </w:t>
      </w:r>
      <w:bookmarkStart w:id="1413" w:name="Bookmark_I62F889N28T4M40050000400"/>
      <w:bookmarkEnd w:id="1413"/>
      <w:r>
        <w:rPr>
          <w:rFonts w:ascii="Arial" w:eastAsia="Arial" w:hAnsi="Arial" w:cs="Arial"/>
          <w:i/>
          <w:color w:val="000000"/>
          <w:sz w:val="20"/>
        </w:rPr>
        <w:t>FDA v. Brown &amp; Williamson Tobacco Corp.</w:t>
      </w:r>
      <w:r>
        <w:rPr>
          <w:rFonts w:ascii="Arial" w:eastAsia="Arial" w:hAnsi="Arial" w:cs="Arial"/>
          <w:color w:val="000000"/>
          <w:sz w:val="20"/>
        </w:rPr>
        <w:t>, 529 U.S. 120, 132-33, 120 S. Ct. 1291, 146 L. Ed. 2d 121 (2000))).</w:t>
      </w:r>
    </w:p>
    <w:p w14:paraId="7C294855" w14:textId="77777777" w:rsidR="002B10A6" w:rsidRDefault="00000000">
      <w:pPr>
        <w:pStyle w:val="Normal9"/>
        <w:widowControl w:val="0"/>
        <w:spacing w:before="200" w:line="260" w:lineRule="atLeast"/>
        <w:jc w:val="both"/>
      </w:pPr>
      <w:bookmarkStart w:id="1414" w:name="Bookmark_para_54_0"/>
      <w:bookmarkStart w:id="1415" w:name="Bookmark_I62F889P2N1R250040000400"/>
      <w:bookmarkEnd w:id="1414"/>
      <w:bookmarkEnd w:id="1415"/>
      <w:r>
        <w:rPr>
          <w:rFonts w:ascii="Arial" w:eastAsia="Arial" w:hAnsi="Arial" w:cs="Arial"/>
          <w:color w:val="000000"/>
          <w:sz w:val="20"/>
        </w:rPr>
        <w:t xml:space="preserve">Furthermore, any convenience or time saving benefits afforded through the website might make the provision of "auxiliary aids and services" </w:t>
      </w:r>
      <w:r>
        <w:rPr>
          <w:rFonts w:ascii="Arial" w:eastAsia="Arial" w:hAnsi="Arial" w:cs="Arial"/>
          <w:i/>
          <w:color w:val="000000"/>
          <w:sz w:val="20"/>
        </w:rPr>
        <w:t>reasonable</w:t>
      </w:r>
      <w:r>
        <w:rPr>
          <w:rFonts w:ascii="Arial" w:eastAsia="Arial" w:hAnsi="Arial" w:cs="Arial"/>
          <w:color w:val="000000"/>
          <w:sz w:val="20"/>
        </w:rPr>
        <w:t xml:space="preserve"> but is not dispositive of whether such "auxiliary aids and services" are in fact "</w:t>
      </w:r>
      <w:r>
        <w:rPr>
          <w:rFonts w:ascii="Arial" w:eastAsia="Arial" w:hAnsi="Arial" w:cs="Arial"/>
          <w:i/>
          <w:color w:val="000000"/>
          <w:sz w:val="20"/>
        </w:rPr>
        <w:t>necessary</w:t>
      </w:r>
      <w:r>
        <w:rPr>
          <w:rFonts w:ascii="Arial" w:eastAsia="Arial" w:hAnsi="Arial" w:cs="Arial"/>
          <w:color w:val="000000"/>
          <w:sz w:val="20"/>
        </w:rPr>
        <w:t xml:space="preserve"> to ensure that no individual with a disability is excluded, denied services, segregated or otherwise treated differently than other individuals because of the absence of auxiliary aids." </w:t>
      </w:r>
      <w:r>
        <w:rPr>
          <w:rFonts w:ascii="Arial" w:eastAsia="Arial" w:hAnsi="Arial" w:cs="Arial"/>
          <w:i/>
          <w:color w:val="000000"/>
          <w:sz w:val="20"/>
        </w:rPr>
        <w:t>See</w:t>
      </w:r>
      <w:r>
        <w:rPr>
          <w:rFonts w:ascii="Arial" w:eastAsia="Arial" w:hAnsi="Arial" w:cs="Arial"/>
          <w:color w:val="000000"/>
          <w:sz w:val="20"/>
        </w:rPr>
        <w:t xml:space="preserve"> 42 U.S.C. § 12182(b)(2)(A)(iii) (providing that discrimination for purposes of 42 U.S.C. § 12182(a) includes "a failure to take such steps as may be </w:t>
      </w:r>
      <w:r>
        <w:rPr>
          <w:rFonts w:ascii="Arial" w:eastAsia="Arial" w:hAnsi="Arial" w:cs="Arial"/>
          <w:i/>
          <w:color w:val="000000"/>
          <w:sz w:val="20"/>
        </w:rPr>
        <w:t>necessary</w:t>
      </w:r>
      <w:r>
        <w:rPr>
          <w:rFonts w:ascii="Arial" w:eastAsia="Arial" w:hAnsi="Arial" w:cs="Arial"/>
          <w:color w:val="000000"/>
          <w:sz w:val="20"/>
        </w:rPr>
        <w:t xml:space="preserve"> to ensure that no individual with a disability is excluded, denied services, segregated or otherwise treated differently than other individuals because of the absence of auxiliary aids" (emphasis added)). And [**29]  it is only the latter that places of public accommodation are required to provide pursuant to Title III. </w:t>
      </w:r>
      <w:r>
        <w:rPr>
          <w:rFonts w:ascii="Arial" w:eastAsia="Arial" w:hAnsi="Arial" w:cs="Arial"/>
          <w:i/>
          <w:color w:val="000000"/>
          <w:sz w:val="20"/>
        </w:rPr>
        <w:t xml:space="preserve">Id.; see also </w:t>
      </w:r>
      <w:bookmarkStart w:id="1416" w:name="Bookmark_I62F889P2N1R250030000400"/>
      <w:bookmarkEnd w:id="1416"/>
      <w:r>
        <w:rPr>
          <w:rFonts w:ascii="Arial" w:eastAsia="Arial" w:hAnsi="Arial" w:cs="Arial"/>
          <w:i/>
          <w:color w:val="000000"/>
          <w:sz w:val="20"/>
        </w:rPr>
        <w:t>PGA Tour</w:t>
      </w:r>
      <w:r>
        <w:rPr>
          <w:rFonts w:ascii="Arial" w:eastAsia="Arial" w:hAnsi="Arial" w:cs="Arial"/>
          <w:color w:val="000000"/>
          <w:sz w:val="20"/>
        </w:rPr>
        <w:t xml:space="preserve">, 532 U.S. at 682 (distinguishing in </w:t>
      </w:r>
      <w:r>
        <w:rPr>
          <w:rFonts w:ascii="Arial" w:eastAsia="Arial" w:hAnsi="Arial" w:cs="Arial"/>
          <w:i/>
          <w:color w:val="000000"/>
          <w:sz w:val="20"/>
        </w:rPr>
        <w:t>dicta</w:t>
      </w:r>
      <w:r>
        <w:rPr>
          <w:rFonts w:ascii="Arial" w:eastAsia="Arial" w:hAnsi="Arial" w:cs="Arial"/>
          <w:color w:val="000000"/>
          <w:sz w:val="20"/>
        </w:rPr>
        <w:t xml:space="preserve"> between a "reasonable" and a "necessary" ADA modification and noting that, where a disabled individual is able to participate, even if under "uncomfortable or difficult" conditions, "an accommodation might be reasonable but not necessary").</w:t>
      </w:r>
      <w:r>
        <w:rPr>
          <w:rFonts w:ascii="Arial" w:eastAsia="Arial" w:hAnsi="Arial" w:cs="Arial"/>
          <w:vertAlign w:val="superscript"/>
        </w:rPr>
        <w:footnoteReference w:customMarkFollows="1" w:id="57"/>
        <w:t>21</w:t>
      </w:r>
      <w:r>
        <w:rPr>
          <w:rFonts w:ascii="Arial" w:eastAsia="Arial" w:hAnsi="Arial" w:cs="Arial"/>
          <w:color w:val="000000"/>
          <w:sz w:val="20"/>
        </w:rPr>
        <w:t xml:space="preserve"> As discussed previously, Gil has not asserted that the absence of auxiliary aids prevents him from effectively communicating with, or accessing the services of, Winn-Dixie's physical stores—the operative place of public accommodation.</w:t>
      </w:r>
    </w:p>
    <w:p w14:paraId="56C8E142" w14:textId="77777777" w:rsidR="002B10A6" w:rsidRDefault="00000000">
      <w:pPr>
        <w:pStyle w:val="Normal9"/>
        <w:widowControl w:val="0"/>
        <w:spacing w:before="200" w:line="260" w:lineRule="atLeast"/>
        <w:jc w:val="both"/>
      </w:pPr>
      <w:bookmarkStart w:id="1438" w:name="Bookmark_para_55_0"/>
      <w:bookmarkEnd w:id="1438"/>
      <w:r>
        <w:rPr>
          <w:rFonts w:ascii="Arial" w:eastAsia="Arial" w:hAnsi="Arial" w:cs="Arial"/>
          <w:color w:val="000000"/>
          <w:sz w:val="20"/>
        </w:rPr>
        <w:t xml:space="preserve"> [*1283]  </w:t>
      </w:r>
      <w:bookmarkStart w:id="1439" w:name="Bookmark_I4J4T31RXWD000066620008C"/>
      <w:bookmarkStart w:id="1440" w:name="Bookmark_I62F889R2HM65F0050000400"/>
      <w:bookmarkEnd w:id="1439"/>
      <w:bookmarkEnd w:id="1440"/>
      <w:r>
        <w:rPr>
          <w:rFonts w:ascii="Arial" w:eastAsia="Arial" w:hAnsi="Arial" w:cs="Arial"/>
          <w:color w:val="000000"/>
          <w:sz w:val="20"/>
        </w:rPr>
        <w:t xml:space="preserve">Gil and to some extent the dissent urge us to reach the opposite conclusion by following the Ninth Circuit in </w:t>
      </w:r>
      <w:bookmarkStart w:id="1441" w:name="Bookmark_I62F889R2HM65F0040000400"/>
      <w:bookmarkEnd w:id="1441"/>
      <w:r>
        <w:rPr>
          <w:rFonts w:ascii="Arial" w:eastAsia="Arial" w:hAnsi="Arial" w:cs="Arial"/>
          <w:i/>
          <w:color w:val="000000"/>
          <w:sz w:val="20"/>
        </w:rPr>
        <w:t>Robles v. Domino's Pizza, LLC</w:t>
      </w:r>
      <w:r>
        <w:rPr>
          <w:rFonts w:ascii="Arial" w:eastAsia="Arial" w:hAnsi="Arial" w:cs="Arial"/>
          <w:color w:val="000000"/>
          <w:sz w:val="20"/>
        </w:rPr>
        <w:t xml:space="preserve">, 913 F.3d 898 (9th Cir.), </w:t>
      </w:r>
      <w:r>
        <w:rPr>
          <w:rFonts w:ascii="Arial" w:eastAsia="Arial" w:hAnsi="Arial" w:cs="Arial"/>
          <w:i/>
          <w:color w:val="000000"/>
          <w:sz w:val="20"/>
        </w:rPr>
        <w:t>cert. denied</w:t>
      </w:r>
      <w:r>
        <w:rPr>
          <w:rFonts w:ascii="Arial" w:eastAsia="Arial" w:hAnsi="Arial" w:cs="Arial"/>
          <w:color w:val="000000"/>
          <w:sz w:val="20"/>
        </w:rPr>
        <w:t xml:space="preserve">, 140 S. Ct. 122, 205 L. Ed. 2d 41 (2019), but </w:t>
      </w:r>
      <w:bookmarkStart w:id="1442" w:name="Bookmark_I62F889S28T4MD0010000400"/>
      <w:bookmarkEnd w:id="1442"/>
      <w:r>
        <w:rPr>
          <w:rFonts w:ascii="Arial" w:eastAsia="Arial" w:hAnsi="Arial" w:cs="Arial"/>
          <w:i/>
          <w:color w:val="000000"/>
          <w:sz w:val="20"/>
        </w:rPr>
        <w:t>Robles</w:t>
      </w:r>
      <w:r>
        <w:rPr>
          <w:rFonts w:ascii="Arial" w:eastAsia="Arial" w:hAnsi="Arial" w:cs="Arial"/>
          <w:color w:val="000000"/>
          <w:sz w:val="20"/>
        </w:rPr>
        <w:t xml:space="preserve"> is both factually and legally distinguishable. </w:t>
      </w:r>
      <w:bookmarkStart w:id="1443" w:name="Bookmark_I62F889S28T4MD0040000400"/>
      <w:bookmarkEnd w:id="1443"/>
      <w:r>
        <w:rPr>
          <w:rFonts w:ascii="Arial" w:eastAsia="Arial" w:hAnsi="Arial" w:cs="Arial"/>
          <w:color w:val="000000"/>
          <w:sz w:val="20"/>
        </w:rPr>
        <w:t xml:space="preserve">In </w:t>
      </w:r>
      <w:r>
        <w:rPr>
          <w:rFonts w:ascii="Arial" w:eastAsia="Arial" w:hAnsi="Arial" w:cs="Arial"/>
          <w:i/>
          <w:color w:val="000000"/>
          <w:sz w:val="20"/>
        </w:rPr>
        <w:t>Robles</w:t>
      </w:r>
      <w:r>
        <w:rPr>
          <w:rFonts w:ascii="Arial" w:eastAsia="Arial" w:hAnsi="Arial" w:cs="Arial"/>
          <w:color w:val="000000"/>
          <w:sz w:val="20"/>
        </w:rPr>
        <w:t xml:space="preserve">, the plaintiff, who is blind, was unable to order pizza over the internet from his local Domino's Pizza ("Domino's") because the Domino's app and website were incompatible with his screen reader software. </w:t>
      </w:r>
      <w:bookmarkStart w:id="1444" w:name="Bookmark_I62F889S28T4MD0040000400_2"/>
      <w:bookmarkStart w:id="1445" w:name="Bookmark_I62F889S2HM65H0010000400"/>
      <w:bookmarkEnd w:id="1444"/>
      <w:bookmarkEnd w:id="1445"/>
      <w:r>
        <w:rPr>
          <w:rFonts w:ascii="Arial" w:eastAsia="Arial" w:hAnsi="Arial" w:cs="Arial"/>
          <w:color w:val="000000"/>
          <w:sz w:val="20"/>
        </w:rPr>
        <w:t xml:space="preserve">He brought an action under Title III, seeking damages and a permanent injunction requiring Domino's to comply with a specific private [**30]  industry standard for website accessibility. </w:t>
      </w:r>
      <w:bookmarkStart w:id="1446" w:name="Bookmark_I62F889S28T4MD0030000400"/>
      <w:bookmarkEnd w:id="1446"/>
      <w:r>
        <w:rPr>
          <w:rFonts w:ascii="Arial" w:eastAsia="Arial" w:hAnsi="Arial" w:cs="Arial"/>
          <w:i/>
          <w:color w:val="000000"/>
          <w:sz w:val="20"/>
        </w:rPr>
        <w:t>Id.</w:t>
      </w:r>
      <w:r>
        <w:rPr>
          <w:rFonts w:ascii="Arial" w:eastAsia="Arial" w:hAnsi="Arial" w:cs="Arial"/>
          <w:color w:val="000000"/>
          <w:sz w:val="20"/>
        </w:rPr>
        <w:t xml:space="preserve"> at 902. </w:t>
      </w:r>
      <w:bookmarkStart w:id="1447" w:name="Bookmark_I62F889S2HM65H0010000400_2"/>
      <w:bookmarkStart w:id="1448" w:name="Bookmark_I62F889S2HM65H0030000400"/>
      <w:bookmarkEnd w:id="1447"/>
      <w:bookmarkEnd w:id="1448"/>
      <w:r>
        <w:rPr>
          <w:rFonts w:ascii="Arial" w:eastAsia="Arial" w:hAnsi="Arial" w:cs="Arial"/>
          <w:color w:val="000000"/>
          <w:sz w:val="20"/>
        </w:rPr>
        <w:t xml:space="preserve">The district court granted Domino's motion to dismiss, reasoning that although "the ADA's 'auxiliary aids and services' section, 42 U.S.C. § 12182(b)(2)(A)(iii)," applied to the website and app, due process concerns prevented the court from "imposing the [specific private industry] standards on Domino's without specifying a particular level of success criteria and without the DOJ offering meaningful guidance on this topic" because to do so would "fl[y] in the face of due process." </w:t>
      </w:r>
      <w:bookmarkStart w:id="1449" w:name="Bookmark_I62F889S28T4MD0050000400"/>
      <w:bookmarkEnd w:id="1449"/>
      <w:r>
        <w:rPr>
          <w:rFonts w:ascii="Arial" w:eastAsia="Arial" w:hAnsi="Arial" w:cs="Arial"/>
          <w:i/>
          <w:color w:val="000000"/>
          <w:sz w:val="20"/>
        </w:rPr>
        <w:t>Id.</w:t>
      </w:r>
      <w:r>
        <w:rPr>
          <w:rFonts w:ascii="Arial" w:eastAsia="Arial" w:hAnsi="Arial" w:cs="Arial"/>
          <w:color w:val="000000"/>
          <w:sz w:val="20"/>
        </w:rPr>
        <w:t xml:space="preserve"> at 903 (quotation omitted). </w:t>
      </w:r>
      <w:bookmarkStart w:id="1450" w:name="Bookmark_I62F889S2HM65H0030000400_2"/>
      <w:bookmarkStart w:id="1451" w:name="Bookmark_I62F889S2HM65H0050000400"/>
      <w:bookmarkEnd w:id="1450"/>
      <w:bookmarkEnd w:id="1451"/>
      <w:r>
        <w:rPr>
          <w:rFonts w:ascii="Arial" w:eastAsia="Arial" w:hAnsi="Arial" w:cs="Arial"/>
          <w:color w:val="000000"/>
          <w:sz w:val="20"/>
        </w:rPr>
        <w:t xml:space="preserve">The Ninth Circuit reversed. </w:t>
      </w:r>
      <w:bookmarkStart w:id="1452" w:name="Bookmark_I62F889S28T4MF0020000400"/>
      <w:bookmarkStart w:id="1453" w:name="Bookmark_I62F889S2SF81D0030000400"/>
      <w:bookmarkEnd w:id="1452"/>
      <w:bookmarkEnd w:id="1453"/>
      <w:r>
        <w:rPr>
          <w:rFonts w:ascii="Arial" w:eastAsia="Arial" w:hAnsi="Arial" w:cs="Arial"/>
          <w:color w:val="000000"/>
          <w:sz w:val="20"/>
        </w:rPr>
        <w:t xml:space="preserve">Noting that it did not have to address whether a website is itself a public accommodation, </w:t>
      </w:r>
      <w:bookmarkStart w:id="1454" w:name="Bookmark_I62F889S2HM65H0020000400"/>
      <w:bookmarkEnd w:id="1454"/>
      <w:r>
        <w:rPr>
          <w:rFonts w:ascii="Arial" w:eastAsia="Arial" w:hAnsi="Arial" w:cs="Arial"/>
          <w:i/>
          <w:color w:val="000000"/>
          <w:sz w:val="20"/>
        </w:rPr>
        <w:t>id.</w:t>
      </w:r>
      <w:r>
        <w:rPr>
          <w:rFonts w:ascii="Arial" w:eastAsia="Arial" w:hAnsi="Arial" w:cs="Arial"/>
          <w:color w:val="000000"/>
          <w:sz w:val="20"/>
        </w:rPr>
        <w:t xml:space="preserve"> at 905 n.6, it explicitly embraced a "nexus" standard: "Customers use the website and app to locate a nearby Domino's restaurant and order pizzas for at-home delivery or in-store pickup. </w:t>
      </w:r>
      <w:bookmarkStart w:id="1455" w:name="Bookmark_I62F889S2SF81D0030000400_2"/>
      <w:bookmarkStart w:id="1456" w:name="Bookmark_I62F889S28T4MF0020000400_2"/>
      <w:bookmarkStart w:id="1457" w:name="Bookmark_I62F889S2HM65H0050000400_2"/>
      <w:bookmarkEnd w:id="1455"/>
      <w:bookmarkEnd w:id="1456"/>
      <w:bookmarkEnd w:id="1457"/>
      <w:r>
        <w:rPr>
          <w:rFonts w:ascii="Arial" w:eastAsia="Arial" w:hAnsi="Arial" w:cs="Arial"/>
          <w:color w:val="000000"/>
          <w:sz w:val="20"/>
        </w:rPr>
        <w:t xml:space="preserve">This nexus between Domino's website and app and physical restaurants—which Domino's does not contest—is critical to our analysis." </w:t>
      </w:r>
      <w:bookmarkStart w:id="1458" w:name="Bookmark_I62F889S2HM65H0040000400"/>
      <w:bookmarkEnd w:id="1458"/>
      <w:r>
        <w:rPr>
          <w:rFonts w:ascii="Arial" w:eastAsia="Arial" w:hAnsi="Arial" w:cs="Arial"/>
          <w:i/>
          <w:color w:val="000000"/>
          <w:sz w:val="20"/>
        </w:rPr>
        <w:t>Id.</w:t>
      </w:r>
      <w:r>
        <w:rPr>
          <w:rFonts w:ascii="Arial" w:eastAsia="Arial" w:hAnsi="Arial" w:cs="Arial"/>
          <w:color w:val="000000"/>
          <w:sz w:val="20"/>
        </w:rPr>
        <w:t xml:space="preserve"> at 905. </w:t>
      </w:r>
      <w:bookmarkStart w:id="1459" w:name="Bookmark_I62F889S28T4MF0040000400"/>
      <w:bookmarkEnd w:id="1459"/>
      <w:r>
        <w:rPr>
          <w:rFonts w:ascii="Arial" w:eastAsia="Arial" w:hAnsi="Arial" w:cs="Arial"/>
          <w:color w:val="000000"/>
          <w:sz w:val="20"/>
        </w:rPr>
        <w:t>The court went on to find that "the ADA applies to Domino's website and app, which connect customers to the goods and services of Domino's physical restaurants."</w:t>
      </w:r>
      <w:r>
        <w:rPr>
          <w:rFonts w:ascii="Arial" w:eastAsia="Arial" w:hAnsi="Arial" w:cs="Arial"/>
          <w:vertAlign w:val="superscript"/>
        </w:rPr>
        <w:footnoteReference w:customMarkFollows="1" w:id="58"/>
        <w:t>22</w:t>
      </w:r>
      <w:r>
        <w:rPr>
          <w:rFonts w:ascii="Arial" w:eastAsia="Arial" w:hAnsi="Arial" w:cs="Arial"/>
          <w:color w:val="000000"/>
          <w:sz w:val="20"/>
        </w:rPr>
        <w:t xml:space="preserve"> </w:t>
      </w:r>
      <w:bookmarkStart w:id="1462" w:name="Bookmark_I62F889S28T4MF0010000400"/>
      <w:bookmarkEnd w:id="1462"/>
      <w:r>
        <w:rPr>
          <w:rFonts w:ascii="Arial" w:eastAsia="Arial" w:hAnsi="Arial" w:cs="Arial"/>
          <w:i/>
          <w:color w:val="000000"/>
          <w:sz w:val="20"/>
        </w:rPr>
        <w:t>Id.</w:t>
      </w:r>
      <w:r>
        <w:rPr>
          <w:rFonts w:ascii="Arial" w:eastAsia="Arial" w:hAnsi="Arial" w:cs="Arial"/>
          <w:color w:val="000000"/>
          <w:sz w:val="20"/>
        </w:rPr>
        <w:t xml:space="preserve"> at 905-06. </w:t>
      </w:r>
      <w:bookmarkStart w:id="1463" w:name="Bookmark_I62F889S28T4MF0040000400_2"/>
      <w:bookmarkEnd w:id="1463"/>
      <w:r>
        <w:rPr>
          <w:rFonts w:ascii="Arial" w:eastAsia="Arial" w:hAnsi="Arial" w:cs="Arial"/>
          <w:color w:val="000000"/>
          <w:sz w:val="20"/>
        </w:rPr>
        <w:t xml:space="preserve">The court also disregarded the district court's due process concern, concluding that [**31]  the plaintiff was not seeking to "impose liability based on [the private industry standard]," but rather based on the more general statutory provisions of Title III of the ADA and its related regulations. </w:t>
      </w:r>
      <w:bookmarkStart w:id="1464" w:name="Bookmark_I62F889S2SF81D0010000400"/>
      <w:bookmarkStart w:id="1465" w:name="Bookmark_I62F889S28T4MF0030000400"/>
      <w:bookmarkEnd w:id="1464"/>
      <w:bookmarkEnd w:id="1465"/>
      <w:r>
        <w:rPr>
          <w:rFonts w:ascii="Arial" w:eastAsia="Arial" w:hAnsi="Arial" w:cs="Arial"/>
          <w:i/>
          <w:color w:val="000000"/>
          <w:sz w:val="20"/>
        </w:rPr>
        <w:t>Id.</w:t>
      </w:r>
      <w:r>
        <w:rPr>
          <w:rFonts w:ascii="Arial" w:eastAsia="Arial" w:hAnsi="Arial" w:cs="Arial"/>
          <w:color w:val="000000"/>
          <w:sz w:val="20"/>
        </w:rPr>
        <w:t xml:space="preserve"> at 907. </w:t>
      </w:r>
      <w:bookmarkStart w:id="1466" w:name="Bookmark_I62F889S2SF81D0010000400_2"/>
      <w:bookmarkEnd w:id="1466"/>
      <w:r>
        <w:rPr>
          <w:rFonts w:ascii="Arial" w:eastAsia="Arial" w:hAnsi="Arial" w:cs="Arial"/>
          <w:color w:val="000000"/>
          <w:sz w:val="20"/>
        </w:rPr>
        <w:t xml:space="preserve">The court reasoned that compliance with the private industry standard was simply an equitable remedy that the district court had the power to impose for a Title III violation. </w:t>
      </w:r>
      <w:bookmarkStart w:id="1467" w:name="Bookmark_I62F889S28T4MF0050000400"/>
      <w:bookmarkEnd w:id="1467"/>
      <w:r>
        <w:rPr>
          <w:rFonts w:ascii="Arial" w:eastAsia="Arial" w:hAnsi="Arial" w:cs="Arial"/>
          <w:i/>
          <w:color w:val="000000"/>
          <w:sz w:val="20"/>
        </w:rPr>
        <w:t>Id.</w:t>
      </w:r>
      <w:r>
        <w:rPr>
          <w:rFonts w:ascii="Arial" w:eastAsia="Arial" w:hAnsi="Arial" w:cs="Arial"/>
          <w:color w:val="000000"/>
          <w:sz w:val="20"/>
        </w:rPr>
        <w:t xml:space="preserve"> at 907-09.</w:t>
      </w:r>
    </w:p>
    <w:p w14:paraId="73768EE5" w14:textId="77777777" w:rsidR="002B10A6" w:rsidRDefault="00000000">
      <w:pPr>
        <w:pStyle w:val="Normal9"/>
        <w:widowControl w:val="0"/>
        <w:spacing w:before="200" w:line="260" w:lineRule="atLeast"/>
        <w:jc w:val="both"/>
      </w:pPr>
      <w:bookmarkStart w:id="1468" w:name="Bookmark_para_56_0"/>
      <w:bookmarkStart w:id="1469" w:name="Bookmark_I4J4T31S1KY000066620008D"/>
      <w:bookmarkStart w:id="1470" w:name="Bookmark_I62F889S2SF81D0050000400"/>
      <w:bookmarkEnd w:id="1468"/>
      <w:bookmarkEnd w:id="1469"/>
      <w:bookmarkEnd w:id="1470"/>
      <w:r>
        <w:rPr>
          <w:rFonts w:ascii="Arial" w:eastAsia="Arial" w:hAnsi="Arial" w:cs="Arial"/>
          <w:color w:val="000000"/>
          <w:sz w:val="20"/>
        </w:rPr>
        <w:t xml:space="preserve">While the underlying general difficulty for the plaintiff in </w:t>
      </w:r>
      <w:r>
        <w:rPr>
          <w:rFonts w:ascii="Arial" w:eastAsia="Arial" w:hAnsi="Arial" w:cs="Arial"/>
          <w:i/>
          <w:color w:val="000000"/>
          <w:sz w:val="20"/>
        </w:rPr>
        <w:t>Robles</w:t>
      </w:r>
      <w:r>
        <w:rPr>
          <w:rFonts w:ascii="Arial" w:eastAsia="Arial" w:hAnsi="Arial" w:cs="Arial"/>
          <w:color w:val="000000"/>
          <w:sz w:val="20"/>
        </w:rPr>
        <w:t xml:space="preserve">—the incompatibility of Domino's website and app with the plaintiff's screen reader software—is similar to Gil's frustrations with Winn-Dixie's website, the particular facts of </w:t>
      </w:r>
      <w:bookmarkStart w:id="1471" w:name="Bookmark_I62F889S2SF81D0040000400"/>
      <w:bookmarkEnd w:id="1471"/>
      <w:r>
        <w:rPr>
          <w:rFonts w:ascii="Arial" w:eastAsia="Arial" w:hAnsi="Arial" w:cs="Arial"/>
          <w:i/>
          <w:color w:val="000000"/>
          <w:sz w:val="20"/>
        </w:rPr>
        <w:t>Robles</w:t>
      </w:r>
      <w:r>
        <w:rPr>
          <w:rFonts w:ascii="Arial" w:eastAsia="Arial" w:hAnsi="Arial" w:cs="Arial"/>
          <w:color w:val="000000"/>
          <w:sz w:val="20"/>
        </w:rPr>
        <w:t xml:space="preserve"> are distinctly and materially different from the facts of this case. Domino's made pizza sales through its website and app; here, Winn-Dixie makes no sales of its products on its site. </w:t>
      </w:r>
      <w:r>
        <w:rPr>
          <w:rFonts w:ascii="Arial" w:eastAsia="Arial" w:hAnsi="Arial" w:cs="Arial"/>
          <w:i/>
          <w:color w:val="000000"/>
          <w:sz w:val="20"/>
        </w:rPr>
        <w:t xml:space="preserve">Compare </w:t>
      </w:r>
      <w:bookmarkStart w:id="1472" w:name="Bookmark_I62F889S2HM65J0010000400"/>
      <w:bookmarkEnd w:id="1472"/>
      <w:r>
        <w:rPr>
          <w:rFonts w:ascii="Arial" w:eastAsia="Arial" w:hAnsi="Arial" w:cs="Arial"/>
          <w:i/>
          <w:color w:val="000000"/>
          <w:sz w:val="20"/>
        </w:rPr>
        <w:t>Robles</w:t>
      </w:r>
      <w:r>
        <w:rPr>
          <w:rFonts w:ascii="Arial" w:eastAsia="Arial" w:hAnsi="Arial" w:cs="Arial"/>
          <w:color w:val="000000"/>
          <w:sz w:val="20"/>
        </w:rPr>
        <w:t xml:space="preserve">, 913 F.3d at 902, </w:t>
      </w:r>
      <w:r>
        <w:rPr>
          <w:rFonts w:ascii="Arial" w:eastAsia="Arial" w:hAnsi="Arial" w:cs="Arial"/>
          <w:i/>
          <w:color w:val="000000"/>
          <w:sz w:val="20"/>
        </w:rPr>
        <w:t xml:space="preserve">with </w:t>
      </w:r>
      <w:bookmarkStart w:id="1473" w:name="Bookmark_I62F889S2HM65J0030000400"/>
      <w:bookmarkEnd w:id="1473"/>
      <w:r>
        <w:rPr>
          <w:rFonts w:ascii="Arial" w:eastAsia="Arial" w:hAnsi="Arial" w:cs="Arial"/>
          <w:i/>
          <w:color w:val="000000"/>
          <w:sz w:val="20"/>
        </w:rPr>
        <w:t>Gil</w:t>
      </w:r>
      <w:r>
        <w:rPr>
          <w:rFonts w:ascii="Arial" w:eastAsia="Arial" w:hAnsi="Arial" w:cs="Arial"/>
          <w:color w:val="000000"/>
          <w:sz w:val="20"/>
        </w:rPr>
        <w:t xml:space="preserve">, 257 F. Supp. 3d at 1345. </w:t>
      </w:r>
      <w:bookmarkStart w:id="1474" w:name="Bookmark_I4J4T31SD2V000066620008J"/>
      <w:bookmarkStart w:id="1475" w:name="Bookmark_I62F889S2SF81F0010000400"/>
      <w:bookmarkEnd w:id="1474"/>
      <w:bookmarkEnd w:id="1475"/>
      <w:r>
        <w:rPr>
          <w:rFonts w:ascii="Arial" w:eastAsia="Arial" w:hAnsi="Arial" w:cs="Arial"/>
          <w:color w:val="000000"/>
          <w:sz w:val="20"/>
        </w:rPr>
        <w:t xml:space="preserve">The </w:t>
      </w:r>
      <w:r>
        <w:rPr>
          <w:rFonts w:ascii="Arial" w:eastAsia="Arial" w:hAnsi="Arial" w:cs="Arial"/>
          <w:i/>
          <w:color w:val="000000"/>
          <w:sz w:val="20"/>
        </w:rPr>
        <w:t>Robles</w:t>
      </w:r>
      <w:r>
        <w:rPr>
          <w:rFonts w:ascii="Arial" w:eastAsia="Arial" w:hAnsi="Arial" w:cs="Arial"/>
          <w:color w:val="000000"/>
          <w:sz w:val="20"/>
        </w:rPr>
        <w:t xml:space="preserve"> plaintiffs complained they were denied access to the goods and services of the physical stores through the website. </w:t>
      </w:r>
      <w:bookmarkStart w:id="1476" w:name="Bookmark_I62F889S2SF81F0010000400_2"/>
      <w:bookmarkStart w:id="1477" w:name="Bookmark_I4J4T31S446000066620008F"/>
      <w:bookmarkStart w:id="1478" w:name="Bookmark_I62F889S2SF81F0030000400"/>
      <w:bookmarkEnd w:id="1476"/>
      <w:bookmarkEnd w:id="1477"/>
      <w:bookmarkEnd w:id="1478"/>
      <w:r>
        <w:rPr>
          <w:rFonts w:ascii="Arial" w:eastAsia="Arial" w:hAnsi="Arial" w:cs="Arial"/>
          <w:color w:val="000000"/>
          <w:sz w:val="20"/>
        </w:rPr>
        <w:t xml:space="preserve">In contrast, in this case, Winn-Dixie's website does not provide any direct sales of goods or services or impede access to the goods and services offered in the physical stores. Moreover, the application of the "nexus" standard was "critical" [**32]  to the </w:t>
      </w:r>
      <w:bookmarkStart w:id="1479" w:name="Bookmark_I62F889S2HM65J0050000400"/>
      <w:bookmarkEnd w:id="1479"/>
      <w:r>
        <w:rPr>
          <w:rFonts w:ascii="Arial" w:eastAsia="Arial" w:hAnsi="Arial" w:cs="Arial"/>
          <w:i/>
          <w:color w:val="000000"/>
          <w:sz w:val="20"/>
        </w:rPr>
        <w:t>Robles</w:t>
      </w:r>
      <w:r>
        <w:rPr>
          <w:rFonts w:ascii="Arial" w:eastAsia="Arial" w:hAnsi="Arial" w:cs="Arial"/>
          <w:color w:val="000000"/>
          <w:sz w:val="20"/>
        </w:rPr>
        <w:t xml:space="preserve">'s court's holding, but as explained above, we decline to adopt the "nexus" standard. </w:t>
      </w:r>
      <w:bookmarkStart w:id="1480" w:name="Bookmark_I62F889S2SF81F0030000400_2"/>
      <w:bookmarkStart w:id="1481" w:name="Bookmark_I4J4T31JTFM000066620006J"/>
      <w:bookmarkStart w:id="1482" w:name="Bookmark_I62F889S2SF81F0050000400"/>
      <w:bookmarkEnd w:id="1480"/>
      <w:bookmarkEnd w:id="1481"/>
      <w:bookmarkEnd w:id="1482"/>
      <w:r>
        <w:rPr>
          <w:rFonts w:ascii="Arial" w:eastAsia="Arial" w:hAnsi="Arial" w:cs="Arial"/>
          <w:color w:val="000000"/>
          <w:sz w:val="20"/>
        </w:rPr>
        <w:t xml:space="preserve">In sum, we do not find </w:t>
      </w:r>
      <w:bookmarkStart w:id="1483" w:name="Bookmark_I62F889S2SF81F0050000400_2"/>
      <w:bookmarkStart w:id="1484" w:name="Bookmark_I62F889S2SF81F0030000400_3"/>
      <w:bookmarkStart w:id="1485" w:name="Bookmark_I62F889S2SF81F0020000400"/>
      <w:bookmarkEnd w:id="1483"/>
      <w:bookmarkEnd w:id="1484"/>
      <w:bookmarkEnd w:id="1485"/>
      <w:r>
        <w:rPr>
          <w:rFonts w:ascii="Arial" w:eastAsia="Arial" w:hAnsi="Arial" w:cs="Arial"/>
          <w:i/>
          <w:color w:val="000000"/>
          <w:sz w:val="20"/>
        </w:rPr>
        <w:t>Robles</w:t>
      </w:r>
      <w:r>
        <w:rPr>
          <w:rFonts w:ascii="Arial" w:eastAsia="Arial" w:hAnsi="Arial" w:cs="Arial"/>
          <w:color w:val="000000"/>
          <w:sz w:val="20"/>
        </w:rPr>
        <w:t xml:space="preserve"> persuasive, either factually or legally. Instead, we apply the statute, 42 U.S.C. §§ 12182(a) and (b)(2)(A)(iii), and our precedent, </w:t>
      </w:r>
      <w:r>
        <w:rPr>
          <w:rFonts w:ascii="Arial" w:eastAsia="Arial" w:hAnsi="Arial" w:cs="Arial"/>
          <w:i/>
          <w:color w:val="000000"/>
          <w:sz w:val="20"/>
        </w:rPr>
        <w:t xml:space="preserve">see </w:t>
      </w:r>
      <w:bookmarkStart w:id="1486" w:name="Bookmark_I62F889S2SF81F0040000400"/>
      <w:bookmarkEnd w:id="1486"/>
      <w:r>
        <w:rPr>
          <w:rFonts w:ascii="Arial" w:eastAsia="Arial" w:hAnsi="Arial" w:cs="Arial"/>
          <w:i/>
          <w:color w:val="000000"/>
          <w:sz w:val="20"/>
        </w:rPr>
        <w:t>Rendon</w:t>
      </w:r>
      <w:r>
        <w:rPr>
          <w:rFonts w:ascii="Arial" w:eastAsia="Arial" w:hAnsi="Arial" w:cs="Arial"/>
          <w:color w:val="000000"/>
          <w:sz w:val="20"/>
        </w:rPr>
        <w:t xml:space="preserve">, 294 F.3d at 1283, to the facts before  [*1284]  us, and we hold that the absence of auxiliary aids on Winn-Dixie's website does not act as an intangible barrier that results in Gil being discriminatorily "excluded, denied services, segregated or otherwise treated differently than other individuals" in the physical stores—the operative place of public accommodation—because of the absence of auxiliary aids and services as contemplated by the ADA. 42 U.S.C. § 12182(b)(2)(A)(iii). Rather, we conclude that, on the facts of this case, Gil is able to enjoy fully and equally "the goods, services, facilities, privileges, advantages, or accommodations of" Winn-Dixie's physical stores as contemplated by Title III of the ADA. </w:t>
      </w:r>
      <w:r>
        <w:rPr>
          <w:rFonts w:ascii="Arial" w:eastAsia="Arial" w:hAnsi="Arial" w:cs="Arial"/>
          <w:i/>
          <w:color w:val="000000"/>
          <w:sz w:val="20"/>
        </w:rPr>
        <w:t>Id.</w:t>
      </w:r>
      <w:r>
        <w:rPr>
          <w:rFonts w:ascii="Arial" w:eastAsia="Arial" w:hAnsi="Arial" w:cs="Arial"/>
          <w:color w:val="000000"/>
          <w:sz w:val="20"/>
        </w:rPr>
        <w:t xml:space="preserve"> § 12182(a).</w:t>
      </w:r>
    </w:p>
    <w:p w14:paraId="2654D2F1" w14:textId="77777777" w:rsidR="002B10A6" w:rsidRDefault="00000000">
      <w:pPr>
        <w:pStyle w:val="Normal9"/>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14:paraId="1F2D22D2" w14:textId="77777777" w:rsidR="002B10A6" w:rsidRDefault="00000000">
      <w:pPr>
        <w:pStyle w:val="Normal9"/>
        <w:widowControl w:val="0"/>
        <w:spacing w:before="200" w:line="260" w:lineRule="atLeast"/>
        <w:jc w:val="both"/>
      </w:pPr>
      <w:bookmarkStart w:id="1487" w:name="Bookmark_para_57_0"/>
      <w:bookmarkStart w:id="1488" w:name="Bookmark_I62F889S2N1R2D0020000400"/>
      <w:bookmarkStart w:id="1489" w:name="Bookmark_LNHNREFclscc17_0"/>
      <w:bookmarkEnd w:id="1487"/>
      <w:bookmarkEnd w:id="1488"/>
      <w:bookmarkEnd w:id="1489"/>
      <w:r>
        <w:rPr>
          <w:rFonts w:ascii="Arial" w:eastAsia="Arial" w:hAnsi="Arial" w:cs="Arial"/>
          <w:color w:val="000000"/>
          <w:sz w:val="20"/>
        </w:rPr>
        <w:t xml:space="preserve">There is no doubt that Congress enumerated a broad spectrum of public accommodations when it enacted Title III of the ADA. There is similarly no doubt that a commendable purpose of the ADA was reflected in its title: to enhance the lives of Americans with disabilities by requiring certain accommodations [**33]  for them. We also recognize that for many Americans like Gil, inaccessibility online can be a significant inconvenience. But constitutional separation of powers principles demand that the details concerning whether and how these difficulties should be resolved is a project best left to Congress. "[O]ur constitutional structure does not permit this Court to 'rewrite the statute that Congress has enacted.'" </w:t>
      </w:r>
      <w:bookmarkStart w:id="1490" w:name="Bookmark_I62F889S2N1R2D0010000400"/>
      <w:bookmarkEnd w:id="1490"/>
      <w:r>
        <w:rPr>
          <w:rFonts w:ascii="Arial" w:eastAsia="Arial" w:hAnsi="Arial" w:cs="Arial"/>
          <w:i/>
          <w:color w:val="000000"/>
          <w:sz w:val="20"/>
        </w:rPr>
        <w:t>Puerto Rico v. Franklin Cal. Tax-Free Tr.</w:t>
      </w:r>
      <w:r>
        <w:rPr>
          <w:rFonts w:ascii="Arial" w:eastAsia="Arial" w:hAnsi="Arial" w:cs="Arial"/>
          <w:color w:val="000000"/>
          <w:sz w:val="20"/>
        </w:rPr>
        <w:t xml:space="preserve">, 579 U.S. 115, 136 S. Ct. 1938, 1949, 195 L. Ed. 2d 298 (2016) (quoting </w:t>
      </w:r>
      <w:bookmarkStart w:id="1491" w:name="Bookmark_I62F889S2N1R2D0030000400"/>
      <w:bookmarkEnd w:id="1491"/>
      <w:r>
        <w:rPr>
          <w:rFonts w:ascii="Arial" w:eastAsia="Arial" w:hAnsi="Arial" w:cs="Arial"/>
          <w:i/>
          <w:color w:val="000000"/>
          <w:sz w:val="20"/>
        </w:rPr>
        <w:t>Dodd v. United States</w:t>
      </w:r>
      <w:r>
        <w:rPr>
          <w:rFonts w:ascii="Arial" w:eastAsia="Arial" w:hAnsi="Arial" w:cs="Arial"/>
          <w:color w:val="000000"/>
          <w:sz w:val="20"/>
        </w:rPr>
        <w:t>, 545 U.S. 353, 359, 125 S. Ct. 2478, 162 L. Ed. 2d 343 (2005)). Absent congressional action that broadens the definition of "places of public accommodation" to include websites, we cannot extend ADA liability to the facts presented to us here, where there is no barrier to the access demanded by the statute. We therefore vacate the district court's Final Judgment and remand for further proceedings consistent with this opinion.</w:t>
      </w:r>
    </w:p>
    <w:p w14:paraId="219D9FC4" w14:textId="77777777" w:rsidR="002B10A6" w:rsidRDefault="00000000">
      <w:pPr>
        <w:pStyle w:val="Normal9"/>
        <w:widowControl w:val="0"/>
        <w:spacing w:before="200" w:line="260" w:lineRule="atLeast"/>
        <w:jc w:val="both"/>
      </w:pPr>
      <w:bookmarkStart w:id="1492" w:name="Bookmark_para_58_0"/>
      <w:bookmarkEnd w:id="1492"/>
      <w:r>
        <w:rPr>
          <w:rFonts w:ascii="Arial" w:eastAsia="Arial" w:hAnsi="Arial" w:cs="Arial"/>
          <w:b/>
          <w:color w:val="000000"/>
          <w:sz w:val="20"/>
        </w:rPr>
        <w:t>VACATED and REMANDED</w:t>
      </w:r>
      <w:r>
        <w:rPr>
          <w:rFonts w:ascii="Arial" w:eastAsia="Arial" w:hAnsi="Arial" w:cs="Arial"/>
          <w:color w:val="000000"/>
          <w:sz w:val="20"/>
        </w:rPr>
        <w:t>.</w:t>
      </w:r>
    </w:p>
    <w:p w14:paraId="3706F500" w14:textId="77777777" w:rsidR="002B10A6" w:rsidRDefault="00000000">
      <w:pPr>
        <w:pStyle w:val="Normal9"/>
        <w:widowControl w:val="0"/>
        <w:spacing w:before="240" w:line="260" w:lineRule="atLeast"/>
      </w:pPr>
      <w:bookmarkStart w:id="1493" w:name="Dissent_by"/>
      <w:bookmarkEnd w:id="1493"/>
      <w:r>
        <w:rPr>
          <w:rFonts w:ascii="Arial" w:eastAsia="Arial" w:hAnsi="Arial" w:cs="Arial"/>
          <w:b/>
          <w:color w:val="000000"/>
          <w:sz w:val="20"/>
        </w:rPr>
        <w:t>Dissent by:</w:t>
      </w:r>
      <w:r>
        <w:rPr>
          <w:rFonts w:ascii="Arial" w:eastAsia="Arial" w:hAnsi="Arial" w:cs="Arial"/>
          <w:color w:val="000000"/>
          <w:sz w:val="20"/>
        </w:rPr>
        <w:t> JILL PRYOR</w:t>
      </w:r>
    </w:p>
    <w:p w14:paraId="20F1CFD4" w14:textId="77777777" w:rsidR="002B10A6" w:rsidRDefault="00000000">
      <w:pPr>
        <w:pStyle w:val="Normal9"/>
        <w:keepNext/>
        <w:widowControl w:val="0"/>
        <w:spacing w:before="240" w:line="340" w:lineRule="atLeast"/>
      </w:pPr>
      <w:bookmarkStart w:id="1494" w:name="Dissent"/>
      <w:bookmarkEnd w:id="1494"/>
      <w:r>
        <w:rPr>
          <w:rFonts w:ascii="Arial" w:eastAsia="Arial" w:hAnsi="Arial" w:cs="Arial"/>
          <w:b/>
          <w:color w:val="000000"/>
          <w:sz w:val="28"/>
        </w:rPr>
        <w:t>Dissent</w:t>
      </w:r>
    </w:p>
    <w:p w14:paraId="77BEAEC9" w14:textId="61631425" w:rsidR="002B10A6" w:rsidRDefault="002D6974">
      <w:pPr>
        <w:pStyle w:val="Normal9"/>
        <w:spacing w:line="60" w:lineRule="exact"/>
      </w:pPr>
      <w:r>
        <w:rPr>
          <w:noProof/>
        </w:rPr>
        <mc:AlternateContent>
          <mc:Choice Requires="wps">
            <w:drawing>
              <wp:anchor distT="0" distB="0" distL="114300" distR="114300" simplePos="0" relativeHeight="251677696" behindDoc="0" locked="0" layoutInCell="1" allowOverlap="1" wp14:anchorId="1EA176AF" wp14:editId="503020B1">
                <wp:simplePos x="0" y="0"/>
                <wp:positionH relativeFrom="column">
                  <wp:posOffset>0</wp:posOffset>
                </wp:positionH>
                <wp:positionV relativeFrom="paragraph">
                  <wp:posOffset>25400</wp:posOffset>
                </wp:positionV>
                <wp:extent cx="3187700" cy="0"/>
                <wp:effectExtent l="19050" t="15875" r="12700" b="12700"/>
                <wp:wrapTopAndBottom/>
                <wp:docPr id="40162283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183B8"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9444CC1" w14:textId="77777777" w:rsidR="002B10A6" w:rsidRDefault="002B10A6">
      <w:pPr>
        <w:pStyle w:val="Normal9"/>
      </w:pPr>
    </w:p>
    <w:p w14:paraId="7C416C24" w14:textId="77777777" w:rsidR="002B10A6" w:rsidRDefault="00000000">
      <w:pPr>
        <w:pStyle w:val="Normal9"/>
        <w:widowControl w:val="0"/>
        <w:spacing w:before="200" w:line="260" w:lineRule="atLeast"/>
        <w:jc w:val="both"/>
      </w:pPr>
      <w:bookmarkStart w:id="1495" w:name="Bookmark_para_59_0"/>
      <w:bookmarkEnd w:id="1495"/>
      <w:r>
        <w:rPr>
          <w:rFonts w:ascii="Arial" w:eastAsia="Arial" w:hAnsi="Arial" w:cs="Arial"/>
          <w:color w:val="000000"/>
          <w:sz w:val="20"/>
        </w:rPr>
        <w:t>JILL PRYOR, Circuit Judge, dissenting:</w:t>
      </w:r>
    </w:p>
    <w:p w14:paraId="74DE8DB9" w14:textId="77777777" w:rsidR="002B10A6" w:rsidRDefault="00000000">
      <w:pPr>
        <w:pStyle w:val="Normal9"/>
        <w:widowControl w:val="0"/>
        <w:spacing w:before="200" w:line="260" w:lineRule="atLeast"/>
        <w:jc w:val="both"/>
      </w:pPr>
      <w:bookmarkStart w:id="1496" w:name="Bookmark_para_60_0"/>
      <w:bookmarkEnd w:id="1496"/>
      <w:r>
        <w:rPr>
          <w:rFonts w:ascii="Arial" w:eastAsia="Arial" w:hAnsi="Arial" w:cs="Arial"/>
          <w:color w:val="000000"/>
          <w:sz w:val="20"/>
        </w:rPr>
        <w:t xml:space="preserve">In this appeal we consider whether the Americans with Disabilities Act ("ADA"), 42 U.S.C. § 12101 </w:t>
      </w:r>
      <w:r>
        <w:rPr>
          <w:rFonts w:ascii="Arial" w:eastAsia="Arial" w:hAnsi="Arial" w:cs="Arial"/>
          <w:i/>
          <w:color w:val="000000"/>
          <w:sz w:val="20"/>
        </w:rPr>
        <w:t>et seq.</w:t>
      </w:r>
      <w:r>
        <w:rPr>
          <w:rFonts w:ascii="Arial" w:eastAsia="Arial" w:hAnsi="Arial" w:cs="Arial"/>
          <w:color w:val="000000"/>
          <w:sz w:val="20"/>
        </w:rPr>
        <w:t>, is violated when a place of public accommodation, here, a store, offers valuable in-store benefits to customers through a website that is inaccessible to individuals with visual disabilities. Defendant Winn-Dixie Stores, Inc. operates grocery stores, some of which [**34]  offer pharmacy services. To enhance its customers' shopping experience, Winn-Dixie provided a website that enabled customers to, among other things, obtain express prescription refills with greater privacy and more conveniently benefit from discount offers by linking manufacturers' coupons electronically to their Winn-Dixie customer rewards cards. Winn-Dixie's customers could obtain the in-store prescription and coupon benefits only by accessing Winn-Dixie's website.</w:t>
      </w:r>
    </w:p>
    <w:p w14:paraId="18EFDABC" w14:textId="77777777" w:rsidR="002B10A6" w:rsidRDefault="00000000">
      <w:pPr>
        <w:pStyle w:val="Normal9"/>
        <w:widowControl w:val="0"/>
        <w:spacing w:before="200" w:line="260" w:lineRule="atLeast"/>
        <w:jc w:val="both"/>
      </w:pPr>
      <w:bookmarkStart w:id="1497" w:name="Bookmark_para_61_0"/>
      <w:bookmarkEnd w:id="1497"/>
      <w:r>
        <w:rPr>
          <w:rFonts w:ascii="Arial" w:eastAsia="Arial" w:hAnsi="Arial" w:cs="Arial"/>
          <w:color w:val="000000"/>
          <w:sz w:val="20"/>
        </w:rPr>
        <w:t>But visually-impaired customers could not access the website. The website was incompatible with screen-reading technology that would enable them to use it. Winn-Dixie's visually-impaired customers therefore were treated differently than its sighted customers and denied the full and equal enjoyment of services, privileges, and advantages offered by Winn-Dixie stores. I would hold that this inferior treatment amounted to disability discrimination by the operator of a place of public accommodation under Title III of the ADA.</w:t>
      </w:r>
    </w:p>
    <w:p w14:paraId="44A720C2" w14:textId="77777777" w:rsidR="002B10A6" w:rsidRDefault="00000000">
      <w:pPr>
        <w:pStyle w:val="Normal9"/>
        <w:widowControl w:val="0"/>
        <w:spacing w:before="200" w:line="260" w:lineRule="atLeast"/>
        <w:jc w:val="both"/>
      </w:pPr>
      <w:bookmarkStart w:id="1498" w:name="Bookmark_para_62_0"/>
      <w:bookmarkEnd w:id="1498"/>
      <w:r>
        <w:rPr>
          <w:rFonts w:ascii="Arial" w:eastAsia="Arial" w:hAnsi="Arial" w:cs="Arial"/>
          <w:color w:val="000000"/>
          <w:sz w:val="20"/>
        </w:rPr>
        <w:t xml:space="preserve">Title III prohibits operators of places of public accommodation, like Winn-Dixie, from engaging in discrimination that deprives disabled individuals of "the full and equal enjoyment of the goods, services,  [*1285]   [**35]  facilities, privileges, advantages, or accommodations of any place of public accommodation." 42 U.S.C. § 12182(a). Discrimination prohibited by the ADA includes "a failure to take such steps as may be necessary to ensure that no individual with a disability is excluded, denied services, segregated[,] or otherwise treated differently than other individuals because of the absence of auxiliary aids and services." </w:t>
      </w:r>
      <w:r>
        <w:rPr>
          <w:rFonts w:ascii="Arial" w:eastAsia="Arial" w:hAnsi="Arial" w:cs="Arial"/>
          <w:i/>
          <w:color w:val="000000"/>
          <w:sz w:val="20"/>
        </w:rPr>
        <w:t>Id.</w:t>
      </w:r>
      <w:r>
        <w:rPr>
          <w:rFonts w:ascii="Arial" w:eastAsia="Arial" w:hAnsi="Arial" w:cs="Arial"/>
          <w:color w:val="000000"/>
          <w:sz w:val="20"/>
        </w:rPr>
        <w:t xml:space="preserve"> § 12182(b)(2)(A)(iii). Under this provision, an operator of a place of public accommodation "shall furnish appropriate auxiliary aids and services where necessary to ensure effective communication with individuals with disabilities." 28 C.F.R. § 36.303(c)(1).</w:t>
      </w:r>
    </w:p>
    <w:p w14:paraId="5AA090BC" w14:textId="77777777" w:rsidR="002B10A6" w:rsidRDefault="00000000">
      <w:pPr>
        <w:pStyle w:val="Normal9"/>
        <w:widowControl w:val="0"/>
        <w:spacing w:before="200" w:line="260" w:lineRule="atLeast"/>
        <w:jc w:val="both"/>
      </w:pPr>
      <w:bookmarkStart w:id="1499" w:name="Bookmark_para_63_0"/>
      <w:bookmarkEnd w:id="1499"/>
      <w:r>
        <w:rPr>
          <w:rFonts w:ascii="Arial" w:eastAsia="Arial" w:hAnsi="Arial" w:cs="Arial"/>
          <w:color w:val="000000"/>
          <w:sz w:val="20"/>
        </w:rPr>
        <w:t>Winn-Dixie does not dispute that it failed to provide an auxiliary aid when it refused to make its website compatible with screen-reading technology. As a result, visually-impaired individuals could not access the website. And Winn-Dixie provided no alternative way for them to request express prescription refills or digitally link coupons to their rewards cards so that discounts could be applied seamlessly at checkout—privileges and advantages that sighted customers enjoyed. That conduct amounted to discrimination under § 12182(b)(2)(A)(iii) and was therefore prohibited by § 12182(a).</w:t>
      </w:r>
    </w:p>
    <w:p w14:paraId="5CDD6977" w14:textId="77777777" w:rsidR="002B10A6" w:rsidRDefault="00000000">
      <w:pPr>
        <w:pStyle w:val="Normal9"/>
        <w:widowControl w:val="0"/>
        <w:spacing w:before="200" w:line="260" w:lineRule="atLeast"/>
        <w:jc w:val="both"/>
      </w:pPr>
      <w:bookmarkStart w:id="1500" w:name="Bookmark_para_64_0"/>
      <w:bookmarkEnd w:id="1500"/>
      <w:r>
        <w:rPr>
          <w:rFonts w:ascii="Arial" w:eastAsia="Arial" w:hAnsi="Arial" w:cs="Arial"/>
          <w:color w:val="000000"/>
          <w:sz w:val="20"/>
        </w:rPr>
        <w:t xml:space="preserve">The majority opinion concludes [**36]  that Winn-Dixie did not violate the ADA because visually-impaired customers remained able to shop in Winn-Dixie stores, where they could request prescription refills and manually redeem coupons. That conclusion is premised on the majority opinion's misunderstanding of the ADA's scope. The ADA's guarantee of freedom from discrimination for disabled individuals is broad: It prohibits places of public accommodation from denying them "the full and equal enjoyment of the goods, services, facilities, privileges, advantages, or accommodations of any place of public accommodation." 42 U.S.C. § 12182(a). It protects disabled individuals not only from "exclu[sion], deni[al] [of] services, and segregat[ion]," but also from being "treated differently." </w:t>
      </w:r>
      <w:r>
        <w:rPr>
          <w:rFonts w:ascii="Arial" w:eastAsia="Arial" w:hAnsi="Arial" w:cs="Arial"/>
          <w:i/>
          <w:color w:val="000000"/>
          <w:sz w:val="20"/>
        </w:rPr>
        <w:t>Id.</w:t>
      </w:r>
      <w:r>
        <w:rPr>
          <w:rFonts w:ascii="Arial" w:eastAsia="Arial" w:hAnsi="Arial" w:cs="Arial"/>
          <w:color w:val="000000"/>
          <w:sz w:val="20"/>
        </w:rPr>
        <w:t xml:space="preserve"> § 12182(b)(2)(A)(iii). Winn-Dixie's discriminatory conduct "treated [visually-disabled individuals] differently," denying them the full and equal enjoyment of its stores' "services," "privileges," and "advantages"—namely, the more favorable treatment Winn-Dixie afforded to sighted customers, who could request express prescription refills or link manufacturers' digital coupons to their rewards cards through the website before going to the store to shop. I would hold that in failing [**37]  to make its website accessible, Winn-Dixie violated the ADA. I dissent.</w:t>
      </w:r>
      <w:r>
        <w:rPr>
          <w:rFonts w:ascii="Arial" w:eastAsia="Arial" w:hAnsi="Arial" w:cs="Arial"/>
          <w:vertAlign w:val="superscript"/>
        </w:rPr>
        <w:footnoteReference w:customMarkFollows="1" w:id="59"/>
        <w:t>1</w:t>
      </w:r>
    </w:p>
    <w:p w14:paraId="3523ED06" w14:textId="77777777" w:rsidR="002B10A6" w:rsidRDefault="00000000">
      <w:pPr>
        <w:pStyle w:val="Normal9"/>
        <w:widowControl w:val="0"/>
        <w:spacing w:before="240" w:line="260" w:lineRule="atLeast"/>
      </w:pPr>
      <w:r>
        <w:br/>
      </w:r>
      <w:r>
        <w:rPr>
          <w:rFonts w:ascii="Arial" w:eastAsia="Arial" w:hAnsi="Arial" w:cs="Arial"/>
          <w:color w:val="000000"/>
          <w:sz w:val="20"/>
        </w:rPr>
        <w:t> [*1286]  I.</w:t>
      </w:r>
    </w:p>
    <w:p w14:paraId="3E48BD25" w14:textId="77777777" w:rsidR="002B10A6" w:rsidRDefault="00000000">
      <w:pPr>
        <w:pStyle w:val="Normal9"/>
        <w:widowControl w:val="0"/>
        <w:spacing w:before="200" w:line="260" w:lineRule="atLeast"/>
        <w:jc w:val="both"/>
      </w:pPr>
      <w:bookmarkStart w:id="1519" w:name="Bookmark_para_65_0"/>
      <w:bookmarkEnd w:id="1519"/>
      <w:r>
        <w:rPr>
          <w:rFonts w:ascii="Arial" w:eastAsia="Arial" w:hAnsi="Arial" w:cs="Arial"/>
          <w:color w:val="000000"/>
          <w:sz w:val="20"/>
        </w:rPr>
        <w:t>Plaintiff Juan Carlos Gil is a long-time Winn-Dixie shopper who is legally blind. While in high school, Gil visited a Winn-Dixie grocery store as part of a class project, discovered that Winn-Dixie offered the lowest prices on groceries, and became a loyal Winn-Dixie customer. For more than 15 years, Gil bought his groceries at Winn-Dixie stores and filled his prescriptions there.</w:t>
      </w:r>
    </w:p>
    <w:p w14:paraId="078D169A" w14:textId="77777777" w:rsidR="002B10A6" w:rsidRDefault="00000000">
      <w:pPr>
        <w:pStyle w:val="Normal9"/>
        <w:widowControl w:val="0"/>
        <w:spacing w:before="200" w:line="260" w:lineRule="atLeast"/>
        <w:jc w:val="both"/>
      </w:pPr>
      <w:bookmarkStart w:id="1520" w:name="Bookmark_para_66_0"/>
      <w:bookmarkEnd w:id="1520"/>
      <w:r>
        <w:rPr>
          <w:rFonts w:ascii="Arial" w:eastAsia="Arial" w:hAnsi="Arial" w:cs="Arial"/>
          <w:color w:val="000000"/>
          <w:sz w:val="20"/>
        </w:rPr>
        <w:t>When Gil wanted to refill a prescription at Winn-Dixie, he went to the store, asked for employee assistance, walked with the employee to the pharmacy area, and told the pharmacist what he needed. The process would take 20 to 30 minutes. Its inherent lack of privacy made Gil "uncomfortable because he did not know who else was nearby listening" as he asked the pharmacist to refill his prescriptions. Doc. 63 at 3.</w:t>
      </w:r>
      <w:r>
        <w:rPr>
          <w:rFonts w:ascii="Arial" w:eastAsia="Arial" w:hAnsi="Arial" w:cs="Arial"/>
          <w:vertAlign w:val="superscript"/>
        </w:rPr>
        <w:footnoteReference w:customMarkFollows="1" w:id="60"/>
        <w:t>2</w:t>
      </w:r>
    </w:p>
    <w:p w14:paraId="4AA8C379" w14:textId="77777777" w:rsidR="002B10A6" w:rsidRDefault="00000000">
      <w:pPr>
        <w:pStyle w:val="Normal9"/>
        <w:widowControl w:val="0"/>
        <w:spacing w:before="200" w:line="260" w:lineRule="atLeast"/>
        <w:jc w:val="both"/>
      </w:pPr>
      <w:bookmarkStart w:id="1522" w:name="Bookmark_para_67_0"/>
      <w:bookmarkEnd w:id="1522"/>
      <w:r>
        <w:rPr>
          <w:rFonts w:ascii="Arial" w:eastAsia="Arial" w:hAnsi="Arial" w:cs="Arial"/>
          <w:color w:val="000000"/>
          <w:sz w:val="20"/>
        </w:rPr>
        <w:t xml:space="preserve">When Gil, who had a low income, bought groceries at Winn-Dixie, he sometimes used coupons to take advantage of promotions. Taking advantage of those promotions required him to ask friends to read the coupons to him from a newspaper or request the help of Winn-Dixie employees. Employees were sometimes "annoyed [**38]  by his request for help." </w:t>
      </w:r>
      <w:r>
        <w:rPr>
          <w:rFonts w:ascii="Arial" w:eastAsia="Arial" w:hAnsi="Arial" w:cs="Arial"/>
          <w:i/>
          <w:color w:val="000000"/>
          <w:sz w:val="20"/>
        </w:rPr>
        <w:t>Id.</w:t>
      </w:r>
    </w:p>
    <w:p w14:paraId="475FD545" w14:textId="77777777" w:rsidR="002B10A6" w:rsidRDefault="00000000">
      <w:pPr>
        <w:pStyle w:val="Normal9"/>
        <w:widowControl w:val="0"/>
        <w:spacing w:before="200" w:line="260" w:lineRule="atLeast"/>
        <w:jc w:val="both"/>
      </w:pPr>
      <w:bookmarkStart w:id="1523" w:name="Bookmark_para_68_0"/>
      <w:bookmarkEnd w:id="1523"/>
      <w:r>
        <w:rPr>
          <w:rFonts w:ascii="Arial" w:eastAsia="Arial" w:hAnsi="Arial" w:cs="Arial"/>
          <w:color w:val="000000"/>
          <w:sz w:val="20"/>
        </w:rPr>
        <w:t>Eventually, Gil learned that Winn-Dixie operated a website that enabled customers to, among other things, request prescription refills before coming to the store and link digital coupons to their customer rewards cards so that discounts were applied automatically at checkout. Through the website's prescription feature, customers could, in the privacy of their own homes, request refills in advance and then pick up their medication at the store when it was ready.</w:t>
      </w:r>
      <w:r>
        <w:rPr>
          <w:rFonts w:ascii="Arial" w:eastAsia="Arial" w:hAnsi="Arial" w:cs="Arial"/>
          <w:vertAlign w:val="superscript"/>
        </w:rPr>
        <w:footnoteReference w:customMarkFollows="1" w:id="61"/>
        <w:t>3</w:t>
      </w:r>
      <w:r>
        <w:rPr>
          <w:rFonts w:ascii="Arial" w:eastAsia="Arial" w:hAnsi="Arial" w:cs="Arial"/>
          <w:color w:val="000000"/>
          <w:sz w:val="20"/>
        </w:rPr>
        <w:t xml:space="preserve"> They could also transfer a prescription to be filled at a different Winn-Dixie store. Winn-Dixie described the online refill order feature as allowing customers to obtain "express re-fill[s]" of their prescriptions. Doc. 65 at 87. Gil sought to use this feature because it would afford him greater independence, convenience, and privacy, by allowing him to obtain prescription refills without having to disclose his medical information where others could overhear.</w:t>
      </w:r>
    </w:p>
    <w:p w14:paraId="42858983" w14:textId="77777777" w:rsidR="002B10A6" w:rsidRDefault="00000000">
      <w:pPr>
        <w:pStyle w:val="Normal9"/>
        <w:widowControl w:val="0"/>
        <w:spacing w:before="200" w:line="260" w:lineRule="atLeast"/>
        <w:jc w:val="both"/>
      </w:pPr>
      <w:bookmarkStart w:id="1525" w:name="Bookmark_para_69"/>
      <w:bookmarkEnd w:id="1525"/>
      <w:r>
        <w:rPr>
          <w:rFonts w:ascii="Arial" w:eastAsia="Arial" w:hAnsi="Arial" w:cs="Arial"/>
          <w:color w:val="000000"/>
          <w:sz w:val="20"/>
        </w:rPr>
        <w:t>Through the website's coupon feature, customers could click on manufacturers' coupons displayed on the website to link the coupons to their customer rewards cards. Then, when the customer shopped and scanned his rewards card, the coupon discount [**39]  was applied automatically to his order. Winn-Dixie accepted manufacturers' coupons in stores, the website tool was the only way a customer could link a coupon to his rewards card for automatic application at checkout. Gil, who had a rewards card, was interested in using this feature because it would give him greater independence by making it possible for him to find  [*1287]  and use coupons without having to ask friends or store employees for help.</w:t>
      </w:r>
    </w:p>
    <w:p w14:paraId="17F95171" w14:textId="77777777" w:rsidR="002B10A6" w:rsidRDefault="00000000">
      <w:pPr>
        <w:pStyle w:val="Normal9"/>
        <w:widowControl w:val="0"/>
        <w:spacing w:before="200" w:line="260" w:lineRule="atLeast"/>
        <w:jc w:val="both"/>
      </w:pPr>
      <w:bookmarkStart w:id="1526" w:name="Bookmark_para_70"/>
      <w:bookmarkEnd w:id="1526"/>
      <w:r>
        <w:rPr>
          <w:rFonts w:ascii="Arial" w:eastAsia="Arial" w:hAnsi="Arial" w:cs="Arial"/>
          <w:color w:val="000000"/>
          <w:sz w:val="20"/>
        </w:rPr>
        <w:t>Gil also sought to use the website's store locator feature, which allowed its nondisabled customers to discover the location of Winn-Dixie's 495 stores that are spread throughout the southeastern United States. As a para-Olympian, Gil frequently travels across Florida. When he travels, he brings his laptop, which is equipped with screen-reading software, so he can locate and patronize nearby businesses. When a business's store locator feature is accessible to Gil, he can discover which of that business's physical stores he would like to patronize; when it is not so accessible, he can use a third party's store locator service that is accessible to him to accomplish that end. But it is faster for him to use the website of the store he wishes to patronize [**40]  than to leave the website to use a search engine provided by a third party.</w:t>
      </w:r>
    </w:p>
    <w:p w14:paraId="52B61046" w14:textId="77777777" w:rsidR="002B10A6" w:rsidRDefault="00000000">
      <w:pPr>
        <w:pStyle w:val="Normal9"/>
        <w:widowControl w:val="0"/>
        <w:spacing w:before="200" w:line="260" w:lineRule="atLeast"/>
        <w:jc w:val="both"/>
      </w:pPr>
      <w:bookmarkStart w:id="1527" w:name="Bookmark_para_71"/>
      <w:bookmarkEnd w:id="1527"/>
      <w:r>
        <w:rPr>
          <w:rFonts w:ascii="Arial" w:eastAsia="Arial" w:hAnsi="Arial" w:cs="Arial"/>
          <w:color w:val="000000"/>
          <w:sz w:val="20"/>
        </w:rPr>
        <w:t>Eager to take advantage of the prescription and coupon benefits provided by the website and its store locator feature, Gil used his computer to try to access Winn-Dixie's website. Because he is blind, when using a computer Gil relies on screen-reading software, which vocalizes visual information found on the computer screen. With this software, Gil has successfully used more than 500 websites. The software could not read Winn-Dixie's website, however; as a result, approximately 90% of the website was inaccessible to him. Because the website was inaccessible to him, Gil was unable to request prescription refills online in advance, digitally link coupons to his rewards card, or use the website's store locator feature. Frustrated that Winn-Dixie had not made its website accessible to visually-impaired customers, Gil stopped shopping at Winn-Dixie and switched to another pharmacy to fill his prescriptions.</w:t>
      </w:r>
    </w:p>
    <w:p w14:paraId="2D9B3E6C" w14:textId="77777777" w:rsidR="002B10A6" w:rsidRDefault="00000000">
      <w:pPr>
        <w:pStyle w:val="Normal9"/>
        <w:widowControl w:val="0"/>
        <w:spacing w:before="200" w:line="260" w:lineRule="atLeast"/>
        <w:jc w:val="both"/>
      </w:pPr>
      <w:bookmarkStart w:id="1528" w:name="Bookmark_para_72"/>
      <w:bookmarkEnd w:id="1528"/>
      <w:r>
        <w:rPr>
          <w:rFonts w:ascii="Arial" w:eastAsia="Arial" w:hAnsi="Arial" w:cs="Arial"/>
          <w:color w:val="000000"/>
          <w:sz w:val="20"/>
        </w:rPr>
        <w:t>Gil sued Winn-Dixie, alleging that its failure to make its website accessible to visually-impaired customers violated the ADA. He sought an injunction requiring Winn-Dixie to modify its website so that it could [**41]  be used by visually-impaired individuals.</w:t>
      </w:r>
    </w:p>
    <w:p w14:paraId="37B68BC7" w14:textId="77777777" w:rsidR="002B10A6" w:rsidRDefault="00000000">
      <w:pPr>
        <w:pStyle w:val="Normal9"/>
        <w:widowControl w:val="0"/>
        <w:spacing w:before="200" w:line="260" w:lineRule="atLeast"/>
        <w:jc w:val="both"/>
      </w:pPr>
      <w:bookmarkStart w:id="1529" w:name="Bookmark_para_73"/>
      <w:bookmarkEnd w:id="1529"/>
      <w:r>
        <w:rPr>
          <w:rFonts w:ascii="Arial" w:eastAsia="Arial" w:hAnsi="Arial" w:cs="Arial"/>
          <w:color w:val="000000"/>
          <w:sz w:val="20"/>
        </w:rPr>
        <w:t>The case proceeded to a bench trial. At trial, Gil contended that Winn-Dixie engaged in disability discrimination by failing to make its website compatible with screen-reading technology and thus denying visually-impaired individuals the ability to request advance in-store prescription refills, link coupons to their customer rewards cards, and access the website's store locator.</w:t>
      </w:r>
    </w:p>
    <w:p w14:paraId="711D2343" w14:textId="77777777" w:rsidR="002B10A6" w:rsidRDefault="00000000">
      <w:pPr>
        <w:pStyle w:val="Normal9"/>
        <w:widowControl w:val="0"/>
        <w:spacing w:before="200" w:line="260" w:lineRule="atLeast"/>
        <w:jc w:val="both"/>
      </w:pPr>
      <w:bookmarkStart w:id="1530" w:name="Bookmark_para_74"/>
      <w:bookmarkEnd w:id="1530"/>
      <w:r>
        <w:rPr>
          <w:rFonts w:ascii="Arial" w:eastAsia="Arial" w:hAnsi="Arial" w:cs="Arial"/>
          <w:color w:val="000000"/>
          <w:sz w:val="20"/>
        </w:rPr>
        <w:t>Post-trial, the district court ruled that Winn-Dixie had engaged in disability discrimination under the ADA. The court found that visually-impaired individuals could not access Winn-Dixie's website because it was incompatible with screen-reading technology. This incompatibility, the district court found, meant that Winn-Dixie, through its website, offered features and services to the general public that were inaccessible to Gil, including an "online pharmacy management system," "the ability to access digital coupons that link automatically to a customer's rewards card," and a store locator. Doc. 63 at 10.</w:t>
      </w:r>
      <w:r>
        <w:rPr>
          <w:rFonts w:ascii="Arial" w:eastAsia="Arial" w:hAnsi="Arial" w:cs="Arial"/>
          <w:vertAlign w:val="superscript"/>
        </w:rPr>
        <w:footnoteReference w:customMarkFollows="1" w:id="62"/>
        <w:t>4</w:t>
      </w:r>
    </w:p>
    <w:p w14:paraId="05DEB69B" w14:textId="77777777" w:rsidR="002B10A6" w:rsidRDefault="00000000">
      <w:pPr>
        <w:pStyle w:val="Normal9"/>
        <w:widowControl w:val="0"/>
        <w:spacing w:before="200" w:line="260" w:lineRule="atLeast"/>
        <w:jc w:val="both"/>
      </w:pPr>
      <w:bookmarkStart w:id="1535" w:name="Bookmark_para_75"/>
      <w:bookmarkStart w:id="1536" w:name="Bookmark_I4J4T31KW91000066620006Y"/>
      <w:bookmarkStart w:id="1537" w:name="Bookmark_I62F889X2HM65W0030000400"/>
      <w:bookmarkEnd w:id="1535"/>
      <w:bookmarkEnd w:id="1536"/>
      <w:bookmarkEnd w:id="1537"/>
      <w:r>
        <w:rPr>
          <w:rFonts w:ascii="Arial" w:eastAsia="Arial" w:hAnsi="Arial" w:cs="Arial"/>
          <w:color w:val="000000"/>
          <w:sz w:val="20"/>
        </w:rPr>
        <w:t xml:space="preserve">In its conclusions of law, the district court addressed the types of conduct that constitute discrimination under the ADA.  [*1288]  The court pointed to the ADA's broad statutory [**42]  language prohibiting discrimination in "the full and equal enjoyment of the goods, services, facilities, privileges, advantages, or accommodations of any place of public accommodation." </w:t>
      </w:r>
      <w:r>
        <w:rPr>
          <w:rFonts w:ascii="Arial" w:eastAsia="Arial" w:hAnsi="Arial" w:cs="Arial"/>
          <w:i/>
          <w:color w:val="000000"/>
          <w:sz w:val="20"/>
        </w:rPr>
        <w:t>Id.</w:t>
      </w:r>
      <w:r>
        <w:rPr>
          <w:rFonts w:ascii="Arial" w:eastAsia="Arial" w:hAnsi="Arial" w:cs="Arial"/>
          <w:color w:val="000000"/>
          <w:sz w:val="20"/>
        </w:rPr>
        <w:t xml:space="preserve"> at 8 (quoting 42 U.S.C. § 12182(a)). Given the breadth of this language, the district court concluded, the ADA did more than "merely require" that individuals with disabilities receive "physical access to a place of public accommodation." </w:t>
      </w:r>
      <w:r>
        <w:rPr>
          <w:rFonts w:ascii="Arial" w:eastAsia="Arial" w:hAnsi="Arial" w:cs="Arial"/>
          <w:i/>
          <w:color w:val="000000"/>
          <w:sz w:val="20"/>
        </w:rPr>
        <w:t>Id.</w:t>
      </w:r>
      <w:r>
        <w:rPr>
          <w:rFonts w:ascii="Arial" w:eastAsia="Arial" w:hAnsi="Arial" w:cs="Arial"/>
          <w:color w:val="000000"/>
          <w:sz w:val="20"/>
        </w:rPr>
        <w:t xml:space="preserve"> at 10. In arriving at this conclusion, the district court also relied on our precedent holding that the ADA prohibited "intangible barriers, such as eligibility requirements and screening rules or discriminatory policies and procedures[,] that restrict a disabled person's ability to enjoy the defendant entity's goods, services and privileges." </w:t>
      </w:r>
      <w:r>
        <w:rPr>
          <w:rFonts w:ascii="Arial" w:eastAsia="Arial" w:hAnsi="Arial" w:cs="Arial"/>
          <w:i/>
          <w:color w:val="000000"/>
          <w:sz w:val="20"/>
        </w:rPr>
        <w:t>Id.</w:t>
      </w:r>
      <w:r>
        <w:rPr>
          <w:rFonts w:ascii="Arial" w:eastAsia="Arial" w:hAnsi="Arial" w:cs="Arial"/>
          <w:color w:val="000000"/>
          <w:sz w:val="20"/>
        </w:rPr>
        <w:t xml:space="preserve"> at 9 (quoting </w:t>
      </w:r>
      <w:bookmarkStart w:id="1538" w:name="Bookmark_I62F889X2HM65W0020000400"/>
      <w:bookmarkEnd w:id="1538"/>
      <w:r>
        <w:rPr>
          <w:rFonts w:ascii="Arial" w:eastAsia="Arial" w:hAnsi="Arial" w:cs="Arial"/>
          <w:i/>
          <w:color w:val="000000"/>
          <w:sz w:val="20"/>
        </w:rPr>
        <w:t>Rendon v. Valleycrest Prods., Ltd.</w:t>
      </w:r>
      <w:r>
        <w:rPr>
          <w:rFonts w:ascii="Arial" w:eastAsia="Arial" w:hAnsi="Arial" w:cs="Arial"/>
          <w:color w:val="000000"/>
          <w:sz w:val="20"/>
        </w:rPr>
        <w:t>, 294 F.3d 1279, 1283 (11th Cir. 2002)).</w:t>
      </w:r>
    </w:p>
    <w:p w14:paraId="4C101620" w14:textId="77777777" w:rsidR="002B10A6" w:rsidRDefault="00000000">
      <w:pPr>
        <w:pStyle w:val="Normal9"/>
        <w:widowControl w:val="0"/>
        <w:spacing w:before="200" w:line="260" w:lineRule="atLeast"/>
        <w:jc w:val="both"/>
      </w:pPr>
      <w:bookmarkStart w:id="1539" w:name="Bookmark_para_76"/>
      <w:bookmarkEnd w:id="1539"/>
      <w:r>
        <w:rPr>
          <w:rFonts w:ascii="Arial" w:eastAsia="Arial" w:hAnsi="Arial" w:cs="Arial"/>
          <w:color w:val="000000"/>
          <w:sz w:val="20"/>
        </w:rPr>
        <w:t>Applying the law to its findings of fact, the district court concluded that Winn-Dixie had discriminated against persons with visual disabilities by failing to make its website compatible with screen-reading software. Because Winn-Dixie's visually-impaired customers were unable to submit advance prescription refills for in-store pickup, easily locate and link digital coupons to their customer rewards cards so that discounts would be applied automatically [**43]  at checkout, and access the store locator, the district court concluded that Winn-Dixie had denied them "the full and equal enjoyment of the goods, services, facilities, privileges, advantages, or accommodations that Winn-Dixie offer[ed] to its sighted customers." Doc. 63 at 10. To remedy this violation, the district court entered a permanent injunction requiring Winn-Dixie to make its website accessible to visually-impaired individuals and to ensure that the website complied with established guidelines governing website accessibility.</w:t>
      </w:r>
    </w:p>
    <w:p w14:paraId="202D9DD9" w14:textId="77777777" w:rsidR="002B10A6" w:rsidRDefault="00000000">
      <w:pPr>
        <w:pStyle w:val="Normal9"/>
        <w:widowControl w:val="0"/>
        <w:spacing w:before="120" w:line="260" w:lineRule="atLeast"/>
      </w:pPr>
      <w:r>
        <w:rPr>
          <w:rFonts w:ascii="Arial" w:eastAsia="Arial" w:hAnsi="Arial" w:cs="Arial"/>
          <w:color w:val="000000"/>
          <w:sz w:val="20"/>
        </w:rPr>
        <w:t>II.</w:t>
      </w:r>
    </w:p>
    <w:p w14:paraId="110D479B" w14:textId="77777777" w:rsidR="002B10A6" w:rsidRDefault="00000000">
      <w:pPr>
        <w:pStyle w:val="Normal9"/>
        <w:widowControl w:val="0"/>
        <w:spacing w:before="120" w:line="260" w:lineRule="atLeast"/>
      </w:pPr>
      <w:r>
        <w:rPr>
          <w:rFonts w:ascii="Arial" w:eastAsia="Arial" w:hAnsi="Arial" w:cs="Arial"/>
          <w:color w:val="000000"/>
          <w:sz w:val="20"/>
        </w:rPr>
        <w:t>A.</w:t>
      </w:r>
    </w:p>
    <w:p w14:paraId="4580BA82" w14:textId="77777777" w:rsidR="002B10A6" w:rsidRDefault="00000000">
      <w:pPr>
        <w:pStyle w:val="Normal9"/>
        <w:widowControl w:val="0"/>
        <w:spacing w:before="200" w:line="260" w:lineRule="atLeast"/>
        <w:jc w:val="both"/>
      </w:pPr>
      <w:bookmarkStart w:id="1540" w:name="Bookmark_para_77"/>
      <w:bookmarkStart w:id="1541" w:name="Bookmark_I4J4T31M3PV0000666200070"/>
      <w:bookmarkStart w:id="1542" w:name="Bookmark_I62F889X2HM65W0050000400"/>
      <w:bookmarkEnd w:id="1540"/>
      <w:bookmarkEnd w:id="1541"/>
      <w:bookmarkEnd w:id="1542"/>
      <w:r>
        <w:rPr>
          <w:rFonts w:ascii="Arial" w:eastAsia="Arial" w:hAnsi="Arial" w:cs="Arial"/>
          <w:color w:val="000000"/>
          <w:sz w:val="20"/>
        </w:rPr>
        <w:t xml:space="preserve">After "decades of deliberation and investigation into the need for comprehensive legislation to address discrimination against persons with disabilities," Congress "invok[ed] the 'sweep of congressional authority'" to pass the ADA. </w:t>
      </w:r>
      <w:bookmarkStart w:id="1543" w:name="Bookmark_I62F889X2HM65W0040000400"/>
      <w:bookmarkEnd w:id="1543"/>
      <w:r>
        <w:rPr>
          <w:rFonts w:ascii="Arial" w:eastAsia="Arial" w:hAnsi="Arial" w:cs="Arial"/>
          <w:i/>
          <w:color w:val="000000"/>
          <w:sz w:val="20"/>
        </w:rPr>
        <w:t>Tennessee v. Lane</w:t>
      </w:r>
      <w:r>
        <w:rPr>
          <w:rFonts w:ascii="Arial" w:eastAsia="Arial" w:hAnsi="Arial" w:cs="Arial"/>
          <w:color w:val="000000"/>
          <w:sz w:val="20"/>
        </w:rPr>
        <w:t xml:space="preserve">, 541 U.S. 509, 516, 124 S. Ct. 1978, 158 L. Ed. 2d 820 (2004) (quoting 42 U.S.C. § 12101(b)(4)). </w:t>
      </w:r>
      <w:bookmarkStart w:id="1544" w:name="Bookmark_I4J4T31M85V0000666200071"/>
      <w:bookmarkStart w:id="1545" w:name="Bookmark_I62F889Y28T4MT0020000400"/>
      <w:bookmarkEnd w:id="1544"/>
      <w:bookmarkEnd w:id="1545"/>
      <w:r>
        <w:rPr>
          <w:rFonts w:ascii="Arial" w:eastAsia="Arial" w:hAnsi="Arial" w:cs="Arial"/>
          <w:color w:val="000000"/>
          <w:sz w:val="20"/>
        </w:rPr>
        <w:t xml:space="preserve">Following a thorough investigation, Congress engraved its findings into the ADA's text. </w:t>
      </w:r>
      <w:r>
        <w:rPr>
          <w:rFonts w:ascii="Arial" w:eastAsia="Arial" w:hAnsi="Arial" w:cs="Arial"/>
          <w:i/>
          <w:color w:val="000000"/>
          <w:sz w:val="20"/>
        </w:rPr>
        <w:t>See</w:t>
      </w:r>
      <w:r>
        <w:rPr>
          <w:rFonts w:ascii="Arial" w:eastAsia="Arial" w:hAnsi="Arial" w:cs="Arial"/>
          <w:color w:val="000000"/>
          <w:sz w:val="20"/>
        </w:rPr>
        <w:t xml:space="preserve"> 42 U.S.C. § 12101(a)(1)</w:t>
      </w:r>
      <w:r>
        <w:rPr>
          <w:rFonts w:ascii="Arial" w:eastAsia="Arial" w:hAnsi="Arial" w:cs="Arial"/>
          <w:b/>
          <w:color w:val="000000"/>
          <w:sz w:val="20"/>
        </w:rPr>
        <w:t>-</w:t>
      </w:r>
      <w:r>
        <w:rPr>
          <w:rFonts w:ascii="Arial" w:eastAsia="Arial" w:hAnsi="Arial" w:cs="Arial"/>
          <w:color w:val="000000"/>
          <w:sz w:val="20"/>
        </w:rPr>
        <w:t xml:space="preserve">(8). As the Supreme Court has recognized, those findings have served a "critical[]" role in judicial construction of the Act's scope. </w:t>
      </w:r>
      <w:bookmarkStart w:id="1546" w:name="Bookmark_I62F889Y28T4MT0020000400_2"/>
      <w:bookmarkStart w:id="1547" w:name="Bookmark_I62F889Y28T4MT0010000400"/>
      <w:bookmarkEnd w:id="1546"/>
      <w:bookmarkEnd w:id="1547"/>
      <w:r>
        <w:rPr>
          <w:rFonts w:ascii="Arial" w:eastAsia="Arial" w:hAnsi="Arial" w:cs="Arial"/>
          <w:i/>
          <w:color w:val="000000"/>
          <w:sz w:val="20"/>
        </w:rPr>
        <w:t>Sutton v. United Air Lines, Inc.</w:t>
      </w:r>
      <w:r>
        <w:rPr>
          <w:rFonts w:ascii="Arial" w:eastAsia="Arial" w:hAnsi="Arial" w:cs="Arial"/>
          <w:color w:val="000000"/>
          <w:sz w:val="20"/>
        </w:rPr>
        <w:t xml:space="preserve">, 527 U.S. 471, 484, 119 S. Ct. 2139, 144 L. Ed. 2d 450 (1999), </w:t>
      </w:r>
      <w:r>
        <w:rPr>
          <w:rFonts w:ascii="Arial" w:eastAsia="Arial" w:hAnsi="Arial" w:cs="Arial"/>
          <w:i/>
          <w:color w:val="000000"/>
          <w:sz w:val="20"/>
        </w:rPr>
        <w:t>abrogated on other grounds by</w:t>
      </w:r>
      <w:r>
        <w:rPr>
          <w:rFonts w:ascii="Arial" w:eastAsia="Arial" w:hAnsi="Arial" w:cs="Arial"/>
          <w:color w:val="000000"/>
          <w:sz w:val="20"/>
        </w:rPr>
        <w:t xml:space="preserve"> ADA Amendments Act of 2008, Pub. L. No. 110-325, 122 Stat. 3553 (2008).</w:t>
      </w:r>
    </w:p>
    <w:p w14:paraId="767FE5B7" w14:textId="77777777" w:rsidR="002B10A6" w:rsidRDefault="00000000">
      <w:pPr>
        <w:pStyle w:val="Normal9"/>
        <w:widowControl w:val="0"/>
        <w:spacing w:before="200" w:line="260" w:lineRule="atLeast"/>
        <w:jc w:val="both"/>
      </w:pPr>
      <w:bookmarkStart w:id="1548" w:name="Bookmark_para_78"/>
      <w:bookmarkEnd w:id="1548"/>
      <w:r>
        <w:rPr>
          <w:rFonts w:ascii="Arial" w:eastAsia="Arial" w:hAnsi="Arial" w:cs="Arial"/>
          <w:color w:val="000000"/>
          <w:sz w:val="20"/>
        </w:rPr>
        <w:t xml:space="preserve">Specifically, Congress found that individuals with disabilities "continually encounter various forms of discrimination, including [**44]  . . . communication barriers, . . . failure to make modifications to existing facilities and practices, . . . and relegation to lesser services, programs, activities, benefits, jobs, or other opportunities." 42 U.S.C. § 12101(a)(5). </w:t>
      </w:r>
      <w:bookmarkStart w:id="1549" w:name="Bookmark_I4J4T31MFCY0000666200073"/>
      <w:bookmarkStart w:id="1550" w:name="Bookmark_I62F889Y28T4MT0040000400"/>
      <w:bookmarkEnd w:id="1549"/>
      <w:bookmarkEnd w:id="1550"/>
      <w:r>
        <w:rPr>
          <w:rFonts w:ascii="Arial" w:eastAsia="Arial" w:hAnsi="Arial" w:cs="Arial"/>
          <w:color w:val="000000"/>
          <w:sz w:val="20"/>
        </w:rPr>
        <w:t xml:space="preserve">Given that finding, Congress announced that "the Nation's proper goals" regarding individuals with disabilities are to ensure "full participation, independent living, and economic self-sufficiency for such individuals." </w:t>
      </w:r>
      <w:r>
        <w:rPr>
          <w:rFonts w:ascii="Arial" w:eastAsia="Arial" w:hAnsi="Arial" w:cs="Arial"/>
          <w:i/>
          <w:color w:val="000000"/>
          <w:sz w:val="20"/>
        </w:rPr>
        <w:t>Id.</w:t>
      </w:r>
      <w:r>
        <w:rPr>
          <w:rFonts w:ascii="Arial" w:eastAsia="Arial" w:hAnsi="Arial" w:cs="Arial"/>
          <w:color w:val="000000"/>
          <w:sz w:val="20"/>
        </w:rPr>
        <w:t xml:space="preserve"> § 12101(a)(7). To effectuate these broad remedial goals, the ADA prohibits discrimination in major areas of public life, including employment (Title I), public services (Title II), and public accommodations (Title III). </w:t>
      </w:r>
      <w:r>
        <w:rPr>
          <w:rFonts w:ascii="Arial" w:eastAsia="Arial" w:hAnsi="Arial" w:cs="Arial"/>
          <w:i/>
          <w:color w:val="000000"/>
          <w:sz w:val="20"/>
        </w:rPr>
        <w:t xml:space="preserve">See </w:t>
      </w:r>
      <w:bookmarkStart w:id="1551" w:name="Bookmark_I62F889Y28T4MT0030000400"/>
      <w:bookmarkEnd w:id="1551"/>
      <w:r>
        <w:rPr>
          <w:rFonts w:ascii="Arial" w:eastAsia="Arial" w:hAnsi="Arial" w:cs="Arial"/>
          <w:i/>
          <w:color w:val="000000"/>
          <w:sz w:val="20"/>
        </w:rPr>
        <w:t>Lane</w:t>
      </w:r>
      <w:r>
        <w:rPr>
          <w:rFonts w:ascii="Arial" w:eastAsia="Arial" w:hAnsi="Arial" w:cs="Arial"/>
          <w:color w:val="000000"/>
          <w:sz w:val="20"/>
        </w:rPr>
        <w:t>, 541 U.S. at 516-17.</w:t>
      </w:r>
    </w:p>
    <w:p w14:paraId="239C8B2D" w14:textId="77777777" w:rsidR="002B10A6" w:rsidRDefault="00000000">
      <w:pPr>
        <w:pStyle w:val="Normal9"/>
        <w:widowControl w:val="0"/>
        <w:spacing w:before="200" w:line="260" w:lineRule="atLeast"/>
        <w:jc w:val="both"/>
      </w:pPr>
      <w:bookmarkStart w:id="1552" w:name="Bookmark_para_79"/>
      <w:bookmarkEnd w:id="1552"/>
      <w:r>
        <w:rPr>
          <w:rFonts w:ascii="Arial" w:eastAsia="Arial" w:hAnsi="Arial" w:cs="Arial"/>
          <w:color w:val="000000"/>
          <w:sz w:val="20"/>
        </w:rPr>
        <w:t xml:space="preserve">Our focus today is on Title III, which bars discrimination by operators of places  [*1289]  of public accommodation. Title III sets forth a "[g]eneral rule," language by now familiar to the reader: "No individual shall be discriminated against on the basis of disability in the full and equal enjoyment of the goods, services, facilities, privileges, advantages, or accommodations of any place of public accommodation by any person who . . . operates a place of public accommodation." 42 U.S.C. § 12182(a). To clarify that rule's scope, Title III also sets forth "[g]eneral prohibition[s]," [**45]  </w:t>
      </w:r>
      <w:r>
        <w:rPr>
          <w:rFonts w:ascii="Arial" w:eastAsia="Arial" w:hAnsi="Arial" w:cs="Arial"/>
          <w:i/>
          <w:color w:val="000000"/>
          <w:sz w:val="20"/>
        </w:rPr>
        <w:t>see id.</w:t>
      </w:r>
      <w:r>
        <w:rPr>
          <w:rFonts w:ascii="Arial" w:eastAsia="Arial" w:hAnsi="Arial" w:cs="Arial"/>
          <w:color w:val="000000"/>
          <w:sz w:val="20"/>
        </w:rPr>
        <w:t xml:space="preserve"> § 12182(b)(1), and "[s]pecific prohibitions," </w:t>
      </w:r>
      <w:r>
        <w:rPr>
          <w:rFonts w:ascii="Arial" w:eastAsia="Arial" w:hAnsi="Arial" w:cs="Arial"/>
          <w:i/>
          <w:color w:val="000000"/>
          <w:sz w:val="20"/>
        </w:rPr>
        <w:t>see id.</w:t>
      </w:r>
      <w:r>
        <w:rPr>
          <w:rFonts w:ascii="Arial" w:eastAsia="Arial" w:hAnsi="Arial" w:cs="Arial"/>
          <w:color w:val="000000"/>
          <w:sz w:val="20"/>
        </w:rPr>
        <w:t xml:space="preserve"> § 12182(b)(2).</w:t>
      </w:r>
    </w:p>
    <w:p w14:paraId="47941430" w14:textId="77777777" w:rsidR="002B10A6" w:rsidRDefault="00000000">
      <w:pPr>
        <w:pStyle w:val="Normal9"/>
        <w:widowControl w:val="0"/>
        <w:spacing w:before="200" w:line="260" w:lineRule="atLeast"/>
        <w:jc w:val="both"/>
      </w:pPr>
      <w:bookmarkStart w:id="1553" w:name="Bookmark_para_80"/>
      <w:bookmarkStart w:id="1554" w:name="Bookmark_I4J4T31MJ5C0000666200074"/>
      <w:bookmarkStart w:id="1555" w:name="Bookmark_I62F889Y2SF81V0010000400"/>
      <w:bookmarkEnd w:id="1553"/>
      <w:bookmarkEnd w:id="1554"/>
      <w:bookmarkEnd w:id="1555"/>
      <w:r>
        <w:rPr>
          <w:rFonts w:ascii="Arial" w:eastAsia="Arial" w:hAnsi="Arial" w:cs="Arial"/>
          <w:color w:val="000000"/>
          <w:sz w:val="20"/>
        </w:rPr>
        <w:t xml:space="preserve">The specific prohibitions provide a non-exhaustive list of "examples of actions or omissions that constitute [prohibited] discrimination." </w:t>
      </w:r>
      <w:bookmarkStart w:id="1556" w:name="Bookmark_I62F889Y28T4MT0050000400"/>
      <w:bookmarkEnd w:id="1556"/>
      <w:r>
        <w:rPr>
          <w:rFonts w:ascii="Arial" w:eastAsia="Arial" w:hAnsi="Arial" w:cs="Arial"/>
          <w:i/>
          <w:color w:val="000000"/>
          <w:sz w:val="20"/>
        </w:rPr>
        <w:t>A.L. ex rel. D.L. v. Walt Disney Parks &amp; Resorts US, Inc.</w:t>
      </w:r>
      <w:r>
        <w:rPr>
          <w:rFonts w:ascii="Arial" w:eastAsia="Arial" w:hAnsi="Arial" w:cs="Arial"/>
          <w:color w:val="000000"/>
          <w:sz w:val="20"/>
        </w:rPr>
        <w:t xml:space="preserve">, 900 F.3d 1270, 1292 (11th Cir. 2018); </w:t>
      </w:r>
      <w:r>
        <w:rPr>
          <w:rFonts w:ascii="Arial" w:eastAsia="Arial" w:hAnsi="Arial" w:cs="Arial"/>
          <w:i/>
          <w:color w:val="000000"/>
          <w:sz w:val="20"/>
        </w:rPr>
        <w:t>see</w:t>
      </w:r>
      <w:r>
        <w:rPr>
          <w:rFonts w:ascii="Arial" w:eastAsia="Arial" w:hAnsi="Arial" w:cs="Arial"/>
          <w:color w:val="000000"/>
          <w:sz w:val="20"/>
        </w:rPr>
        <w:t xml:space="preserve"> 42 U.S.C. § 12182(b)(2). One of the specific prohibitions deems it discriminatory for a place of public accommodation to "fail[] to take such steps as may be necessary to ensure that no individual with a disability is excluded, denied services, segregated[,] or otherwise treated differently than other individuals because of the absence of auxiliary aids and services," unless the entity demonstrates that taking such steps would "fundamentally alter the nature" of the service, privilege, or advantage offered or "result in an undue burden." 42 U.S.C. § 12182(b)(2)(A)(iii).</w:t>
      </w:r>
    </w:p>
    <w:p w14:paraId="16D76349" w14:textId="77777777" w:rsidR="002B10A6" w:rsidRDefault="00000000">
      <w:pPr>
        <w:pStyle w:val="Normal9"/>
        <w:widowControl w:val="0"/>
        <w:spacing w:before="200" w:line="260" w:lineRule="atLeast"/>
        <w:jc w:val="both"/>
      </w:pPr>
      <w:bookmarkStart w:id="1557" w:name="Bookmark_para_81"/>
      <w:bookmarkEnd w:id="1557"/>
      <w:r>
        <w:rPr>
          <w:rFonts w:ascii="Arial" w:eastAsia="Arial" w:hAnsi="Arial" w:cs="Arial"/>
          <w:color w:val="000000"/>
          <w:sz w:val="20"/>
        </w:rPr>
        <w:t>In my view, it is clear from that specific prohibition and § 12182(a)'s general rule that Winn-Dixie violated the ADA. So, there is no need to consider whether Winn-Dixie's conduct also ran afoul of § 12182(b)'s other specific prohibitions or its general prohibitions.</w:t>
      </w:r>
    </w:p>
    <w:p w14:paraId="6008A5EF" w14:textId="77777777" w:rsidR="002B10A6" w:rsidRDefault="00000000">
      <w:pPr>
        <w:pStyle w:val="Normal9"/>
        <w:widowControl w:val="0"/>
        <w:spacing w:before="120" w:line="260" w:lineRule="atLeast"/>
      </w:pPr>
      <w:r>
        <w:rPr>
          <w:rFonts w:ascii="Arial" w:eastAsia="Arial" w:hAnsi="Arial" w:cs="Arial"/>
          <w:color w:val="000000"/>
          <w:sz w:val="20"/>
        </w:rPr>
        <w:t>B.</w:t>
      </w:r>
    </w:p>
    <w:p w14:paraId="46D2A76D" w14:textId="77777777" w:rsidR="002B10A6" w:rsidRDefault="00000000">
      <w:pPr>
        <w:pStyle w:val="Normal9"/>
        <w:widowControl w:val="0"/>
        <w:spacing w:before="200" w:line="260" w:lineRule="atLeast"/>
        <w:jc w:val="both"/>
      </w:pPr>
      <w:bookmarkStart w:id="1558" w:name="Bookmark_para_82"/>
      <w:bookmarkEnd w:id="1558"/>
      <w:r>
        <w:rPr>
          <w:rFonts w:ascii="Arial" w:eastAsia="Arial" w:hAnsi="Arial" w:cs="Arial"/>
          <w:color w:val="000000"/>
          <w:sz w:val="20"/>
        </w:rPr>
        <w:t xml:space="preserve">I would hold that Winn-Dixie's failure to make its website accessible to visually-impaired individuals is discriminatory under § 12182(b)(2)(A)(iii) and thus prohibited by § 12182(a). I begin with what is undisputed. First, Gil's disability qualifies for protection [**46]  under the ADA. Second, Winn-Dixie's physical stores are public accommodations under the ADA. </w:t>
      </w:r>
      <w:r>
        <w:rPr>
          <w:rFonts w:ascii="Arial" w:eastAsia="Arial" w:hAnsi="Arial" w:cs="Arial"/>
          <w:i/>
          <w:color w:val="000000"/>
          <w:sz w:val="20"/>
        </w:rPr>
        <w:t>See</w:t>
      </w:r>
      <w:r>
        <w:rPr>
          <w:rFonts w:ascii="Arial" w:eastAsia="Arial" w:hAnsi="Arial" w:cs="Arial"/>
          <w:color w:val="000000"/>
          <w:sz w:val="20"/>
        </w:rPr>
        <w:t xml:space="preserve"> 42 U.S.C. § 12181(7) (including "grocery store[s]" and "pharmac[ies]" whose operations "affect commerce" within the definition of "public accommodation"). Third, the technology that integrates a website with the screen-reading software Gil uses qualifies as an "auxiliary aid[] and service[]" under the ADA. </w:t>
      </w:r>
      <w:r>
        <w:rPr>
          <w:rFonts w:ascii="Arial" w:eastAsia="Arial" w:hAnsi="Arial" w:cs="Arial"/>
          <w:i/>
          <w:color w:val="000000"/>
          <w:sz w:val="20"/>
        </w:rPr>
        <w:t>See</w:t>
      </w:r>
      <w:r>
        <w:rPr>
          <w:rFonts w:ascii="Arial" w:eastAsia="Arial" w:hAnsi="Arial" w:cs="Arial"/>
          <w:color w:val="000000"/>
          <w:sz w:val="20"/>
        </w:rPr>
        <w:t xml:space="preserve"> 28 C.F.R. § 36.303 (providing that "screen[-]read[ing] software," "accessible electronic and information technology," and "other effective methods of making visually delivered materials available to [visually-impaired] individuals" are "[e]xamples" of auxiliary aids and services). Fourth, Winn-Dixie does not challenge the district court's finding that Gil and other visually-impaired individuals could not access Winn-Dixie's website or enjoy, by any other means, the three features of Winn-Dixie's website that are relevant to this appeal. Fifth, Winn-Dixie does not argue that making its website accessible to visually-impaired individuals would "fundamentally alter the nature of [its offerings]" or "result in an undue burden." 42 U.S.C. § 12182(b)(2)(A)(iii).</w:t>
      </w:r>
    </w:p>
    <w:p w14:paraId="1A6DE621" w14:textId="77777777" w:rsidR="002B10A6" w:rsidRDefault="00000000">
      <w:pPr>
        <w:pStyle w:val="Normal9"/>
        <w:widowControl w:val="0"/>
        <w:spacing w:before="200" w:line="260" w:lineRule="atLeast"/>
        <w:jc w:val="both"/>
      </w:pPr>
      <w:bookmarkStart w:id="1559" w:name="Bookmark_para_83"/>
      <w:bookmarkEnd w:id="1559"/>
      <w:r>
        <w:rPr>
          <w:rFonts w:ascii="Arial" w:eastAsia="Arial" w:hAnsi="Arial" w:cs="Arial"/>
          <w:color w:val="000000"/>
          <w:sz w:val="20"/>
        </w:rPr>
        <w:t xml:space="preserve">Given this common ground, whether Winn-Dixie violated the ADA turns on whether it was "necessary" [**47]  for Winn-Dixie to make its website accessible to visually-impaired individuals to ensure they were not "denied services, segregated[,] or otherwise treated differently than [sighted] individuals" in deprivation of their right to the "full and equal enjoyment of the goods, services, . . . privileges, [or] advantages . . . of [Winn-Dixie's stores]." </w:t>
      </w:r>
      <w:r>
        <w:rPr>
          <w:rFonts w:ascii="Arial" w:eastAsia="Arial" w:hAnsi="Arial" w:cs="Arial"/>
          <w:i/>
          <w:color w:val="000000"/>
          <w:sz w:val="20"/>
        </w:rPr>
        <w:t>Id.</w:t>
      </w:r>
      <w:r>
        <w:rPr>
          <w:rFonts w:ascii="Arial" w:eastAsia="Arial" w:hAnsi="Arial" w:cs="Arial"/>
          <w:color w:val="000000"/>
          <w:sz w:val="20"/>
        </w:rPr>
        <w:t xml:space="preserve"> § 12182(a), (b)(2)(A)(iii). In my view, the answer is yes, and it follows from our precedent.</w:t>
      </w:r>
    </w:p>
    <w:p w14:paraId="05223830" w14:textId="77777777" w:rsidR="002B10A6" w:rsidRDefault="00000000">
      <w:pPr>
        <w:pStyle w:val="Normal9"/>
        <w:widowControl w:val="0"/>
        <w:spacing w:before="200" w:line="260" w:lineRule="atLeast"/>
        <w:jc w:val="both"/>
      </w:pPr>
      <w:bookmarkStart w:id="1560" w:name="Bookmark_para_84"/>
      <w:bookmarkEnd w:id="1560"/>
      <w:r>
        <w:rPr>
          <w:rFonts w:ascii="Arial" w:eastAsia="Arial" w:hAnsi="Arial" w:cs="Arial"/>
          <w:color w:val="000000"/>
          <w:sz w:val="20"/>
        </w:rPr>
        <w:t xml:space="preserve"> [*1290]  </w:t>
      </w:r>
      <w:bookmarkStart w:id="1561" w:name="Bookmark_I4J4T31MN040000666200075"/>
      <w:bookmarkStart w:id="1562" w:name="Bookmark_I62F889Y2SF81V0030000400"/>
      <w:bookmarkStart w:id="1563" w:name="Bookmark_I4J4T31MRRY0000666200076"/>
      <w:bookmarkStart w:id="1564" w:name="Bookmark_I4J4T31MVF00000666200077"/>
      <w:bookmarkStart w:id="1565" w:name="Bookmark_I4J4T31MY880000666200078"/>
      <w:bookmarkStart w:id="1566" w:name="Bookmark_I62F889Y2SF81V0050000400"/>
      <w:bookmarkStart w:id="1567" w:name="Bookmark_I4J4T31N21J0000666200079"/>
      <w:bookmarkStart w:id="1568" w:name="Bookmark_I62F88B02SF81X0010000400"/>
      <w:bookmarkEnd w:id="1561"/>
      <w:bookmarkEnd w:id="1562"/>
      <w:bookmarkEnd w:id="1563"/>
      <w:bookmarkEnd w:id="1564"/>
      <w:bookmarkEnd w:id="1565"/>
      <w:bookmarkEnd w:id="1566"/>
      <w:bookmarkEnd w:id="1567"/>
      <w:bookmarkEnd w:id="1568"/>
      <w:r>
        <w:rPr>
          <w:rFonts w:ascii="Arial" w:eastAsia="Arial" w:hAnsi="Arial" w:cs="Arial"/>
          <w:color w:val="000000"/>
          <w:sz w:val="20"/>
        </w:rPr>
        <w:t xml:space="preserve">To determine whether an accommodation is "necessary" under § 12182(b)(2)(A), we consider "how the[] [public accommodation's offerings] are used by nondisabled [customers]" and then ask whether the operator of the public accommodation has provided its disabled customers with a "like experience and equal enjoyment." </w:t>
      </w:r>
      <w:bookmarkStart w:id="1569" w:name="Bookmark_I62F889Y2SF81V0020000400"/>
      <w:bookmarkEnd w:id="1569"/>
      <w:r>
        <w:rPr>
          <w:rFonts w:ascii="Arial" w:eastAsia="Arial" w:hAnsi="Arial" w:cs="Arial"/>
          <w:i/>
          <w:color w:val="000000"/>
          <w:sz w:val="20"/>
        </w:rPr>
        <w:t>A.L.</w:t>
      </w:r>
      <w:r>
        <w:rPr>
          <w:rFonts w:ascii="Arial" w:eastAsia="Arial" w:hAnsi="Arial" w:cs="Arial"/>
          <w:color w:val="000000"/>
          <w:sz w:val="20"/>
        </w:rPr>
        <w:t xml:space="preserve">, 900 F.3d at 1296 (vacating in part grant of summary judgment because a factual dispute existed as to whether a theme park's program creating a tailored experience for disabled patrons offered an experience comparable to the experience offered to nondisabled patrons). If the operator of a public accommodation has failed to provide disabled customers with "an experience comparable to that of [nondisabled customers]," then an accommodation is necessary. </w:t>
      </w:r>
      <w:bookmarkStart w:id="1570" w:name="Bookmark_I62F889Y2SF81V0040000400"/>
      <w:bookmarkEnd w:id="1570"/>
      <w:r>
        <w:rPr>
          <w:rFonts w:ascii="Arial" w:eastAsia="Arial" w:hAnsi="Arial" w:cs="Arial"/>
          <w:i/>
          <w:color w:val="000000"/>
          <w:sz w:val="20"/>
        </w:rPr>
        <w:t>Id.</w:t>
      </w:r>
      <w:r>
        <w:rPr>
          <w:rFonts w:ascii="Arial" w:eastAsia="Arial" w:hAnsi="Arial" w:cs="Arial"/>
          <w:color w:val="000000"/>
          <w:sz w:val="20"/>
        </w:rPr>
        <w:t xml:space="preserve"> at 1294 (quoting </w:t>
      </w:r>
      <w:bookmarkStart w:id="1571" w:name="Bookmark_I62F889Y2D6NVT0010000400"/>
      <w:bookmarkEnd w:id="1571"/>
      <w:r>
        <w:rPr>
          <w:rFonts w:ascii="Arial" w:eastAsia="Arial" w:hAnsi="Arial" w:cs="Arial"/>
          <w:i/>
          <w:color w:val="000000"/>
          <w:sz w:val="20"/>
        </w:rPr>
        <w:t>Baughman v. Walt Disney World Co.</w:t>
      </w:r>
      <w:r>
        <w:rPr>
          <w:rFonts w:ascii="Arial" w:eastAsia="Arial" w:hAnsi="Arial" w:cs="Arial"/>
          <w:color w:val="000000"/>
          <w:sz w:val="20"/>
        </w:rPr>
        <w:t>, 685 F.3d 1131, 1135 (9th Cir. 2012));</w:t>
      </w:r>
      <w:r>
        <w:rPr>
          <w:rFonts w:ascii="Arial" w:eastAsia="Arial" w:hAnsi="Arial" w:cs="Arial"/>
          <w:vertAlign w:val="superscript"/>
        </w:rPr>
        <w:footnoteReference w:customMarkFollows="1" w:id="63"/>
        <w:t>5</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1574" w:name="Bookmark_I62F889Y2D6NVT0030000400"/>
      <w:bookmarkEnd w:id="1574"/>
      <w:r>
        <w:rPr>
          <w:rFonts w:ascii="Arial" w:eastAsia="Arial" w:hAnsi="Arial" w:cs="Arial"/>
          <w:i/>
          <w:color w:val="000000"/>
          <w:sz w:val="20"/>
        </w:rPr>
        <w:t>Or. Paralyzed Veterans of Am. v. Regal Cinemas, Inc.</w:t>
      </w:r>
      <w:r>
        <w:rPr>
          <w:rFonts w:ascii="Arial" w:eastAsia="Arial" w:hAnsi="Arial" w:cs="Arial"/>
          <w:color w:val="000000"/>
          <w:sz w:val="20"/>
        </w:rPr>
        <w:t>, 339 F.3d 1126, 1133 (9th Cir. 2003) (concluding that [**48]  an accommodation was necessary when a movie theater, which offered seating to wheelchair-bound patrons in the front row only, failed to afford these patrons a viewing experience comparable to that offered to nondisabled patrons by denying them access to "comfortable viewing locations").</w:t>
      </w:r>
    </w:p>
    <w:p w14:paraId="0CD245C2" w14:textId="77777777" w:rsidR="002B10A6" w:rsidRDefault="00000000">
      <w:pPr>
        <w:pStyle w:val="Normal9"/>
        <w:widowControl w:val="0"/>
        <w:spacing w:before="120" w:line="260" w:lineRule="atLeast"/>
      </w:pPr>
      <w:r>
        <w:rPr>
          <w:rFonts w:ascii="Arial" w:eastAsia="Arial" w:hAnsi="Arial" w:cs="Arial"/>
          <w:color w:val="000000"/>
          <w:sz w:val="20"/>
        </w:rPr>
        <w:t>C.</w:t>
      </w:r>
    </w:p>
    <w:p w14:paraId="79CADF6A" w14:textId="77777777" w:rsidR="002B10A6" w:rsidRDefault="00000000">
      <w:pPr>
        <w:pStyle w:val="Normal9"/>
        <w:widowControl w:val="0"/>
        <w:spacing w:before="200" w:line="260" w:lineRule="atLeast"/>
        <w:jc w:val="both"/>
      </w:pPr>
      <w:bookmarkStart w:id="1575" w:name="Bookmark_para_85"/>
      <w:bookmarkStart w:id="1576" w:name="Bookmark_I4J4T31N4RX000066620007B"/>
      <w:bookmarkStart w:id="1577" w:name="Bookmark_I62F88B02SF81X0030000400"/>
      <w:bookmarkEnd w:id="1575"/>
      <w:bookmarkEnd w:id="1576"/>
      <w:bookmarkEnd w:id="1577"/>
      <w:r>
        <w:rPr>
          <w:rFonts w:ascii="Arial" w:eastAsia="Arial" w:hAnsi="Arial" w:cs="Arial"/>
          <w:color w:val="000000"/>
          <w:sz w:val="20"/>
        </w:rPr>
        <w:t xml:space="preserve">Under the standard established in </w:t>
      </w:r>
      <w:r>
        <w:rPr>
          <w:rFonts w:ascii="Arial" w:eastAsia="Arial" w:hAnsi="Arial" w:cs="Arial"/>
          <w:i/>
          <w:color w:val="000000"/>
          <w:sz w:val="20"/>
        </w:rPr>
        <w:t>A.L.</w:t>
      </w:r>
      <w:r>
        <w:rPr>
          <w:rFonts w:ascii="Arial" w:eastAsia="Arial" w:hAnsi="Arial" w:cs="Arial"/>
          <w:color w:val="000000"/>
          <w:sz w:val="20"/>
        </w:rPr>
        <w:t xml:space="preserve">, an accommodation was necessary because Winn-Dixie failed to provide its disabled customers with an experience comparable to the one it provided nondisabled customers. </w:t>
      </w:r>
      <w:r>
        <w:rPr>
          <w:rFonts w:ascii="Arial" w:eastAsia="Arial" w:hAnsi="Arial" w:cs="Arial"/>
          <w:i/>
          <w:color w:val="000000"/>
          <w:sz w:val="20"/>
        </w:rPr>
        <w:t>A.L</w:t>
      </w:r>
      <w:r>
        <w:rPr>
          <w:rFonts w:ascii="Arial" w:eastAsia="Arial" w:hAnsi="Arial" w:cs="Arial"/>
          <w:color w:val="000000"/>
          <w:sz w:val="20"/>
        </w:rPr>
        <w:t xml:space="preserve">. requires us to compare Winn-Dixie's treatment of sighted customers—who were able to obtain express prescription refills, link coupons electronically to their rewards cards, and use the store locator feature—with its treatment of visually-impaired customers, who could not use those features. </w:t>
      </w:r>
      <w:r>
        <w:rPr>
          <w:rFonts w:ascii="Arial" w:eastAsia="Arial" w:hAnsi="Arial" w:cs="Arial"/>
          <w:i/>
          <w:color w:val="000000"/>
          <w:sz w:val="20"/>
        </w:rPr>
        <w:t>See</w:t>
      </w:r>
      <w:r>
        <w:rPr>
          <w:rFonts w:ascii="Arial" w:eastAsia="Arial" w:hAnsi="Arial" w:cs="Arial"/>
          <w:color w:val="000000"/>
          <w:sz w:val="20"/>
        </w:rPr>
        <w:t xml:space="preserve"> </w:t>
      </w:r>
      <w:bookmarkStart w:id="1578" w:name="Bookmark_I62F88B02SF81X0020000400"/>
      <w:bookmarkEnd w:id="1578"/>
      <w:r>
        <w:rPr>
          <w:rFonts w:ascii="Arial" w:eastAsia="Arial" w:hAnsi="Arial" w:cs="Arial"/>
          <w:color w:val="000000"/>
          <w:sz w:val="20"/>
        </w:rPr>
        <w:t>900 F.3d. at 1296. So, let us compare.</w:t>
      </w:r>
    </w:p>
    <w:p w14:paraId="76E9F1B2" w14:textId="77777777" w:rsidR="002B10A6" w:rsidRDefault="00000000">
      <w:pPr>
        <w:pStyle w:val="Normal9"/>
        <w:widowControl w:val="0"/>
        <w:spacing w:before="200" w:line="260" w:lineRule="atLeast"/>
        <w:jc w:val="both"/>
      </w:pPr>
      <w:bookmarkStart w:id="1579" w:name="Bookmark_para_86"/>
      <w:bookmarkEnd w:id="1579"/>
      <w:r>
        <w:rPr>
          <w:rFonts w:ascii="Arial" w:eastAsia="Arial" w:hAnsi="Arial" w:cs="Arial"/>
          <w:color w:val="000000"/>
          <w:sz w:val="20"/>
        </w:rPr>
        <w:t>First, consider the experience of refilling prescriptions for visually-impaired customers versus that of sighted customers. Visually-impaired customers had to request prescription refills inside Winn-Dixie stores. The customer had to go to the store and wait in line to speak to a pharmacist. After waiting in line, the customer may (like Gil) have had to verbally [**49]  request his medication by name in a public setting where other customers might overhear. Once the refill was requested, the pharmacy had to take certain steps required by state law before dispensing the prescription. For example, under Florida law (which governed the Winn-Dixie pharmacies that Gil patronized) pharmacists were required to verify that the prescription authorized a refill, consider whether the prescription medication could cause a potential adverse reaction or an interaction with other medications the customer was taking, and ensure that the appropriate dose and quantity were provided.</w:t>
      </w:r>
      <w:r>
        <w:rPr>
          <w:rFonts w:ascii="Arial" w:eastAsia="Arial" w:hAnsi="Arial" w:cs="Arial"/>
          <w:vertAlign w:val="superscript"/>
        </w:rPr>
        <w:footnoteReference w:customMarkFollows="1" w:id="64"/>
        <w:t>6</w:t>
      </w:r>
      <w:r>
        <w:rPr>
          <w:rFonts w:ascii="Arial" w:eastAsia="Arial" w:hAnsi="Arial" w:cs="Arial"/>
          <w:color w:val="000000"/>
          <w:sz w:val="20"/>
        </w:rPr>
        <w:t xml:space="preserve"> In addition, pharmacy employees had to determine whether the customer had a prescription drug benefit plan that covered the refill and how much the customer should be charged. According to unrefuted evidence in the record, customers (like Gil) who requested refills in Winn-Dixie's store might wait 20 to 30 minutes until the refill was ready.</w:t>
      </w:r>
    </w:p>
    <w:p w14:paraId="07EA342D" w14:textId="77777777" w:rsidR="002B10A6" w:rsidRDefault="00000000">
      <w:pPr>
        <w:pStyle w:val="Normal9"/>
        <w:widowControl w:val="0"/>
        <w:spacing w:before="200" w:line="260" w:lineRule="atLeast"/>
        <w:jc w:val="both"/>
      </w:pPr>
      <w:bookmarkStart w:id="1581" w:name="Bookmark_para_87"/>
      <w:bookmarkEnd w:id="1581"/>
      <w:r>
        <w:rPr>
          <w:rFonts w:ascii="Arial" w:eastAsia="Arial" w:hAnsi="Arial" w:cs="Arial"/>
          <w:color w:val="000000"/>
          <w:sz w:val="20"/>
        </w:rPr>
        <w:t> [*1291]  By contrast, a sighted customer who submitted an online prescription refill request through Winn-Dixie's website was offered a streamlined, faster process that offered greater privacy. As to privacy, when a customer initiated a prescription [**50]  refill in the store, she may have had to verbally request the refill. As Gil explained, this process made him "very uncomfortable" because others potentially could overhear him discussing his health conditions and medication needs with pharmacy employees. Doc. 65 at 44. Sighted customers could avoid verbally requesting their refill by using Winn-Dixie's website.</w:t>
      </w:r>
      <w:r>
        <w:rPr>
          <w:rFonts w:ascii="Arial" w:eastAsia="Arial" w:hAnsi="Arial" w:cs="Arial"/>
          <w:vertAlign w:val="superscript"/>
        </w:rPr>
        <w:footnoteReference w:customMarkFollows="1" w:id="65"/>
        <w:t>7</w:t>
      </w:r>
    </w:p>
    <w:p w14:paraId="3EE05539" w14:textId="77777777" w:rsidR="002B10A6" w:rsidRDefault="00000000">
      <w:pPr>
        <w:pStyle w:val="Normal9"/>
        <w:widowControl w:val="0"/>
        <w:spacing w:before="200" w:line="260" w:lineRule="atLeast"/>
        <w:jc w:val="both"/>
      </w:pPr>
      <w:bookmarkStart w:id="1583" w:name="Bookmark_para_88"/>
      <w:bookmarkEnd w:id="1583"/>
      <w:r>
        <w:rPr>
          <w:rFonts w:ascii="Arial" w:eastAsia="Arial" w:hAnsi="Arial" w:cs="Arial"/>
          <w:color w:val="000000"/>
          <w:sz w:val="20"/>
        </w:rPr>
        <w:t>As to time saved, a customer requesting her refill online benefitted from the pharmacist checking her insurance coverage, verifying that the prescription and refill were authorized, and preparing the prescription before her arrival. Upon arrival, the medication was ready for pickup. Indeed, Winn-Dixie touted the time savings that online customers enjoyed, advertising that its website gave customers access to "</w:t>
      </w:r>
      <w:r>
        <w:rPr>
          <w:rFonts w:ascii="Arial" w:eastAsia="Arial" w:hAnsi="Arial" w:cs="Arial"/>
          <w:i/>
          <w:color w:val="000000"/>
          <w:sz w:val="20"/>
        </w:rPr>
        <w:t>express</w:t>
      </w:r>
      <w:r>
        <w:rPr>
          <w:rFonts w:ascii="Arial" w:eastAsia="Arial" w:hAnsi="Arial" w:cs="Arial"/>
          <w:color w:val="000000"/>
          <w:sz w:val="20"/>
        </w:rPr>
        <w:t xml:space="preserve"> re-fill[s]." Doc. 65 at 87 (emphasis added).</w:t>
      </w:r>
    </w:p>
    <w:p w14:paraId="3F32525C" w14:textId="77777777" w:rsidR="002B10A6" w:rsidRDefault="00000000">
      <w:pPr>
        <w:pStyle w:val="Normal9"/>
        <w:widowControl w:val="0"/>
        <w:spacing w:before="200" w:line="260" w:lineRule="atLeast"/>
        <w:jc w:val="both"/>
      </w:pPr>
      <w:bookmarkStart w:id="1584" w:name="Bookmark_para_89"/>
      <w:bookmarkStart w:id="1585" w:name="Bookmark_I4J4T31N7DC000066620007C"/>
      <w:bookmarkStart w:id="1586" w:name="Bookmark_I62F88B02SF81X0050000400"/>
      <w:bookmarkEnd w:id="1584"/>
      <w:bookmarkEnd w:id="1585"/>
      <w:bookmarkEnd w:id="1586"/>
      <w:r>
        <w:rPr>
          <w:rFonts w:ascii="Arial" w:eastAsia="Arial" w:hAnsi="Arial" w:cs="Arial"/>
          <w:color w:val="000000"/>
          <w:sz w:val="20"/>
        </w:rPr>
        <w:t xml:space="preserve">As the majority concedes, "nothing in the record" suggests that Winn-Dixie offered customers any means </w:t>
      </w:r>
      <w:r>
        <w:rPr>
          <w:rFonts w:ascii="Arial" w:eastAsia="Arial" w:hAnsi="Arial" w:cs="Arial"/>
          <w:i/>
          <w:color w:val="000000"/>
          <w:sz w:val="20"/>
        </w:rPr>
        <w:t>other than its website</w:t>
      </w:r>
      <w:r>
        <w:rPr>
          <w:rFonts w:ascii="Arial" w:eastAsia="Arial" w:hAnsi="Arial" w:cs="Arial"/>
          <w:color w:val="000000"/>
          <w:sz w:val="20"/>
        </w:rPr>
        <w:t xml:space="preserve"> to request prescription refills "in advance of arriving at the physical store." Maj. Op. at 23 n.18. After comparing the experiences of Winn-Dixie's disabled and nondisabled customers regarding express prescription refills, I cannot understand how [**51]  the majority concludes that disabled customers, like Gil, were offered the equal treatment and "like experience" that </w:t>
      </w:r>
      <w:r>
        <w:rPr>
          <w:rFonts w:ascii="Arial" w:eastAsia="Arial" w:hAnsi="Arial" w:cs="Arial"/>
          <w:i/>
          <w:color w:val="000000"/>
          <w:sz w:val="20"/>
        </w:rPr>
        <w:t>A.L</w:t>
      </w:r>
      <w:r>
        <w:rPr>
          <w:rFonts w:ascii="Arial" w:eastAsia="Arial" w:hAnsi="Arial" w:cs="Arial"/>
          <w:color w:val="000000"/>
          <w:sz w:val="20"/>
        </w:rPr>
        <w:t xml:space="preserve">. requires. </w:t>
      </w:r>
      <w:bookmarkStart w:id="1587" w:name="Bookmark_I62F88B02SF81X0040000400"/>
      <w:bookmarkEnd w:id="1587"/>
      <w:r>
        <w:rPr>
          <w:rFonts w:ascii="Arial" w:eastAsia="Arial" w:hAnsi="Arial" w:cs="Arial"/>
          <w:color w:val="000000"/>
          <w:sz w:val="20"/>
        </w:rPr>
        <w:t>900 F.3d at 1296-98.</w:t>
      </w:r>
      <w:r>
        <w:rPr>
          <w:rFonts w:ascii="Arial" w:eastAsia="Arial" w:hAnsi="Arial" w:cs="Arial"/>
          <w:vertAlign w:val="superscript"/>
        </w:rPr>
        <w:footnoteReference w:customMarkFollows="1" w:id="66"/>
        <w:t>8</w:t>
      </w:r>
    </w:p>
    <w:p w14:paraId="088E676C" w14:textId="77777777" w:rsidR="002B10A6" w:rsidRDefault="00000000">
      <w:pPr>
        <w:pStyle w:val="Normal9"/>
        <w:widowControl w:val="0"/>
        <w:spacing w:before="200" w:line="260" w:lineRule="atLeast"/>
        <w:jc w:val="both"/>
      </w:pPr>
      <w:bookmarkStart w:id="1595" w:name="Bookmark_para_90"/>
      <w:bookmarkEnd w:id="1595"/>
      <w:r>
        <w:rPr>
          <w:rFonts w:ascii="Arial" w:eastAsia="Arial" w:hAnsi="Arial" w:cs="Arial"/>
          <w:color w:val="000000"/>
          <w:sz w:val="20"/>
        </w:rPr>
        <w:t>Second, consider the coupon experience for visually-impaired customers versus that of sighted customers. When a store accepts manufacturers' coupons, it allows its customers to take advantage of discounts on the products they purchase. A visually-impaired customer who wanted to use manufacturers' coupons to purchase items at a Winn-Dixie store had to page through a newspaper, magazine, or other print source to find coupons for products he wanted to purchase, clip the coupons, bring them to the store, and present them to a cashier at checkout—needing to ask for the help of another when he could not perform these tasks himself.</w:t>
      </w:r>
    </w:p>
    <w:p w14:paraId="5A223F19" w14:textId="77777777" w:rsidR="002B10A6" w:rsidRDefault="00000000">
      <w:pPr>
        <w:pStyle w:val="Normal9"/>
        <w:widowControl w:val="0"/>
        <w:spacing w:before="200" w:line="260" w:lineRule="atLeast"/>
        <w:jc w:val="both"/>
      </w:pPr>
      <w:bookmarkStart w:id="1596" w:name="Bookmark_para_91"/>
      <w:bookmarkEnd w:id="1596"/>
      <w:r>
        <w:rPr>
          <w:rFonts w:ascii="Arial" w:eastAsia="Arial" w:hAnsi="Arial" w:cs="Arial"/>
          <w:color w:val="000000"/>
          <w:sz w:val="20"/>
        </w:rPr>
        <w:t>By contrast, Winn-Dixie's website offered sighted customers an improved and more convenient way to use coupons that was available by no other means. A sighted customer could visit the website, which  [*1292]  centralized manufacturers' coupons, and digitally link the desired coupons to his account. Then, when he scanned his customer rewards card at checkout, the coupon discounts were applied automatically to his order. [**52]  There can be no doubt that, with its coupon-linking tool, available only to those who could use Winn-Dixie's website, Winn-Dixie failed to offer like treatment to its disabled and nondisabled customers. Rather, it privileged nondisabled customers, offering them a more convenient and effective way to obtain discounts inside Winn-Dixie stores.</w:t>
      </w:r>
    </w:p>
    <w:p w14:paraId="6EDB8A01" w14:textId="77777777" w:rsidR="002B10A6" w:rsidRDefault="00000000">
      <w:pPr>
        <w:pStyle w:val="Normal9"/>
        <w:widowControl w:val="0"/>
        <w:spacing w:before="200" w:line="260" w:lineRule="atLeast"/>
        <w:jc w:val="both"/>
      </w:pPr>
      <w:bookmarkStart w:id="1597" w:name="Bookmark_para_92"/>
      <w:bookmarkEnd w:id="1597"/>
      <w:r>
        <w:rPr>
          <w:rFonts w:ascii="Arial" w:eastAsia="Arial" w:hAnsi="Arial" w:cs="Arial"/>
          <w:color w:val="000000"/>
          <w:sz w:val="20"/>
        </w:rPr>
        <w:t xml:space="preserve">Third, consider the store locator experience for visually-impaired customers. On Winn-Dixie's website, sighted customers could use the store locator feature to navigate virtually among the hundreds of Winn-Dixie stores to determine which location would be most convenient for them to patronize. Typically, a store locator feature not only helps customers get to stores but also informs them of the stores' hours, contact information, and specific services offered. Winn-Dixie's store locator was inaccessible to those with visual impairments. When a website's store locator feature is inaccessible to visually-impaired customers, they must gather the information provided by the feature elsewhere. Undisputed evidence in the record established that it would be more cumbersome for Gil to gather the information provided by the website's store locator from a [**53]  third party's website. </w:t>
      </w:r>
      <w:bookmarkStart w:id="1598" w:name="Bookmark_I4J4T31RC0W0000666200085"/>
      <w:bookmarkStart w:id="1599" w:name="Bookmark_I62F88B02N1R2X0010000400"/>
      <w:bookmarkEnd w:id="1598"/>
      <w:bookmarkEnd w:id="1599"/>
      <w:r>
        <w:rPr>
          <w:rFonts w:ascii="Arial" w:eastAsia="Arial" w:hAnsi="Arial" w:cs="Arial"/>
          <w:color w:val="000000"/>
          <w:sz w:val="20"/>
        </w:rPr>
        <w:t xml:space="preserve">Toggling between multiple websites is more difficult for individuals relying on screen-reading software than it is for sighted individuals. This Court, albeit in an unpublished opinion, has already concluded that a place of public accommodation discriminates within the meaning of § 12182(b)(2)(A)(iii) when it offers a store locator feature on its website that is inaccessible to visually-impaired customers. </w:t>
      </w:r>
      <w:r>
        <w:rPr>
          <w:rFonts w:ascii="Arial" w:eastAsia="Arial" w:hAnsi="Arial" w:cs="Arial"/>
          <w:i/>
          <w:color w:val="000000"/>
          <w:sz w:val="20"/>
        </w:rPr>
        <w:t xml:space="preserve">See </w:t>
      </w:r>
      <w:bookmarkStart w:id="1600" w:name="Bookmark_I62F88B02N1R2W0050000400"/>
      <w:bookmarkEnd w:id="1600"/>
      <w:r>
        <w:rPr>
          <w:rFonts w:ascii="Arial" w:eastAsia="Arial" w:hAnsi="Arial" w:cs="Arial"/>
          <w:i/>
          <w:color w:val="000000"/>
          <w:sz w:val="20"/>
        </w:rPr>
        <w:t>Haynes v. Dunkin' Donuts LLC</w:t>
      </w:r>
      <w:r>
        <w:rPr>
          <w:rFonts w:ascii="Arial" w:eastAsia="Arial" w:hAnsi="Arial" w:cs="Arial"/>
          <w:color w:val="000000"/>
          <w:sz w:val="20"/>
        </w:rPr>
        <w:t xml:space="preserve">, 741 Fed. Appx. 752, 753-54 (11th Cir. 2018) (unpublished). I agree with </w:t>
      </w:r>
      <w:r>
        <w:rPr>
          <w:rFonts w:ascii="Arial" w:eastAsia="Arial" w:hAnsi="Arial" w:cs="Arial"/>
          <w:i/>
          <w:color w:val="000000"/>
          <w:sz w:val="20"/>
        </w:rPr>
        <w:t>Haynes</w:t>
      </w:r>
      <w:r>
        <w:rPr>
          <w:rFonts w:ascii="Arial" w:eastAsia="Arial" w:hAnsi="Arial" w:cs="Arial"/>
          <w:color w:val="000000"/>
          <w:sz w:val="20"/>
        </w:rPr>
        <w:t>.</w:t>
      </w:r>
    </w:p>
    <w:p w14:paraId="774A4617" w14:textId="77777777" w:rsidR="002B10A6" w:rsidRDefault="00000000">
      <w:pPr>
        <w:pStyle w:val="Normal9"/>
        <w:widowControl w:val="0"/>
        <w:spacing w:before="200" w:line="260" w:lineRule="atLeast"/>
        <w:jc w:val="both"/>
      </w:pPr>
      <w:bookmarkStart w:id="1601" w:name="Bookmark_para_93"/>
      <w:bookmarkStart w:id="1602" w:name="Bookmark_I4J4T31NHRN000066620007G"/>
      <w:bookmarkStart w:id="1603" w:name="Bookmark_I62F88B02N1R2X0030000400"/>
      <w:bookmarkEnd w:id="1601"/>
      <w:bookmarkEnd w:id="1602"/>
      <w:bookmarkEnd w:id="1603"/>
      <w:r>
        <w:rPr>
          <w:rFonts w:ascii="Arial" w:eastAsia="Arial" w:hAnsi="Arial" w:cs="Arial"/>
          <w:color w:val="000000"/>
          <w:sz w:val="20"/>
        </w:rPr>
        <w:t xml:space="preserve">To be sure, the ADA does not require that places of public accommodation provide identical experiences for disabled and nondisabled patrons. </w:t>
      </w:r>
      <w:bookmarkStart w:id="1604" w:name="Bookmark_I4J4T31NMM3000066620007H"/>
      <w:bookmarkStart w:id="1605" w:name="Bookmark_I62F88B02N1R2X0050000400"/>
      <w:bookmarkEnd w:id="1604"/>
      <w:bookmarkEnd w:id="1605"/>
      <w:r>
        <w:rPr>
          <w:rFonts w:ascii="Arial" w:eastAsia="Arial" w:hAnsi="Arial" w:cs="Arial"/>
          <w:i/>
          <w:color w:val="000000"/>
          <w:sz w:val="20"/>
        </w:rPr>
        <w:t xml:space="preserve">See </w:t>
      </w:r>
      <w:bookmarkStart w:id="1606" w:name="Bookmark_I62F88B02N1R2X0020000400"/>
      <w:bookmarkEnd w:id="1606"/>
      <w:r>
        <w:rPr>
          <w:rFonts w:ascii="Arial" w:eastAsia="Arial" w:hAnsi="Arial" w:cs="Arial"/>
          <w:i/>
          <w:color w:val="000000"/>
          <w:sz w:val="20"/>
        </w:rPr>
        <w:t>A.L.</w:t>
      </w:r>
      <w:r>
        <w:rPr>
          <w:rFonts w:ascii="Arial" w:eastAsia="Arial" w:hAnsi="Arial" w:cs="Arial"/>
          <w:color w:val="000000"/>
          <w:sz w:val="20"/>
        </w:rPr>
        <w:t xml:space="preserve">, 900 F.3d at 1294-95. But by offering inferior treatment to its visually-impaired customers with respect to prescription refills, digital coupons, and its store locator, Winn-Dixie failed to provide them with an "experience comparable to that of" its sighted customers. </w:t>
      </w:r>
      <w:bookmarkStart w:id="1607" w:name="Bookmark_I62F88B02N1R2X0050000400_2"/>
      <w:bookmarkStart w:id="1608" w:name="Bookmark_I62F88B02N1R2X0040000400"/>
      <w:bookmarkEnd w:id="1607"/>
      <w:bookmarkEnd w:id="1608"/>
      <w:r>
        <w:rPr>
          <w:rFonts w:ascii="Arial" w:eastAsia="Arial" w:hAnsi="Arial" w:cs="Arial"/>
          <w:i/>
          <w:color w:val="000000"/>
          <w:sz w:val="20"/>
        </w:rPr>
        <w:t>Id.</w:t>
      </w:r>
      <w:r>
        <w:rPr>
          <w:rFonts w:ascii="Arial" w:eastAsia="Arial" w:hAnsi="Arial" w:cs="Arial"/>
          <w:color w:val="000000"/>
          <w:sz w:val="20"/>
        </w:rPr>
        <w:t xml:space="preserve"> at 1294 (internal quotation marks omitted); </w:t>
      </w:r>
      <w:r>
        <w:rPr>
          <w:rFonts w:ascii="Arial" w:eastAsia="Arial" w:hAnsi="Arial" w:cs="Arial"/>
          <w:i/>
          <w:color w:val="000000"/>
          <w:sz w:val="20"/>
        </w:rPr>
        <w:t>see also</w:t>
      </w:r>
      <w:r>
        <w:rPr>
          <w:rFonts w:ascii="Arial" w:eastAsia="Arial" w:hAnsi="Arial" w:cs="Arial"/>
          <w:color w:val="000000"/>
          <w:sz w:val="20"/>
        </w:rPr>
        <w:t xml:space="preserve"> 42 U.S.C. § 12182(b)(2)(A)(iii) (requiring that disabled individuals are not "excluded, denied services, segregated[,] or </w:t>
      </w:r>
      <w:r>
        <w:rPr>
          <w:rFonts w:ascii="Arial" w:eastAsia="Arial" w:hAnsi="Arial" w:cs="Arial"/>
          <w:i/>
          <w:color w:val="000000"/>
          <w:sz w:val="20"/>
        </w:rPr>
        <w:t>otherwise treated differently</w:t>
      </w:r>
      <w:r>
        <w:rPr>
          <w:rFonts w:ascii="Arial" w:eastAsia="Arial" w:hAnsi="Arial" w:cs="Arial"/>
          <w:color w:val="000000"/>
          <w:sz w:val="20"/>
        </w:rPr>
        <w:t xml:space="preserve"> than other individuals because of the absence of auxiliary aids") (emphasis added). Because of that failure, it was "necessary" for Winn-Dixie to provide an accommodation unless providing [**54]  such an accommodation would "fundamentally alter the nature of [Winn-Dixie's offerings]" or result in an "undue burden." 42 U.S.C. § 12182(b)(2)(A)(iii). As I have explained, Winn-Dixie neither provided an accommodation nor argued that providing such an accommodation would "fundamentally alter" its offerings or result in an "undue burden." Its failure to make its website accessible to visually-impaired customers thus was discrimination under § 12182(b)(2)(A)(iii) that is barred by § 12182(a).</w:t>
      </w:r>
    </w:p>
    <w:p w14:paraId="776FD8C3" w14:textId="77777777" w:rsidR="002B10A6" w:rsidRDefault="00000000">
      <w:pPr>
        <w:pStyle w:val="Normal9"/>
        <w:widowControl w:val="0"/>
        <w:spacing w:before="120" w:line="260" w:lineRule="atLeast"/>
      </w:pPr>
      <w:r>
        <w:rPr>
          <w:rFonts w:ascii="Arial" w:eastAsia="Arial" w:hAnsi="Arial" w:cs="Arial"/>
          <w:color w:val="000000"/>
          <w:sz w:val="20"/>
        </w:rPr>
        <w:t>III.</w:t>
      </w:r>
    </w:p>
    <w:p w14:paraId="18DBAD26" w14:textId="77777777" w:rsidR="002B10A6" w:rsidRDefault="00000000">
      <w:pPr>
        <w:pStyle w:val="Normal9"/>
        <w:widowControl w:val="0"/>
        <w:spacing w:before="200" w:line="260" w:lineRule="atLeast"/>
        <w:jc w:val="both"/>
      </w:pPr>
      <w:bookmarkStart w:id="1609" w:name="Bookmark_para_94"/>
      <w:bookmarkEnd w:id="1609"/>
      <w:r>
        <w:rPr>
          <w:rFonts w:ascii="Arial" w:eastAsia="Arial" w:hAnsi="Arial" w:cs="Arial"/>
          <w:color w:val="000000"/>
          <w:sz w:val="20"/>
        </w:rPr>
        <w:t>The majority opinion resists this conclusion with three arguments. First, it argues that Gil was not discriminated against "in the full and equal enjoyment" of Winn-Dixie's services, privileges, and advantages because Gil was able to enter Winn-Dixie's stores, refill prescriptions, and use coupons. Second, it argues that caselaw suggests an intangible barrier to a public accommodation's offerings (like the website's incompatibility with Gil's screen-reading software) violates the ADA only when that  [*1293]  barrier prevents disabled individuals from entering the public accommodation's sole access point or accessing one of its points of sale. Third, it argues that Winn-Dixie's failure to provide a website accessible to visually-impaired individuals did not constitute [**55]  discrimination under § 12182(b)(2)(A)(iii) because Gil was prevented from effectively communicating only with Winn-Dixie's website, not its physical stores. Each of these arguments is unpersuasive. I address them in turn.</w:t>
      </w:r>
    </w:p>
    <w:p w14:paraId="3E8E4B78" w14:textId="77777777" w:rsidR="002B10A6" w:rsidRDefault="00000000">
      <w:pPr>
        <w:pStyle w:val="Normal9"/>
        <w:widowControl w:val="0"/>
        <w:spacing w:before="120" w:line="260" w:lineRule="atLeast"/>
      </w:pPr>
      <w:r>
        <w:rPr>
          <w:rFonts w:ascii="Arial" w:eastAsia="Arial" w:hAnsi="Arial" w:cs="Arial"/>
          <w:color w:val="000000"/>
          <w:sz w:val="20"/>
        </w:rPr>
        <w:t>A.</w:t>
      </w:r>
    </w:p>
    <w:p w14:paraId="73F20B10" w14:textId="77777777" w:rsidR="002B10A6" w:rsidRDefault="00000000">
      <w:pPr>
        <w:pStyle w:val="Normal9"/>
        <w:widowControl w:val="0"/>
        <w:spacing w:before="200" w:line="260" w:lineRule="atLeast"/>
        <w:jc w:val="both"/>
      </w:pPr>
      <w:bookmarkStart w:id="1610" w:name="Bookmark_para_95"/>
      <w:bookmarkEnd w:id="1610"/>
      <w:r>
        <w:rPr>
          <w:rFonts w:ascii="Arial" w:eastAsia="Arial" w:hAnsi="Arial" w:cs="Arial"/>
          <w:color w:val="000000"/>
          <w:sz w:val="20"/>
        </w:rPr>
        <w:t xml:space="preserve">First, the majority opinion contends that Winn-Dixie did not violate § 12182(a) because "Gil [was] able to enjoy fully and equally 'the goods, services, facilities, privileges, advantages, or accommodations of' Winn-Dixie's physical stores." Maj. Op. at 33 (quoting 42 U.S.C. § 12182(a)). To arrive at this conclusion, the majority asserts, as it must, that under the ADA the only relevant services, privileges, or advantages Winn-Dixie offered were "the ability to refill a prescription" and "[redeem] coupons." </w:t>
      </w:r>
      <w:r>
        <w:rPr>
          <w:rFonts w:ascii="Arial" w:eastAsia="Arial" w:hAnsi="Arial" w:cs="Arial"/>
          <w:i/>
          <w:color w:val="000000"/>
          <w:sz w:val="20"/>
        </w:rPr>
        <w:t>Id.</w:t>
      </w:r>
      <w:r>
        <w:rPr>
          <w:rFonts w:ascii="Arial" w:eastAsia="Arial" w:hAnsi="Arial" w:cs="Arial"/>
          <w:color w:val="000000"/>
          <w:sz w:val="20"/>
        </w:rPr>
        <w:t xml:space="preserve"> at 20 n.16. After positing that the only relevant services, privileges, or advantages offered by Winn-Dixie are "filling prescriptions and using coupons," the majority opinion concludes that "Gil was able to enjoy fully and equally [those] services" and therefore Winn-Dixie did not violate the ADA. </w:t>
      </w:r>
      <w:r>
        <w:rPr>
          <w:rFonts w:ascii="Arial" w:eastAsia="Arial" w:hAnsi="Arial" w:cs="Arial"/>
          <w:i/>
          <w:color w:val="000000"/>
          <w:sz w:val="20"/>
        </w:rPr>
        <w:t>Id.</w:t>
      </w:r>
      <w:r>
        <w:rPr>
          <w:rFonts w:ascii="Arial" w:eastAsia="Arial" w:hAnsi="Arial" w:cs="Arial"/>
          <w:color w:val="000000"/>
          <w:sz w:val="20"/>
        </w:rPr>
        <w:t xml:space="preserve"> at 26; </w:t>
      </w:r>
      <w:r>
        <w:rPr>
          <w:rFonts w:ascii="Arial" w:eastAsia="Arial" w:hAnsi="Arial" w:cs="Arial"/>
          <w:i/>
          <w:color w:val="000000"/>
          <w:sz w:val="20"/>
        </w:rPr>
        <w:t>see also id.</w:t>
      </w:r>
      <w:r>
        <w:rPr>
          <w:rFonts w:ascii="Arial" w:eastAsia="Arial" w:hAnsi="Arial" w:cs="Arial"/>
          <w:color w:val="000000"/>
          <w:sz w:val="20"/>
        </w:rPr>
        <w:t xml:space="preserve"> at 23 (asserting that because "nothing prevent[ed] Gil from shopping at [Winn-Dixie's] physical store[s]," "refilling his prescriptions," or "us[ing] paper coupons," Gil was not denied full and equal access to Winn-Dixie's [**56]  services, privileges, or advantages).</w:t>
      </w:r>
    </w:p>
    <w:p w14:paraId="279F682A" w14:textId="77777777" w:rsidR="002B10A6" w:rsidRDefault="00000000">
      <w:pPr>
        <w:pStyle w:val="Normal9"/>
        <w:widowControl w:val="0"/>
        <w:spacing w:before="200" w:line="260" w:lineRule="atLeast"/>
        <w:jc w:val="both"/>
      </w:pPr>
      <w:bookmarkStart w:id="1611" w:name="Bookmark_para_96"/>
      <w:bookmarkEnd w:id="1611"/>
      <w:r>
        <w:rPr>
          <w:rFonts w:ascii="Arial" w:eastAsia="Arial" w:hAnsi="Arial" w:cs="Arial"/>
          <w:color w:val="000000"/>
          <w:sz w:val="20"/>
        </w:rPr>
        <w:t xml:space="preserve">This argument is doubly flawed. Its premise—that, for ADA purposes, the relevant services, privileges, and advantages offered by Winn-Dixie were limited to "filling prescriptions and using coupons"—is wrong. And even if that premise were correct, the majority opinion's conclusion does not follow from it. For even if the majority is correct that the relevant services, privileges, or advantages were "filling prescriptions and using coupons," Gil was not "able to enjoy fully and equally [those] services," </w:t>
      </w:r>
      <w:r>
        <w:rPr>
          <w:rFonts w:ascii="Arial" w:eastAsia="Arial" w:hAnsi="Arial" w:cs="Arial"/>
          <w:i/>
          <w:color w:val="000000"/>
          <w:sz w:val="20"/>
        </w:rPr>
        <w:t>id.</w:t>
      </w:r>
      <w:r>
        <w:rPr>
          <w:rFonts w:ascii="Arial" w:eastAsia="Arial" w:hAnsi="Arial" w:cs="Arial"/>
          <w:color w:val="000000"/>
          <w:sz w:val="20"/>
        </w:rPr>
        <w:t xml:space="preserve"> at 26, because he could enjoy only different—and markedly inferior—versions of them. I first explain why the majority opinion's conception of what constitutes a service, privilege, and advantage under the ADA contradicts the Act's plain text. Then, I show why, even under the majority opinion's understanding of those terms, its conclusion does not follow.</w:t>
      </w:r>
      <w:r>
        <w:rPr>
          <w:rFonts w:ascii="Arial" w:eastAsia="Arial" w:hAnsi="Arial" w:cs="Arial"/>
          <w:vertAlign w:val="superscript"/>
        </w:rPr>
        <w:footnoteReference w:customMarkFollows="1" w:id="67"/>
        <w:t>9</w:t>
      </w:r>
    </w:p>
    <w:p w14:paraId="296BD6C5" w14:textId="77777777" w:rsidR="002B10A6" w:rsidRDefault="00000000">
      <w:pPr>
        <w:pStyle w:val="Normal9"/>
        <w:widowControl w:val="0"/>
        <w:spacing w:before="200" w:line="260" w:lineRule="atLeast"/>
        <w:jc w:val="both"/>
      </w:pPr>
      <w:bookmarkStart w:id="1613" w:name="Bookmark_para_97"/>
      <w:bookmarkStart w:id="1614" w:name="Bookmark_I4J4T31NV43000066620007K"/>
      <w:bookmarkStart w:id="1615" w:name="Bookmark_I62F88B02D6NVV0020000400"/>
      <w:bookmarkEnd w:id="1613"/>
      <w:bookmarkEnd w:id="1614"/>
      <w:bookmarkEnd w:id="1615"/>
      <w:r>
        <w:rPr>
          <w:rFonts w:ascii="Arial" w:eastAsia="Arial" w:hAnsi="Arial" w:cs="Arial"/>
          <w:color w:val="000000"/>
          <w:sz w:val="20"/>
        </w:rPr>
        <w:t xml:space="preserve">The ADA prohibits discrimination "in the full and equal enjoyment of the goods, services, facilities, privileges, advantages, or accommodations of any place of public accommodation." 42 U.S.C. § 12182(a). The meaning of this provision is a question of statutory interpretation. </w:t>
      </w:r>
      <w:bookmarkStart w:id="1616" w:name="Bookmark_I4J4T31NXRK000066620007M"/>
      <w:bookmarkStart w:id="1617" w:name="Bookmark_I62F88B02D6NVV0040000400"/>
      <w:bookmarkEnd w:id="1616"/>
      <w:bookmarkEnd w:id="1617"/>
      <w:r>
        <w:rPr>
          <w:rFonts w:ascii="Arial" w:eastAsia="Arial" w:hAnsi="Arial" w:cs="Arial"/>
          <w:color w:val="000000"/>
          <w:sz w:val="20"/>
        </w:rPr>
        <w:t xml:space="preserve">"As with any question of statutory interpretation, [**57]  we begin by examining the text of the statute to determine whether its meaning is clear." </w:t>
      </w:r>
      <w:bookmarkStart w:id="1618" w:name="Bookmark_I62F88B02D6NVV0010000400"/>
      <w:bookmarkEnd w:id="1618"/>
      <w:r>
        <w:rPr>
          <w:rFonts w:ascii="Arial" w:eastAsia="Arial" w:hAnsi="Arial" w:cs="Arial"/>
          <w:i/>
          <w:color w:val="000000"/>
          <w:sz w:val="20"/>
        </w:rPr>
        <w:t>Harry v. Marchant</w:t>
      </w:r>
      <w:r>
        <w:rPr>
          <w:rFonts w:ascii="Arial" w:eastAsia="Arial" w:hAnsi="Arial" w:cs="Arial"/>
          <w:color w:val="000000"/>
          <w:sz w:val="20"/>
        </w:rPr>
        <w:t xml:space="preserve">, 291 F.3d 767, 770 (11th Cir. 2002) (en banc). </w:t>
      </w:r>
      <w:bookmarkStart w:id="1619" w:name="Bookmark_I62F88B02D6NVV0040000400_2"/>
      <w:bookmarkEnd w:id="1619"/>
      <w:r>
        <w:rPr>
          <w:rFonts w:ascii="Arial" w:eastAsia="Arial" w:hAnsi="Arial" w:cs="Arial"/>
          <w:color w:val="000000"/>
          <w:sz w:val="20"/>
        </w:rPr>
        <w:t xml:space="preserve">"In construing a statute we must begin, and often should end as well, with the language of the statute itself." </w:t>
      </w:r>
      <w:r>
        <w:rPr>
          <w:rFonts w:ascii="Arial" w:eastAsia="Arial" w:hAnsi="Arial" w:cs="Arial"/>
          <w:i/>
          <w:color w:val="000000"/>
          <w:sz w:val="20"/>
        </w:rPr>
        <w:t>Id.</w:t>
      </w:r>
      <w:r>
        <w:rPr>
          <w:rFonts w:ascii="Arial" w:eastAsia="Arial" w:hAnsi="Arial" w:cs="Arial"/>
          <w:color w:val="000000"/>
          <w:sz w:val="20"/>
        </w:rPr>
        <w:t xml:space="preserve"> (internal quotation marks omitted). The ADA does not define the terms "services," "privileges," or "advantages," so we "look to the common usage of [these] words for their meaning." </w:t>
      </w:r>
      <w:bookmarkStart w:id="1620" w:name="Bookmark_I62F88B02D6NVV0030000400"/>
      <w:bookmarkEnd w:id="1620"/>
      <w:r>
        <w:rPr>
          <w:rFonts w:ascii="Arial" w:eastAsia="Arial" w:hAnsi="Arial" w:cs="Arial"/>
          <w:i/>
          <w:color w:val="000000"/>
          <w:sz w:val="20"/>
        </w:rPr>
        <w:t>In re Walter Energy, Inc.</w:t>
      </w:r>
      <w:r>
        <w:rPr>
          <w:rFonts w:ascii="Arial" w:eastAsia="Arial" w:hAnsi="Arial" w:cs="Arial"/>
          <w:color w:val="000000"/>
          <w:sz w:val="20"/>
        </w:rPr>
        <w:t>, 911 F.3d 1121, 1143  [*1294]  (11th Cir. 2018) (internal quotation marks omitted).</w:t>
      </w:r>
    </w:p>
    <w:p w14:paraId="291B104B" w14:textId="77777777" w:rsidR="002B10A6" w:rsidRDefault="00000000">
      <w:pPr>
        <w:pStyle w:val="Normal9"/>
        <w:widowControl w:val="0"/>
        <w:spacing w:before="200" w:line="260" w:lineRule="atLeast"/>
        <w:jc w:val="both"/>
      </w:pPr>
      <w:bookmarkStart w:id="1621" w:name="Bookmark_para_98"/>
      <w:bookmarkEnd w:id="1621"/>
      <w:r>
        <w:rPr>
          <w:rFonts w:ascii="Arial" w:eastAsia="Arial" w:hAnsi="Arial" w:cs="Arial"/>
          <w:color w:val="000000"/>
          <w:sz w:val="20"/>
        </w:rPr>
        <w:t xml:space="preserve">To determine the common usage and ordinary meaning of terms, we look to dictionary definitions for guidance. </w:t>
      </w:r>
      <w:r>
        <w:rPr>
          <w:rFonts w:ascii="Arial" w:eastAsia="Arial" w:hAnsi="Arial" w:cs="Arial"/>
          <w:i/>
          <w:color w:val="000000"/>
          <w:sz w:val="20"/>
        </w:rPr>
        <w:t>Id.</w:t>
      </w:r>
      <w:r>
        <w:rPr>
          <w:rFonts w:ascii="Arial" w:eastAsia="Arial" w:hAnsi="Arial" w:cs="Arial"/>
          <w:color w:val="000000"/>
          <w:sz w:val="20"/>
        </w:rPr>
        <w:t xml:space="preserve"> The dictionary definition of "service" is "useful labor that does not produce a tangible commodity." </w:t>
      </w:r>
      <w:r>
        <w:rPr>
          <w:rFonts w:ascii="Arial" w:eastAsia="Arial" w:hAnsi="Arial" w:cs="Arial"/>
          <w:i/>
          <w:color w:val="000000"/>
          <w:sz w:val="20"/>
        </w:rPr>
        <w:t>Service</w:t>
      </w:r>
      <w:r>
        <w:rPr>
          <w:rFonts w:ascii="Arial" w:eastAsia="Arial" w:hAnsi="Arial" w:cs="Arial"/>
          <w:color w:val="000000"/>
          <w:sz w:val="20"/>
        </w:rPr>
        <w:t>, Webster's New International Dictionary (3d ed. 1961).</w:t>
      </w:r>
      <w:r>
        <w:rPr>
          <w:rFonts w:ascii="Arial" w:eastAsia="Arial" w:hAnsi="Arial" w:cs="Arial"/>
          <w:vertAlign w:val="superscript"/>
        </w:rPr>
        <w:footnoteReference w:customMarkFollows="1" w:id="68"/>
        <w:t>10</w:t>
      </w:r>
      <w:r>
        <w:rPr>
          <w:rFonts w:ascii="Arial" w:eastAsia="Arial" w:hAnsi="Arial" w:cs="Arial"/>
          <w:color w:val="000000"/>
          <w:sz w:val="20"/>
        </w:rPr>
        <w:t xml:space="preserve"> A "privilege" is "a right . . . granted as a peculiar benefit, advantage, or favor." </w:t>
      </w:r>
      <w:r>
        <w:rPr>
          <w:rFonts w:ascii="Arial" w:eastAsia="Arial" w:hAnsi="Arial" w:cs="Arial"/>
          <w:i/>
          <w:color w:val="000000"/>
          <w:sz w:val="20"/>
        </w:rPr>
        <w:t>Privilege</w:t>
      </w:r>
      <w:r>
        <w:rPr>
          <w:rFonts w:ascii="Arial" w:eastAsia="Arial" w:hAnsi="Arial" w:cs="Arial"/>
          <w:color w:val="000000"/>
          <w:sz w:val="20"/>
        </w:rPr>
        <w:t xml:space="preserve">, Webster's New International Dictionary (3d ed. 1961). And an "advantage" is "a more favorable or improved position or condition." </w:t>
      </w:r>
      <w:r>
        <w:rPr>
          <w:rFonts w:ascii="Arial" w:eastAsia="Arial" w:hAnsi="Arial" w:cs="Arial"/>
          <w:i/>
          <w:color w:val="000000"/>
          <w:sz w:val="20"/>
        </w:rPr>
        <w:t>Advantage</w:t>
      </w:r>
      <w:r>
        <w:rPr>
          <w:rFonts w:ascii="Arial" w:eastAsia="Arial" w:hAnsi="Arial" w:cs="Arial"/>
          <w:color w:val="000000"/>
          <w:sz w:val="20"/>
        </w:rPr>
        <w:t>, Webster's New International Dictionary (3d ed. 1961).</w:t>
      </w:r>
    </w:p>
    <w:p w14:paraId="0E4CE717" w14:textId="77777777" w:rsidR="002B10A6" w:rsidRDefault="00000000">
      <w:pPr>
        <w:pStyle w:val="Normal9"/>
        <w:widowControl w:val="0"/>
        <w:spacing w:before="200" w:line="260" w:lineRule="atLeast"/>
        <w:jc w:val="both"/>
      </w:pPr>
      <w:bookmarkStart w:id="1623" w:name="Bookmark_para_99"/>
      <w:bookmarkEnd w:id="1623"/>
      <w:r>
        <w:rPr>
          <w:rFonts w:ascii="Arial" w:eastAsia="Arial" w:hAnsi="Arial" w:cs="Arial"/>
          <w:color w:val="000000"/>
          <w:sz w:val="20"/>
        </w:rPr>
        <w:t>Under these definitions, Winn-Dixie offered "services," "privileges," and "advantages" when it empowered customers to request express prescription refills and link coupons to their rewards cards on [**58]  its website. Winn-Dixie's prescription offering, by which its customers could pick up prescription refills they had requested in advance online, was a service. In common parlance, a service is provided when a customer requests a service provider to perform an activity, the service provider performs that activity, and the customer pays the service provider. For Winn-Dixie's customers who used the online prescription refill tool, a critical step in that process—the requesting of the service—occurred online. Thus, it makes no sense for the majority opinion to conceive of Winn-Dixie's prescription service as completely untethered from the website.</w:t>
      </w:r>
    </w:p>
    <w:p w14:paraId="374A08AA" w14:textId="77777777" w:rsidR="002B10A6" w:rsidRDefault="00000000">
      <w:pPr>
        <w:pStyle w:val="Normal9"/>
        <w:widowControl w:val="0"/>
        <w:spacing w:before="200" w:line="260" w:lineRule="atLeast"/>
        <w:jc w:val="both"/>
      </w:pPr>
      <w:bookmarkStart w:id="1624" w:name="Bookmark_para_100"/>
      <w:bookmarkEnd w:id="1624"/>
      <w:r>
        <w:rPr>
          <w:rFonts w:ascii="Arial" w:eastAsia="Arial" w:hAnsi="Arial" w:cs="Arial"/>
          <w:color w:val="000000"/>
          <w:sz w:val="20"/>
        </w:rPr>
        <w:t>Even more clearly perhaps, the prescription refill and coupon-linking tools are "privileges" or "advantages." As the comparison above demonstrates, ordering express prescription refills from the privacy of one's home and using the coupon-linking tool to more conveniently take advantage of discounts "benefit[s]" and "improve[s] [the] position or condition" of Winn-Dixie's customers. That is, after all, precisely why Winn-Dixie provided its customers with those features.</w:t>
      </w:r>
    </w:p>
    <w:p w14:paraId="2E3B3B26" w14:textId="77777777" w:rsidR="002B10A6" w:rsidRDefault="00000000">
      <w:pPr>
        <w:pStyle w:val="Normal9"/>
        <w:widowControl w:val="0"/>
        <w:spacing w:before="200" w:line="260" w:lineRule="atLeast"/>
        <w:jc w:val="both"/>
      </w:pPr>
      <w:bookmarkStart w:id="1625" w:name="Bookmark_para_101"/>
      <w:bookmarkEnd w:id="1625"/>
      <w:r>
        <w:rPr>
          <w:rFonts w:ascii="Arial" w:eastAsia="Arial" w:hAnsi="Arial" w:cs="Arial"/>
          <w:color w:val="000000"/>
          <w:sz w:val="20"/>
        </w:rPr>
        <w:t xml:space="preserve">The majority opinion does not contest my understanding of the plain meanings [**59]  of the terms "service," "privilege," and "advantage." Rather, it argues that under my interpretation "virtually anything . . . might be deemed a 'service,' 'privilege' or 'advantage' for purposes of Title III" and thus ADA liability would extend beyond Congress's intent. Maj. Op. at 28. The majority opinion tells us that, when viewed "in context and with a view to the overall statutory scheme, it is clear that Title III will not bear [my] sweeping interpretation." </w:t>
      </w:r>
      <w:r>
        <w:rPr>
          <w:rFonts w:ascii="Arial" w:eastAsia="Arial" w:hAnsi="Arial" w:cs="Arial"/>
          <w:i/>
          <w:color w:val="000000"/>
          <w:sz w:val="20"/>
        </w:rPr>
        <w:t>Id.</w:t>
      </w:r>
      <w:r>
        <w:rPr>
          <w:rFonts w:ascii="Arial" w:eastAsia="Arial" w:hAnsi="Arial" w:cs="Arial"/>
          <w:color w:val="000000"/>
          <w:sz w:val="20"/>
        </w:rPr>
        <w:t xml:space="preserve"> But it does not tell us what contextual or structural clues in the ADA the majority opinion has discovered that warrant casting aside the ordinary meaning of § 12182(a)'s terms.</w:t>
      </w:r>
    </w:p>
    <w:p w14:paraId="3158EF08" w14:textId="77777777" w:rsidR="002B10A6" w:rsidRDefault="00000000">
      <w:pPr>
        <w:pStyle w:val="Normal9"/>
        <w:widowControl w:val="0"/>
        <w:spacing w:before="200" w:line="260" w:lineRule="atLeast"/>
        <w:jc w:val="both"/>
      </w:pPr>
      <w:bookmarkStart w:id="1626" w:name="Bookmark_para_102"/>
      <w:bookmarkStart w:id="1627" w:name="Bookmark_I4J4T31P4BR000066620007P"/>
      <w:bookmarkStart w:id="1628" w:name="Bookmark_I4J4T31P73C000066620007R"/>
      <w:bookmarkStart w:id="1629" w:name="Bookmark_I62F88B02SF81Y0010000400"/>
      <w:bookmarkEnd w:id="1626"/>
      <w:bookmarkEnd w:id="1627"/>
      <w:bookmarkEnd w:id="1628"/>
      <w:bookmarkEnd w:id="1629"/>
      <w:r>
        <w:rPr>
          <w:rFonts w:ascii="Arial" w:eastAsia="Arial" w:hAnsi="Arial" w:cs="Arial"/>
          <w:color w:val="000000"/>
          <w:sz w:val="20"/>
        </w:rPr>
        <w:t xml:space="preserve">Indeed, looking beyond the terms "services," "privileges," and "advantages" only further demands adherence to those terms' plain meanings. At the micro level, § 12182(a) clarifies that it not only bars discrimination occurring "in" places of public accommodation; it also bars discrimination in the "goods, services, facilities, privileges, advantages, or accommodations" offered </w:t>
      </w:r>
      <w:r>
        <w:rPr>
          <w:rFonts w:ascii="Arial" w:eastAsia="Arial" w:hAnsi="Arial" w:cs="Arial"/>
          <w:i/>
          <w:color w:val="000000"/>
          <w:sz w:val="20"/>
        </w:rPr>
        <w:t>by</w:t>
      </w:r>
      <w:r>
        <w:rPr>
          <w:rFonts w:ascii="Arial" w:eastAsia="Arial" w:hAnsi="Arial" w:cs="Arial"/>
          <w:color w:val="000000"/>
          <w:sz w:val="20"/>
        </w:rPr>
        <w:t xml:space="preserve"> places of public accommodation, like Winn-Dixie stores. 42 U.S.C. § 12182(a) (barring discrimination in full and equal enjoyment of the "privileges[] or advantages . . . </w:t>
      </w:r>
      <w:r>
        <w:rPr>
          <w:rFonts w:ascii="Arial" w:eastAsia="Arial" w:hAnsi="Arial" w:cs="Arial"/>
          <w:i/>
          <w:color w:val="000000"/>
          <w:sz w:val="20"/>
        </w:rPr>
        <w:t>of</w:t>
      </w:r>
      <w:r>
        <w:rPr>
          <w:rFonts w:ascii="Arial" w:eastAsia="Arial" w:hAnsi="Arial" w:cs="Arial"/>
          <w:color w:val="000000"/>
          <w:sz w:val="20"/>
        </w:rPr>
        <w:t xml:space="preserve"> any place of public accommodation") [**60]  (emphasis added); </w:t>
      </w:r>
      <w:r>
        <w:rPr>
          <w:rFonts w:ascii="Arial" w:eastAsia="Arial" w:hAnsi="Arial" w:cs="Arial"/>
          <w:i/>
          <w:color w:val="000000"/>
          <w:sz w:val="20"/>
        </w:rPr>
        <w:t xml:space="preserve">see also </w:t>
      </w:r>
      <w:bookmarkStart w:id="1630" w:name="Bookmark_I62F88B02D6NVV0050000400"/>
      <w:bookmarkEnd w:id="1630"/>
      <w:r>
        <w:rPr>
          <w:rFonts w:ascii="Arial" w:eastAsia="Arial" w:hAnsi="Arial" w:cs="Arial"/>
          <w:i/>
          <w:color w:val="000000"/>
          <w:sz w:val="20"/>
        </w:rPr>
        <w:t>Robles v. Domino's Pizza, LLC</w:t>
      </w:r>
      <w:r>
        <w:rPr>
          <w:rFonts w:ascii="Arial" w:eastAsia="Arial" w:hAnsi="Arial" w:cs="Arial"/>
          <w:color w:val="000000"/>
          <w:sz w:val="20"/>
        </w:rPr>
        <w:t xml:space="preserve">, 913 F.3d 898, 905 (9th Cir. 2019) ("[Section 12182(b)(2)(A)(iii)] applies to the services </w:t>
      </w:r>
      <w:r>
        <w:rPr>
          <w:rFonts w:ascii="Arial" w:eastAsia="Arial" w:hAnsi="Arial" w:cs="Arial"/>
          <w:i/>
          <w:color w:val="000000"/>
          <w:sz w:val="20"/>
        </w:rPr>
        <w:t>of</w:t>
      </w:r>
      <w:r>
        <w:rPr>
          <w:rFonts w:ascii="Arial" w:eastAsia="Arial" w:hAnsi="Arial" w:cs="Arial"/>
          <w:color w:val="000000"/>
          <w:sz w:val="20"/>
        </w:rPr>
        <w:t xml:space="preserve"> a place of public accommodation, not  [*1295]  services </w:t>
      </w:r>
      <w:r>
        <w:rPr>
          <w:rFonts w:ascii="Arial" w:eastAsia="Arial" w:hAnsi="Arial" w:cs="Arial"/>
          <w:i/>
          <w:color w:val="000000"/>
          <w:sz w:val="20"/>
        </w:rPr>
        <w:t>in</w:t>
      </w:r>
      <w:r>
        <w:rPr>
          <w:rFonts w:ascii="Arial" w:eastAsia="Arial" w:hAnsi="Arial" w:cs="Arial"/>
          <w:color w:val="000000"/>
          <w:sz w:val="20"/>
        </w:rPr>
        <w:t xml:space="preserve"> a place of public accommodation"); </w:t>
      </w:r>
      <w:bookmarkStart w:id="1631" w:name="Bookmark_I62F88B02SF81Y0020000400"/>
      <w:bookmarkEnd w:id="1631"/>
      <w:r>
        <w:rPr>
          <w:rFonts w:ascii="Arial" w:eastAsia="Arial" w:hAnsi="Arial" w:cs="Arial"/>
          <w:i/>
          <w:color w:val="000000"/>
          <w:sz w:val="20"/>
        </w:rPr>
        <w:t>id.</w:t>
      </w:r>
      <w:r>
        <w:rPr>
          <w:rFonts w:ascii="Arial" w:eastAsia="Arial" w:hAnsi="Arial" w:cs="Arial"/>
          <w:color w:val="000000"/>
          <w:sz w:val="20"/>
        </w:rPr>
        <w:t xml:space="preserve"> at 905-06 &amp; n.6 (holding that § 12182(b)(2)(A)(iii)'s auxiliary aid requirement applies to websites when their inaccessibility impedes access to a physical location's services, "even though customers predominantly access [websites] away from [places of public accommodation]"). Winn-Dixie's express prescription refill service, by which customers could order refills to be picked up at a specific Winn-Dixie location, is unquestionably a privilege or advantage "of" that location.</w:t>
      </w:r>
    </w:p>
    <w:p w14:paraId="3BD6D1A9" w14:textId="77777777" w:rsidR="002B10A6" w:rsidRDefault="00000000">
      <w:pPr>
        <w:pStyle w:val="Normal9"/>
        <w:widowControl w:val="0"/>
        <w:spacing w:before="200" w:line="260" w:lineRule="atLeast"/>
        <w:jc w:val="both"/>
      </w:pPr>
      <w:bookmarkStart w:id="1632" w:name="Bookmark_para_103"/>
      <w:bookmarkStart w:id="1633" w:name="Bookmark_I4J4T31P9VS000066620007S"/>
      <w:bookmarkStart w:id="1634" w:name="Bookmark_I62F88B02SF81Y0050000400"/>
      <w:bookmarkEnd w:id="1632"/>
      <w:bookmarkEnd w:id="1633"/>
      <w:bookmarkEnd w:id="1634"/>
      <w:r>
        <w:rPr>
          <w:rFonts w:ascii="Arial" w:eastAsia="Arial" w:hAnsi="Arial" w:cs="Arial"/>
          <w:color w:val="000000"/>
          <w:sz w:val="20"/>
        </w:rPr>
        <w:t xml:space="preserve">At the macro level, the ADA's text demonstrates that Congress's intent in passing the statute was to comprehensively eradicate disability discrimination, </w:t>
      </w:r>
      <w:r>
        <w:rPr>
          <w:rFonts w:ascii="Arial" w:eastAsia="Arial" w:hAnsi="Arial" w:cs="Arial"/>
          <w:i/>
          <w:color w:val="000000"/>
          <w:sz w:val="20"/>
        </w:rPr>
        <w:t>see</w:t>
      </w:r>
      <w:r>
        <w:rPr>
          <w:rFonts w:ascii="Arial" w:eastAsia="Arial" w:hAnsi="Arial" w:cs="Arial"/>
          <w:color w:val="000000"/>
          <w:sz w:val="20"/>
        </w:rPr>
        <w:t xml:space="preserve"> § 12101(b)(1), to ensure "full participation, independent living, and economic self-sufficiency" for Americans with disabilities. 42 U.S.C. § 12101(a)(7). </w:t>
      </w:r>
      <w:bookmarkStart w:id="1635" w:name="Bookmark_I4J4T31PDKY000066620007T"/>
      <w:bookmarkStart w:id="1636" w:name="Bookmark_I62F88B12HM6640020000400"/>
      <w:bookmarkEnd w:id="1635"/>
      <w:bookmarkEnd w:id="1636"/>
      <w:r>
        <w:rPr>
          <w:rFonts w:ascii="Arial" w:eastAsia="Arial" w:hAnsi="Arial" w:cs="Arial"/>
          <w:color w:val="000000"/>
          <w:sz w:val="20"/>
        </w:rPr>
        <w:t xml:space="preserve">Congress effectuated the ADA's "broad mandate," "comprehensive character," and "sweeping purpose," </w:t>
      </w:r>
      <w:r>
        <w:rPr>
          <w:rFonts w:ascii="Arial" w:eastAsia="Arial" w:hAnsi="Arial" w:cs="Arial"/>
          <w:i/>
          <w:color w:val="000000"/>
          <w:sz w:val="20"/>
        </w:rPr>
        <w:t xml:space="preserve">see </w:t>
      </w:r>
      <w:bookmarkStart w:id="1637" w:name="Bookmark_I62F88B02SF81Y0040000400"/>
      <w:bookmarkEnd w:id="1637"/>
      <w:r>
        <w:rPr>
          <w:rFonts w:ascii="Arial" w:eastAsia="Arial" w:hAnsi="Arial" w:cs="Arial"/>
          <w:i/>
          <w:color w:val="000000"/>
          <w:sz w:val="20"/>
        </w:rPr>
        <w:t>PGA Tour, Inc. v. Martin</w:t>
      </w:r>
      <w:r>
        <w:rPr>
          <w:rFonts w:ascii="Arial" w:eastAsia="Arial" w:hAnsi="Arial" w:cs="Arial"/>
          <w:color w:val="000000"/>
          <w:sz w:val="20"/>
        </w:rPr>
        <w:t xml:space="preserve">, 532 U.S. 661, 675, 121 S. Ct. 1879, 149 L. Ed. 2d 904 (2001) (internal quotation marks omitted), by prohibiting at least eight different forms of discrimination, </w:t>
      </w:r>
      <w:r>
        <w:rPr>
          <w:rFonts w:ascii="Arial" w:eastAsia="Arial" w:hAnsi="Arial" w:cs="Arial"/>
          <w:i/>
          <w:color w:val="000000"/>
          <w:sz w:val="20"/>
        </w:rPr>
        <w:t>see</w:t>
      </w:r>
      <w:r>
        <w:rPr>
          <w:rFonts w:ascii="Arial" w:eastAsia="Arial" w:hAnsi="Arial" w:cs="Arial"/>
          <w:color w:val="000000"/>
          <w:sz w:val="20"/>
        </w:rPr>
        <w:t xml:space="preserve"> § 12182(b), "in the full and equal enjoyment of the goods, services, facilities, privileges, advantages, or accommodations of any place [**61]  of public accommodation." 42 U.S.C. §12182(a). The ADA is a sweeping piece of legislation; it is hardly surprising that its terms prohibiting discrimination are broad and inclusive. </w:t>
      </w:r>
      <w:bookmarkStart w:id="1638" w:name="Bookmark_I62F88B12HM6640020000400_2"/>
      <w:bookmarkEnd w:id="1638"/>
      <w:r>
        <w:rPr>
          <w:rFonts w:ascii="Arial" w:eastAsia="Arial" w:hAnsi="Arial" w:cs="Arial"/>
          <w:color w:val="000000"/>
          <w:sz w:val="20"/>
        </w:rPr>
        <w:t xml:space="preserve">To interpret them otherwise offends not only the principle that we should interpret terms according to their ordinary meaning, but also the "fundamental canon of statutory construction that the words of a statute must be read in their context and with a view to their place in the overall statutory scheme." </w:t>
      </w:r>
      <w:bookmarkStart w:id="1639" w:name="Bookmark_I62F88B12HM6640010000400"/>
      <w:bookmarkEnd w:id="1639"/>
      <w:r>
        <w:rPr>
          <w:rFonts w:ascii="Arial" w:eastAsia="Arial" w:hAnsi="Arial" w:cs="Arial"/>
          <w:i/>
          <w:color w:val="000000"/>
          <w:sz w:val="20"/>
        </w:rPr>
        <w:t>Gundy v. U.S.</w:t>
      </w:r>
      <w:r>
        <w:rPr>
          <w:rFonts w:ascii="Arial" w:eastAsia="Arial" w:hAnsi="Arial" w:cs="Arial"/>
          <w:color w:val="000000"/>
          <w:sz w:val="20"/>
        </w:rPr>
        <w:t>, 139 S. Ct. 2116, 2126, 204 L. Ed. 2d 522 (2019) (internal quotation marks omitted).</w:t>
      </w:r>
    </w:p>
    <w:p w14:paraId="3B360C5F" w14:textId="77777777" w:rsidR="002B10A6" w:rsidRDefault="00000000">
      <w:pPr>
        <w:pStyle w:val="Normal9"/>
        <w:widowControl w:val="0"/>
        <w:spacing w:before="200" w:line="260" w:lineRule="atLeast"/>
        <w:jc w:val="both"/>
      </w:pPr>
      <w:bookmarkStart w:id="1640" w:name="Bookmark_para_104"/>
      <w:bookmarkEnd w:id="1640"/>
      <w:r>
        <w:rPr>
          <w:rFonts w:ascii="Arial" w:eastAsia="Arial" w:hAnsi="Arial" w:cs="Arial"/>
          <w:color w:val="000000"/>
          <w:sz w:val="20"/>
        </w:rPr>
        <w:t>Because the ability to request express prescription refills and electronically link coupons to one's rewards card via the website was a "service," "privilege," and "advantage" offered by Winn-Dixie's stores, the majority opinion errs in concluding that Gil could "enjoy fully and equally" Winn-Dixie's offerings because he could refill his prescriptions and use coupons at Winn-Dixie's stores. Maj. Op. at 33. In effect, the majority opinion's conception of Winn-Dixie's offerings distorts the meaning of "services" under the Act and strikes the words "privileges" and "advantages" from it altogether, nullifying Congress's decision to bar discrimination not only relating to "goods, services, [**62]  [and] facilities" but also that relating to "privileges [and] advantages." 42 U.S.C. § 12182(a).</w:t>
      </w:r>
      <w:r>
        <w:rPr>
          <w:rFonts w:ascii="Arial" w:eastAsia="Arial" w:hAnsi="Arial" w:cs="Arial"/>
          <w:vertAlign w:val="superscript"/>
        </w:rPr>
        <w:footnoteReference w:customMarkFollows="1" w:id="69"/>
        <w:t>11</w:t>
      </w:r>
    </w:p>
    <w:p w14:paraId="23857965" w14:textId="77777777" w:rsidR="002B10A6" w:rsidRDefault="00000000">
      <w:pPr>
        <w:pStyle w:val="Normal9"/>
        <w:widowControl w:val="0"/>
        <w:spacing w:before="200" w:line="260" w:lineRule="atLeast"/>
        <w:jc w:val="both"/>
      </w:pPr>
      <w:bookmarkStart w:id="1642" w:name="Bookmark_para_105"/>
      <w:bookmarkEnd w:id="1642"/>
      <w:r>
        <w:rPr>
          <w:rFonts w:ascii="Arial" w:eastAsia="Arial" w:hAnsi="Arial" w:cs="Arial"/>
          <w:color w:val="000000"/>
          <w:sz w:val="20"/>
        </w:rPr>
        <w:t xml:space="preserve">For these reasons, the majority opinion's constricted conception of Winn-Dixie's offerings contradicts the ADA's text. But even if the majority opinion were correct that the only services, privileges, or advantages Winn-Dixie offered were its in-store prescription and coupon services, it would still be wrong to conclude that "Gil was able to enjoy fully and equally" those  [*1296]  services. Maj. Op. at 33. Gil's enjoyment of Winn-Dixie's in-store prescription and coupon services was not full and equal but partial and lesser. While Winn-Dixie's sighted customers received greater privacy protections and were relieved of the need to wait in-store for pharmacists to refill their prescriptions, Gil had to verbally request prescription refills in-store and endure extended wait times. While Winn-Dixie's sighted customers could collect coupons online and redeem them instantly at checkout, Gil was left to find and assemble physical coupons and present them by hand. As a result of his disability and Winn-Dixie's inaccessible website, Gil received inferior prescription and coupon services from Winn-Dixie. The ADA bars precisely [**63]  that result. </w:t>
      </w:r>
      <w:r>
        <w:rPr>
          <w:rFonts w:ascii="Arial" w:eastAsia="Arial" w:hAnsi="Arial" w:cs="Arial"/>
          <w:i/>
          <w:color w:val="000000"/>
          <w:sz w:val="20"/>
        </w:rPr>
        <w:t>See</w:t>
      </w:r>
      <w:r>
        <w:rPr>
          <w:rFonts w:ascii="Arial" w:eastAsia="Arial" w:hAnsi="Arial" w:cs="Arial"/>
          <w:color w:val="000000"/>
          <w:sz w:val="20"/>
        </w:rPr>
        <w:t xml:space="preserve"> 42 U.S.C. § 12182(a); </w:t>
      </w:r>
      <w:r>
        <w:rPr>
          <w:rFonts w:ascii="Arial" w:eastAsia="Arial" w:hAnsi="Arial" w:cs="Arial"/>
          <w:i/>
          <w:color w:val="000000"/>
          <w:sz w:val="20"/>
        </w:rPr>
        <w:t>see also id.</w:t>
      </w:r>
      <w:r>
        <w:rPr>
          <w:rFonts w:ascii="Arial" w:eastAsia="Arial" w:hAnsi="Arial" w:cs="Arial"/>
          <w:color w:val="000000"/>
          <w:sz w:val="20"/>
        </w:rPr>
        <w:t xml:space="preserve"> § 12101(a)(5) (expressing Congress's intent to end the "relegation [of Americans with disabilities] to lesser services").</w:t>
      </w:r>
      <w:r>
        <w:rPr>
          <w:rFonts w:ascii="Arial" w:eastAsia="Arial" w:hAnsi="Arial" w:cs="Arial"/>
          <w:vertAlign w:val="superscript"/>
        </w:rPr>
        <w:footnoteReference w:customMarkFollows="1" w:id="70"/>
        <w:t>12</w:t>
      </w:r>
    </w:p>
    <w:p w14:paraId="528EEC36" w14:textId="77777777" w:rsidR="002B10A6" w:rsidRDefault="00000000">
      <w:pPr>
        <w:pStyle w:val="Normal9"/>
        <w:widowControl w:val="0"/>
        <w:spacing w:before="120" w:line="260" w:lineRule="atLeast"/>
      </w:pPr>
      <w:r>
        <w:rPr>
          <w:rFonts w:ascii="Arial" w:eastAsia="Arial" w:hAnsi="Arial" w:cs="Arial"/>
          <w:color w:val="000000"/>
          <w:sz w:val="20"/>
        </w:rPr>
        <w:t>B.</w:t>
      </w:r>
    </w:p>
    <w:p w14:paraId="5008A942" w14:textId="77777777" w:rsidR="002B10A6" w:rsidRDefault="00000000">
      <w:pPr>
        <w:pStyle w:val="Normal9"/>
        <w:widowControl w:val="0"/>
        <w:spacing w:before="200" w:line="260" w:lineRule="atLeast"/>
        <w:jc w:val="both"/>
      </w:pPr>
      <w:bookmarkStart w:id="1648" w:name="Bookmark_para_106"/>
      <w:bookmarkStart w:id="1649" w:name="Bookmark_I4J4T31PR2S000066620007X"/>
      <w:bookmarkStart w:id="1650" w:name="Bookmark_I62F88B128T4N20010000400"/>
      <w:bookmarkEnd w:id="1648"/>
      <w:bookmarkEnd w:id="1649"/>
      <w:bookmarkEnd w:id="1650"/>
      <w:r>
        <w:rPr>
          <w:rFonts w:ascii="Arial" w:eastAsia="Arial" w:hAnsi="Arial" w:cs="Arial"/>
          <w:color w:val="000000"/>
          <w:sz w:val="20"/>
        </w:rPr>
        <w:t xml:space="preserve">Second, the majority opinion appears to resist the conclusion that Winn-Dixie violated the ADA by grafting a rule upon the Act that is supposedly derived from caselaw. The majority opinion does not dispute that it is settled law in this circuit that violations of § 12182 can result from "intangible barriers" that do not "occur on site [of a place of public accommodation]." </w:t>
      </w:r>
      <w:bookmarkStart w:id="1651" w:name="Bookmark_I62F88B12HM6640050000400"/>
      <w:bookmarkEnd w:id="1651"/>
      <w:r>
        <w:rPr>
          <w:rFonts w:ascii="Arial" w:eastAsia="Arial" w:hAnsi="Arial" w:cs="Arial"/>
          <w:i/>
          <w:color w:val="000000"/>
          <w:sz w:val="20"/>
        </w:rPr>
        <w:t>Rendon</w:t>
      </w:r>
      <w:r>
        <w:rPr>
          <w:rFonts w:ascii="Arial" w:eastAsia="Arial" w:hAnsi="Arial" w:cs="Arial"/>
          <w:color w:val="000000"/>
          <w:sz w:val="20"/>
        </w:rPr>
        <w:t xml:space="preserve">, 294 F.3d at 1283-84; </w:t>
      </w:r>
      <w:r>
        <w:rPr>
          <w:rFonts w:ascii="Arial" w:eastAsia="Arial" w:hAnsi="Arial" w:cs="Arial"/>
          <w:i/>
          <w:color w:val="000000"/>
          <w:sz w:val="20"/>
        </w:rPr>
        <w:t>see also</w:t>
      </w:r>
      <w:r>
        <w:rPr>
          <w:rFonts w:ascii="Arial" w:eastAsia="Arial" w:hAnsi="Arial" w:cs="Arial"/>
          <w:color w:val="000000"/>
          <w:sz w:val="20"/>
        </w:rPr>
        <w:t xml:space="preserve"> Maj. Op. at 25-26 n.19. </w:t>
      </w:r>
      <w:bookmarkStart w:id="1652" w:name="Bookmark_I4J4T31PTMW000066620007Y"/>
      <w:bookmarkStart w:id="1653" w:name="Bookmark_I4J4T31R0VH0000666200081"/>
      <w:bookmarkStart w:id="1654" w:name="Bookmark_I62F88B128T4N20030000400"/>
      <w:bookmarkEnd w:id="1652"/>
      <w:bookmarkEnd w:id="1653"/>
      <w:bookmarkEnd w:id="1654"/>
      <w:r>
        <w:rPr>
          <w:rFonts w:ascii="Arial" w:eastAsia="Arial" w:hAnsi="Arial" w:cs="Arial"/>
          <w:color w:val="000000"/>
          <w:sz w:val="20"/>
        </w:rPr>
        <w:t xml:space="preserve">Nevertheless, the majority opinion maintains that offsite intangible barriers cannot result in a § 12182 violation unless they bar customers with disabilities from the public accommodation's "sole access point" or obstruct those customers from accessing one of its "point[s] of sale." Maj. Op. at 22-23. </w:t>
      </w:r>
      <w:bookmarkStart w:id="1655" w:name="Bookmark_I62F88B128T4N20030000400_2"/>
      <w:bookmarkEnd w:id="1655"/>
      <w:r>
        <w:rPr>
          <w:rFonts w:ascii="Arial" w:eastAsia="Arial" w:hAnsi="Arial" w:cs="Arial"/>
          <w:color w:val="000000"/>
          <w:sz w:val="20"/>
        </w:rPr>
        <w:t xml:space="preserve">The majority opinion apparently derives this rule from two cases in which federal courts of appeals held that plaintiffs </w:t>
      </w:r>
      <w:r>
        <w:rPr>
          <w:rFonts w:ascii="Arial" w:eastAsia="Arial" w:hAnsi="Arial" w:cs="Arial"/>
          <w:i/>
          <w:color w:val="000000"/>
          <w:sz w:val="20"/>
        </w:rPr>
        <w:t>could</w:t>
      </w:r>
      <w:r>
        <w:rPr>
          <w:rFonts w:ascii="Arial" w:eastAsia="Arial" w:hAnsi="Arial" w:cs="Arial"/>
          <w:color w:val="000000"/>
          <w:sz w:val="20"/>
        </w:rPr>
        <w:t xml:space="preserve"> state a claim under Title III when a technological barrier prevented them from accessing the offerings of a place of public accommodation. </w:t>
      </w:r>
      <w:r>
        <w:rPr>
          <w:rFonts w:ascii="Arial" w:eastAsia="Arial" w:hAnsi="Arial" w:cs="Arial"/>
          <w:i/>
          <w:color w:val="000000"/>
          <w:sz w:val="20"/>
        </w:rPr>
        <w:t xml:space="preserve">See </w:t>
      </w:r>
      <w:bookmarkStart w:id="1656" w:name="Bookmark_I62F88B128T4N20020000400"/>
      <w:bookmarkEnd w:id="1656"/>
      <w:r>
        <w:rPr>
          <w:rFonts w:ascii="Arial" w:eastAsia="Arial" w:hAnsi="Arial" w:cs="Arial"/>
          <w:i/>
          <w:color w:val="000000"/>
          <w:sz w:val="20"/>
        </w:rPr>
        <w:t>Rendon</w:t>
      </w:r>
      <w:r>
        <w:rPr>
          <w:rFonts w:ascii="Arial" w:eastAsia="Arial" w:hAnsi="Arial" w:cs="Arial"/>
          <w:color w:val="000000"/>
          <w:sz w:val="20"/>
        </w:rPr>
        <w:t xml:space="preserve">, 294 F.3d at 1283-86 (aspiring game show contestants stated a claim under Title III when an automated telephone [**64]  system prevented them from enjoying the privilege of trying out for the show); </w:t>
      </w:r>
      <w:bookmarkStart w:id="1657" w:name="Bookmark_I62F88B128T4N20040000400"/>
      <w:bookmarkEnd w:id="1657"/>
      <w:r>
        <w:rPr>
          <w:rFonts w:ascii="Arial" w:eastAsia="Arial" w:hAnsi="Arial" w:cs="Arial"/>
          <w:i/>
          <w:color w:val="000000"/>
          <w:sz w:val="20"/>
        </w:rPr>
        <w:t>Robles</w:t>
      </w:r>
      <w:r>
        <w:rPr>
          <w:rFonts w:ascii="Arial" w:eastAsia="Arial" w:hAnsi="Arial" w:cs="Arial"/>
          <w:color w:val="000000"/>
          <w:sz w:val="20"/>
        </w:rPr>
        <w:t>, 913 F.3d at 905-06 (holding that the ADA applied to a pizza restaurant's website and app because those technologies "connect[ed] customers to the [restaurant's] goods and services" and the technologies' alleged inaccessibility "impede[d] access to [the restaurant's offerings]").</w:t>
      </w:r>
    </w:p>
    <w:p w14:paraId="77523A6A" w14:textId="77777777" w:rsidR="002B10A6" w:rsidRDefault="00000000">
      <w:pPr>
        <w:pStyle w:val="Normal9"/>
        <w:widowControl w:val="0"/>
        <w:spacing w:before="200" w:line="260" w:lineRule="atLeast"/>
        <w:jc w:val="both"/>
      </w:pPr>
      <w:bookmarkStart w:id="1658" w:name="Bookmark_para_107"/>
      <w:bookmarkEnd w:id="1658"/>
      <w:r>
        <w:rPr>
          <w:rFonts w:ascii="Arial" w:eastAsia="Arial" w:hAnsi="Arial" w:cs="Arial"/>
          <w:color w:val="000000"/>
          <w:sz w:val="20"/>
        </w:rPr>
        <w:t xml:space="preserve"> [*1297]  The majority opinion's discussion of </w:t>
      </w:r>
      <w:r>
        <w:rPr>
          <w:rFonts w:ascii="Arial" w:eastAsia="Arial" w:hAnsi="Arial" w:cs="Arial"/>
          <w:i/>
          <w:color w:val="000000"/>
          <w:sz w:val="20"/>
        </w:rPr>
        <w:t>Rendon</w:t>
      </w:r>
      <w:r>
        <w:rPr>
          <w:rFonts w:ascii="Arial" w:eastAsia="Arial" w:hAnsi="Arial" w:cs="Arial"/>
          <w:color w:val="000000"/>
          <w:sz w:val="20"/>
        </w:rPr>
        <w:t xml:space="preserve"> and </w:t>
      </w:r>
      <w:r>
        <w:rPr>
          <w:rFonts w:ascii="Arial" w:eastAsia="Arial" w:hAnsi="Arial" w:cs="Arial"/>
          <w:i/>
          <w:color w:val="000000"/>
          <w:sz w:val="20"/>
        </w:rPr>
        <w:t>Robles</w:t>
      </w:r>
      <w:r>
        <w:rPr>
          <w:rFonts w:ascii="Arial" w:eastAsia="Arial" w:hAnsi="Arial" w:cs="Arial"/>
          <w:color w:val="000000"/>
          <w:sz w:val="20"/>
        </w:rPr>
        <w:t xml:space="preserve"> therefore cannot advance its position. Those cases held only that plaintiffs can state a Title III claim when inaccessible technologies prevent them from accessing a public accommodation's offerings; they had no occasion to consider whether a public accommodation might also violate the ADA when it offers a website inaccessible to visually-impaired customers that serves as the only way for a customer to access in-store privileges or advantages. At best they established only a sufficient, not a necessary, condition for stating a claim.</w:t>
      </w:r>
      <w:r>
        <w:rPr>
          <w:rFonts w:ascii="Arial" w:eastAsia="Arial" w:hAnsi="Arial" w:cs="Arial"/>
          <w:vertAlign w:val="superscript"/>
        </w:rPr>
        <w:footnoteReference w:customMarkFollows="1" w:id="71"/>
        <w:t>13</w:t>
      </w:r>
    </w:p>
    <w:p w14:paraId="2897F4DD" w14:textId="77777777" w:rsidR="002B10A6" w:rsidRDefault="00000000">
      <w:pPr>
        <w:pStyle w:val="Normal9"/>
        <w:widowControl w:val="0"/>
        <w:spacing w:before="120" w:line="260" w:lineRule="atLeast"/>
      </w:pPr>
      <w:r>
        <w:rPr>
          <w:rFonts w:ascii="Arial" w:eastAsia="Arial" w:hAnsi="Arial" w:cs="Arial"/>
          <w:color w:val="000000"/>
          <w:sz w:val="20"/>
        </w:rPr>
        <w:t>C.</w:t>
      </w:r>
    </w:p>
    <w:p w14:paraId="68997B9A" w14:textId="77777777" w:rsidR="002B10A6" w:rsidRDefault="00000000">
      <w:pPr>
        <w:pStyle w:val="Normal9"/>
        <w:widowControl w:val="0"/>
        <w:spacing w:before="200" w:line="260" w:lineRule="atLeast"/>
        <w:jc w:val="both"/>
      </w:pPr>
      <w:bookmarkStart w:id="1663" w:name="Bookmark_para_108"/>
      <w:bookmarkEnd w:id="1663"/>
      <w:r>
        <w:rPr>
          <w:rFonts w:ascii="Arial" w:eastAsia="Arial" w:hAnsi="Arial" w:cs="Arial"/>
          <w:color w:val="000000"/>
          <w:sz w:val="20"/>
        </w:rPr>
        <w:t xml:space="preserve">Third, the majority opinion argues that Winn-Dixie did not violate § 12182(b)(2)(A)(iii) because that provision prohibits the absence of auxiliary aids and services only when their absence prevents disabled individuals from "effective[ly] communicat[ing]" [**65]  </w:t>
      </w:r>
      <w:r>
        <w:rPr>
          <w:rFonts w:ascii="Arial" w:eastAsia="Arial" w:hAnsi="Arial" w:cs="Arial"/>
          <w:i/>
          <w:color w:val="000000"/>
          <w:sz w:val="20"/>
        </w:rPr>
        <w:t>with physical stores. See</w:t>
      </w:r>
      <w:r>
        <w:rPr>
          <w:rFonts w:ascii="Arial" w:eastAsia="Arial" w:hAnsi="Arial" w:cs="Arial"/>
          <w:color w:val="000000"/>
          <w:sz w:val="20"/>
        </w:rPr>
        <w:t xml:space="preserve"> Maj. Op. at 24-25 (quoting 28 C.F.R. § 36.303(c)(1)). According to the majority opinion, because only Winn-Dixie's stores (and not its website) are "place[s] of public accommodation," Gil's "inability to communicate with and access the services available on the website" does not constitute a violation of § 12182(b)(2)(A)(iii) because Gil could "communicate effectively with, or access the services offered in, the physical stores." </w:t>
      </w:r>
      <w:r>
        <w:rPr>
          <w:rFonts w:ascii="Arial" w:eastAsia="Arial" w:hAnsi="Arial" w:cs="Arial"/>
          <w:i/>
          <w:color w:val="000000"/>
          <w:sz w:val="20"/>
        </w:rPr>
        <w:t>Id.</w:t>
      </w:r>
      <w:r>
        <w:rPr>
          <w:rFonts w:ascii="Arial" w:eastAsia="Arial" w:hAnsi="Arial" w:cs="Arial"/>
          <w:color w:val="000000"/>
          <w:sz w:val="20"/>
        </w:rPr>
        <w:t xml:space="preserve"> at 25-26. The majority opinion reasons that, because Gil was "able to enjoy fully and equally the services in question—filling prescriptions and using coupons—in Winn-Dixie's physical stores," there is "no basis for concluding that Winn-Dixie violated § 12182(b)(2)(A)(iii)." </w:t>
      </w:r>
      <w:r>
        <w:rPr>
          <w:rFonts w:ascii="Arial" w:eastAsia="Arial" w:hAnsi="Arial" w:cs="Arial"/>
          <w:i/>
          <w:color w:val="000000"/>
          <w:sz w:val="20"/>
        </w:rPr>
        <w:t>Id.</w:t>
      </w:r>
      <w:r>
        <w:rPr>
          <w:rFonts w:ascii="Arial" w:eastAsia="Arial" w:hAnsi="Arial" w:cs="Arial"/>
          <w:color w:val="000000"/>
          <w:sz w:val="20"/>
        </w:rPr>
        <w:t xml:space="preserve"> at 26.</w:t>
      </w:r>
    </w:p>
    <w:p w14:paraId="6327C16C" w14:textId="77777777" w:rsidR="002B10A6" w:rsidRDefault="00000000">
      <w:pPr>
        <w:pStyle w:val="Normal9"/>
        <w:widowControl w:val="0"/>
        <w:spacing w:before="200" w:line="260" w:lineRule="atLeast"/>
        <w:jc w:val="both"/>
      </w:pPr>
      <w:bookmarkStart w:id="1664" w:name="Bookmark_para_109"/>
      <w:bookmarkEnd w:id="1664"/>
      <w:r>
        <w:rPr>
          <w:rFonts w:ascii="Arial" w:eastAsia="Arial" w:hAnsi="Arial" w:cs="Arial"/>
          <w:color w:val="000000"/>
          <w:sz w:val="20"/>
        </w:rPr>
        <w:t xml:space="preserve">This chain of reasoning suffers from at least two defects. First, the argument is premised upon the majority opinion's position that "the services available on [Winn-Dixie's] website" are untethered from the services offered by Winn-Dixie's store. </w:t>
      </w:r>
      <w:r>
        <w:rPr>
          <w:rFonts w:ascii="Arial" w:eastAsia="Arial" w:hAnsi="Arial" w:cs="Arial"/>
          <w:i/>
          <w:color w:val="000000"/>
          <w:sz w:val="20"/>
        </w:rPr>
        <w:t>Id.</w:t>
      </w:r>
      <w:r>
        <w:rPr>
          <w:rFonts w:ascii="Arial" w:eastAsia="Arial" w:hAnsi="Arial" w:cs="Arial"/>
          <w:color w:val="000000"/>
          <w:sz w:val="20"/>
        </w:rPr>
        <w:t xml:space="preserve"> at 25. As I have explained, that premise is flawed. Winn-Dixie offered in-store services, privileges, and advantages—namely, the ability to request express prescription refills and link coupons to one's account—through (and only through) its inaccessible website.</w:t>
      </w:r>
    </w:p>
    <w:p w14:paraId="07343D74" w14:textId="77777777" w:rsidR="002B10A6" w:rsidRDefault="00000000">
      <w:pPr>
        <w:pStyle w:val="Normal9"/>
        <w:widowControl w:val="0"/>
        <w:spacing w:before="200" w:line="260" w:lineRule="atLeast"/>
        <w:jc w:val="both"/>
      </w:pPr>
      <w:bookmarkStart w:id="1665" w:name="Bookmark_para_110"/>
      <w:bookmarkEnd w:id="1665"/>
      <w:r>
        <w:rPr>
          <w:rFonts w:ascii="Arial" w:eastAsia="Arial" w:hAnsi="Arial" w:cs="Arial"/>
          <w:color w:val="000000"/>
          <w:sz w:val="20"/>
        </w:rPr>
        <w:t xml:space="preserve">Second, the argument rests upon [**66]  the majority opinion's misconception that Winn-Dixie's website is not a tool of communication that Winn-Dixie provided to convey information to, and receive information from, customers. By refusing to recognize that the website is, at least in part, a tool of communication between Winn-Dixie and its customers, the majority opinion arrives at the striking conclusion that, although Gil proved at trial that he could not comprehend or communicate with the website, § 12182(b)(2)(A)(iii) was not violated because Gil "never asserted that he was [un]able to communicate effectively with . . . the physical stores." </w:t>
      </w:r>
      <w:r>
        <w:rPr>
          <w:rFonts w:ascii="Arial" w:eastAsia="Arial" w:hAnsi="Arial" w:cs="Arial"/>
          <w:i/>
          <w:color w:val="000000"/>
          <w:sz w:val="20"/>
        </w:rPr>
        <w:t>Id.</w:t>
      </w:r>
    </w:p>
    <w:p w14:paraId="7A265039" w14:textId="77777777" w:rsidR="002B10A6" w:rsidRDefault="00000000">
      <w:pPr>
        <w:pStyle w:val="Normal9"/>
        <w:widowControl w:val="0"/>
        <w:spacing w:before="200" w:line="260" w:lineRule="atLeast"/>
        <w:jc w:val="both"/>
      </w:pPr>
      <w:bookmarkStart w:id="1666" w:name="Bookmark_para_111"/>
      <w:bookmarkEnd w:id="1666"/>
      <w:r>
        <w:rPr>
          <w:rFonts w:ascii="Arial" w:eastAsia="Arial" w:hAnsi="Arial" w:cs="Arial"/>
          <w:color w:val="000000"/>
          <w:sz w:val="20"/>
        </w:rPr>
        <w:t>But contrary to the majority opinion's understanding, Gil's inability to access the website prevented him from effectively  [*1298]  communicating with Winn-Dixie's stores in at least two ways. The website's inaccessibility prevented Gil from (1) accessing the information that Winn-Dixie was conveying to its sighted customers and (2) conveying information to Winn-Dixie. For example, there was no way for Gil, unlike Winn-Dixie's sighted customers, to communicate with a Winn-Dixie store that he would like to have a specific prescription refilled at a specific time. And there was no way for Gil, unlike Winn-Dixie's [**67]  sighted customers, to communicate with a Winn-Dixie store that he would like to link specific coupons to his rewards card so they could be applied automatically when he purchased discounted goods. Thus, the website's inaccessibility prevented Gil from effectively communicating with Winn-Dixie's stores, violating the plain terms of the regulation requiring effective communication. 28 C.F.R. § 36.303(c)(1) ("A public accommodation shall furnish appropriate auxiliary aids and services where necessary to ensure effective communication with individuals with disabilities.").</w:t>
      </w:r>
    </w:p>
    <w:p w14:paraId="2AE086AE" w14:textId="77777777" w:rsidR="002B10A6" w:rsidRDefault="00000000">
      <w:pPr>
        <w:pStyle w:val="Normal9"/>
        <w:widowControl w:val="0"/>
        <w:spacing w:before="200" w:line="260" w:lineRule="atLeast"/>
        <w:jc w:val="both"/>
      </w:pPr>
      <w:bookmarkStart w:id="1667" w:name="Bookmark_para_112"/>
      <w:bookmarkEnd w:id="1667"/>
      <w:r>
        <w:rPr>
          <w:rFonts w:ascii="Arial" w:eastAsia="Arial" w:hAnsi="Arial" w:cs="Arial"/>
          <w:color w:val="000000"/>
          <w:sz w:val="20"/>
        </w:rPr>
        <w:t xml:space="preserve">Put differently, individuals and businesses communicate with each other by using communication technologies, like websites, phones, and apps. Therefore, the majority opinion's contention that Gil's inability to access the website prevented him from communicating with only the website—and not Winn-Dixie's physical stores—defies reality. A customer's ability to access a communication technology and his ability to communicate effectively with a store are not unrelated propositions, as the majority opinion suggests. Rather, those propositions are causally related. </w:t>
      </w:r>
      <w:r>
        <w:rPr>
          <w:rFonts w:ascii="Arial" w:eastAsia="Arial" w:hAnsi="Arial" w:cs="Arial"/>
          <w:i/>
          <w:color w:val="000000"/>
          <w:sz w:val="20"/>
        </w:rPr>
        <w:t>Because</w:t>
      </w:r>
      <w:r>
        <w:rPr>
          <w:rFonts w:ascii="Arial" w:eastAsia="Arial" w:hAnsi="Arial" w:cs="Arial"/>
          <w:color w:val="000000"/>
          <w:sz w:val="20"/>
        </w:rPr>
        <w:t xml:space="preserve"> Gil was unable to use Winn-Dixie's website, he was unable to effectively communicate [**68]  with Winn-Dixie's stores.</w:t>
      </w:r>
    </w:p>
    <w:p w14:paraId="029B9150" w14:textId="77777777" w:rsidR="002B10A6" w:rsidRDefault="00000000">
      <w:pPr>
        <w:pStyle w:val="Normal9"/>
        <w:widowControl w:val="0"/>
        <w:spacing w:before="200" w:line="260" w:lineRule="atLeast"/>
        <w:jc w:val="both"/>
      </w:pPr>
      <w:bookmarkStart w:id="1668" w:name="Bookmark_para_113"/>
      <w:bookmarkEnd w:id="1668"/>
      <w:r>
        <w:rPr>
          <w:rFonts w:ascii="Arial" w:eastAsia="Arial" w:hAnsi="Arial" w:cs="Arial"/>
          <w:color w:val="000000"/>
          <w:sz w:val="20"/>
        </w:rPr>
        <w:t>The regulation requiring effective communication provides that "[a] public accommodation shall furnish appropriate auxiliary aids and services where necessary to ensure effective communication with individuals with disabilities." 28 C.F.R. § 36.303(c)(1). An auxiliary aid, like a website compatible with screen-reading software, was necessary to ensure effective communication between Gil and Winn-Dixie's physical stores. By failing to furnish that aid (or any alternative), Winn-Dixie ran afoul of § 36.303.</w:t>
      </w:r>
      <w:r>
        <w:rPr>
          <w:rFonts w:ascii="Arial" w:eastAsia="Arial" w:hAnsi="Arial" w:cs="Arial"/>
          <w:vertAlign w:val="superscript"/>
        </w:rPr>
        <w:footnoteReference w:customMarkFollows="1" w:id="72"/>
        <w:t>14</w:t>
      </w:r>
    </w:p>
    <w:p w14:paraId="25226435" w14:textId="77777777" w:rsidR="002B10A6" w:rsidRDefault="00000000">
      <w:pPr>
        <w:pStyle w:val="Normal9"/>
        <w:widowControl w:val="0"/>
        <w:spacing w:before="120" w:line="260" w:lineRule="atLeast"/>
      </w:pPr>
      <w:r>
        <w:rPr>
          <w:rFonts w:ascii="Arial" w:eastAsia="Arial" w:hAnsi="Arial" w:cs="Arial"/>
          <w:color w:val="000000"/>
          <w:sz w:val="20"/>
        </w:rPr>
        <w:t>IV.</w:t>
      </w:r>
    </w:p>
    <w:p w14:paraId="336B1D4C" w14:textId="77777777" w:rsidR="002B10A6" w:rsidRDefault="00000000">
      <w:pPr>
        <w:pStyle w:val="Normal9"/>
        <w:widowControl w:val="0"/>
        <w:spacing w:before="200" w:line="260" w:lineRule="atLeast"/>
        <w:jc w:val="both"/>
      </w:pPr>
      <w:bookmarkStart w:id="1670" w:name="Bookmark_para_114"/>
      <w:bookmarkStart w:id="1671" w:name="Bookmark_I4J4T31R8D20000666200084"/>
      <w:bookmarkStart w:id="1672" w:name="Bookmark_I62F88B12SF8210040000400"/>
      <w:bookmarkEnd w:id="1670"/>
      <w:bookmarkEnd w:id="1671"/>
      <w:bookmarkEnd w:id="1672"/>
      <w:r>
        <w:rPr>
          <w:rFonts w:ascii="Arial" w:eastAsia="Arial" w:hAnsi="Arial" w:cs="Arial"/>
          <w:color w:val="000000"/>
          <w:sz w:val="20"/>
        </w:rPr>
        <w:t xml:space="preserve">The majority opinion holds that Title III does not require public accommodations to provide disabled individuals with the same in-store privileges and advantages that they provide nondisabled individuals when those in-store privileges and advantages are offered through a website. I disagree. Our constitutional role is "to apply statutory language, not to rewrite it." </w:t>
      </w:r>
      <w:bookmarkStart w:id="1673" w:name="Bookmark_I62F88B12SF8210030000400"/>
      <w:bookmarkEnd w:id="1673"/>
      <w:r>
        <w:rPr>
          <w:rFonts w:ascii="Arial" w:eastAsia="Arial" w:hAnsi="Arial" w:cs="Arial"/>
          <w:i/>
          <w:color w:val="000000"/>
          <w:sz w:val="20"/>
        </w:rPr>
        <w:t>Harris v. Garner</w:t>
      </w:r>
      <w:r>
        <w:rPr>
          <w:rFonts w:ascii="Arial" w:eastAsia="Arial" w:hAnsi="Arial" w:cs="Arial"/>
          <w:color w:val="000000"/>
          <w:sz w:val="20"/>
        </w:rPr>
        <w:t xml:space="preserve">, 216 F.3d 970, 976 (11th Cir. 2000) (en banc). The statutory language at issue mandates that disabled individuals are not, without legal justification that is absent from this case, "excluded, denied services, . . . or otherwise treated differently . . . because of the absence of auxiliary aids and services." 42 U.S.C. § 12182(b)(2)(A)(iii). And it entitles disabled individuals to [**69]  the "full and equal enjoyment" of a public accommodation's offerings. </w:t>
      </w:r>
      <w:r>
        <w:rPr>
          <w:rFonts w:ascii="Arial" w:eastAsia="Arial" w:hAnsi="Arial" w:cs="Arial"/>
          <w:i/>
          <w:color w:val="000000"/>
          <w:sz w:val="20"/>
        </w:rPr>
        <w:t>Id.</w:t>
      </w:r>
      <w:r>
        <w:rPr>
          <w:rFonts w:ascii="Arial" w:eastAsia="Arial" w:hAnsi="Arial" w:cs="Arial"/>
          <w:color w:val="000000"/>
          <w:sz w:val="20"/>
        </w:rPr>
        <w:t xml:space="preserve"> § 12182(a). The majority opinion's declaration that Gil could fully and equally enjoy Winn-Dixie's offerings  [*1299]  does not make it so. Winn-Dixie treated Gil as a second-class customer, offering him different and inferior prescription and coupon services than it provided to its nondisabled customers.</w:t>
      </w:r>
    </w:p>
    <w:p w14:paraId="2F4FC780" w14:textId="77777777" w:rsidR="002B10A6" w:rsidRDefault="00000000">
      <w:pPr>
        <w:pStyle w:val="Normal9"/>
        <w:widowControl w:val="0"/>
        <w:spacing w:before="200" w:line="260" w:lineRule="atLeast"/>
        <w:jc w:val="both"/>
      </w:pPr>
      <w:bookmarkStart w:id="1674" w:name="Bookmark_para_115"/>
      <w:bookmarkEnd w:id="1674"/>
      <w:r>
        <w:rPr>
          <w:rFonts w:ascii="Arial" w:eastAsia="Arial" w:hAnsi="Arial" w:cs="Arial"/>
          <w:color w:val="000000"/>
          <w:sz w:val="20"/>
        </w:rPr>
        <w:t>I fear the majority opinion's errors will have widespread consequences. Places of public accommodation, such as stores and restaurants, increasingly use websites and apps to offer their customers safer, more efficient, and more flexible access to goods and services in physical stores. As I read it, the majority opinion gives stores and restaurants license to provide websites and apps that are inaccessible to visually-impaired customers so long as those customers can access an inferior version of these public accommodations' offerings. That result cannot be squared with the ADA. Respectfully, I dissent.</w:t>
      </w:r>
    </w:p>
    <w:p w14:paraId="22A539A4" w14:textId="77777777" w:rsidR="002B10A6" w:rsidRDefault="002B10A6">
      <w:pPr>
        <w:pStyle w:val="Normal9"/>
      </w:pPr>
    </w:p>
    <w:p w14:paraId="37A10EA3" w14:textId="3D637D4B" w:rsidR="002B10A6" w:rsidRDefault="00000000">
      <w:pPr>
        <w:pStyle w:val="Normal9"/>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78720" behindDoc="0" locked="0" layoutInCell="1" allowOverlap="1" wp14:anchorId="3352E19B" wp14:editId="0E99CD3E">
                <wp:simplePos x="0" y="0"/>
                <wp:positionH relativeFrom="column">
                  <wp:posOffset>0</wp:posOffset>
                </wp:positionH>
                <wp:positionV relativeFrom="paragraph">
                  <wp:posOffset>127000</wp:posOffset>
                </wp:positionV>
                <wp:extent cx="6502400" cy="0"/>
                <wp:effectExtent l="9525" t="12700" r="12700" b="6350"/>
                <wp:wrapNone/>
                <wp:docPr id="135202297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268C9" id="Line 2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8BB56B0" w14:textId="77777777" w:rsidR="002B10A6" w:rsidRDefault="002B10A6">
      <w:pPr>
        <w:pStyle w:val="Normal10"/>
        <w:sectPr w:rsidR="002B10A6">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gutter="0"/>
          <w:cols w:space="720"/>
          <w:titlePg/>
        </w:sectPr>
      </w:pPr>
    </w:p>
    <w:p w14:paraId="05F95EC1" w14:textId="77777777" w:rsidR="002B10A6" w:rsidRDefault="002B10A6">
      <w:pPr>
        <w:pStyle w:val="Normal10"/>
      </w:pPr>
    </w:p>
    <w:p w14:paraId="4AB4CA29" w14:textId="77777777" w:rsidR="002B10A6" w:rsidRDefault="00000000">
      <w:pPr>
        <w:pStyle w:val="Heading19"/>
        <w:keepNext w:val="0"/>
        <w:widowControl w:val="0"/>
        <w:spacing w:after="200" w:line="340" w:lineRule="atLeast"/>
        <w:jc w:val="center"/>
      </w:pPr>
      <w:r>
        <w:rPr>
          <w:rFonts w:eastAsia="Arial"/>
          <w:color w:val="000000"/>
          <w:sz w:val="28"/>
        </w:rPr>
        <w:t>Boyd v. City of Phila.</w:t>
      </w:r>
    </w:p>
    <w:p w14:paraId="14BC5BA4" w14:textId="77777777" w:rsidR="002B10A6" w:rsidRDefault="00000000">
      <w:pPr>
        <w:pStyle w:val="Normal10"/>
        <w:widowControl w:val="0"/>
        <w:spacing w:before="120" w:line="260" w:lineRule="atLeast"/>
        <w:jc w:val="center"/>
      </w:pPr>
      <w:r>
        <w:rPr>
          <w:rFonts w:ascii="Arial" w:eastAsia="Arial" w:hAnsi="Arial" w:cs="Arial"/>
          <w:color w:val="000000"/>
          <w:sz w:val="20"/>
        </w:rPr>
        <w:t>United States Court of Appeals for the Third Circuit</w:t>
      </w:r>
    </w:p>
    <w:p w14:paraId="191466C4" w14:textId="77777777" w:rsidR="002B10A6" w:rsidRDefault="00000000">
      <w:pPr>
        <w:pStyle w:val="Normal10"/>
        <w:widowControl w:val="0"/>
        <w:spacing w:before="120" w:line="260" w:lineRule="atLeast"/>
        <w:jc w:val="center"/>
      </w:pPr>
      <w:r>
        <w:rPr>
          <w:rFonts w:ascii="Arial" w:eastAsia="Arial" w:hAnsi="Arial" w:cs="Arial"/>
          <w:color w:val="000000"/>
          <w:sz w:val="20"/>
        </w:rPr>
        <w:t>March 26, 2021, Submitted Under Third Circuit L.A.R. 34.1(a); March 30, 2021, Filed</w:t>
      </w:r>
    </w:p>
    <w:p w14:paraId="3EB72BEB" w14:textId="77777777" w:rsidR="002B10A6" w:rsidRDefault="00000000">
      <w:pPr>
        <w:pStyle w:val="Normal10"/>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20-1931</w:t>
      </w:r>
    </w:p>
    <w:p w14:paraId="141CB17D" w14:textId="77777777" w:rsidR="002B10A6" w:rsidRDefault="002B10A6">
      <w:pPr>
        <w:pStyle w:val="Normal10"/>
        <w:widowControl w:val="0"/>
        <w:spacing w:line="240" w:lineRule="atLeast"/>
        <w:jc w:val="both"/>
      </w:pPr>
      <w:bookmarkStart w:id="1675" w:name="Bookmark_11"/>
      <w:bookmarkEnd w:id="1675"/>
    </w:p>
    <w:p w14:paraId="2BD1B718" w14:textId="77777777" w:rsidR="002B10A6" w:rsidRDefault="00000000">
      <w:pPr>
        <w:pStyle w:val="Normal10"/>
        <w:widowControl w:val="0"/>
        <w:spacing w:before="200" w:line="240" w:lineRule="atLeast"/>
      </w:pPr>
      <w:bookmarkStart w:id="1676" w:name="Reporter_9"/>
      <w:bookmarkEnd w:id="1676"/>
      <w:r>
        <w:rPr>
          <w:rFonts w:ascii="Arial" w:eastAsia="Arial" w:hAnsi="Arial" w:cs="Arial"/>
          <w:b/>
          <w:color w:val="000000"/>
          <w:sz w:val="18"/>
        </w:rPr>
        <w:t>Reporter</w:t>
      </w:r>
    </w:p>
    <w:p w14:paraId="2769CD6A" w14:textId="77777777" w:rsidR="002B10A6" w:rsidRDefault="00000000">
      <w:pPr>
        <w:pStyle w:val="Normal10"/>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841 Fed. Appx. 437 *; 2021 U.S. App. LEXIS 9200 **; 2021 WL 1191625</w:t>
      </w:r>
    </w:p>
    <w:p w14:paraId="20FA301B" w14:textId="77777777" w:rsidR="002B10A6" w:rsidRDefault="00000000">
      <w:pPr>
        <w:pStyle w:val="Normal10"/>
        <w:widowControl w:val="0"/>
        <w:spacing w:before="120" w:line="260" w:lineRule="atLeast"/>
      </w:pPr>
      <w:r>
        <w:rPr>
          <w:rFonts w:ascii="Arial" w:eastAsia="Arial" w:hAnsi="Arial" w:cs="Arial"/>
          <w:color w:val="000000"/>
          <w:sz w:val="20"/>
        </w:rPr>
        <w:t>LESLIE BOYD, Appellant v. CITY OF PHILADELPHIA; CORIZON HEALTH, INC.; MHM SERVICES, INC.</w:t>
      </w:r>
    </w:p>
    <w:p w14:paraId="3914320F" w14:textId="77777777" w:rsidR="002B10A6" w:rsidRDefault="00000000">
      <w:pPr>
        <w:pStyle w:val="Normal10"/>
        <w:widowControl w:val="0"/>
        <w:spacing w:before="240" w:line="260" w:lineRule="atLeast"/>
        <w:jc w:val="both"/>
      </w:pPr>
      <w:bookmarkStart w:id="1677" w:name="Notice_2"/>
      <w:bookmarkEnd w:id="1677"/>
      <w:r>
        <w:rPr>
          <w:rFonts w:ascii="Arial" w:eastAsia="Arial" w:hAnsi="Arial" w:cs="Arial"/>
          <w:b/>
          <w:color w:val="000000"/>
          <w:sz w:val="20"/>
        </w:rPr>
        <w:t>Notice:</w:t>
      </w:r>
      <w:r>
        <w:rPr>
          <w:rFonts w:ascii="Arial" w:eastAsia="Arial" w:hAnsi="Arial" w:cs="Arial"/>
          <w:color w:val="000000"/>
          <w:sz w:val="20"/>
        </w:rPr>
        <w:t> </w:t>
      </w:r>
      <w:bookmarkStart w:id="1678" w:name="Bookmark_para_1_9"/>
      <w:bookmarkEnd w:id="1678"/>
      <w:r>
        <w:rPr>
          <w:rFonts w:ascii="Arial" w:eastAsia="Arial" w:hAnsi="Arial" w:cs="Arial"/>
          <w:color w:val="000000"/>
          <w:sz w:val="20"/>
        </w:rPr>
        <w:t>NOT PRECEDENTIAL OPINION UNDER THIRD CIRCUIT INTERNAL OPERATING PROCEDURE RULE 5.7. SUCH OPINIONS ARE NOT REGARDED AS PRECEDENTS WHICH BIND THE COURT.</w:t>
      </w:r>
    </w:p>
    <w:p w14:paraId="56D13068" w14:textId="77777777" w:rsidR="002B10A6" w:rsidRDefault="00000000">
      <w:pPr>
        <w:pStyle w:val="Normal10"/>
        <w:widowControl w:val="0"/>
        <w:spacing w:before="200" w:line="260" w:lineRule="atLeast"/>
        <w:jc w:val="both"/>
      </w:pPr>
      <w:bookmarkStart w:id="1679" w:name="Bookmark_para_2_9"/>
      <w:bookmarkEnd w:id="1679"/>
      <w:r>
        <w:rPr>
          <w:rFonts w:ascii="Arial" w:eastAsia="Arial" w:hAnsi="Arial" w:cs="Arial"/>
          <w:color w:val="000000"/>
          <w:sz w:val="20"/>
        </w:rPr>
        <w:t>PLEASE REFER TO FEDERAL RULES OF APPELLATE PROCEDURE RULE 32.1 GOVERNING THE CITATION TO UNPUBLISHED OPINIONS.</w:t>
      </w:r>
    </w:p>
    <w:p w14:paraId="323AE025" w14:textId="77777777" w:rsidR="002B10A6" w:rsidRDefault="00000000">
      <w:pPr>
        <w:pStyle w:val="Normal10"/>
        <w:widowControl w:val="0"/>
        <w:spacing w:before="240" w:line="260" w:lineRule="atLeast"/>
        <w:jc w:val="both"/>
      </w:pPr>
      <w:bookmarkStart w:id="1680" w:name="Prior_History_9"/>
      <w:bookmarkEnd w:id="1680"/>
      <w:r>
        <w:rPr>
          <w:rFonts w:ascii="Arial" w:eastAsia="Arial" w:hAnsi="Arial" w:cs="Arial"/>
          <w:b/>
          <w:color w:val="000000"/>
          <w:sz w:val="20"/>
        </w:rPr>
        <w:t>Prior History:</w:t>
      </w:r>
      <w:r>
        <w:rPr>
          <w:rFonts w:ascii="Arial" w:eastAsia="Arial" w:hAnsi="Arial" w:cs="Arial"/>
          <w:color w:val="000000"/>
          <w:sz w:val="20"/>
        </w:rPr>
        <w:t> </w:t>
      </w:r>
      <w:bookmarkStart w:id="1681" w:name="Bookmark_para_3_9"/>
      <w:bookmarkEnd w:id="1681"/>
      <w:r>
        <w:rPr>
          <w:rFonts w:ascii="Arial" w:eastAsia="Arial" w:hAnsi="Arial" w:cs="Arial"/>
          <w:color w:val="000000"/>
          <w:sz w:val="20"/>
        </w:rPr>
        <w:t> [**1] On Appeal from the United States District Court for the Eastern District of Pennsylvania. (D.C. No. 2:17-cv-03195). District Judge: Honorable Chad F. Kenney.</w:t>
      </w:r>
    </w:p>
    <w:p w14:paraId="17B5C788" w14:textId="77777777" w:rsidR="002B10A6" w:rsidRDefault="00000000">
      <w:pPr>
        <w:pStyle w:val="Normal10"/>
        <w:widowControl w:val="0"/>
        <w:spacing w:before="240" w:line="260" w:lineRule="atLeast"/>
      </w:pPr>
      <w:bookmarkStart w:id="1682" w:name="Counsel_9"/>
      <w:bookmarkEnd w:id="1682"/>
      <w:r>
        <w:rPr>
          <w:rFonts w:ascii="Arial" w:eastAsia="Arial" w:hAnsi="Arial" w:cs="Arial"/>
          <w:b/>
          <w:color w:val="000000"/>
          <w:sz w:val="20"/>
        </w:rPr>
        <w:t>Counsel:</w:t>
      </w:r>
      <w:r>
        <w:rPr>
          <w:rFonts w:ascii="Arial" w:eastAsia="Arial" w:hAnsi="Arial" w:cs="Arial"/>
          <w:color w:val="000000"/>
          <w:sz w:val="20"/>
        </w:rPr>
        <w:t> For LESLIE BOYD, Plaintiff - Appellant: Stephen H. Cristal, Esq., Rio Grande, NJ.</w:t>
      </w:r>
    </w:p>
    <w:p w14:paraId="33B468F3" w14:textId="77777777" w:rsidR="002B10A6" w:rsidRDefault="00000000">
      <w:pPr>
        <w:pStyle w:val="Normal10"/>
        <w:widowControl w:val="0"/>
        <w:spacing w:before="120" w:line="260" w:lineRule="atLeast"/>
      </w:pPr>
      <w:r>
        <w:rPr>
          <w:rFonts w:ascii="Arial" w:eastAsia="Arial" w:hAnsi="Arial" w:cs="Arial"/>
          <w:color w:val="000000"/>
          <w:sz w:val="20"/>
        </w:rPr>
        <w:t>For MHM SERVICES INC, Defendant - Appellee: Alan S. Baum, Esq., Cassidy L. Neal, Esq., Matis Baum &amp; O'Connor, Pittsburgh, PA.</w:t>
      </w:r>
    </w:p>
    <w:p w14:paraId="2B2B0320" w14:textId="77777777" w:rsidR="002B10A6" w:rsidRDefault="00000000">
      <w:pPr>
        <w:pStyle w:val="Normal10"/>
        <w:widowControl w:val="0"/>
        <w:spacing w:before="120" w:line="260" w:lineRule="atLeast"/>
      </w:pPr>
      <w:r>
        <w:rPr>
          <w:rFonts w:ascii="Arial" w:eastAsia="Arial" w:hAnsi="Arial" w:cs="Arial"/>
          <w:color w:val="000000"/>
          <w:sz w:val="20"/>
        </w:rPr>
        <w:t>For CORIZON HEALTH INC, Defendant - Appellee: Alexander R. Ferrante, Esq., Alan S. Gold, Esq., Gold &amp; Ferrante, Lower Gwynedd, PA.</w:t>
      </w:r>
    </w:p>
    <w:p w14:paraId="2C23BC17" w14:textId="77777777" w:rsidR="002B10A6" w:rsidRDefault="00000000">
      <w:pPr>
        <w:pStyle w:val="Normal10"/>
        <w:widowControl w:val="0"/>
        <w:spacing w:before="120" w:line="260" w:lineRule="atLeast"/>
      </w:pPr>
      <w:r>
        <w:rPr>
          <w:rFonts w:ascii="Arial" w:eastAsia="Arial" w:hAnsi="Arial" w:cs="Arial"/>
          <w:color w:val="000000"/>
          <w:sz w:val="20"/>
        </w:rPr>
        <w:t>For CITY OF PHILADELPHIA, Defendant - Appellee: Zachary G. Strassburger, Esq., City of Philadelphia, Philadelphia, PA.</w:t>
      </w:r>
    </w:p>
    <w:p w14:paraId="71F3938C" w14:textId="77777777" w:rsidR="002B10A6" w:rsidRDefault="00000000">
      <w:pPr>
        <w:pStyle w:val="Normal10"/>
        <w:widowControl w:val="0"/>
        <w:spacing w:before="240" w:line="260" w:lineRule="atLeast"/>
      </w:pPr>
      <w:bookmarkStart w:id="1683" w:name="Judges_9"/>
      <w:bookmarkEnd w:id="1683"/>
      <w:r>
        <w:rPr>
          <w:rFonts w:ascii="Arial" w:eastAsia="Arial" w:hAnsi="Arial" w:cs="Arial"/>
          <w:b/>
          <w:color w:val="000000"/>
          <w:sz w:val="20"/>
        </w:rPr>
        <w:t>Judges:</w:t>
      </w:r>
      <w:r>
        <w:rPr>
          <w:rFonts w:ascii="Arial" w:eastAsia="Arial" w:hAnsi="Arial" w:cs="Arial"/>
          <w:color w:val="000000"/>
          <w:sz w:val="20"/>
        </w:rPr>
        <w:t> Before: HARDIMAN, GREENAWAY, JR., and BIBAS, Circuit Judges.</w:t>
      </w:r>
    </w:p>
    <w:p w14:paraId="28704FDB" w14:textId="77777777" w:rsidR="002B10A6" w:rsidRDefault="00000000">
      <w:pPr>
        <w:pStyle w:val="Normal10"/>
        <w:widowControl w:val="0"/>
        <w:spacing w:before="240" w:line="260" w:lineRule="atLeast"/>
      </w:pPr>
      <w:bookmarkStart w:id="1684" w:name="Opinion_by_8"/>
      <w:bookmarkEnd w:id="1684"/>
      <w:r>
        <w:rPr>
          <w:rFonts w:ascii="Arial" w:eastAsia="Arial" w:hAnsi="Arial" w:cs="Arial"/>
          <w:b/>
          <w:color w:val="000000"/>
          <w:sz w:val="20"/>
        </w:rPr>
        <w:t>Opinion by:</w:t>
      </w:r>
      <w:r>
        <w:rPr>
          <w:rFonts w:ascii="Arial" w:eastAsia="Arial" w:hAnsi="Arial" w:cs="Arial"/>
          <w:color w:val="000000"/>
          <w:sz w:val="20"/>
        </w:rPr>
        <w:t> BIBAS</w:t>
      </w:r>
    </w:p>
    <w:p w14:paraId="77B450E8" w14:textId="77777777" w:rsidR="002B10A6" w:rsidRDefault="00000000">
      <w:pPr>
        <w:pStyle w:val="Normal10"/>
        <w:keepNext/>
        <w:widowControl w:val="0"/>
        <w:spacing w:before="240" w:line="340" w:lineRule="atLeast"/>
      </w:pPr>
      <w:bookmarkStart w:id="1685" w:name="Opinion_9"/>
      <w:bookmarkEnd w:id="1685"/>
      <w:r>
        <w:rPr>
          <w:rFonts w:ascii="Arial" w:eastAsia="Arial" w:hAnsi="Arial" w:cs="Arial"/>
          <w:b/>
          <w:color w:val="000000"/>
          <w:sz w:val="28"/>
        </w:rPr>
        <w:t>Opinion</w:t>
      </w:r>
    </w:p>
    <w:p w14:paraId="5B90D801" w14:textId="20FD2093" w:rsidR="002B10A6" w:rsidRDefault="002D6974">
      <w:pPr>
        <w:pStyle w:val="Normal10"/>
        <w:spacing w:line="60" w:lineRule="exact"/>
      </w:pPr>
      <w:r>
        <w:rPr>
          <w:noProof/>
        </w:rPr>
        <mc:AlternateContent>
          <mc:Choice Requires="wps">
            <w:drawing>
              <wp:anchor distT="0" distB="0" distL="114300" distR="114300" simplePos="0" relativeHeight="251679744" behindDoc="0" locked="0" layoutInCell="1" allowOverlap="1" wp14:anchorId="0DA5BC79" wp14:editId="12D8C4A8">
                <wp:simplePos x="0" y="0"/>
                <wp:positionH relativeFrom="column">
                  <wp:posOffset>0</wp:posOffset>
                </wp:positionH>
                <wp:positionV relativeFrom="paragraph">
                  <wp:posOffset>25400</wp:posOffset>
                </wp:positionV>
                <wp:extent cx="3187700" cy="0"/>
                <wp:effectExtent l="19050" t="15875" r="12700" b="12700"/>
                <wp:wrapTopAndBottom/>
                <wp:docPr id="1095643455"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AC67D" id="Line 2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EBB84CA" w14:textId="77777777" w:rsidR="002B10A6" w:rsidRDefault="002B10A6">
      <w:pPr>
        <w:pStyle w:val="Normal10"/>
        <w:spacing w:line="120" w:lineRule="exact"/>
      </w:pPr>
    </w:p>
    <w:p w14:paraId="5AE21ED6" w14:textId="77777777" w:rsidR="002B10A6" w:rsidRDefault="00000000">
      <w:pPr>
        <w:pStyle w:val="Normal10"/>
        <w:widowControl w:val="0"/>
        <w:spacing w:before="240" w:line="260" w:lineRule="atLeast"/>
      </w:pPr>
      <w:r>
        <w:br/>
      </w:r>
      <w:r>
        <w:rPr>
          <w:rFonts w:ascii="Arial" w:eastAsia="Arial" w:hAnsi="Arial" w:cs="Arial"/>
          <w:color w:val="000000"/>
          <w:sz w:val="20"/>
        </w:rPr>
        <w:t xml:space="preserve"> [*437]  </w:t>
      </w:r>
      <w:r>
        <w:rPr>
          <w:rFonts w:ascii="Arial" w:eastAsia="Arial" w:hAnsi="Arial" w:cs="Arial"/>
          <w:b/>
          <w:color w:val="000000"/>
          <w:sz w:val="20"/>
        </w:rPr>
        <w:t>OPINION</w:t>
      </w:r>
      <w:r>
        <w:rPr>
          <w:rFonts w:ascii="Arial" w:eastAsia="Arial" w:hAnsi="Arial" w:cs="Arial"/>
          <w:vertAlign w:val="superscript"/>
        </w:rPr>
        <w:footnoteReference w:customMarkFollows="1" w:id="73"/>
        <w:t>*</w:t>
      </w:r>
    </w:p>
    <w:p w14:paraId="2FC5CF56" w14:textId="77777777" w:rsidR="002B10A6" w:rsidRDefault="00000000">
      <w:pPr>
        <w:pStyle w:val="Normal10"/>
        <w:widowControl w:val="0"/>
        <w:spacing w:before="200" w:line="260" w:lineRule="atLeast"/>
        <w:jc w:val="both"/>
      </w:pPr>
      <w:bookmarkStart w:id="1687" w:name="Bookmark_para_4_9"/>
      <w:bookmarkEnd w:id="1687"/>
      <w:r>
        <w:rPr>
          <w:rFonts w:ascii="Arial" w:eastAsia="Arial" w:hAnsi="Arial" w:cs="Arial"/>
          <w:color w:val="000000"/>
          <w:sz w:val="20"/>
        </w:rPr>
        <w:t xml:space="preserve">BIBAS, </w:t>
      </w:r>
      <w:r>
        <w:rPr>
          <w:rFonts w:ascii="Arial" w:eastAsia="Arial" w:hAnsi="Arial" w:cs="Arial"/>
          <w:i/>
          <w:color w:val="000000"/>
          <w:sz w:val="20"/>
        </w:rPr>
        <w:t>Circuit Judge</w:t>
      </w:r>
      <w:r>
        <w:rPr>
          <w:rFonts w:ascii="Arial" w:eastAsia="Arial" w:hAnsi="Arial" w:cs="Arial"/>
          <w:color w:val="000000"/>
          <w:sz w:val="20"/>
        </w:rPr>
        <w:t>.</w:t>
      </w:r>
    </w:p>
    <w:p w14:paraId="52AFD6AE" w14:textId="77777777" w:rsidR="002B10A6" w:rsidRDefault="00000000">
      <w:pPr>
        <w:pStyle w:val="Normal10"/>
        <w:widowControl w:val="0"/>
        <w:spacing w:before="200" w:line="260" w:lineRule="atLeast"/>
        <w:jc w:val="both"/>
      </w:pPr>
      <w:bookmarkStart w:id="1688" w:name="Bookmark_para_5_9"/>
      <w:bookmarkEnd w:id="1688"/>
      <w:r>
        <w:rPr>
          <w:rFonts w:ascii="Arial" w:eastAsia="Arial" w:hAnsi="Arial" w:cs="Arial"/>
          <w:color w:val="000000"/>
          <w:sz w:val="20"/>
        </w:rPr>
        <w:t xml:space="preserve">Prison officials and doctors are not liable for inmates' injuries if they provide reasonable disability accommodations and medical care. Leslie Boyd served a bit more than three months in a Philadelphia prison. He suffered from back pain and mobility problems as well as bipolar disorder. He repeatedly fell and complained of sickness and pains. A couple of months into his time there, he fell again, lapsed into a coma, suffered spinal damage, and grew sicker. </w:t>
      </w:r>
      <w:bookmarkStart w:id="1689" w:name="Bookmark_I62BXJJ82HM5YM0020000400"/>
      <w:bookmarkEnd w:id="1689"/>
      <w:r>
        <w:rPr>
          <w:rFonts w:ascii="Arial" w:eastAsia="Arial" w:hAnsi="Arial" w:cs="Arial"/>
          <w:color w:val="000000"/>
          <w:sz w:val="20"/>
        </w:rPr>
        <w:t xml:space="preserve">He charged the City of Philadelphia [**2]  with disability discrimination and also sued the City and the medical and mental-health providers in tort. The District Court granted summary judgment for the defendants on all claims. Reviewing de novo, we will affirm. </w:t>
      </w:r>
      <w:bookmarkStart w:id="1690" w:name="Bookmark_I62BXJJ82HM5YM0010000400"/>
      <w:bookmarkEnd w:id="1690"/>
      <w:r>
        <w:rPr>
          <w:rFonts w:ascii="Arial" w:eastAsia="Arial" w:hAnsi="Arial" w:cs="Arial"/>
          <w:i/>
          <w:color w:val="000000"/>
          <w:sz w:val="20"/>
        </w:rPr>
        <w:t>Cranbury Brick Yard, LLC v. United States</w:t>
      </w:r>
      <w:r>
        <w:rPr>
          <w:rFonts w:ascii="Arial" w:eastAsia="Arial" w:hAnsi="Arial" w:cs="Arial"/>
          <w:color w:val="000000"/>
          <w:sz w:val="20"/>
        </w:rPr>
        <w:t>, 943 F.3d 701, 708 (3d Cir. 2019).</w:t>
      </w:r>
    </w:p>
    <w:p w14:paraId="3ECBB325" w14:textId="77777777" w:rsidR="002B10A6" w:rsidRDefault="00000000">
      <w:pPr>
        <w:pStyle w:val="Normal10"/>
        <w:widowControl w:val="0"/>
        <w:spacing w:before="200" w:line="260" w:lineRule="atLeast"/>
        <w:jc w:val="both"/>
      </w:pPr>
      <w:bookmarkStart w:id="1691" w:name="Bookmark_para_6_9"/>
      <w:bookmarkStart w:id="1692" w:name="Bookmark_I62BXJJ82HM5YM0040000400"/>
      <w:bookmarkEnd w:id="1691"/>
      <w:bookmarkEnd w:id="1692"/>
      <w:r>
        <w:rPr>
          <w:rFonts w:ascii="Arial" w:eastAsia="Arial" w:hAnsi="Arial" w:cs="Arial"/>
          <w:color w:val="000000"/>
          <w:sz w:val="20"/>
        </w:rPr>
        <w:t xml:space="preserve">Boyd got reasonable accommodations, as required by the Americans with Disabilities Act and the Rehabilitation Act. </w:t>
      </w:r>
      <w:bookmarkStart w:id="1693" w:name="Bookmark_I62BXJJ82HM5YM0030000400"/>
      <w:bookmarkEnd w:id="1693"/>
      <w:r>
        <w:rPr>
          <w:rFonts w:ascii="Arial" w:eastAsia="Arial" w:hAnsi="Arial" w:cs="Arial"/>
          <w:i/>
          <w:color w:val="000000"/>
          <w:sz w:val="20"/>
        </w:rPr>
        <w:t>Furgess v. Pa. Dep't of Corr.</w:t>
      </w:r>
      <w:r>
        <w:rPr>
          <w:rFonts w:ascii="Arial" w:eastAsia="Arial" w:hAnsi="Arial" w:cs="Arial"/>
          <w:color w:val="000000"/>
          <w:sz w:val="20"/>
        </w:rPr>
        <w:t>, 933 F.3d 285, 287 (3d Cir. 2019). Contrary to his assertions, there is no record dispute that Boyd got a lower bunk, followed soon by a cane and then a wheelchair. He says that he complained about the height of his bed and toilet. But at his deposition, he admitted that he got a lower bunk immediately and could get from his bed to the toilet using his wheelchair. He also says that he asked for "grab bars" and "floor padding." App. 623. But at his deposition, when asked if he requested accommodations, he never mentioned these. And he says now that when he fell, the guards refused to help him. But at his deposition, he admitted that when he asked for help getting off the floor, "the guards always helped me. The guards helped me a lot." App. 147.</w:t>
      </w:r>
    </w:p>
    <w:p w14:paraId="27A4556E" w14:textId="77777777" w:rsidR="002B10A6" w:rsidRDefault="00000000">
      <w:pPr>
        <w:pStyle w:val="Normal10"/>
        <w:widowControl w:val="0"/>
        <w:spacing w:before="200" w:line="260" w:lineRule="atLeast"/>
        <w:jc w:val="both"/>
      </w:pPr>
      <w:bookmarkStart w:id="1694" w:name="Bookmark_para_7_9"/>
      <w:bookmarkStart w:id="1695" w:name="Bookmark_I62BXJJB2HM5YY0010000400"/>
      <w:bookmarkEnd w:id="1694"/>
      <w:bookmarkEnd w:id="1695"/>
      <w:r>
        <w:rPr>
          <w:rFonts w:ascii="Arial" w:eastAsia="Arial" w:hAnsi="Arial" w:cs="Arial"/>
          <w:color w:val="000000"/>
          <w:sz w:val="20"/>
        </w:rPr>
        <w:t xml:space="preserve">Boyd never tries to explain these contradictions. So the District Court properly  [*438]  disregarded his declaration as a sham affidavit. </w:t>
      </w:r>
      <w:bookmarkStart w:id="1696" w:name="Bookmark_I62BXJJ82HM5YM0050000400"/>
      <w:bookmarkEnd w:id="1696"/>
      <w:r>
        <w:rPr>
          <w:rFonts w:ascii="Arial" w:eastAsia="Arial" w:hAnsi="Arial" w:cs="Arial"/>
          <w:i/>
          <w:color w:val="000000"/>
          <w:sz w:val="20"/>
        </w:rPr>
        <w:t>Boyd v. City of Philadelphia</w:t>
      </w:r>
      <w:r>
        <w:rPr>
          <w:rFonts w:ascii="Arial" w:eastAsia="Arial" w:hAnsi="Arial" w:cs="Arial"/>
          <w:color w:val="000000"/>
          <w:sz w:val="20"/>
        </w:rPr>
        <w:t xml:space="preserve">, No. 17-3195, 2020 U.S. Dist. LEXIS 55620, 2020 WL 1531454, at *2 n.2 (E.D. Pa. Mar. 31, 2020); </w:t>
      </w:r>
      <w:bookmarkStart w:id="1697" w:name="Bookmark_I62BXJJB2HM5YY0020000400"/>
      <w:bookmarkEnd w:id="1697"/>
      <w:r>
        <w:rPr>
          <w:rFonts w:ascii="Arial" w:eastAsia="Arial" w:hAnsi="Arial" w:cs="Arial"/>
          <w:i/>
          <w:color w:val="000000"/>
          <w:sz w:val="20"/>
        </w:rPr>
        <w:t>Jiminez v. All Am. Rathskeller, Inc.</w:t>
      </w:r>
      <w:r>
        <w:rPr>
          <w:rFonts w:ascii="Arial" w:eastAsia="Arial" w:hAnsi="Arial" w:cs="Arial"/>
          <w:color w:val="000000"/>
          <w:sz w:val="20"/>
        </w:rPr>
        <w:t xml:space="preserve">, 503 F.3d 247, 254 (3d Cir. 2007). That leaves [**3]  no genuine dispute of material fact. And he offers no proof that anyone denied him an accommodation </w:t>
      </w:r>
      <w:r>
        <w:rPr>
          <w:rFonts w:ascii="Arial" w:eastAsia="Arial" w:hAnsi="Arial" w:cs="Arial"/>
          <w:i/>
          <w:color w:val="000000"/>
          <w:sz w:val="20"/>
        </w:rPr>
        <w:t>because of</w:t>
      </w:r>
      <w:r>
        <w:rPr>
          <w:rFonts w:ascii="Arial" w:eastAsia="Arial" w:hAnsi="Arial" w:cs="Arial"/>
          <w:color w:val="000000"/>
          <w:sz w:val="20"/>
        </w:rPr>
        <w:t xml:space="preserve"> his disability. So the District Court rightly granted summary judgment against him on the ADA and Rehabilitation Act claims.</w:t>
      </w:r>
    </w:p>
    <w:p w14:paraId="666E1F45" w14:textId="77777777" w:rsidR="002B10A6" w:rsidRDefault="00000000">
      <w:pPr>
        <w:pStyle w:val="Normal10"/>
        <w:widowControl w:val="0"/>
        <w:spacing w:before="200" w:line="260" w:lineRule="atLeast"/>
        <w:jc w:val="both"/>
      </w:pPr>
      <w:bookmarkStart w:id="1698" w:name="Bookmark_para_8_9"/>
      <w:bookmarkStart w:id="1699" w:name="Bookmark_I62BXJJB2HM5YY0050000400"/>
      <w:bookmarkEnd w:id="1698"/>
      <w:bookmarkEnd w:id="1699"/>
      <w:r>
        <w:rPr>
          <w:rFonts w:ascii="Arial" w:eastAsia="Arial" w:hAnsi="Arial" w:cs="Arial"/>
          <w:color w:val="000000"/>
          <w:sz w:val="20"/>
        </w:rPr>
        <w:t xml:space="preserve">Boyd's tort claims likewise fail. Start with his Eighth Amendment claim. That requires not just medical mistakes, but deliberate indifference to his serious medical needs. The prison staff, however, did not ignore objective evidence that he needed medical care. </w:t>
      </w:r>
      <w:r>
        <w:rPr>
          <w:rFonts w:ascii="Arial" w:eastAsia="Arial" w:hAnsi="Arial" w:cs="Arial"/>
          <w:i/>
          <w:color w:val="000000"/>
          <w:sz w:val="20"/>
        </w:rPr>
        <w:t xml:space="preserve">See </w:t>
      </w:r>
      <w:bookmarkStart w:id="1700" w:name="Bookmark_I62BXJJB2HM5YY0040000400"/>
      <w:bookmarkEnd w:id="1700"/>
      <w:r>
        <w:rPr>
          <w:rFonts w:ascii="Arial" w:eastAsia="Arial" w:hAnsi="Arial" w:cs="Arial"/>
          <w:i/>
          <w:color w:val="000000"/>
          <w:sz w:val="20"/>
        </w:rPr>
        <w:t>Natale v. Camden Cnty. Corr. Facility</w:t>
      </w:r>
      <w:r>
        <w:rPr>
          <w:rFonts w:ascii="Arial" w:eastAsia="Arial" w:hAnsi="Arial" w:cs="Arial"/>
          <w:color w:val="000000"/>
          <w:sz w:val="20"/>
        </w:rPr>
        <w:t>, 318 F.3d 575, 582 (3d Cir. 2003). Boyd made sick calls on thirty-eight separate days, sometimes multiple times per day. Each time, staff responded within two or three days. Medical staff repeatedly prescribed medications and treatment and monitored his lab work.</w:t>
      </w:r>
    </w:p>
    <w:p w14:paraId="29B290C1" w14:textId="77777777" w:rsidR="002B10A6" w:rsidRDefault="00000000">
      <w:pPr>
        <w:pStyle w:val="Normal10"/>
        <w:widowControl w:val="0"/>
        <w:spacing w:before="200" w:line="260" w:lineRule="atLeast"/>
        <w:jc w:val="both"/>
      </w:pPr>
      <w:bookmarkStart w:id="1701" w:name="Bookmark_para_9_9"/>
      <w:bookmarkEnd w:id="1701"/>
      <w:r>
        <w:rPr>
          <w:rFonts w:ascii="Arial" w:eastAsia="Arial" w:hAnsi="Arial" w:cs="Arial"/>
          <w:color w:val="000000"/>
          <w:sz w:val="20"/>
        </w:rPr>
        <w:t xml:space="preserve">Next, Boyd's medical-malpractice claims also fail. Though Boyd filed two expert reports by the discovery deadline, neither report describes the standard of care or how the Providers fell short of it. Later, he did offer a third report with his response to the summary-judgment motions. But he filed it months late, even though he had been sitting on the report for years. He gave no justification for his delay, nor does he suggest that it was harmless. Plus, the report would have prejudiced [**4]  the Providers, who had no reason to anticipate it in developing their strategy, getting their own expert reports, and moving for summary judgment. </w:t>
      </w:r>
      <w:bookmarkStart w:id="1702" w:name="Bookmark_I62BXJJB2SF7V40020000400"/>
      <w:bookmarkEnd w:id="1702"/>
      <w:r>
        <w:rPr>
          <w:rFonts w:ascii="Arial" w:eastAsia="Arial" w:hAnsi="Arial" w:cs="Arial"/>
          <w:color w:val="000000"/>
          <w:sz w:val="20"/>
        </w:rPr>
        <w:t xml:space="preserve">So the District Court properly exercised its discretion to exclude it. Fed. R. Civ. P. 37(c)(1). Without the report, he failed to make out a prima facie case of medical malpractice. </w:t>
      </w:r>
      <w:bookmarkStart w:id="1703" w:name="Bookmark_I62BXJJB2SF7V40010000400"/>
      <w:bookmarkEnd w:id="1703"/>
      <w:r>
        <w:rPr>
          <w:rFonts w:ascii="Arial" w:eastAsia="Arial" w:hAnsi="Arial" w:cs="Arial"/>
          <w:i/>
          <w:color w:val="000000"/>
          <w:sz w:val="20"/>
        </w:rPr>
        <w:t>Toogood v. Rogal</w:t>
      </w:r>
      <w:r>
        <w:rPr>
          <w:rFonts w:ascii="Arial" w:eastAsia="Arial" w:hAnsi="Arial" w:cs="Arial"/>
          <w:color w:val="000000"/>
          <w:sz w:val="20"/>
        </w:rPr>
        <w:t>, 573 Pa. 245, 824 A.2d 1140, 1145 (Pa. 2003). And all three reports were inadequate as to the mental-health provider.</w:t>
      </w:r>
    </w:p>
    <w:p w14:paraId="42680B2A" w14:textId="77777777" w:rsidR="002B10A6" w:rsidRDefault="00000000">
      <w:pPr>
        <w:pStyle w:val="Normal10"/>
        <w:widowControl w:val="0"/>
        <w:spacing w:before="200" w:line="260" w:lineRule="atLeast"/>
        <w:jc w:val="both"/>
      </w:pPr>
      <w:bookmarkStart w:id="1704" w:name="Bookmark_para_10_9"/>
      <w:bookmarkStart w:id="1705" w:name="Bookmark_I62BXJJB2SF7V40040000400"/>
      <w:bookmarkEnd w:id="1704"/>
      <w:bookmarkEnd w:id="1705"/>
      <w:r>
        <w:rPr>
          <w:rFonts w:ascii="Arial" w:eastAsia="Arial" w:hAnsi="Arial" w:cs="Arial"/>
          <w:color w:val="000000"/>
          <w:sz w:val="20"/>
        </w:rPr>
        <w:t xml:space="preserve">Finally, Boyd offered no proof that anyone intentionally inflicted emotional distress on him. Throughout his prison stay, guards gave him the mobility aids he asked for and helped him up whenever he fell. Medical and mental-health staff saw him regularly and evaluated his condition. They prescribed medications, treatments, and counseling, and never kept him waiting long. His treatment was hardly "atrocious, and utterly intolerable in a civilized society." </w:t>
      </w:r>
      <w:bookmarkStart w:id="1706" w:name="Bookmark_I62BXJJB2SF7V40030000400"/>
      <w:bookmarkEnd w:id="1706"/>
      <w:r>
        <w:rPr>
          <w:rFonts w:ascii="Arial" w:eastAsia="Arial" w:hAnsi="Arial" w:cs="Arial"/>
          <w:i/>
          <w:color w:val="000000"/>
          <w:sz w:val="20"/>
        </w:rPr>
        <w:t>Hoy v. Angelone</w:t>
      </w:r>
      <w:r>
        <w:rPr>
          <w:rFonts w:ascii="Arial" w:eastAsia="Arial" w:hAnsi="Arial" w:cs="Arial"/>
          <w:color w:val="000000"/>
          <w:sz w:val="20"/>
        </w:rPr>
        <w:t xml:space="preserve">, 554 Pa. 134, 720 A.2d 745, 754 (Pa. 1998) (quoting </w:t>
      </w:r>
      <w:bookmarkStart w:id="1707" w:name="Bookmark_I62BXJJB2SF7V40050000400"/>
      <w:bookmarkEnd w:id="1707"/>
      <w:r>
        <w:rPr>
          <w:rFonts w:ascii="Arial" w:eastAsia="Arial" w:hAnsi="Arial" w:cs="Arial"/>
          <w:i/>
          <w:color w:val="000000"/>
          <w:sz w:val="20"/>
        </w:rPr>
        <w:t>Buczek v. First Nat'l Bank of Mifflintown</w:t>
      </w:r>
      <w:r>
        <w:rPr>
          <w:rFonts w:ascii="Arial" w:eastAsia="Arial" w:hAnsi="Arial" w:cs="Arial"/>
          <w:color w:val="000000"/>
          <w:sz w:val="20"/>
        </w:rPr>
        <w:t>, 366 Pa. Super. 551, 531 A.2d 1122, 1125 (Pa. Super. 1987)). The District Court thus properly rejected this claim too.</w:t>
      </w:r>
    </w:p>
    <w:p w14:paraId="2C8115F0" w14:textId="77777777" w:rsidR="002B10A6" w:rsidRDefault="00000000">
      <w:pPr>
        <w:pStyle w:val="Normal10"/>
        <w:widowControl w:val="0"/>
        <w:spacing w:before="200" w:line="260" w:lineRule="atLeast"/>
        <w:jc w:val="both"/>
      </w:pPr>
      <w:bookmarkStart w:id="1708" w:name="Bookmark_para_11_9"/>
      <w:bookmarkEnd w:id="1708"/>
      <w:r>
        <w:rPr>
          <w:rFonts w:ascii="Arial" w:eastAsia="Arial" w:hAnsi="Arial" w:cs="Arial"/>
          <w:color w:val="000000"/>
          <w:sz w:val="20"/>
        </w:rPr>
        <w:t>Boyd no doubt became ill in prison. But he got frequent care and help from guards, doctors, and nurses and was given mobility aids. So he has not shown that the City or the Providers are liable. We will affirm.</w:t>
      </w:r>
    </w:p>
    <w:p w14:paraId="6F335D32" w14:textId="77777777" w:rsidR="002B10A6" w:rsidRDefault="002B10A6">
      <w:pPr>
        <w:pStyle w:val="Normal10"/>
      </w:pPr>
    </w:p>
    <w:p w14:paraId="208B2C2B" w14:textId="50380592" w:rsidR="002B10A6" w:rsidRDefault="00000000">
      <w:pPr>
        <w:pStyle w:val="Normal10"/>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80768" behindDoc="0" locked="0" layoutInCell="1" allowOverlap="1" wp14:anchorId="2A3C142C" wp14:editId="2EECDF1C">
                <wp:simplePos x="0" y="0"/>
                <wp:positionH relativeFrom="column">
                  <wp:posOffset>0</wp:posOffset>
                </wp:positionH>
                <wp:positionV relativeFrom="paragraph">
                  <wp:posOffset>127000</wp:posOffset>
                </wp:positionV>
                <wp:extent cx="6502400" cy="0"/>
                <wp:effectExtent l="9525" t="12700" r="12700" b="6350"/>
                <wp:wrapNone/>
                <wp:docPr id="210365737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157AA" id="Line 2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62A41C5" w14:textId="77777777" w:rsidR="002B10A6" w:rsidRDefault="002B10A6">
      <w:pPr>
        <w:pStyle w:val="Normal11"/>
        <w:sectPr w:rsidR="002B10A6">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gutter="0"/>
          <w:cols w:space="720"/>
          <w:titlePg/>
        </w:sectPr>
      </w:pPr>
    </w:p>
    <w:p w14:paraId="6E29D55E" w14:textId="77777777" w:rsidR="002B10A6" w:rsidRDefault="002B10A6">
      <w:pPr>
        <w:pStyle w:val="Normal11"/>
      </w:pPr>
    </w:p>
    <w:p w14:paraId="55EB56D5" w14:textId="77777777" w:rsidR="002B10A6" w:rsidRDefault="00000000">
      <w:pPr>
        <w:pStyle w:val="Heading110"/>
        <w:keepNext w:val="0"/>
        <w:widowControl w:val="0"/>
        <w:spacing w:after="200" w:line="340" w:lineRule="atLeast"/>
        <w:jc w:val="center"/>
      </w:pPr>
      <w:r>
        <w:rPr>
          <w:rFonts w:eastAsia="Arial"/>
          <w:color w:val="000000"/>
          <w:sz w:val="28"/>
        </w:rPr>
        <w:t>Vega-Ruiz v. Northwell Health</w:t>
      </w:r>
    </w:p>
    <w:p w14:paraId="406F0192" w14:textId="77777777" w:rsidR="002B10A6" w:rsidRDefault="00000000">
      <w:pPr>
        <w:pStyle w:val="Normal11"/>
        <w:widowControl w:val="0"/>
        <w:spacing w:before="120" w:line="260" w:lineRule="atLeast"/>
        <w:jc w:val="center"/>
      </w:pPr>
      <w:r>
        <w:rPr>
          <w:rFonts w:ascii="Arial" w:eastAsia="Arial" w:hAnsi="Arial" w:cs="Arial"/>
          <w:color w:val="000000"/>
          <w:sz w:val="20"/>
        </w:rPr>
        <w:t>United States Court of Appeals for the Second Circuit</w:t>
      </w:r>
    </w:p>
    <w:p w14:paraId="7D9C0FDB" w14:textId="77777777" w:rsidR="002B10A6" w:rsidRDefault="00000000">
      <w:pPr>
        <w:pStyle w:val="Normal11"/>
        <w:widowControl w:val="0"/>
        <w:spacing w:before="120" w:line="260" w:lineRule="atLeast"/>
        <w:jc w:val="center"/>
      </w:pPr>
      <w:r>
        <w:rPr>
          <w:rFonts w:ascii="Arial" w:eastAsia="Arial" w:hAnsi="Arial" w:cs="Arial"/>
          <w:color w:val="000000"/>
          <w:sz w:val="20"/>
        </w:rPr>
        <w:t>August 18, 2020, Argued; March 24, 2021, Decided</w:t>
      </w:r>
    </w:p>
    <w:p w14:paraId="6719523F" w14:textId="77777777" w:rsidR="002B10A6" w:rsidRDefault="00000000">
      <w:pPr>
        <w:pStyle w:val="Normal11"/>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Docket No. 20-315</w:t>
      </w:r>
    </w:p>
    <w:p w14:paraId="5175274F" w14:textId="77777777" w:rsidR="002B10A6" w:rsidRDefault="002B10A6">
      <w:pPr>
        <w:pStyle w:val="Normal11"/>
        <w:widowControl w:val="0"/>
        <w:spacing w:line="240" w:lineRule="atLeast"/>
        <w:jc w:val="both"/>
      </w:pPr>
      <w:bookmarkStart w:id="1709" w:name="Bookmark_12"/>
      <w:bookmarkEnd w:id="1709"/>
    </w:p>
    <w:p w14:paraId="1671D52C" w14:textId="77777777" w:rsidR="002B10A6" w:rsidRDefault="00000000">
      <w:pPr>
        <w:pStyle w:val="Normal11"/>
        <w:widowControl w:val="0"/>
        <w:spacing w:before="200" w:line="240" w:lineRule="atLeast"/>
      </w:pPr>
      <w:bookmarkStart w:id="1710" w:name="Reporter_10"/>
      <w:bookmarkEnd w:id="1710"/>
      <w:r>
        <w:rPr>
          <w:rFonts w:ascii="Arial" w:eastAsia="Arial" w:hAnsi="Arial" w:cs="Arial"/>
          <w:b/>
          <w:color w:val="000000"/>
          <w:sz w:val="18"/>
        </w:rPr>
        <w:t>Reporter</w:t>
      </w:r>
    </w:p>
    <w:p w14:paraId="280BB9CD" w14:textId="77777777" w:rsidR="002B10A6" w:rsidRDefault="00000000">
      <w:pPr>
        <w:pStyle w:val="Normal11"/>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992 F.3d 61 *; 2021 U.S. App. LEXIS 8542 **; 2021 WL 1112867</w:t>
      </w:r>
    </w:p>
    <w:p w14:paraId="64E3A584" w14:textId="77777777" w:rsidR="002B10A6" w:rsidRDefault="00000000">
      <w:pPr>
        <w:pStyle w:val="Normal11"/>
        <w:widowControl w:val="0"/>
        <w:spacing w:before="120" w:line="260" w:lineRule="atLeast"/>
      </w:pPr>
      <w:r>
        <w:rPr>
          <w:rFonts w:ascii="Arial" w:eastAsia="Arial" w:hAnsi="Arial" w:cs="Arial"/>
          <w:color w:val="000000"/>
          <w:sz w:val="20"/>
        </w:rPr>
        <w:t>LISSETTE VEGA-RUIZ, Plaintiff-Appellant, - v. - NORTHWELL HEALTH, (FORMERLY NORTH SHORE-LONG ISLAND JEWISH HEALTH SYSTEM), LONG ISLAND JEWISH VALLEY STREAM, LONG ISLAND JEWISH MEDICAL CENTER, Defendants-Appellees.</w:t>
      </w:r>
    </w:p>
    <w:p w14:paraId="0C51B410" w14:textId="77777777" w:rsidR="002B10A6" w:rsidRDefault="00000000">
      <w:pPr>
        <w:pStyle w:val="Normal11"/>
        <w:widowControl w:val="0"/>
        <w:spacing w:before="240" w:line="260" w:lineRule="atLeast"/>
        <w:jc w:val="both"/>
      </w:pPr>
      <w:bookmarkStart w:id="1711" w:name="Prior_History_10"/>
      <w:bookmarkEnd w:id="1711"/>
      <w:r>
        <w:rPr>
          <w:rFonts w:ascii="Arial" w:eastAsia="Arial" w:hAnsi="Arial" w:cs="Arial"/>
          <w:b/>
          <w:color w:val="000000"/>
          <w:sz w:val="20"/>
        </w:rPr>
        <w:t>Prior History:</w:t>
      </w:r>
      <w:r>
        <w:rPr>
          <w:rFonts w:ascii="Arial" w:eastAsia="Arial" w:hAnsi="Arial" w:cs="Arial"/>
          <w:color w:val="000000"/>
          <w:sz w:val="20"/>
        </w:rPr>
        <w:t> </w:t>
      </w:r>
      <w:bookmarkStart w:id="1712" w:name="Bookmark_para_1_10"/>
      <w:bookmarkEnd w:id="1712"/>
      <w:r>
        <w:rPr>
          <w:rFonts w:ascii="Arial" w:eastAsia="Arial" w:hAnsi="Arial" w:cs="Arial"/>
          <w:color w:val="000000"/>
          <w:sz w:val="20"/>
        </w:rPr>
        <w:t>Plaintiff-appellant Lissette Vega-Ruiz appeals from a judgment of the United States District Court for the Eastern District of New York (Hurley, J.) entered on January 14, 2020 granting defendants-appellees' Rule 12(b)(6) motion to dismiss based on plaintiff's failure to timely file her complaint. We hold that Vega-Ruiz's disability discrimination claim arises under the Affordable Care Act for the purposes of 28 U.S.C. § 1658(a) [**1] , which grants a four-year catchall statute of limitations period for all Acts of Congress enacted after December 1, 1990, and thus the district court erred in applying a three-year statute of limitations period. Vega-Ruiz's claim was timely. Accordingly, we VACATE and REMAND.</w:t>
      </w:r>
    </w:p>
    <w:p w14:paraId="35758E00" w14:textId="77777777" w:rsidR="002B10A6" w:rsidRDefault="00000000">
      <w:pPr>
        <w:pStyle w:val="Normal11"/>
        <w:widowControl w:val="0"/>
        <w:spacing w:before="120" w:line="260" w:lineRule="atLeast"/>
      </w:pPr>
      <w:r>
        <w:rPr>
          <w:rFonts w:ascii="Arial" w:eastAsia="Arial" w:hAnsi="Arial" w:cs="Arial"/>
          <w:color w:val="000000"/>
          <w:sz w:val="20"/>
        </w:rPr>
        <w:t>Vega-Ruiz v. Northwell Health, 2020 U.S. Dist. LEXIS 6281, 2020 WL 207949 (E.D.N.Y., Jan. 14, 2020)</w:t>
      </w:r>
    </w:p>
    <w:p w14:paraId="79D554B6" w14:textId="77777777" w:rsidR="002B10A6" w:rsidRDefault="00000000">
      <w:pPr>
        <w:pStyle w:val="Normal11"/>
        <w:widowControl w:val="0"/>
        <w:spacing w:before="240" w:line="260" w:lineRule="atLeast"/>
      </w:pPr>
      <w:bookmarkStart w:id="1713" w:name="Counsel_10"/>
      <w:bookmarkEnd w:id="1713"/>
      <w:r>
        <w:rPr>
          <w:rFonts w:ascii="Arial" w:eastAsia="Arial" w:hAnsi="Arial" w:cs="Arial"/>
          <w:b/>
          <w:color w:val="000000"/>
          <w:sz w:val="20"/>
        </w:rPr>
        <w:t>Counsel:</w:t>
      </w:r>
      <w:r>
        <w:rPr>
          <w:rFonts w:ascii="Arial" w:eastAsia="Arial" w:hAnsi="Arial" w:cs="Arial"/>
          <w:color w:val="000000"/>
          <w:sz w:val="20"/>
        </w:rPr>
        <w:t> ANDREW ROZYNSKI, Eisenberg &amp; Baum, LLP, New York, NY, for Plaintiff-Appellant.</w:t>
      </w:r>
    </w:p>
    <w:p w14:paraId="081FCB99" w14:textId="77777777" w:rsidR="002B10A6" w:rsidRDefault="00000000">
      <w:pPr>
        <w:pStyle w:val="Normal11"/>
        <w:widowControl w:val="0"/>
        <w:spacing w:before="120" w:line="260" w:lineRule="atLeast"/>
      </w:pPr>
      <w:r>
        <w:rPr>
          <w:rFonts w:ascii="Arial" w:eastAsia="Arial" w:hAnsi="Arial" w:cs="Arial"/>
          <w:color w:val="000000"/>
          <w:sz w:val="20"/>
        </w:rPr>
        <w:t>DANIEL J. LAROSE, Collazo &amp; Keil LLP (John P. Keil, on the brief), New York, NY, for Defendants-Appellees.</w:t>
      </w:r>
    </w:p>
    <w:p w14:paraId="46D25B43" w14:textId="77777777" w:rsidR="002B10A6" w:rsidRDefault="00000000">
      <w:pPr>
        <w:pStyle w:val="Normal11"/>
        <w:widowControl w:val="0"/>
        <w:spacing w:before="240" w:line="260" w:lineRule="atLeast"/>
      </w:pPr>
      <w:bookmarkStart w:id="1714" w:name="Judges_10"/>
      <w:bookmarkEnd w:id="1714"/>
      <w:r>
        <w:rPr>
          <w:rFonts w:ascii="Arial" w:eastAsia="Arial" w:hAnsi="Arial" w:cs="Arial"/>
          <w:b/>
          <w:color w:val="000000"/>
          <w:sz w:val="20"/>
        </w:rPr>
        <w:t>Judges:</w:t>
      </w:r>
      <w:r>
        <w:rPr>
          <w:rFonts w:ascii="Arial" w:eastAsia="Arial" w:hAnsi="Arial" w:cs="Arial"/>
          <w:color w:val="000000"/>
          <w:sz w:val="20"/>
        </w:rPr>
        <w:t> Before: NEWMAN and POOLER, Circuit Judges.</w:t>
      </w:r>
      <w:r>
        <w:rPr>
          <w:rFonts w:ascii="Arial" w:eastAsia="Arial" w:hAnsi="Arial" w:cs="Arial"/>
          <w:vertAlign w:val="superscript"/>
        </w:rPr>
        <w:footnoteReference w:customMarkFollows="1" w:id="74"/>
        <w:t>1</w:t>
      </w:r>
    </w:p>
    <w:p w14:paraId="0F03F967" w14:textId="77777777" w:rsidR="002B10A6" w:rsidRDefault="00000000">
      <w:pPr>
        <w:pStyle w:val="Normal11"/>
        <w:keepNext/>
        <w:widowControl w:val="0"/>
        <w:spacing w:before="240" w:line="340" w:lineRule="atLeast"/>
      </w:pPr>
      <w:bookmarkStart w:id="1716" w:name="Opinion_10"/>
      <w:bookmarkEnd w:id="1716"/>
      <w:r>
        <w:rPr>
          <w:rFonts w:ascii="Arial" w:eastAsia="Arial" w:hAnsi="Arial" w:cs="Arial"/>
          <w:b/>
          <w:color w:val="000000"/>
          <w:sz w:val="28"/>
        </w:rPr>
        <w:t>Opinion</w:t>
      </w:r>
    </w:p>
    <w:p w14:paraId="268392A7" w14:textId="403D3D4B" w:rsidR="002B10A6" w:rsidRDefault="002D6974">
      <w:pPr>
        <w:pStyle w:val="Normal11"/>
        <w:spacing w:line="60" w:lineRule="exact"/>
      </w:pPr>
      <w:r>
        <w:rPr>
          <w:noProof/>
        </w:rPr>
        <mc:AlternateContent>
          <mc:Choice Requires="wps">
            <w:drawing>
              <wp:anchor distT="0" distB="0" distL="114300" distR="114300" simplePos="0" relativeHeight="251681792" behindDoc="0" locked="0" layoutInCell="1" allowOverlap="1" wp14:anchorId="5DDEA7E3" wp14:editId="1E51B945">
                <wp:simplePos x="0" y="0"/>
                <wp:positionH relativeFrom="column">
                  <wp:posOffset>0</wp:posOffset>
                </wp:positionH>
                <wp:positionV relativeFrom="paragraph">
                  <wp:posOffset>25400</wp:posOffset>
                </wp:positionV>
                <wp:extent cx="3187700" cy="0"/>
                <wp:effectExtent l="19050" t="15875" r="12700" b="12700"/>
                <wp:wrapTopAndBottom/>
                <wp:docPr id="1165484065"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D3012" id="Line 2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09DC6EB" w14:textId="77777777" w:rsidR="002B10A6" w:rsidRDefault="002B10A6">
      <w:pPr>
        <w:pStyle w:val="Normal11"/>
      </w:pPr>
    </w:p>
    <w:p w14:paraId="5FE4EC54" w14:textId="77777777" w:rsidR="002B10A6" w:rsidRDefault="00000000">
      <w:pPr>
        <w:pStyle w:val="Normal11"/>
        <w:widowControl w:val="0"/>
        <w:spacing w:before="200" w:line="260" w:lineRule="atLeast"/>
        <w:jc w:val="both"/>
      </w:pPr>
      <w:bookmarkStart w:id="1717" w:name="Bookmark_para_2_10"/>
      <w:bookmarkEnd w:id="1717"/>
      <w:r>
        <w:rPr>
          <w:rFonts w:ascii="Arial" w:eastAsia="Arial" w:hAnsi="Arial" w:cs="Arial"/>
          <w:color w:val="000000"/>
          <w:sz w:val="20"/>
        </w:rPr>
        <w:t> [*62]  Per Curiam:</w:t>
      </w:r>
    </w:p>
    <w:p w14:paraId="6C4B2CE0" w14:textId="77777777" w:rsidR="002B10A6" w:rsidRDefault="00000000">
      <w:pPr>
        <w:pStyle w:val="Normal11"/>
        <w:widowControl w:val="0"/>
        <w:spacing w:before="200" w:line="260" w:lineRule="atLeast"/>
        <w:jc w:val="both"/>
      </w:pPr>
      <w:bookmarkStart w:id="1718" w:name="Bookmark_para_3_10"/>
      <w:bookmarkEnd w:id="1718"/>
      <w:r>
        <w:rPr>
          <w:rFonts w:ascii="Arial" w:eastAsia="Arial" w:hAnsi="Arial" w:cs="Arial"/>
          <w:color w:val="000000"/>
          <w:sz w:val="20"/>
        </w:rPr>
        <w:t xml:space="preserve">Plaintiff-appellant Lissette Vega-Ruiz appeals from a judgment of the United States District Court for the Eastern District of New York (Hurley, </w:t>
      </w:r>
      <w:r>
        <w:rPr>
          <w:rFonts w:ascii="Arial" w:eastAsia="Arial" w:hAnsi="Arial" w:cs="Arial"/>
          <w:i/>
          <w:color w:val="000000"/>
          <w:sz w:val="20"/>
        </w:rPr>
        <w:t>J</w:t>
      </w:r>
      <w:r>
        <w:rPr>
          <w:rFonts w:ascii="Arial" w:eastAsia="Arial" w:hAnsi="Arial" w:cs="Arial"/>
          <w:color w:val="000000"/>
          <w:sz w:val="20"/>
        </w:rPr>
        <w:t xml:space="preserve">.) entered on January 14, 2020, granting defendants-appellees' Federal Rule of Civil Procedure 12(b)(6) motion to dismiss on statute of limitations grounds. </w:t>
      </w:r>
      <w:bookmarkStart w:id="1719" w:name="Bookmark_LNHNREFclscc1_9"/>
      <w:bookmarkEnd w:id="1719"/>
      <w:r>
        <w:rPr>
          <w:rFonts w:ascii="Arial" w:eastAsia="Arial" w:hAnsi="Arial" w:cs="Arial"/>
          <w:color w:val="000000"/>
          <w:sz w:val="20"/>
        </w:rPr>
        <w:t>In this appeal, we decide [**2]  whether Vega-Ruiz's disability discrimination claim arises under the Patient Protection and Affordable Care Act ("ACA"), Pub. L. 111-148, 124 Stat 119 (2010),  [*63]  for the purposes of 28 U.S.C. § 1658(a), which provides a four-year catchall statute of limitations period for all Acts of Congress enacted after December 1, 1990. If her claim arises under the ACA, the district court erred in its dismissal. If, however, her claim arises under the Rehabilitation Act, Pub. L. No. 93-112, 87 Stat. 355 (1973), a three-year statute of limitations period applies, and the district court did not err in dismissing her claim. For the reasons described below, we hold that Vega-Ruiz's claim arose under the ACA and therefore was timely.</w:t>
      </w:r>
    </w:p>
    <w:p w14:paraId="1B058FD4" w14:textId="77777777" w:rsidR="002B10A6" w:rsidRDefault="00000000">
      <w:pPr>
        <w:pStyle w:val="Normal11"/>
        <w:widowControl w:val="0"/>
        <w:spacing w:before="240" w:line="260" w:lineRule="atLeast"/>
      </w:pPr>
      <w:r>
        <w:br/>
      </w:r>
      <w:r>
        <w:rPr>
          <w:rFonts w:ascii="Arial" w:eastAsia="Arial" w:hAnsi="Arial" w:cs="Arial"/>
          <w:b/>
          <w:smallCaps/>
          <w:color w:val="000000"/>
          <w:sz w:val="20"/>
        </w:rPr>
        <w:t>Background</w:t>
      </w:r>
    </w:p>
    <w:p w14:paraId="3F6B74A2" w14:textId="77777777" w:rsidR="002B10A6" w:rsidRDefault="00000000">
      <w:pPr>
        <w:pStyle w:val="Normal11"/>
        <w:widowControl w:val="0"/>
        <w:spacing w:before="200" w:line="260" w:lineRule="atLeast"/>
        <w:jc w:val="both"/>
      </w:pPr>
      <w:bookmarkStart w:id="1720" w:name="Bookmark_para_4_10"/>
      <w:bookmarkEnd w:id="1720"/>
      <w:r>
        <w:rPr>
          <w:rFonts w:ascii="Arial" w:eastAsia="Arial" w:hAnsi="Arial" w:cs="Arial"/>
          <w:color w:val="000000"/>
          <w:sz w:val="20"/>
        </w:rPr>
        <w:t>Vega-Ruiz is "profoundly deaf," limiting her English proficiency and her ability to communicate by reading lips. App'x 6. Vega-Ruiz communicates primarily through American Sign Language ("ASL"). On October 13, 2015, Vega-Ruiz accompanied her brother to Long Island Jewish Valley Stream, a facility operated by Northwell Health (collectively, "Northwell"), as his healthcare proxy for a scheduled surgery. During her brother's visit, Vega-Ruiz requested an ASL interpreter in order to fulfill her duties as a proxy. Instead, Northwell provided a Spanish-speaking [**3]  language interpreter who communicated to Vega-Ruiz through written notes and lip reading.</w:t>
      </w:r>
    </w:p>
    <w:p w14:paraId="186642AC" w14:textId="77777777" w:rsidR="002B10A6" w:rsidRDefault="00000000">
      <w:pPr>
        <w:pStyle w:val="Normal11"/>
        <w:widowControl w:val="0"/>
        <w:spacing w:before="200" w:line="260" w:lineRule="atLeast"/>
        <w:jc w:val="both"/>
      </w:pPr>
      <w:bookmarkStart w:id="1721" w:name="Bookmark_para_5_10"/>
      <w:bookmarkStart w:id="1722" w:name="Bookmark_I629DSSN2SF7S50020000400"/>
      <w:bookmarkEnd w:id="1721"/>
      <w:bookmarkEnd w:id="1722"/>
      <w:r>
        <w:rPr>
          <w:rFonts w:ascii="Arial" w:eastAsia="Arial" w:hAnsi="Arial" w:cs="Arial"/>
          <w:color w:val="000000"/>
          <w:sz w:val="20"/>
        </w:rPr>
        <w:t xml:space="preserve">Three years and three months later, on January 28, 2019, Vega-Ruiz filed a complaint against defendants alleging disability discrimination under the ACA, specifically 42 U.S.C. § 18116(a). </w:t>
      </w:r>
      <w:bookmarkStart w:id="1723" w:name="Bookmark_I629DSSN2SF7S50040000400"/>
      <w:bookmarkEnd w:id="1723"/>
      <w:r>
        <w:rPr>
          <w:rFonts w:ascii="Arial" w:eastAsia="Arial" w:hAnsi="Arial" w:cs="Arial"/>
          <w:color w:val="000000"/>
          <w:sz w:val="20"/>
        </w:rPr>
        <w:t xml:space="preserve">On January 14, 2020, the district court dismissed the case for failure to state a claim, concluding that Vega-Ruiz's claim was untimely. The district court reasoned, "though the complaint formally alleges a violation of the ACA, Plaintiff's claim is made possible by the Rehabilitation Act." </w:t>
      </w:r>
      <w:bookmarkStart w:id="1724" w:name="Bookmark_I629DSSN2SF7S50010000400"/>
      <w:bookmarkEnd w:id="1724"/>
      <w:r>
        <w:rPr>
          <w:rFonts w:ascii="Arial" w:eastAsia="Arial" w:hAnsi="Arial" w:cs="Arial"/>
          <w:i/>
          <w:color w:val="000000"/>
          <w:sz w:val="20"/>
        </w:rPr>
        <w:t>Vega-Ruiz v. Northwell Health</w:t>
      </w:r>
      <w:r>
        <w:rPr>
          <w:rFonts w:ascii="Arial" w:eastAsia="Arial" w:hAnsi="Arial" w:cs="Arial"/>
          <w:color w:val="000000"/>
          <w:sz w:val="20"/>
        </w:rPr>
        <w:t xml:space="preserve">, 19-cv-0537 (DRH) (AYS), 2020 U.S. Dist. LEXIS 6281, 2020 WL 207949, at *3 (Jan. 14, 2020). </w:t>
      </w:r>
      <w:bookmarkStart w:id="1725" w:name="Bookmark_I629DSSN2SF7S50040000400_2"/>
      <w:bookmarkEnd w:id="1725"/>
      <w:r>
        <w:rPr>
          <w:rFonts w:ascii="Arial" w:eastAsia="Arial" w:hAnsi="Arial" w:cs="Arial"/>
          <w:color w:val="000000"/>
          <w:sz w:val="20"/>
        </w:rPr>
        <w:t xml:space="preserve">The district court concluded that the claim was "in effect, a Rehabilitation Act claim" to which New York's three-year statute of limitations period for personal injury actions applied—a period that expired before Vega-Ruiz's filing. </w:t>
      </w:r>
      <w:bookmarkStart w:id="1726" w:name="Bookmark_I629DSSN2SF7S50030000400"/>
      <w:bookmarkEnd w:id="1726"/>
      <w:r>
        <w:rPr>
          <w:rFonts w:ascii="Arial" w:eastAsia="Arial" w:hAnsi="Arial" w:cs="Arial"/>
          <w:color w:val="000000"/>
          <w:sz w:val="20"/>
        </w:rPr>
        <w:t>2020 U.S. Dist. LEXIS 6281, [WL] at *4.</w:t>
      </w:r>
    </w:p>
    <w:p w14:paraId="26186F77" w14:textId="77777777" w:rsidR="002B10A6" w:rsidRDefault="00000000">
      <w:pPr>
        <w:pStyle w:val="Normal11"/>
        <w:widowControl w:val="0"/>
        <w:spacing w:before="240" w:line="260" w:lineRule="atLeast"/>
      </w:pPr>
      <w:r>
        <w:br/>
      </w:r>
      <w:r>
        <w:rPr>
          <w:rFonts w:ascii="Arial" w:eastAsia="Arial" w:hAnsi="Arial" w:cs="Arial"/>
          <w:b/>
          <w:smallCaps/>
          <w:color w:val="000000"/>
          <w:sz w:val="20"/>
        </w:rPr>
        <w:t>Discussion</w:t>
      </w:r>
    </w:p>
    <w:p w14:paraId="1278FDCD" w14:textId="77777777" w:rsidR="002B10A6" w:rsidRDefault="00000000">
      <w:pPr>
        <w:pStyle w:val="Normal11"/>
        <w:widowControl w:val="0"/>
        <w:spacing w:before="200" w:line="260" w:lineRule="atLeast"/>
        <w:jc w:val="both"/>
      </w:pPr>
      <w:bookmarkStart w:id="1727" w:name="Bookmark_para_6_10"/>
      <w:bookmarkEnd w:id="1727"/>
      <w:r>
        <w:rPr>
          <w:rFonts w:ascii="Arial" w:eastAsia="Arial" w:hAnsi="Arial" w:cs="Arial"/>
          <w:color w:val="000000"/>
          <w:sz w:val="20"/>
        </w:rPr>
        <w:t>Vega-Ruiz argues that our inquiry should rely solely on the statutory text of both the ACA and Section 1658 because: (1) she raised a claim under the ACA; and (2) the ACA was enacted after December 1, 1990 and does not include a statute of limitations period, thus triggering § 1658's four-year catchall statute of limitations period. In contrast, Northwell argues that, because [**4]  Vega-Ruiz's claim relies on a portion of the ACA that borrows enforcement mechanisms from the Rehabilitation Act, it is not one "arising under" a post-1990 statute—rendering § 1658's four-year limitations period inapt. Appellee Br. 7, 11-12.</w:t>
      </w:r>
    </w:p>
    <w:p w14:paraId="46AD6595" w14:textId="77777777" w:rsidR="002B10A6" w:rsidRDefault="00000000">
      <w:pPr>
        <w:pStyle w:val="Normal11"/>
        <w:widowControl w:val="0"/>
        <w:spacing w:before="200" w:line="260" w:lineRule="atLeast"/>
        <w:jc w:val="both"/>
      </w:pPr>
      <w:bookmarkStart w:id="1728" w:name="Bookmark_para_7_10"/>
      <w:bookmarkStart w:id="1729" w:name="Bookmark_I629DSSP2HM5X90010000400"/>
      <w:bookmarkStart w:id="1730" w:name="Bookmark_I629DSSP2HM5X90050000400"/>
      <w:bookmarkEnd w:id="1728"/>
      <w:bookmarkEnd w:id="1729"/>
      <w:bookmarkEnd w:id="1730"/>
      <w:r>
        <w:rPr>
          <w:rFonts w:ascii="Arial" w:eastAsia="Arial" w:hAnsi="Arial" w:cs="Arial"/>
          <w:color w:val="000000"/>
          <w:sz w:val="20"/>
        </w:rPr>
        <w:t xml:space="preserve">Before Congress' enactment of Section 1658, if a federal statute lacked a limitations period, federal courts looked to the "most appropriate or analogous state statute of limitations." </w:t>
      </w:r>
      <w:bookmarkStart w:id="1731" w:name="Bookmark_I629DSSN2SF7S50050000400"/>
      <w:bookmarkEnd w:id="1731"/>
      <w:r>
        <w:rPr>
          <w:rFonts w:ascii="Arial" w:eastAsia="Arial" w:hAnsi="Arial" w:cs="Arial"/>
          <w:i/>
          <w:color w:val="000000"/>
          <w:sz w:val="20"/>
        </w:rPr>
        <w:t>Morse v. Univ. of Vermont</w:t>
      </w:r>
      <w:r>
        <w:rPr>
          <w:rFonts w:ascii="Arial" w:eastAsia="Arial" w:hAnsi="Arial" w:cs="Arial"/>
          <w:color w:val="000000"/>
          <w:sz w:val="20"/>
        </w:rPr>
        <w:t xml:space="preserve">, 973 F.2d 122, 125 (2d Cir. 1992) (citing </w:t>
      </w:r>
      <w:bookmarkStart w:id="1732" w:name="Bookmark_I629DSSP2HM5X90020000400"/>
      <w:bookmarkEnd w:id="1732"/>
      <w:r>
        <w:rPr>
          <w:rFonts w:ascii="Arial" w:eastAsia="Arial" w:hAnsi="Arial" w:cs="Arial"/>
          <w:i/>
          <w:color w:val="000000"/>
          <w:sz w:val="20"/>
        </w:rPr>
        <w:t>Goodman v. Lukens Steel Co.</w:t>
      </w:r>
      <w:r>
        <w:rPr>
          <w:rFonts w:ascii="Arial" w:eastAsia="Arial" w:hAnsi="Arial" w:cs="Arial"/>
          <w:color w:val="000000"/>
          <w:sz w:val="20"/>
        </w:rPr>
        <w:t xml:space="preserve">, 482 U.S. 656, 660, 107 S. Ct. 2617, 96 L. Ed. 2d 572 (1987)). </w:t>
      </w:r>
      <w:bookmarkStart w:id="1733" w:name="Bookmark_I629DSSP28T4C60020000400"/>
      <w:bookmarkStart w:id="1734" w:name="Bookmark_LNHNREFclscc2_9"/>
      <w:bookmarkEnd w:id="1733"/>
      <w:bookmarkEnd w:id="1734"/>
      <w:r>
        <w:rPr>
          <w:rFonts w:ascii="Arial" w:eastAsia="Arial" w:hAnsi="Arial" w:cs="Arial"/>
          <w:color w:val="000000"/>
          <w:sz w:val="20"/>
        </w:rPr>
        <w:t xml:space="preserve">The Rehabilitation Act lacks an express statute of limitations; courts thus apply the limitations period of a state's personal-injury laws. </w:t>
      </w:r>
      <w:bookmarkStart w:id="1735" w:name="Bookmark_I629DSSP2HM5X90040000400"/>
      <w:bookmarkEnd w:id="1735"/>
      <w:r>
        <w:rPr>
          <w:rFonts w:ascii="Arial" w:eastAsia="Arial" w:hAnsi="Arial" w:cs="Arial"/>
          <w:i/>
          <w:color w:val="000000"/>
          <w:sz w:val="20"/>
        </w:rPr>
        <w:t>Id.</w:t>
      </w:r>
      <w:r>
        <w:rPr>
          <w:rFonts w:ascii="Arial" w:eastAsia="Arial" w:hAnsi="Arial" w:cs="Arial"/>
          <w:color w:val="000000"/>
          <w:sz w:val="20"/>
        </w:rPr>
        <w:t xml:space="preserve"> at 127. In New York, this period is three years. </w:t>
      </w:r>
      <w:bookmarkStart w:id="1736" w:name="Bookmark_I629DSSP28T4C60020000400_2"/>
      <w:bookmarkStart w:id="1737" w:name="Bookmark_I629DSSP28T4C60010000400"/>
      <w:bookmarkEnd w:id="1736"/>
      <w:bookmarkEnd w:id="1737"/>
      <w:r>
        <w:rPr>
          <w:rFonts w:ascii="Arial" w:eastAsia="Arial" w:hAnsi="Arial" w:cs="Arial"/>
          <w:i/>
          <w:color w:val="000000"/>
          <w:sz w:val="20"/>
        </w:rPr>
        <w:t>Bates v. Long Island R.R. Co.</w:t>
      </w:r>
      <w:r>
        <w:rPr>
          <w:rFonts w:ascii="Arial" w:eastAsia="Arial" w:hAnsi="Arial" w:cs="Arial"/>
          <w:color w:val="000000"/>
          <w:sz w:val="20"/>
        </w:rPr>
        <w:t>, 997 F.2d 1028, 1037 (2d Cir. 1993).</w:t>
      </w:r>
    </w:p>
    <w:p w14:paraId="051EE33E" w14:textId="77777777" w:rsidR="002B10A6" w:rsidRDefault="00000000">
      <w:pPr>
        <w:pStyle w:val="Normal11"/>
        <w:widowControl w:val="0"/>
        <w:spacing w:before="200" w:line="260" w:lineRule="atLeast"/>
        <w:jc w:val="both"/>
      </w:pPr>
      <w:bookmarkStart w:id="1738" w:name="Bookmark_para_8_10"/>
      <w:bookmarkStart w:id="1739" w:name="Bookmark_I629DSSP28T4C60040000400"/>
      <w:bookmarkStart w:id="1740" w:name="Bookmark_I629DSSR2SF7S70010000400"/>
      <w:bookmarkEnd w:id="1738"/>
      <w:bookmarkEnd w:id="1739"/>
      <w:bookmarkEnd w:id="1740"/>
      <w:r>
        <w:rPr>
          <w:rFonts w:ascii="Arial" w:eastAsia="Arial" w:hAnsi="Arial" w:cs="Arial"/>
          <w:color w:val="000000"/>
          <w:sz w:val="20"/>
        </w:rPr>
        <w:t>In 1990, Congress enacted Section 1658 to simplify the previously arduous task of determining which limitations period to apply to an "'Act of Congress'" that did not  [*64]  contain a statute of limitations.</w:t>
      </w:r>
      <w:r>
        <w:rPr>
          <w:rFonts w:ascii="Arial" w:eastAsia="Arial" w:hAnsi="Arial" w:cs="Arial"/>
          <w:vertAlign w:val="superscript"/>
        </w:rPr>
        <w:footnoteReference w:customMarkFollows="1" w:id="75"/>
        <w:t>2</w:t>
      </w:r>
      <w:r>
        <w:rPr>
          <w:rFonts w:ascii="Arial" w:eastAsia="Arial" w:hAnsi="Arial" w:cs="Arial"/>
          <w:color w:val="000000"/>
          <w:sz w:val="20"/>
        </w:rPr>
        <w:t xml:space="preserve"> </w:t>
      </w:r>
      <w:bookmarkStart w:id="1742" w:name="Bookmark_I629DSSP28T4C60030000400"/>
      <w:bookmarkEnd w:id="1742"/>
      <w:r>
        <w:rPr>
          <w:rFonts w:ascii="Arial" w:eastAsia="Arial" w:hAnsi="Arial" w:cs="Arial"/>
          <w:i/>
          <w:color w:val="000000"/>
          <w:sz w:val="20"/>
        </w:rPr>
        <w:t>Jones v. R.R. Donnelley &amp; Sons Co.</w:t>
      </w:r>
      <w:r>
        <w:rPr>
          <w:rFonts w:ascii="Arial" w:eastAsia="Arial" w:hAnsi="Arial" w:cs="Arial"/>
          <w:color w:val="000000"/>
          <w:sz w:val="20"/>
        </w:rPr>
        <w:t xml:space="preserve">, 541 U.S. 369, 379-82, 124 S. Ct. 1836, 158 L. Ed. 2d 645 (2004) (quoting 28 U.S.C. § 1658(a)). </w:t>
      </w:r>
      <w:bookmarkStart w:id="1743" w:name="Bookmark_LNHNREFclscc3_9"/>
      <w:bookmarkEnd w:id="1743"/>
      <w:r>
        <w:rPr>
          <w:rFonts w:ascii="Arial" w:eastAsia="Arial" w:hAnsi="Arial" w:cs="Arial"/>
          <w:color w:val="000000"/>
          <w:sz w:val="20"/>
        </w:rPr>
        <w:t xml:space="preserve">With Section 1658, Congress created a "uniform federal statute of limitations" that applies when a federal statute fails to set its own limitations period. </w:t>
      </w:r>
      <w:bookmarkStart w:id="1744" w:name="Bookmark_I629DSSP28T4C60050000400"/>
      <w:bookmarkEnd w:id="1744"/>
      <w:r>
        <w:rPr>
          <w:rFonts w:ascii="Arial" w:eastAsia="Arial" w:hAnsi="Arial" w:cs="Arial"/>
          <w:i/>
          <w:color w:val="000000"/>
          <w:sz w:val="20"/>
        </w:rPr>
        <w:t>Id.</w:t>
      </w:r>
      <w:r>
        <w:rPr>
          <w:rFonts w:ascii="Arial" w:eastAsia="Arial" w:hAnsi="Arial" w:cs="Arial"/>
          <w:color w:val="000000"/>
          <w:sz w:val="20"/>
        </w:rPr>
        <w:t xml:space="preserve"> at 380. Section 1658 provides a four-year catchall limitations period for claims arising under "Acts of Congress" in effect after December 1, 1990 that do not specify a statute of limitations. </w:t>
      </w:r>
      <w:r>
        <w:rPr>
          <w:rFonts w:ascii="Arial" w:eastAsia="Arial" w:hAnsi="Arial" w:cs="Arial"/>
          <w:i/>
          <w:color w:val="000000"/>
          <w:sz w:val="20"/>
        </w:rPr>
        <w:t>See</w:t>
      </w:r>
      <w:r>
        <w:rPr>
          <w:rFonts w:ascii="Arial" w:eastAsia="Arial" w:hAnsi="Arial" w:cs="Arial"/>
          <w:color w:val="000000"/>
          <w:sz w:val="20"/>
        </w:rPr>
        <w:t xml:space="preserve"> 28 U.S.C. § 1658(a) ("Except as otherwise provided by law, a civil action arising under an [**5]  Act of Congress enacted after the date of the enactment of this section may not be commenced later than 4 years after the cause of action accrues.").</w:t>
      </w:r>
    </w:p>
    <w:p w14:paraId="0D007A66" w14:textId="77777777" w:rsidR="002B10A6" w:rsidRDefault="00000000">
      <w:pPr>
        <w:pStyle w:val="Normal11"/>
        <w:widowControl w:val="0"/>
        <w:spacing w:before="200" w:line="260" w:lineRule="atLeast"/>
        <w:jc w:val="both"/>
      </w:pPr>
      <w:bookmarkStart w:id="1745" w:name="Bookmark_para_9_10"/>
      <w:bookmarkStart w:id="1746" w:name="Bookmark_I629DSSR2SF7S70030000400"/>
      <w:bookmarkStart w:id="1747" w:name="Bookmark_I629DSSR2SF7S70050000400"/>
      <w:bookmarkStart w:id="1748" w:name="Bookmark_I629DSSR2D6NK40020000400"/>
      <w:bookmarkStart w:id="1749" w:name="Bookmark_LNHNREFclscc4_9"/>
      <w:bookmarkEnd w:id="1745"/>
      <w:bookmarkEnd w:id="1746"/>
      <w:bookmarkEnd w:id="1747"/>
      <w:bookmarkEnd w:id="1748"/>
      <w:bookmarkEnd w:id="1749"/>
      <w:r>
        <w:rPr>
          <w:rFonts w:ascii="Arial" w:eastAsia="Arial" w:hAnsi="Arial" w:cs="Arial"/>
          <w:color w:val="000000"/>
          <w:sz w:val="20"/>
        </w:rPr>
        <w:t xml:space="preserve">The Supreme Court has interpreted Section 1658's "arising under" language broadly, stating "[t]he history that led to the enactment of § 1658 strongly supports an interpretation that fills more rather than less of the void that has created so much unnecessary work for federal judges." </w:t>
      </w:r>
      <w:bookmarkStart w:id="1750" w:name="Bookmark_I629DSSR2SF7S70020000400"/>
      <w:bookmarkEnd w:id="1750"/>
      <w:r>
        <w:rPr>
          <w:rFonts w:ascii="Arial" w:eastAsia="Arial" w:hAnsi="Arial" w:cs="Arial"/>
          <w:i/>
          <w:color w:val="000000"/>
          <w:sz w:val="20"/>
        </w:rPr>
        <w:t>Jones</w:t>
      </w:r>
      <w:r>
        <w:rPr>
          <w:rFonts w:ascii="Arial" w:eastAsia="Arial" w:hAnsi="Arial" w:cs="Arial"/>
          <w:color w:val="000000"/>
          <w:sz w:val="20"/>
        </w:rPr>
        <w:t xml:space="preserve">, 541 U.S. at 380. The </w:t>
      </w:r>
      <w:r>
        <w:rPr>
          <w:rFonts w:ascii="Arial" w:eastAsia="Arial" w:hAnsi="Arial" w:cs="Arial"/>
          <w:i/>
          <w:color w:val="000000"/>
          <w:sz w:val="20"/>
        </w:rPr>
        <w:t>Jones</w:t>
      </w:r>
      <w:r>
        <w:rPr>
          <w:rFonts w:ascii="Arial" w:eastAsia="Arial" w:hAnsi="Arial" w:cs="Arial"/>
          <w:color w:val="000000"/>
          <w:sz w:val="20"/>
        </w:rPr>
        <w:t xml:space="preserve"> Court concluded that Section 1658's four-year limitations period applies just as much to an "amendment to an existing statute" as it does to a "new, stand-alone statute." </w:t>
      </w:r>
      <w:bookmarkStart w:id="1751" w:name="Bookmark_I629DSSR2SF7S70040000400"/>
      <w:bookmarkEnd w:id="1751"/>
      <w:r>
        <w:rPr>
          <w:rFonts w:ascii="Arial" w:eastAsia="Arial" w:hAnsi="Arial" w:cs="Arial"/>
          <w:i/>
          <w:color w:val="000000"/>
          <w:sz w:val="20"/>
        </w:rPr>
        <w:t>Id.</w:t>
      </w:r>
      <w:r>
        <w:rPr>
          <w:rFonts w:ascii="Arial" w:eastAsia="Arial" w:hAnsi="Arial" w:cs="Arial"/>
          <w:color w:val="000000"/>
          <w:sz w:val="20"/>
        </w:rPr>
        <w:t xml:space="preserve"> at 381. "What matters," the Court explained, "is the substantive effect of an enactment—the creation of new rights of action and corresponding liabilities—not the format in which it appears in the Code." </w:t>
      </w:r>
      <w:r>
        <w:rPr>
          <w:rFonts w:ascii="Arial" w:eastAsia="Arial" w:hAnsi="Arial" w:cs="Arial"/>
          <w:i/>
          <w:color w:val="000000"/>
          <w:sz w:val="20"/>
        </w:rPr>
        <w:t>Id.</w:t>
      </w:r>
      <w:r>
        <w:rPr>
          <w:rFonts w:ascii="Arial" w:eastAsia="Arial" w:hAnsi="Arial" w:cs="Arial"/>
          <w:color w:val="000000"/>
          <w:sz w:val="20"/>
        </w:rPr>
        <w:t xml:space="preserve"> In other words, "a cause of action arises under an Act of Congress enacted after December 1, 1990—and therefore is governed by § 1658's [four]-year statute of limitations—if the plaintiff's claim against the defendant was made possible by a post-1990 enactment." </w:t>
      </w:r>
      <w:bookmarkStart w:id="1752" w:name="Bookmark_I629DSSR2D6NK40010000400"/>
      <w:bookmarkEnd w:id="1752"/>
      <w:r>
        <w:rPr>
          <w:rFonts w:ascii="Arial" w:eastAsia="Arial" w:hAnsi="Arial" w:cs="Arial"/>
          <w:i/>
          <w:color w:val="000000"/>
          <w:sz w:val="20"/>
        </w:rPr>
        <w:t>Id.</w:t>
      </w:r>
      <w:r>
        <w:rPr>
          <w:rFonts w:ascii="Arial" w:eastAsia="Arial" w:hAnsi="Arial" w:cs="Arial"/>
          <w:color w:val="000000"/>
          <w:sz w:val="20"/>
        </w:rPr>
        <w:t xml:space="preserve"> at 382 (alteration and internal quotation marks omitted).</w:t>
      </w:r>
      <w:r>
        <w:rPr>
          <w:rFonts w:ascii="Arial" w:eastAsia="Arial" w:hAnsi="Arial" w:cs="Arial"/>
          <w:vertAlign w:val="superscript"/>
        </w:rPr>
        <w:footnoteReference w:customMarkFollows="1" w:id="76"/>
        <w:t>3</w:t>
      </w:r>
    </w:p>
    <w:p w14:paraId="6664495C" w14:textId="77777777" w:rsidR="002B10A6" w:rsidRDefault="00000000">
      <w:pPr>
        <w:pStyle w:val="Normal11"/>
        <w:widowControl w:val="0"/>
        <w:spacing w:before="200" w:line="260" w:lineRule="atLeast"/>
        <w:jc w:val="both"/>
      </w:pPr>
      <w:bookmarkStart w:id="1763" w:name="Bookmark_para_10_10"/>
      <w:bookmarkStart w:id="1764" w:name="Bookmark_I629DSSR28T4C70020000400"/>
      <w:bookmarkEnd w:id="1763"/>
      <w:bookmarkEnd w:id="1764"/>
      <w:r>
        <w:rPr>
          <w:rFonts w:ascii="Arial" w:eastAsia="Arial" w:hAnsi="Arial" w:cs="Arial"/>
          <w:color w:val="000000"/>
          <w:sz w:val="20"/>
        </w:rPr>
        <w:t xml:space="preserve">To apply the "made possible" standard here, we must look to the Rehabilitation Act, the ACA, and [**6]  the relationship between them in the context of this cause of action. </w:t>
      </w:r>
      <w:bookmarkStart w:id="1765" w:name="Bookmark_LNHNREFclscc5_9"/>
      <w:bookmarkEnd w:id="1765"/>
      <w:r>
        <w:rPr>
          <w:rFonts w:ascii="Arial" w:eastAsia="Arial" w:hAnsi="Arial" w:cs="Arial"/>
          <w:color w:val="000000"/>
          <w:sz w:val="20"/>
        </w:rPr>
        <w:t xml:space="preserve">The Rehabilitation Act applies standards in line with the Americans with Disabilities Act ("ADA"). </w:t>
      </w:r>
      <w:r>
        <w:rPr>
          <w:rFonts w:ascii="Arial" w:eastAsia="Arial" w:hAnsi="Arial" w:cs="Arial"/>
          <w:i/>
          <w:color w:val="000000"/>
          <w:sz w:val="20"/>
        </w:rPr>
        <w:t xml:space="preserve">See </w:t>
      </w:r>
      <w:bookmarkStart w:id="1766" w:name="Bookmark_I629DSSR28T4C70010000400"/>
      <w:bookmarkEnd w:id="1766"/>
      <w:r>
        <w:rPr>
          <w:rFonts w:ascii="Arial" w:eastAsia="Arial" w:hAnsi="Arial" w:cs="Arial"/>
          <w:i/>
          <w:color w:val="000000"/>
          <w:sz w:val="20"/>
        </w:rPr>
        <w:t>McElwee v. Cnty. of Orange</w:t>
      </w:r>
      <w:r>
        <w:rPr>
          <w:rFonts w:ascii="Arial" w:eastAsia="Arial" w:hAnsi="Arial" w:cs="Arial"/>
          <w:color w:val="000000"/>
          <w:sz w:val="20"/>
        </w:rPr>
        <w:t>, 700 F.3d 635, 640 (2d Cir. 2012). The ADA distinguishes between standards required for public entities (Title II), 42 U.S.C. § 12131, and those required for "public accommodations" (Title III), such as the hospital in question, 42 U.S.C. § 12181(7)(F).</w:t>
      </w:r>
    </w:p>
    <w:p w14:paraId="305F3201" w14:textId="77777777" w:rsidR="002B10A6" w:rsidRDefault="00000000">
      <w:pPr>
        <w:pStyle w:val="Normal11"/>
        <w:widowControl w:val="0"/>
        <w:spacing w:before="200" w:line="260" w:lineRule="atLeast"/>
        <w:jc w:val="both"/>
      </w:pPr>
      <w:bookmarkStart w:id="1767" w:name="Bookmark_para_11_10"/>
      <w:bookmarkStart w:id="1768" w:name="Bookmark_LNHNREFclscc6_8"/>
      <w:bookmarkEnd w:id="1767"/>
      <w:bookmarkEnd w:id="1768"/>
      <w:r>
        <w:rPr>
          <w:rFonts w:ascii="Arial" w:eastAsia="Arial" w:hAnsi="Arial" w:cs="Arial"/>
          <w:color w:val="000000"/>
          <w:sz w:val="20"/>
        </w:rPr>
        <w:t xml:space="preserve">Where Title II applies, an entity </w:t>
      </w:r>
      <w:r>
        <w:rPr>
          <w:rFonts w:ascii="Arial" w:eastAsia="Arial" w:hAnsi="Arial" w:cs="Arial"/>
          <w:i/>
          <w:color w:val="000000"/>
          <w:sz w:val="20"/>
        </w:rPr>
        <w:t>must</w:t>
      </w:r>
      <w:r>
        <w:rPr>
          <w:rFonts w:ascii="Arial" w:eastAsia="Arial" w:hAnsi="Arial" w:cs="Arial"/>
          <w:color w:val="000000"/>
          <w:sz w:val="20"/>
        </w:rPr>
        <w:t xml:space="preserve"> give "primary consideration" to the kind of aid requested by a person with a communication disability, though the "type of auxiliary aid or service necessary to ensure effective communication will vary in accordance  [*65]  with the method of communication used by the individual." 28 C.F.R. § 35.160(b)(2). Giving primary consideration means that a Title II entity must "honor the person's choice, unless it can demonstrate that another equally effective means of communication is available, or that the use of the means chosen would result in a fundamental alteration or in an undue burden." U.S. Dep't of Justice, Civil Rights Div., Disability Rights Section, ADA Requirements, Effective Communication, https://www.ada.gov/effective-comm.pdf (Jan. 2014) (hereinafter "DOJ, ADA Requirements"), at 6; </w:t>
      </w:r>
      <w:r>
        <w:rPr>
          <w:rFonts w:ascii="Arial" w:eastAsia="Arial" w:hAnsi="Arial" w:cs="Arial"/>
          <w:i/>
          <w:color w:val="000000"/>
          <w:sz w:val="20"/>
        </w:rPr>
        <w:t>accord</w:t>
      </w:r>
      <w:r>
        <w:rPr>
          <w:rFonts w:ascii="Arial" w:eastAsia="Arial" w:hAnsi="Arial" w:cs="Arial"/>
          <w:color w:val="000000"/>
          <w:sz w:val="20"/>
        </w:rPr>
        <w:t xml:space="preserve"> 28 C.F.R. § Pt. 35, App. A.</w:t>
      </w:r>
    </w:p>
    <w:p w14:paraId="4F0E1333" w14:textId="77777777" w:rsidR="002B10A6" w:rsidRDefault="00000000">
      <w:pPr>
        <w:pStyle w:val="Normal11"/>
        <w:widowControl w:val="0"/>
        <w:spacing w:before="200" w:line="260" w:lineRule="atLeast"/>
        <w:jc w:val="both"/>
      </w:pPr>
      <w:bookmarkStart w:id="1769" w:name="Bookmark_para_12_9"/>
      <w:bookmarkStart w:id="1770" w:name="Bookmark_LNHNREFclscc7_8"/>
      <w:bookmarkEnd w:id="1769"/>
      <w:bookmarkEnd w:id="1770"/>
      <w:r>
        <w:rPr>
          <w:rFonts w:ascii="Arial" w:eastAsia="Arial" w:hAnsi="Arial" w:cs="Arial"/>
          <w:color w:val="000000"/>
          <w:sz w:val="20"/>
        </w:rPr>
        <w:t xml:space="preserve">Under Title III, however, entities [**7]  are only "encouraged to consult with the person with a disability to discuss what aid or service is appropriate." DOJ, ADA Requirements at 6 (emphasis omitted). Put simply, Title III entities are not obligated to honor an individual's choice of aid. </w:t>
      </w:r>
      <w:r>
        <w:rPr>
          <w:rFonts w:ascii="Arial" w:eastAsia="Arial" w:hAnsi="Arial" w:cs="Arial"/>
          <w:i/>
          <w:color w:val="000000"/>
          <w:sz w:val="20"/>
        </w:rPr>
        <w:t>See</w:t>
      </w:r>
      <w:r>
        <w:rPr>
          <w:rFonts w:ascii="Arial" w:eastAsia="Arial" w:hAnsi="Arial" w:cs="Arial"/>
          <w:color w:val="000000"/>
          <w:sz w:val="20"/>
        </w:rPr>
        <w:t xml:space="preserve"> 28 C.F.R. § 36.303(c)(1)(ii) ("A public accommodation should consult with individuals with disabilities whenever possible to determine what type of auxiliary aid is needed to ensure effective communication, but the ultimate decision as to what measures to take rests with the public accommodation, provided that the method chosen results in effective communication."); 28 C.F.R. § Pt. 36, App. C ("Congress did not intend under [T]itle III to impose upon a public accommodation the requirement that it give primary consideration to the request of the individual with a disability. . . . [T]he Department [of Justice] finds that strongly encouraging consultation with persons with disabilities, </w:t>
      </w:r>
      <w:r>
        <w:rPr>
          <w:rFonts w:ascii="Arial" w:eastAsia="Arial" w:hAnsi="Arial" w:cs="Arial"/>
          <w:i/>
          <w:color w:val="000000"/>
          <w:sz w:val="20"/>
        </w:rPr>
        <w:t>in lieu of</w:t>
      </w:r>
      <w:r>
        <w:rPr>
          <w:rFonts w:ascii="Arial" w:eastAsia="Arial" w:hAnsi="Arial" w:cs="Arial"/>
          <w:color w:val="000000"/>
          <w:sz w:val="20"/>
        </w:rPr>
        <w:t xml:space="preserve"> mandating primary consideration of their expressed choice, is consistent with congressional intent." (emphasis added)).</w:t>
      </w:r>
    </w:p>
    <w:p w14:paraId="6A036643" w14:textId="77777777" w:rsidR="002B10A6" w:rsidRDefault="00000000">
      <w:pPr>
        <w:pStyle w:val="Normal11"/>
        <w:widowControl w:val="0"/>
        <w:spacing w:before="200" w:line="260" w:lineRule="atLeast"/>
        <w:jc w:val="both"/>
      </w:pPr>
      <w:bookmarkStart w:id="1771" w:name="Bookmark_para_13_9"/>
      <w:bookmarkStart w:id="1772" w:name="Bookmark_LNHNREFclscc8_7"/>
      <w:bookmarkEnd w:id="1771"/>
      <w:bookmarkEnd w:id="1772"/>
      <w:r>
        <w:rPr>
          <w:rFonts w:ascii="Arial" w:eastAsia="Arial" w:hAnsi="Arial" w:cs="Arial"/>
          <w:color w:val="000000"/>
          <w:sz w:val="20"/>
        </w:rPr>
        <w:t>The ACA diverges from the Rehabilitation Act in that the ACA does not distinguish between Title II public entities and Title III public accommodations.</w:t>
      </w:r>
      <w:r>
        <w:rPr>
          <w:rFonts w:ascii="Arial" w:eastAsia="Arial" w:hAnsi="Arial" w:cs="Arial"/>
          <w:vertAlign w:val="superscript"/>
        </w:rPr>
        <w:footnoteReference w:customMarkFollows="1" w:id="77"/>
        <w:t>4</w:t>
      </w:r>
      <w:r>
        <w:rPr>
          <w:rFonts w:ascii="Arial" w:eastAsia="Arial" w:hAnsi="Arial" w:cs="Arial"/>
          <w:color w:val="000000"/>
          <w:sz w:val="20"/>
        </w:rPr>
        <w:t xml:space="preserve"> Instead, the ACA applies Title II requirements to [**8]  all defendants. </w:t>
      </w:r>
      <w:r>
        <w:rPr>
          <w:rFonts w:ascii="Arial" w:eastAsia="Arial" w:hAnsi="Arial" w:cs="Arial"/>
          <w:i/>
          <w:color w:val="000000"/>
          <w:sz w:val="20"/>
        </w:rPr>
        <w:t>See</w:t>
      </w:r>
      <w:r>
        <w:rPr>
          <w:rFonts w:ascii="Arial" w:eastAsia="Arial" w:hAnsi="Arial" w:cs="Arial"/>
          <w:color w:val="000000"/>
          <w:sz w:val="20"/>
        </w:rPr>
        <w:t xml:space="preserve"> 45 C.F.R. § 92.102(a) ("Any entity operating or administering a program or activity under this part shall take appropriate steps to ensure that communications with individuals with disabilities are as effective as communications with others in such programs or activities, in accordance with the standards found at 28 CFR 35.160 through 35.164.").</w:t>
      </w:r>
      <w:r>
        <w:rPr>
          <w:rFonts w:ascii="Arial" w:eastAsia="Arial" w:hAnsi="Arial" w:cs="Arial"/>
          <w:vertAlign w:val="superscript"/>
        </w:rPr>
        <w:footnoteReference w:customMarkFollows="1" w:id="78"/>
        <w:t>5</w:t>
      </w:r>
      <w:r>
        <w:rPr>
          <w:rFonts w:ascii="Arial" w:eastAsia="Arial" w:hAnsi="Arial" w:cs="Arial"/>
          <w:color w:val="000000"/>
          <w:sz w:val="20"/>
        </w:rPr>
        <w:t xml:space="preserve"> In other  [*66]  words, the ACA extends "primary consideration" to individuals seeking services at Title III public accommodations. </w:t>
      </w:r>
      <w:r>
        <w:rPr>
          <w:rFonts w:ascii="Arial" w:eastAsia="Arial" w:hAnsi="Arial" w:cs="Arial"/>
          <w:i/>
          <w:color w:val="000000"/>
          <w:sz w:val="20"/>
        </w:rPr>
        <w:t>See</w:t>
      </w:r>
      <w:r>
        <w:rPr>
          <w:rFonts w:ascii="Arial" w:eastAsia="Arial" w:hAnsi="Arial" w:cs="Arial"/>
          <w:color w:val="000000"/>
          <w:sz w:val="20"/>
        </w:rPr>
        <w:t xml:space="preserve"> 28 C.F.R. § 35.160(b)(2).</w:t>
      </w:r>
    </w:p>
    <w:p w14:paraId="1F771745" w14:textId="77777777" w:rsidR="002B10A6" w:rsidRDefault="00000000">
      <w:pPr>
        <w:pStyle w:val="Normal11"/>
        <w:widowControl w:val="0"/>
        <w:spacing w:before="200" w:line="260" w:lineRule="atLeast"/>
        <w:jc w:val="both"/>
      </w:pPr>
      <w:bookmarkStart w:id="1787" w:name="Bookmark_para_14_9"/>
      <w:bookmarkStart w:id="1788" w:name="Bookmark_I4WG9KR498G000066MB0003Y"/>
      <w:bookmarkStart w:id="1789" w:name="Bookmark_I629DSSS2D6NK70040000400"/>
      <w:bookmarkStart w:id="1790" w:name="Bookmark_I629DSSS28T4CB0010000400"/>
      <w:bookmarkStart w:id="1791" w:name="Bookmark_I629DSSS28T4CB0030000400"/>
      <w:bookmarkEnd w:id="1787"/>
      <w:bookmarkEnd w:id="1788"/>
      <w:bookmarkEnd w:id="1789"/>
      <w:bookmarkEnd w:id="1790"/>
      <w:bookmarkEnd w:id="1791"/>
      <w:r>
        <w:rPr>
          <w:rFonts w:ascii="Arial" w:eastAsia="Arial" w:hAnsi="Arial" w:cs="Arial"/>
          <w:color w:val="000000"/>
          <w:sz w:val="20"/>
        </w:rPr>
        <w:t>The issue here is which statute of limitations period to apply to Vega-Ruiz's claims.</w:t>
      </w:r>
      <w:r>
        <w:rPr>
          <w:rFonts w:ascii="Arial" w:eastAsia="Arial" w:hAnsi="Arial" w:cs="Arial"/>
          <w:vertAlign w:val="superscript"/>
        </w:rPr>
        <w:footnoteReference w:customMarkFollows="1" w:id="79"/>
        <w:t>6</w:t>
      </w:r>
      <w:r>
        <w:rPr>
          <w:rFonts w:ascii="Arial" w:eastAsia="Arial" w:hAnsi="Arial" w:cs="Arial"/>
          <w:color w:val="000000"/>
          <w:sz w:val="20"/>
        </w:rPr>
        <w:t xml:space="preserve"> </w:t>
      </w:r>
      <w:bookmarkStart w:id="1795" w:name="Bookmark_LNHNREFclscc11_6"/>
      <w:bookmarkEnd w:id="1795"/>
      <w:r>
        <w:rPr>
          <w:rFonts w:ascii="Arial" w:eastAsia="Arial" w:hAnsi="Arial" w:cs="Arial"/>
          <w:color w:val="000000"/>
          <w:sz w:val="20"/>
        </w:rPr>
        <w:t xml:space="preserve">We conclude that a plaintiff bringing a claim under the ACA presents a different case than a plaintiff alleging the same harm under the Rehabilitation Act. Although Northwell argues for a narrow reading of Section 1658's "arising under" language and contends that the Rehabilitation Act's three-year limitations period applies to Vega-Ruiz's claim, the Supreme Court has foreclosed such a view, holding that </w:t>
      </w:r>
      <w:bookmarkStart w:id="1796" w:name="Bookmark_LNHNREFclscc12_5"/>
      <w:bookmarkEnd w:id="1796"/>
      <w:r>
        <w:rPr>
          <w:rFonts w:ascii="Arial" w:eastAsia="Arial" w:hAnsi="Arial" w:cs="Arial"/>
          <w:color w:val="000000"/>
          <w:sz w:val="20"/>
        </w:rPr>
        <w:t xml:space="preserve">a narrow reading of "arising under" would "subvert[] [Congress's] goal by restricting § 1658 to cases in which the plaintiff's cause of action is based solely on a post-1990 statute that establishes a new cause of action [**9]  without reference to preexisting law." </w:t>
      </w:r>
      <w:bookmarkStart w:id="1797" w:name="Bookmark_I629DSSS2D6NK70030000400"/>
      <w:bookmarkEnd w:id="1797"/>
      <w:r>
        <w:rPr>
          <w:rFonts w:ascii="Arial" w:eastAsia="Arial" w:hAnsi="Arial" w:cs="Arial"/>
          <w:i/>
          <w:color w:val="000000"/>
          <w:sz w:val="20"/>
        </w:rPr>
        <w:t>Jones</w:t>
      </w:r>
      <w:r>
        <w:rPr>
          <w:rFonts w:ascii="Arial" w:eastAsia="Arial" w:hAnsi="Arial" w:cs="Arial"/>
          <w:color w:val="000000"/>
          <w:sz w:val="20"/>
        </w:rPr>
        <w:t xml:space="preserve">, 541 U.S. at 380-81 (internal quotation marks omitted). Congress, in enacting Section 1658, sought to avoid the precise situation in which we find ourselves today — trying to untangle competing statutes of limitations where the federal statute on which plaintiff's claim is based lacks its own limitations period. </w:t>
      </w:r>
      <w:r>
        <w:rPr>
          <w:rFonts w:ascii="Arial" w:eastAsia="Arial" w:hAnsi="Arial" w:cs="Arial"/>
          <w:i/>
          <w:color w:val="000000"/>
          <w:sz w:val="20"/>
        </w:rPr>
        <w:t xml:space="preserve">See </w:t>
      </w:r>
      <w:bookmarkStart w:id="1798" w:name="Bookmark_I629DSSS2D6NK70050000400"/>
      <w:bookmarkEnd w:id="1798"/>
      <w:r>
        <w:rPr>
          <w:rFonts w:ascii="Arial" w:eastAsia="Arial" w:hAnsi="Arial" w:cs="Arial"/>
          <w:i/>
          <w:color w:val="000000"/>
          <w:sz w:val="20"/>
        </w:rPr>
        <w:t>Jones</w:t>
      </w:r>
      <w:r>
        <w:rPr>
          <w:rFonts w:ascii="Arial" w:eastAsia="Arial" w:hAnsi="Arial" w:cs="Arial"/>
          <w:color w:val="000000"/>
          <w:sz w:val="20"/>
        </w:rPr>
        <w:t>, 541 U.S. at 382.</w:t>
      </w:r>
    </w:p>
    <w:p w14:paraId="36C4805E" w14:textId="77777777" w:rsidR="002B10A6" w:rsidRDefault="00000000">
      <w:pPr>
        <w:pStyle w:val="Normal11"/>
        <w:widowControl w:val="0"/>
        <w:spacing w:before="200" w:line="260" w:lineRule="atLeast"/>
        <w:jc w:val="both"/>
      </w:pPr>
      <w:bookmarkStart w:id="1799" w:name="Bookmark_para_15_9"/>
      <w:bookmarkStart w:id="1800" w:name="Bookmark_I629DSSS2SF7SB0020000400"/>
      <w:bookmarkEnd w:id="1799"/>
      <w:bookmarkEnd w:id="1800"/>
      <w:r>
        <w:rPr>
          <w:rFonts w:ascii="Arial" w:eastAsia="Arial" w:hAnsi="Arial" w:cs="Arial"/>
          <w:color w:val="000000"/>
          <w:sz w:val="20"/>
        </w:rPr>
        <w:t xml:space="preserve">Vega-Ruiz's disability claim is "made possible by" the ACA because the ACA changed Northwell's obligation in this context; the ACA subjected Northwell to the "primary consideration" obligation where it had previously been subjected to the lesser "encouraged to consult" obligation. </w:t>
      </w:r>
      <w:bookmarkStart w:id="1801" w:name="Bookmark_I629DSSS2SF7SB0010000400"/>
      <w:bookmarkEnd w:id="1801"/>
      <w:r>
        <w:rPr>
          <w:rFonts w:ascii="Arial" w:eastAsia="Arial" w:hAnsi="Arial" w:cs="Arial"/>
          <w:i/>
          <w:color w:val="000000"/>
          <w:sz w:val="20"/>
        </w:rPr>
        <w:t>Id.</w:t>
      </w:r>
      <w:r>
        <w:rPr>
          <w:rFonts w:ascii="Arial" w:eastAsia="Arial" w:hAnsi="Arial" w:cs="Arial"/>
          <w:color w:val="000000"/>
          <w:sz w:val="20"/>
        </w:rPr>
        <w:t xml:space="preserve"> at 381-82. We therefore must look to Section 1658 and apply a four-year statute of limitations period to Vega-Ruiz's claim. Her claim is timely. Accordingly, we </w:t>
      </w:r>
      <w:r>
        <w:rPr>
          <w:rFonts w:ascii="Arial" w:eastAsia="Arial" w:hAnsi="Arial" w:cs="Arial"/>
          <w:b/>
          <w:color w:val="000000"/>
          <w:sz w:val="20"/>
        </w:rPr>
        <w:t>VACATE</w:t>
      </w:r>
      <w:r>
        <w:rPr>
          <w:rFonts w:ascii="Arial" w:eastAsia="Arial" w:hAnsi="Arial" w:cs="Arial"/>
          <w:color w:val="000000"/>
          <w:sz w:val="20"/>
        </w:rPr>
        <w:t xml:space="preserve"> and </w:t>
      </w:r>
      <w:r>
        <w:rPr>
          <w:rFonts w:ascii="Arial" w:eastAsia="Arial" w:hAnsi="Arial" w:cs="Arial"/>
          <w:b/>
          <w:color w:val="000000"/>
          <w:sz w:val="20"/>
        </w:rPr>
        <w:t>REMAND</w:t>
      </w:r>
      <w:r>
        <w:rPr>
          <w:rFonts w:ascii="Arial" w:eastAsia="Arial" w:hAnsi="Arial" w:cs="Arial"/>
          <w:color w:val="000000"/>
          <w:sz w:val="20"/>
        </w:rPr>
        <w:t xml:space="preserve"> to the district court for further proceedings consistent with this opinion.</w:t>
      </w:r>
    </w:p>
    <w:p w14:paraId="2B7D68DF" w14:textId="77777777" w:rsidR="002B10A6" w:rsidRDefault="002B10A6">
      <w:pPr>
        <w:pStyle w:val="Normal11"/>
      </w:pPr>
    </w:p>
    <w:p w14:paraId="052CFADF" w14:textId="4EBAC7D5" w:rsidR="002B10A6" w:rsidRDefault="00000000">
      <w:pPr>
        <w:pStyle w:val="Normal11"/>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82816" behindDoc="0" locked="0" layoutInCell="1" allowOverlap="1" wp14:anchorId="41DB8961" wp14:editId="7C0108C7">
                <wp:simplePos x="0" y="0"/>
                <wp:positionH relativeFrom="column">
                  <wp:posOffset>0</wp:posOffset>
                </wp:positionH>
                <wp:positionV relativeFrom="paragraph">
                  <wp:posOffset>127000</wp:posOffset>
                </wp:positionV>
                <wp:extent cx="6502400" cy="0"/>
                <wp:effectExtent l="9525" t="12700" r="12700" b="6350"/>
                <wp:wrapNone/>
                <wp:docPr id="17275976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22526" id="Line 25"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9A0F7E8" w14:textId="77777777" w:rsidR="002B10A6" w:rsidRDefault="002B10A6">
      <w:pPr>
        <w:pStyle w:val="Normal12"/>
        <w:sectPr w:rsidR="002B10A6">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gutter="0"/>
          <w:cols w:space="720"/>
          <w:titlePg/>
        </w:sectPr>
      </w:pPr>
    </w:p>
    <w:p w14:paraId="1F535048" w14:textId="77777777" w:rsidR="002B10A6" w:rsidRDefault="002B10A6">
      <w:pPr>
        <w:pStyle w:val="Normal12"/>
      </w:pPr>
    </w:p>
    <w:p w14:paraId="5A3B9B31" w14:textId="77777777" w:rsidR="002B10A6" w:rsidRDefault="00000000">
      <w:pPr>
        <w:pStyle w:val="Heading111"/>
        <w:keepNext w:val="0"/>
        <w:widowControl w:val="0"/>
        <w:spacing w:after="200" w:line="340" w:lineRule="atLeast"/>
        <w:jc w:val="center"/>
      </w:pPr>
      <w:r>
        <w:rPr>
          <w:rFonts w:eastAsia="Arial"/>
          <w:color w:val="000000"/>
          <w:sz w:val="28"/>
        </w:rPr>
        <w:t>O'Hanlon v. Uber Techs.</w:t>
      </w:r>
    </w:p>
    <w:p w14:paraId="3BBD9A1E" w14:textId="77777777" w:rsidR="002B10A6" w:rsidRDefault="00000000">
      <w:pPr>
        <w:pStyle w:val="Normal12"/>
        <w:widowControl w:val="0"/>
        <w:spacing w:before="120" w:line="260" w:lineRule="atLeast"/>
        <w:jc w:val="center"/>
      </w:pPr>
      <w:r>
        <w:rPr>
          <w:rFonts w:ascii="Arial" w:eastAsia="Arial" w:hAnsi="Arial" w:cs="Arial"/>
          <w:color w:val="000000"/>
          <w:sz w:val="20"/>
        </w:rPr>
        <w:t>United States Court of Appeals for the Third Circuit</w:t>
      </w:r>
    </w:p>
    <w:p w14:paraId="73CE3947" w14:textId="77777777" w:rsidR="002B10A6" w:rsidRDefault="00000000">
      <w:pPr>
        <w:pStyle w:val="Normal12"/>
        <w:widowControl w:val="0"/>
        <w:spacing w:before="120" w:line="260" w:lineRule="atLeast"/>
        <w:jc w:val="center"/>
      </w:pPr>
      <w:r>
        <w:rPr>
          <w:rFonts w:ascii="Arial" w:eastAsia="Arial" w:hAnsi="Arial" w:cs="Arial"/>
          <w:color w:val="000000"/>
          <w:sz w:val="20"/>
        </w:rPr>
        <w:t>July 2, 2020, Argued; March 17, 2021, Opinion Filed</w:t>
      </w:r>
    </w:p>
    <w:p w14:paraId="49784477" w14:textId="77777777" w:rsidR="002B10A6" w:rsidRDefault="00000000">
      <w:pPr>
        <w:pStyle w:val="Normal12"/>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19-3891</w:t>
      </w:r>
    </w:p>
    <w:p w14:paraId="25E763D2" w14:textId="77777777" w:rsidR="002B10A6" w:rsidRDefault="002B10A6">
      <w:pPr>
        <w:pStyle w:val="Normal12"/>
        <w:widowControl w:val="0"/>
        <w:spacing w:line="240" w:lineRule="atLeast"/>
        <w:jc w:val="both"/>
      </w:pPr>
      <w:bookmarkStart w:id="1802" w:name="Bookmark_13"/>
      <w:bookmarkEnd w:id="1802"/>
    </w:p>
    <w:p w14:paraId="38ED39EB" w14:textId="77777777" w:rsidR="002B10A6" w:rsidRDefault="00000000">
      <w:pPr>
        <w:pStyle w:val="Normal12"/>
        <w:widowControl w:val="0"/>
        <w:spacing w:before="200" w:line="240" w:lineRule="atLeast"/>
      </w:pPr>
      <w:bookmarkStart w:id="1803" w:name="Reporter_11"/>
      <w:bookmarkEnd w:id="1803"/>
      <w:r>
        <w:rPr>
          <w:rFonts w:ascii="Arial" w:eastAsia="Arial" w:hAnsi="Arial" w:cs="Arial"/>
          <w:b/>
          <w:color w:val="000000"/>
          <w:sz w:val="18"/>
        </w:rPr>
        <w:t>Reporter</w:t>
      </w:r>
    </w:p>
    <w:p w14:paraId="7FD3C2E9" w14:textId="77777777" w:rsidR="002B10A6" w:rsidRDefault="00000000">
      <w:pPr>
        <w:pStyle w:val="Normal12"/>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990 F.3d 757 *; 2021 U.S. App. LEXIS 7716 **; 2021 WL 1011201</w:t>
      </w:r>
    </w:p>
    <w:p w14:paraId="79E95CFA" w14:textId="77777777" w:rsidR="002B10A6" w:rsidRDefault="00000000">
      <w:pPr>
        <w:pStyle w:val="Normal12"/>
        <w:widowControl w:val="0"/>
        <w:spacing w:before="120" w:line="260" w:lineRule="atLeast"/>
      </w:pPr>
      <w:r>
        <w:rPr>
          <w:rFonts w:ascii="Arial" w:eastAsia="Arial" w:hAnsi="Arial" w:cs="Arial"/>
          <w:color w:val="000000"/>
          <w:sz w:val="20"/>
        </w:rPr>
        <w:t>PAUL O'HANLON, an individual; JONATHAN ROBISON, an individual; GAYLE LEWANDOWSKI, an individual; IRMA ALLEN, an individual; PITTSBURGHERS FOR PUBLIC TRANSIT, a project of Thomas Merton Center, Inc., a Pennsylvania non-profit corporation, on behalf of themselves and all individuals similarly situated v. UBER TECHNOLOGIES, INC., a Delaware Corporation; RASIER, LLC, a Delaware Corporation; RASIER-CA, LLC, a Delaware Corporation, Appellants</w:t>
      </w:r>
    </w:p>
    <w:p w14:paraId="08A0D83D" w14:textId="77777777" w:rsidR="002B10A6" w:rsidRDefault="00000000">
      <w:pPr>
        <w:pStyle w:val="Normal12"/>
        <w:widowControl w:val="0"/>
        <w:spacing w:before="240" w:line="260" w:lineRule="atLeast"/>
        <w:jc w:val="both"/>
      </w:pPr>
      <w:bookmarkStart w:id="1804" w:name="Prior_History_11"/>
      <w:bookmarkEnd w:id="1804"/>
      <w:r>
        <w:rPr>
          <w:rFonts w:ascii="Arial" w:eastAsia="Arial" w:hAnsi="Arial" w:cs="Arial"/>
          <w:b/>
          <w:color w:val="000000"/>
          <w:sz w:val="20"/>
        </w:rPr>
        <w:t>Prior History:</w:t>
      </w:r>
      <w:r>
        <w:rPr>
          <w:rFonts w:ascii="Arial" w:eastAsia="Arial" w:hAnsi="Arial" w:cs="Arial"/>
          <w:color w:val="000000"/>
          <w:sz w:val="20"/>
        </w:rPr>
        <w:t> </w:t>
      </w:r>
      <w:bookmarkStart w:id="1805" w:name="Bookmark_para_1_11"/>
      <w:bookmarkEnd w:id="1805"/>
      <w:r>
        <w:rPr>
          <w:rFonts w:ascii="Arial" w:eastAsia="Arial" w:hAnsi="Arial" w:cs="Arial"/>
          <w:color w:val="000000"/>
          <w:sz w:val="20"/>
        </w:rPr>
        <w:t> [**1] On Appeal from the District Court for the Western District of Pennsylvania. (D.C. No. 2-19-cv-00675). Magistrate Judge: Lisa P. Lenihan.</w:t>
      </w:r>
    </w:p>
    <w:p w14:paraId="1D94418D" w14:textId="77777777" w:rsidR="002B10A6" w:rsidRDefault="00000000">
      <w:pPr>
        <w:pStyle w:val="Normal12"/>
        <w:widowControl w:val="0"/>
        <w:spacing w:before="120" w:line="260" w:lineRule="atLeast"/>
      </w:pPr>
      <w:r>
        <w:rPr>
          <w:rFonts w:ascii="Arial" w:eastAsia="Arial" w:hAnsi="Arial" w:cs="Arial"/>
          <w:color w:val="000000"/>
          <w:sz w:val="20"/>
        </w:rPr>
        <w:t>O'Hanlon v. Uber Techs., Inc., 2019 U.S. Dist. LEXIS 196029, 2019 WL 5895425 (W.D. Pa., Nov. 12, 2019)</w:t>
      </w:r>
    </w:p>
    <w:p w14:paraId="5BA38A33" w14:textId="77777777" w:rsidR="002B10A6" w:rsidRDefault="00000000">
      <w:pPr>
        <w:pStyle w:val="Normal12"/>
        <w:widowControl w:val="0"/>
        <w:spacing w:before="240" w:line="260" w:lineRule="atLeast"/>
      </w:pPr>
      <w:bookmarkStart w:id="1806" w:name="Counsel_11"/>
      <w:bookmarkEnd w:id="1806"/>
      <w:r>
        <w:rPr>
          <w:rFonts w:ascii="Arial" w:eastAsia="Arial" w:hAnsi="Arial" w:cs="Arial"/>
          <w:b/>
          <w:color w:val="000000"/>
          <w:sz w:val="20"/>
        </w:rPr>
        <w:t>Counsel:</w:t>
      </w:r>
      <w:r>
        <w:rPr>
          <w:rFonts w:ascii="Arial" w:eastAsia="Arial" w:hAnsi="Arial" w:cs="Arial"/>
          <w:color w:val="000000"/>
          <w:sz w:val="20"/>
        </w:rPr>
        <w:t> Bryan M. Killian [ARGUED], Stephanie B. Schuster, Morgan Lewis &amp; Bockius, Washington, DC, Counsel for Appellants.</w:t>
      </w:r>
    </w:p>
    <w:p w14:paraId="2BF9A769" w14:textId="77777777" w:rsidR="002B10A6" w:rsidRDefault="00000000">
      <w:pPr>
        <w:pStyle w:val="Normal12"/>
        <w:widowControl w:val="0"/>
        <w:spacing w:before="120" w:line="260" w:lineRule="atLeast"/>
      </w:pPr>
      <w:r>
        <w:rPr>
          <w:rFonts w:ascii="Arial" w:eastAsia="Arial" w:hAnsi="Arial" w:cs="Arial"/>
          <w:color w:val="000000"/>
          <w:sz w:val="20"/>
        </w:rPr>
        <w:t>R. Bruce Carlson, Kelly K. Iverson, Carlson Lynch, Pittsburgh, PA; Michelle B. Iorio, Melissa Riess, Stuart J. Seaborn [ARGUED], Disability Rights Advocates, Berkeley, CA, Counsel for Appellees.</w:t>
      </w:r>
    </w:p>
    <w:p w14:paraId="23983BAA" w14:textId="77777777" w:rsidR="002B10A6" w:rsidRDefault="00000000">
      <w:pPr>
        <w:pStyle w:val="Normal12"/>
        <w:widowControl w:val="0"/>
        <w:spacing w:before="240" w:line="260" w:lineRule="atLeast"/>
      </w:pPr>
      <w:bookmarkStart w:id="1807" w:name="Judges_11"/>
      <w:bookmarkEnd w:id="1807"/>
      <w:r>
        <w:rPr>
          <w:rFonts w:ascii="Arial" w:eastAsia="Arial" w:hAnsi="Arial" w:cs="Arial"/>
          <w:b/>
          <w:color w:val="000000"/>
          <w:sz w:val="20"/>
        </w:rPr>
        <w:t>Judges:</w:t>
      </w:r>
      <w:r>
        <w:rPr>
          <w:rFonts w:ascii="Arial" w:eastAsia="Arial" w:hAnsi="Arial" w:cs="Arial"/>
          <w:color w:val="000000"/>
          <w:sz w:val="20"/>
        </w:rPr>
        <w:t> Before: KRAUSE, PHIPPS, Circuit Judges, and BEETLESTONE</w:t>
      </w:r>
      <w:r>
        <w:rPr>
          <w:rFonts w:ascii="Arial" w:eastAsia="Arial" w:hAnsi="Arial" w:cs="Arial"/>
          <w:vertAlign w:val="superscript"/>
        </w:rPr>
        <w:footnoteReference w:customMarkFollows="1" w:id="80"/>
        <w:t>1</w:t>
      </w:r>
      <w:r>
        <w:rPr>
          <w:rFonts w:ascii="Arial" w:eastAsia="Arial" w:hAnsi="Arial" w:cs="Arial"/>
          <w:color w:val="000000"/>
          <w:sz w:val="20"/>
        </w:rPr>
        <w:t>.</w:t>
      </w:r>
    </w:p>
    <w:p w14:paraId="2235BE67" w14:textId="77777777" w:rsidR="002B10A6" w:rsidRDefault="00000000">
      <w:pPr>
        <w:pStyle w:val="Normal12"/>
        <w:widowControl w:val="0"/>
        <w:spacing w:before="240" w:line="260" w:lineRule="atLeast"/>
      </w:pPr>
      <w:bookmarkStart w:id="1809" w:name="Opinion_by_9"/>
      <w:bookmarkEnd w:id="1809"/>
      <w:r>
        <w:rPr>
          <w:rFonts w:ascii="Arial" w:eastAsia="Arial" w:hAnsi="Arial" w:cs="Arial"/>
          <w:b/>
          <w:color w:val="000000"/>
          <w:sz w:val="20"/>
        </w:rPr>
        <w:t>Opinion by:</w:t>
      </w:r>
      <w:r>
        <w:rPr>
          <w:rFonts w:ascii="Arial" w:eastAsia="Arial" w:hAnsi="Arial" w:cs="Arial"/>
          <w:color w:val="000000"/>
          <w:sz w:val="20"/>
        </w:rPr>
        <w:t> KRAUSE</w:t>
      </w:r>
    </w:p>
    <w:p w14:paraId="02D64080" w14:textId="77777777" w:rsidR="002B10A6" w:rsidRDefault="00000000">
      <w:pPr>
        <w:pStyle w:val="Normal12"/>
        <w:keepNext/>
        <w:widowControl w:val="0"/>
        <w:spacing w:before="240" w:line="340" w:lineRule="atLeast"/>
      </w:pPr>
      <w:bookmarkStart w:id="1810" w:name="Opinion_11"/>
      <w:bookmarkEnd w:id="1810"/>
      <w:r>
        <w:rPr>
          <w:rFonts w:ascii="Arial" w:eastAsia="Arial" w:hAnsi="Arial" w:cs="Arial"/>
          <w:b/>
          <w:color w:val="000000"/>
          <w:sz w:val="28"/>
        </w:rPr>
        <w:t>Opinion</w:t>
      </w:r>
    </w:p>
    <w:p w14:paraId="7075221F" w14:textId="71AFADC0" w:rsidR="002B10A6" w:rsidRDefault="002D6974">
      <w:pPr>
        <w:pStyle w:val="Normal12"/>
        <w:spacing w:line="60" w:lineRule="exact"/>
      </w:pPr>
      <w:r>
        <w:rPr>
          <w:noProof/>
        </w:rPr>
        <mc:AlternateContent>
          <mc:Choice Requires="wps">
            <w:drawing>
              <wp:anchor distT="0" distB="0" distL="114300" distR="114300" simplePos="0" relativeHeight="251683840" behindDoc="0" locked="0" layoutInCell="1" allowOverlap="1" wp14:anchorId="1E3226E1" wp14:editId="655E6759">
                <wp:simplePos x="0" y="0"/>
                <wp:positionH relativeFrom="column">
                  <wp:posOffset>0</wp:posOffset>
                </wp:positionH>
                <wp:positionV relativeFrom="paragraph">
                  <wp:posOffset>25400</wp:posOffset>
                </wp:positionV>
                <wp:extent cx="3187700" cy="0"/>
                <wp:effectExtent l="19050" t="15875" r="12700" b="12700"/>
                <wp:wrapTopAndBottom/>
                <wp:docPr id="53183187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4317E" id="Line 2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8AB053C" w14:textId="77777777" w:rsidR="002B10A6" w:rsidRDefault="002B10A6">
      <w:pPr>
        <w:pStyle w:val="Normal12"/>
        <w:spacing w:line="120" w:lineRule="exact"/>
      </w:pPr>
    </w:p>
    <w:p w14:paraId="33F4B706" w14:textId="77777777" w:rsidR="002B10A6" w:rsidRDefault="00000000">
      <w:pPr>
        <w:pStyle w:val="Normal12"/>
        <w:widowControl w:val="0"/>
        <w:spacing w:before="240" w:line="260" w:lineRule="atLeast"/>
      </w:pPr>
      <w:r>
        <w:br/>
      </w:r>
      <w:r>
        <w:rPr>
          <w:rFonts w:ascii="Arial" w:eastAsia="Arial" w:hAnsi="Arial" w:cs="Arial"/>
          <w:color w:val="000000"/>
          <w:sz w:val="20"/>
        </w:rPr>
        <w:t> [*760]  OPINION OF THE COURT</w:t>
      </w:r>
    </w:p>
    <w:p w14:paraId="4E1E2E0E" w14:textId="77777777" w:rsidR="002B10A6" w:rsidRDefault="00000000">
      <w:pPr>
        <w:pStyle w:val="Normal12"/>
        <w:widowControl w:val="0"/>
        <w:spacing w:before="200" w:line="260" w:lineRule="atLeast"/>
        <w:jc w:val="both"/>
      </w:pPr>
      <w:bookmarkStart w:id="1811" w:name="Bookmark_para_2_11"/>
      <w:bookmarkEnd w:id="1811"/>
      <w:r>
        <w:rPr>
          <w:rFonts w:ascii="Arial" w:eastAsia="Arial" w:hAnsi="Arial" w:cs="Arial"/>
          <w:color w:val="000000"/>
          <w:sz w:val="20"/>
        </w:rPr>
        <w:t xml:space="preserve">KRAUSE, </w:t>
      </w:r>
      <w:r>
        <w:rPr>
          <w:rFonts w:ascii="Arial" w:eastAsia="Arial" w:hAnsi="Arial" w:cs="Arial"/>
          <w:i/>
          <w:color w:val="000000"/>
          <w:sz w:val="20"/>
        </w:rPr>
        <w:t>Circuit Judge</w:t>
      </w:r>
      <w:r>
        <w:rPr>
          <w:rFonts w:ascii="Arial" w:eastAsia="Arial" w:hAnsi="Arial" w:cs="Arial"/>
          <w:color w:val="000000"/>
          <w:sz w:val="20"/>
        </w:rPr>
        <w:t>.</w:t>
      </w:r>
    </w:p>
    <w:p w14:paraId="76D9B6DC" w14:textId="77777777" w:rsidR="002B10A6" w:rsidRDefault="00000000">
      <w:pPr>
        <w:pStyle w:val="Normal12"/>
        <w:widowControl w:val="0"/>
        <w:spacing w:before="200" w:line="260" w:lineRule="atLeast"/>
        <w:jc w:val="both"/>
      </w:pPr>
      <w:bookmarkStart w:id="1812" w:name="Bookmark_para_3_11"/>
      <w:bookmarkEnd w:id="1812"/>
      <w:r>
        <w:rPr>
          <w:rFonts w:ascii="Arial" w:eastAsia="Arial" w:hAnsi="Arial" w:cs="Arial"/>
          <w:color w:val="000000"/>
          <w:sz w:val="20"/>
        </w:rPr>
        <w:t xml:space="preserve">As Uber would tell it, when Plaintiffs filed their disability-discrimination suit in federal court, they wound themselves in a Gordian knot: They do not have standing to sue unless they would agree to Uber's Terms of Use, but those terms would require Plaintiffs to arbitrate their claim instead of litigating it in federal court. </w:t>
      </w:r>
      <w:bookmarkStart w:id="1813" w:name="Bookmark_I627Y0732SF7XM0020000400"/>
      <w:bookmarkEnd w:id="1813"/>
      <w:r>
        <w:rPr>
          <w:rFonts w:ascii="Arial" w:eastAsia="Arial" w:hAnsi="Arial" w:cs="Arial"/>
          <w:color w:val="000000"/>
          <w:sz w:val="20"/>
        </w:rPr>
        <w:t xml:space="preserve">Uber urges that the only way to untie this knot  [*761]  is for us to reverse the District Court's ruling that Plaintiffs have standing, a decision not generally reviewable on interlocutory appeal, as well as its ruling that Plaintiffs have no contractual obligation to arbitrate. Our precedent, however, makes this case far less knotty [**2]  than Uber suggests. </w:t>
      </w:r>
      <w:bookmarkStart w:id="1814" w:name="Bookmark_LNHNREFclscc1_10"/>
      <w:bookmarkEnd w:id="1814"/>
      <w:r>
        <w:rPr>
          <w:rFonts w:ascii="Arial" w:eastAsia="Arial" w:hAnsi="Arial" w:cs="Arial"/>
          <w:color w:val="000000"/>
          <w:sz w:val="20"/>
        </w:rPr>
        <w:t xml:space="preserve">We established in </w:t>
      </w:r>
      <w:r>
        <w:rPr>
          <w:rFonts w:ascii="Arial" w:eastAsia="Arial" w:hAnsi="Arial" w:cs="Arial"/>
          <w:i/>
          <w:color w:val="000000"/>
          <w:sz w:val="20"/>
        </w:rPr>
        <w:t>Griswold v. Coventry First LLC</w:t>
      </w:r>
      <w:r>
        <w:rPr>
          <w:rFonts w:ascii="Arial" w:eastAsia="Arial" w:hAnsi="Arial" w:cs="Arial"/>
          <w:color w:val="000000"/>
          <w:sz w:val="20"/>
        </w:rPr>
        <w:t xml:space="preserve"> that, on interlocutory appeal from the denial of a motion to compel arbitration, our appellate jurisdiction is confined to review of that order. </w:t>
      </w:r>
      <w:bookmarkStart w:id="1815" w:name="Bookmark_I627Y0732SF7XM0010000400"/>
      <w:bookmarkEnd w:id="1815"/>
      <w:r>
        <w:rPr>
          <w:rFonts w:ascii="Arial" w:eastAsia="Arial" w:hAnsi="Arial" w:cs="Arial"/>
          <w:color w:val="000000"/>
          <w:sz w:val="20"/>
        </w:rPr>
        <w:t xml:space="preserve">762 F.3d 264, 269 (3d Cir. 2014). We not only have no independent obligation to review nonappealable orders—even jurisdictional ones. We also have no power to do so unless we can exercise pendent appellate jurisdiction over them. </w:t>
      </w:r>
      <w:r>
        <w:rPr>
          <w:rFonts w:ascii="Arial" w:eastAsia="Arial" w:hAnsi="Arial" w:cs="Arial"/>
          <w:i/>
          <w:color w:val="000000"/>
          <w:sz w:val="20"/>
        </w:rPr>
        <w:t>See id.</w:t>
      </w:r>
    </w:p>
    <w:p w14:paraId="194905B8" w14:textId="77777777" w:rsidR="002B10A6" w:rsidRDefault="00000000">
      <w:pPr>
        <w:pStyle w:val="Normal12"/>
        <w:widowControl w:val="0"/>
        <w:spacing w:before="200" w:line="260" w:lineRule="atLeast"/>
        <w:jc w:val="both"/>
      </w:pPr>
      <w:bookmarkStart w:id="1816" w:name="Bookmark_para_4_11"/>
      <w:bookmarkStart w:id="1817" w:name="Bookmark_I130PTFT9K600003YBJ0000J"/>
      <w:bookmarkStart w:id="1818" w:name="Bookmark_I627Y0732SF7XM0040000400"/>
      <w:bookmarkEnd w:id="1816"/>
      <w:bookmarkEnd w:id="1817"/>
      <w:bookmarkEnd w:id="1818"/>
      <w:r>
        <w:rPr>
          <w:rFonts w:ascii="Arial" w:eastAsia="Arial" w:hAnsi="Arial" w:cs="Arial"/>
          <w:color w:val="000000"/>
          <w:sz w:val="20"/>
        </w:rPr>
        <w:t xml:space="preserve">This case involves new technology, but that makes </w:t>
      </w:r>
      <w:bookmarkStart w:id="1819" w:name="Bookmark_I627Y0732SF7XM0030000400"/>
      <w:bookmarkEnd w:id="1819"/>
      <w:r>
        <w:rPr>
          <w:rFonts w:ascii="Arial" w:eastAsia="Arial" w:hAnsi="Arial" w:cs="Arial"/>
          <w:i/>
          <w:color w:val="000000"/>
          <w:sz w:val="20"/>
        </w:rPr>
        <w:t>Griswold</w:t>
      </w:r>
      <w:r>
        <w:rPr>
          <w:rFonts w:ascii="Arial" w:eastAsia="Arial" w:hAnsi="Arial" w:cs="Arial"/>
          <w:color w:val="000000"/>
          <w:sz w:val="20"/>
        </w:rPr>
        <w:t xml:space="preserve"> no less applicable. We therefore will review only the District Court's arbitrability decision, as we have no obligation to review its standing decision, and Uber has not demonstrated that pendent appellate jurisdiction over that decision would be appropriate. And because we agree that Plaintiffs—who have never accepted Uber's terms, including its mandatory arbitration clause—cannot be equitably estopped from suing in court, we will affirm the District Court's order denying Uber's motion to compel arbitration.</w:t>
      </w:r>
      <w:r>
        <w:rPr>
          <w:rFonts w:ascii="Arial" w:eastAsia="Arial" w:hAnsi="Arial" w:cs="Arial"/>
          <w:vertAlign w:val="superscript"/>
        </w:rPr>
        <w:footnoteReference w:customMarkFollows="1" w:id="81"/>
        <w:t>2</w:t>
      </w:r>
    </w:p>
    <w:p w14:paraId="216D179F" w14:textId="77777777" w:rsidR="002B10A6" w:rsidRDefault="00000000">
      <w:pPr>
        <w:pStyle w:val="Normal12"/>
        <w:widowControl w:val="0"/>
        <w:spacing w:before="240" w:line="260" w:lineRule="atLeast"/>
      </w:pPr>
      <w:r>
        <w:br/>
      </w:r>
      <w:r>
        <w:rPr>
          <w:rFonts w:ascii="Arial" w:eastAsia="Arial" w:hAnsi="Arial" w:cs="Arial"/>
          <w:b/>
          <w:color w:val="000000"/>
          <w:sz w:val="20"/>
        </w:rPr>
        <w:t>I. Background</w:t>
      </w:r>
    </w:p>
    <w:p w14:paraId="712FF5F1" w14:textId="77777777" w:rsidR="002B10A6" w:rsidRDefault="00000000">
      <w:pPr>
        <w:pStyle w:val="Normal12"/>
        <w:widowControl w:val="0"/>
        <w:spacing w:before="200" w:line="260" w:lineRule="atLeast"/>
        <w:jc w:val="both"/>
      </w:pPr>
      <w:bookmarkStart w:id="1823" w:name="Bookmark_para_5_11"/>
      <w:bookmarkEnd w:id="1823"/>
      <w:r>
        <w:rPr>
          <w:rFonts w:ascii="Arial" w:eastAsia="Arial" w:hAnsi="Arial" w:cs="Arial"/>
          <w:color w:val="000000"/>
          <w:sz w:val="20"/>
        </w:rPr>
        <w:t xml:space="preserve">Plaintiffs are motorized-wheelchair users who live in the Pittsburgh area and the nonprofit Pittsburghers for Public Transit, whose mission is to make "transportation . . . available and accessible [**3]  to all, including people with limited mobility." A32. They filed suit in District Court, alleging on behalf of themselves, and other similarly situated wheelchair users, that the ridesharing company Uber discriminated against individuals with mobility disabilities by not offering a "wheelchair accessible vehicle" (WAV) option in the Pittsburgh area. </w:t>
      </w:r>
      <w:bookmarkStart w:id="1824" w:name="Bookmark_LNHNREFclscc2_10"/>
      <w:bookmarkEnd w:id="1824"/>
      <w:r>
        <w:rPr>
          <w:rFonts w:ascii="Arial" w:eastAsia="Arial" w:hAnsi="Arial" w:cs="Arial"/>
          <w:color w:val="000000"/>
          <w:sz w:val="20"/>
        </w:rPr>
        <w:t xml:space="preserve">As charged in the complaint, this practice violated Title III of the Americans with Disabilities Act (ADA), </w:t>
      </w:r>
      <w:r>
        <w:rPr>
          <w:rFonts w:ascii="Arial" w:eastAsia="Arial" w:hAnsi="Arial" w:cs="Arial"/>
          <w:i/>
          <w:color w:val="000000"/>
          <w:sz w:val="20"/>
        </w:rPr>
        <w:t>see</w:t>
      </w:r>
      <w:r>
        <w:rPr>
          <w:rFonts w:ascii="Arial" w:eastAsia="Arial" w:hAnsi="Arial" w:cs="Arial"/>
          <w:color w:val="000000"/>
          <w:sz w:val="20"/>
        </w:rPr>
        <w:t xml:space="preserve"> 42 U.S.C. §§ 12181 </w:t>
      </w:r>
      <w:r>
        <w:rPr>
          <w:rFonts w:ascii="Arial" w:eastAsia="Arial" w:hAnsi="Arial" w:cs="Arial"/>
          <w:i/>
          <w:color w:val="000000"/>
          <w:sz w:val="20"/>
        </w:rPr>
        <w:t>et seq.</w:t>
      </w:r>
      <w:r>
        <w:rPr>
          <w:rFonts w:ascii="Arial" w:eastAsia="Arial" w:hAnsi="Arial" w:cs="Arial"/>
          <w:color w:val="000000"/>
          <w:sz w:val="20"/>
        </w:rPr>
        <w:t xml:space="preserve">, which prohibits "discriminat[ion] . . . on the basis of disability in the full and equal enjoyment of the goods, services, facilities, privileges, advantages, or accommodations of any place of public accommodation," </w:t>
      </w:r>
      <w:r>
        <w:rPr>
          <w:rFonts w:ascii="Arial" w:eastAsia="Arial" w:hAnsi="Arial" w:cs="Arial"/>
          <w:i/>
          <w:color w:val="000000"/>
          <w:sz w:val="20"/>
        </w:rPr>
        <w:t>id.</w:t>
      </w:r>
      <w:r>
        <w:rPr>
          <w:rFonts w:ascii="Arial" w:eastAsia="Arial" w:hAnsi="Arial" w:cs="Arial"/>
          <w:color w:val="000000"/>
          <w:sz w:val="20"/>
        </w:rPr>
        <w:t xml:space="preserve"> § 12182, and, but for the unavailability of WAVs, Plaintiffs would download the Uber app and use its ridesharing service.</w:t>
      </w:r>
    </w:p>
    <w:p w14:paraId="57FB0DD1" w14:textId="77777777" w:rsidR="002B10A6" w:rsidRDefault="00000000">
      <w:pPr>
        <w:pStyle w:val="Normal12"/>
        <w:widowControl w:val="0"/>
        <w:spacing w:before="200" w:line="260" w:lineRule="atLeast"/>
        <w:jc w:val="both"/>
      </w:pPr>
      <w:bookmarkStart w:id="1825" w:name="Bookmark_para_6_11"/>
      <w:bookmarkEnd w:id="1825"/>
      <w:r>
        <w:rPr>
          <w:rFonts w:ascii="Arial" w:eastAsia="Arial" w:hAnsi="Arial" w:cs="Arial"/>
          <w:color w:val="000000"/>
          <w:sz w:val="20"/>
        </w:rPr>
        <w:t xml:space="preserve">Uber filed a motion to compel arbitration pursuant to the Federal Arbitration Act (FAA), </w:t>
      </w:r>
      <w:r>
        <w:rPr>
          <w:rFonts w:ascii="Arial" w:eastAsia="Arial" w:hAnsi="Arial" w:cs="Arial"/>
          <w:i/>
          <w:color w:val="000000"/>
          <w:sz w:val="20"/>
        </w:rPr>
        <w:t>see</w:t>
      </w:r>
      <w:r>
        <w:rPr>
          <w:rFonts w:ascii="Arial" w:eastAsia="Arial" w:hAnsi="Arial" w:cs="Arial"/>
          <w:color w:val="000000"/>
          <w:sz w:val="20"/>
        </w:rPr>
        <w:t xml:space="preserve"> 9 U.S.C. §§ 3-4, contending that even though Plaintiffs had never registered for an Uber account or accepted its Terms of Use, they were nevertheless bound by the mandatory arbitration clause of that agreement. </w:t>
      </w:r>
      <w:r>
        <w:rPr>
          <w:rFonts w:ascii="Arial" w:eastAsia="Arial" w:hAnsi="Arial" w:cs="Arial"/>
          <w:i/>
          <w:color w:val="000000"/>
          <w:sz w:val="20"/>
        </w:rPr>
        <w:t>See</w:t>
      </w:r>
      <w:r>
        <w:rPr>
          <w:rFonts w:ascii="Arial" w:eastAsia="Arial" w:hAnsi="Arial" w:cs="Arial"/>
          <w:color w:val="000000"/>
          <w:sz w:val="20"/>
        </w:rPr>
        <w:t xml:space="preserve"> A57 ("By agreeing to the Terms, you agree that you are required to resolve any claim that you may have against [**4]  Uber on an individual basis in arbitration."). In support of its motion, Uber argued specifically that Plaintiffs could not establish standing to sue in federal court unless they "step into the shoes" of "actual Uber Rider App users who all are bound by Uber's Terms of Use," A10-11 (citation omitted), and more generally that Plaintiffs "necessarily rel[ied] on Uber's service contract to bring suit and should therefore be estopped from avoiding [the] obligation[]" to arbitrate, A9.</w:t>
      </w:r>
    </w:p>
    <w:p w14:paraId="554E0116" w14:textId="77777777" w:rsidR="002B10A6" w:rsidRDefault="00000000">
      <w:pPr>
        <w:pStyle w:val="Normal12"/>
        <w:widowControl w:val="0"/>
        <w:spacing w:before="200" w:line="260" w:lineRule="atLeast"/>
        <w:jc w:val="both"/>
      </w:pPr>
      <w:bookmarkStart w:id="1826" w:name="Bookmark_para_7_11"/>
      <w:bookmarkStart w:id="1827" w:name="Bookmark_I627Y0742D6NRP0030000400"/>
      <w:bookmarkEnd w:id="1826"/>
      <w:bookmarkEnd w:id="1827"/>
      <w:r>
        <w:rPr>
          <w:rFonts w:ascii="Arial" w:eastAsia="Arial" w:hAnsi="Arial" w:cs="Arial"/>
          <w:color w:val="000000"/>
          <w:sz w:val="20"/>
        </w:rPr>
        <w:t xml:space="preserve">The District Court rejected both arguments. It determined that Plaintiffs' failure to download the Uber app, agree to the terms, and perform the "futile gesture" of requesting a WAV ride did not prevent them from pleading an injury in fact. A11 (quoting </w:t>
      </w:r>
      <w:bookmarkStart w:id="1828" w:name="Bookmark_I627Y0742D6NRP0020000400"/>
      <w:bookmarkEnd w:id="1828"/>
      <w:r>
        <w:rPr>
          <w:rFonts w:ascii="Arial" w:eastAsia="Arial" w:hAnsi="Arial" w:cs="Arial"/>
          <w:i/>
          <w:color w:val="000000"/>
          <w:sz w:val="20"/>
        </w:rPr>
        <w:t>Int'l Bhd. of Teamsters v. United  [*762]  States</w:t>
      </w:r>
      <w:r>
        <w:rPr>
          <w:rFonts w:ascii="Arial" w:eastAsia="Arial" w:hAnsi="Arial" w:cs="Arial"/>
          <w:color w:val="000000"/>
          <w:sz w:val="20"/>
        </w:rPr>
        <w:t xml:space="preserve">, 431 U.S. 324, 366-67, 97 S. Ct. 1843, 52 L. Ed. 2d 396 (1977)). </w:t>
      </w:r>
      <w:bookmarkStart w:id="1829" w:name="Bookmark_I627Y0742D6NRP0050000400"/>
      <w:bookmarkEnd w:id="1829"/>
      <w:r>
        <w:rPr>
          <w:rFonts w:ascii="Arial" w:eastAsia="Arial" w:hAnsi="Arial" w:cs="Arial"/>
          <w:color w:val="000000"/>
          <w:sz w:val="20"/>
        </w:rPr>
        <w:t xml:space="preserve">More broadly, the District Court reasoned that Plaintiffs' disability-discrimination claim did not rely on, or even embrace, Uber's Terms of Use, but was instead based on the ADA, a federal anti-discrimination statute. </w:t>
      </w:r>
      <w:bookmarkStart w:id="1830" w:name="Bookmark_I627Y0742D6NRP0050000400_2"/>
      <w:bookmarkEnd w:id="1830"/>
      <w:r>
        <w:rPr>
          <w:rFonts w:ascii="Arial" w:eastAsia="Arial" w:hAnsi="Arial" w:cs="Arial"/>
          <w:color w:val="000000"/>
          <w:sz w:val="20"/>
        </w:rPr>
        <w:t xml:space="preserve">The Court thus declined to adopt Uber's "overly-broad interpretation of the law of this Circuit regarding the scope of the equitable estoppel exception to bind non-signatories to arbitration," A9 n.4, which requires the non-signatories to have [**5]  knowingly exploited the agreement for their benefit. </w:t>
      </w:r>
      <w:r>
        <w:rPr>
          <w:rFonts w:ascii="Arial" w:eastAsia="Arial" w:hAnsi="Arial" w:cs="Arial"/>
          <w:i/>
          <w:color w:val="000000"/>
          <w:sz w:val="20"/>
        </w:rPr>
        <w:t xml:space="preserve">See </w:t>
      </w:r>
      <w:bookmarkStart w:id="1831" w:name="Bookmark_I627Y0742D6NRP0040000400"/>
      <w:bookmarkEnd w:id="1831"/>
      <w:r>
        <w:rPr>
          <w:rFonts w:ascii="Arial" w:eastAsia="Arial" w:hAnsi="Arial" w:cs="Arial"/>
          <w:i/>
          <w:color w:val="000000"/>
          <w:sz w:val="20"/>
        </w:rPr>
        <w:t>E.I. DuPont de Nemours &amp; Co. v. Rhone Poulenc Fiber &amp; Resin Intermediates, S.A.S.</w:t>
      </w:r>
      <w:r>
        <w:rPr>
          <w:rFonts w:ascii="Arial" w:eastAsia="Arial" w:hAnsi="Arial" w:cs="Arial"/>
          <w:color w:val="000000"/>
          <w:sz w:val="20"/>
        </w:rPr>
        <w:t>, 269 F.3d 187, 200 (3d Cir. 2001).</w:t>
      </w:r>
    </w:p>
    <w:p w14:paraId="2C8C93FE" w14:textId="77777777" w:rsidR="002B10A6" w:rsidRDefault="00000000">
      <w:pPr>
        <w:pStyle w:val="Normal12"/>
        <w:widowControl w:val="0"/>
        <w:spacing w:before="200" w:line="260" w:lineRule="atLeast"/>
        <w:jc w:val="both"/>
      </w:pPr>
      <w:bookmarkStart w:id="1832" w:name="Bookmark_para_8_11"/>
      <w:bookmarkEnd w:id="1832"/>
      <w:r>
        <w:rPr>
          <w:rFonts w:ascii="Arial" w:eastAsia="Arial" w:hAnsi="Arial" w:cs="Arial"/>
          <w:color w:val="000000"/>
          <w:sz w:val="20"/>
        </w:rPr>
        <w:t>Accordingly, the District Court denied the motion to compel arbitration, and Uber timely filed this interlocutory appeal.</w:t>
      </w:r>
    </w:p>
    <w:p w14:paraId="28163970" w14:textId="77777777" w:rsidR="002B10A6" w:rsidRDefault="00000000">
      <w:pPr>
        <w:pStyle w:val="Normal12"/>
        <w:widowControl w:val="0"/>
        <w:spacing w:before="240" w:line="260" w:lineRule="atLeast"/>
      </w:pPr>
      <w:r>
        <w:br/>
      </w:r>
      <w:r>
        <w:rPr>
          <w:rFonts w:ascii="Arial" w:eastAsia="Arial" w:hAnsi="Arial" w:cs="Arial"/>
          <w:b/>
          <w:color w:val="000000"/>
          <w:sz w:val="20"/>
        </w:rPr>
        <w:t>II. Jurisdiction</w:t>
      </w:r>
    </w:p>
    <w:p w14:paraId="77A64012" w14:textId="77777777" w:rsidR="002B10A6" w:rsidRDefault="00000000">
      <w:pPr>
        <w:pStyle w:val="Normal12"/>
        <w:widowControl w:val="0"/>
        <w:spacing w:before="200" w:line="260" w:lineRule="atLeast"/>
        <w:jc w:val="both"/>
      </w:pPr>
      <w:bookmarkStart w:id="1833" w:name="Bookmark_para_9_11"/>
      <w:bookmarkStart w:id="1834" w:name="Bookmark_I627Y0752HM6310020000400"/>
      <w:bookmarkEnd w:id="1833"/>
      <w:bookmarkEnd w:id="1834"/>
      <w:r>
        <w:rPr>
          <w:rFonts w:ascii="Arial" w:eastAsia="Arial" w:hAnsi="Arial" w:cs="Arial"/>
          <w:color w:val="000000"/>
          <w:sz w:val="20"/>
        </w:rPr>
        <w:t xml:space="preserve">The District Court had jurisdiction under 28 U.S.C. § 1331. </w:t>
      </w:r>
      <w:bookmarkStart w:id="1835" w:name="Bookmark_LNHNREFclscc3_10"/>
      <w:bookmarkEnd w:id="1835"/>
      <w:r>
        <w:rPr>
          <w:rFonts w:ascii="Arial" w:eastAsia="Arial" w:hAnsi="Arial" w:cs="Arial"/>
          <w:color w:val="000000"/>
          <w:sz w:val="20"/>
        </w:rPr>
        <w:t xml:space="preserve">For our part, "[w]e have appellate jurisdiction over the District Court's denial of defendants' motion to compel arbitration pursuant to 28 U.S.C. § 1291 and the Federal Arbitration Act . . . , which provides that '[a]n appeal may be taken' from an order denying a petition to compel arbitration." </w:t>
      </w:r>
      <w:bookmarkStart w:id="1836" w:name="Bookmark_I627Y0752HM6310010000400"/>
      <w:bookmarkEnd w:id="1836"/>
      <w:r>
        <w:rPr>
          <w:rFonts w:ascii="Arial" w:eastAsia="Arial" w:hAnsi="Arial" w:cs="Arial"/>
          <w:i/>
          <w:color w:val="000000"/>
          <w:sz w:val="20"/>
        </w:rPr>
        <w:t>Griswold</w:t>
      </w:r>
      <w:r>
        <w:rPr>
          <w:rFonts w:ascii="Arial" w:eastAsia="Arial" w:hAnsi="Arial" w:cs="Arial"/>
          <w:color w:val="000000"/>
          <w:sz w:val="20"/>
        </w:rPr>
        <w:t>, 762 F.3d at 268 (quoting 9 U.S.C. § 16(a)(1)(B)).</w:t>
      </w:r>
    </w:p>
    <w:p w14:paraId="3FF4F032" w14:textId="77777777" w:rsidR="002B10A6" w:rsidRDefault="00000000">
      <w:pPr>
        <w:pStyle w:val="Normal12"/>
        <w:widowControl w:val="0"/>
        <w:spacing w:before="240" w:line="260" w:lineRule="atLeast"/>
      </w:pPr>
      <w:r>
        <w:br/>
      </w:r>
      <w:r>
        <w:rPr>
          <w:rFonts w:ascii="Arial" w:eastAsia="Arial" w:hAnsi="Arial" w:cs="Arial"/>
          <w:b/>
          <w:color w:val="000000"/>
          <w:sz w:val="20"/>
        </w:rPr>
        <w:t>III. Discussion</w:t>
      </w:r>
    </w:p>
    <w:p w14:paraId="32AF792B" w14:textId="77777777" w:rsidR="002B10A6" w:rsidRDefault="00000000">
      <w:pPr>
        <w:pStyle w:val="Normal12"/>
        <w:widowControl w:val="0"/>
        <w:spacing w:before="200" w:line="260" w:lineRule="atLeast"/>
        <w:jc w:val="both"/>
      </w:pPr>
      <w:bookmarkStart w:id="1837" w:name="Bookmark_para_10_11"/>
      <w:bookmarkEnd w:id="1837"/>
      <w:r>
        <w:rPr>
          <w:rFonts w:ascii="Arial" w:eastAsia="Arial" w:hAnsi="Arial" w:cs="Arial"/>
          <w:color w:val="000000"/>
          <w:sz w:val="20"/>
        </w:rPr>
        <w:t>On appeal, Uber primarily urges that we cannot reach the merits of the motion to compel arbitration without first determining that Plaintiffs have standing to bring their underlying ADA claim—pursuant to either our independent obligation to ensure we have jurisdiction or our pendent appellate jurisdiction. If Uber does not prevail on the standing issue, it maintains that Plaintiffs are nevertheless equitably estopped from refusing to arbitrate. For the following reasons, we conclude that we may not reach the standing issue in this interlocutory appeal and that Plaintiffs are not bound to arbitrate under an agreement they have never accepted or [**6]  knowingly exploited.</w:t>
      </w:r>
    </w:p>
    <w:p w14:paraId="10C839A5" w14:textId="77777777" w:rsidR="002B10A6" w:rsidRDefault="00000000">
      <w:pPr>
        <w:pStyle w:val="Normal12"/>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We Have No Obligation or Authority to Review Standing</w:t>
      </w:r>
    </w:p>
    <w:p w14:paraId="6C582C4E" w14:textId="77777777" w:rsidR="002B10A6" w:rsidRDefault="00000000">
      <w:pPr>
        <w:pStyle w:val="Normal12"/>
        <w:widowControl w:val="0"/>
        <w:spacing w:before="200" w:line="260" w:lineRule="atLeast"/>
        <w:jc w:val="both"/>
      </w:pPr>
      <w:bookmarkStart w:id="1838" w:name="Bookmark_para_11_11"/>
      <w:bookmarkStart w:id="1839" w:name="Bookmark_I130PTFSN8600003YBJ0000C"/>
      <w:bookmarkStart w:id="1840" w:name="Bookmark_I627Y0752HM6310040000400"/>
      <w:bookmarkEnd w:id="1838"/>
      <w:bookmarkEnd w:id="1839"/>
      <w:bookmarkEnd w:id="1840"/>
      <w:r>
        <w:rPr>
          <w:rFonts w:ascii="Arial" w:eastAsia="Arial" w:hAnsi="Arial" w:cs="Arial"/>
          <w:color w:val="000000"/>
          <w:sz w:val="20"/>
        </w:rPr>
        <w:t xml:space="preserve">We are not persuaded by Uber's arguments that we either must or, in our discretion, should decide whether Plaintiffs have standing to sue. </w:t>
      </w:r>
      <w:bookmarkStart w:id="1841" w:name="Bookmark_LNHNREFclscc4_10"/>
      <w:bookmarkEnd w:id="1841"/>
      <w:r>
        <w:rPr>
          <w:rFonts w:ascii="Arial" w:eastAsia="Arial" w:hAnsi="Arial" w:cs="Arial"/>
          <w:color w:val="000000"/>
          <w:sz w:val="20"/>
        </w:rPr>
        <w:t xml:space="preserve">The former argument is squarely foreclosed by </w:t>
      </w:r>
      <w:r>
        <w:rPr>
          <w:rFonts w:ascii="Arial" w:eastAsia="Arial" w:hAnsi="Arial" w:cs="Arial"/>
          <w:i/>
          <w:color w:val="000000"/>
          <w:sz w:val="20"/>
        </w:rPr>
        <w:t>Griswold</w:t>
      </w:r>
      <w:r>
        <w:rPr>
          <w:rFonts w:ascii="Arial" w:eastAsia="Arial" w:hAnsi="Arial" w:cs="Arial"/>
          <w:color w:val="000000"/>
          <w:sz w:val="20"/>
        </w:rPr>
        <w:t xml:space="preserve">, which held that, on interlocutory appeal of a motion to compel arbitration, we have no independent obligation to assess the plaintiff's standing to sue. </w:t>
      </w:r>
      <w:bookmarkStart w:id="1842" w:name="Bookmark_I627Y0752HM6310030000400"/>
      <w:bookmarkEnd w:id="1842"/>
      <w:r>
        <w:rPr>
          <w:rFonts w:ascii="Arial" w:eastAsia="Arial" w:hAnsi="Arial" w:cs="Arial"/>
          <w:color w:val="000000"/>
          <w:sz w:val="20"/>
        </w:rPr>
        <w:t xml:space="preserve">762 F.3d at 269. The latter argument also falls flat, but for a different reason: Pendent appellate jurisdiction requires the nonappealable standing issue to be inextricably intertwined with the appealable arbitrability issue, </w:t>
      </w:r>
      <w:r>
        <w:rPr>
          <w:rFonts w:ascii="Arial" w:eastAsia="Arial" w:hAnsi="Arial" w:cs="Arial"/>
          <w:i/>
          <w:color w:val="000000"/>
          <w:sz w:val="20"/>
        </w:rPr>
        <w:t>see id.</w:t>
      </w:r>
      <w:r>
        <w:rPr>
          <w:rFonts w:ascii="Arial" w:eastAsia="Arial" w:hAnsi="Arial" w:cs="Arial"/>
          <w:color w:val="000000"/>
          <w:sz w:val="20"/>
        </w:rPr>
        <w:t>, which, in this case, it is not. We address each argument in turn.</w:t>
      </w:r>
    </w:p>
    <w:p w14:paraId="0DA8A37A" w14:textId="77777777" w:rsidR="002B10A6" w:rsidRDefault="00000000">
      <w:pPr>
        <w:pStyle w:val="Normal12"/>
        <w:widowControl w:val="0"/>
        <w:spacing w:before="240" w:line="260" w:lineRule="atLeast"/>
      </w:pPr>
      <w:r>
        <w:br/>
      </w:r>
      <w:r>
        <w:rPr>
          <w:rFonts w:ascii="Arial" w:eastAsia="Arial" w:hAnsi="Arial" w:cs="Arial"/>
          <w:i/>
          <w:color w:val="000000"/>
          <w:sz w:val="20"/>
        </w:rPr>
        <w:t>1. We Are Not Required to Adjudicate Plaintiffs' Standing to Sue</w:t>
      </w:r>
    </w:p>
    <w:p w14:paraId="19942B9B" w14:textId="77777777" w:rsidR="002B10A6" w:rsidRDefault="00000000">
      <w:pPr>
        <w:pStyle w:val="Normal12"/>
        <w:widowControl w:val="0"/>
        <w:spacing w:before="200" w:line="260" w:lineRule="atLeast"/>
        <w:jc w:val="both"/>
      </w:pPr>
      <w:bookmarkStart w:id="1843" w:name="Bookmark_para_12_10"/>
      <w:bookmarkStart w:id="1844" w:name="Bookmark_I627Y07528T4HY0010000400"/>
      <w:bookmarkEnd w:id="1843"/>
      <w:bookmarkEnd w:id="1844"/>
      <w:r>
        <w:rPr>
          <w:rFonts w:ascii="Arial" w:eastAsia="Arial" w:hAnsi="Arial" w:cs="Arial"/>
          <w:color w:val="000000"/>
          <w:sz w:val="20"/>
        </w:rPr>
        <w:t xml:space="preserve">Uber's first argument—that we must assure ourselves Plaintiffs have standing to bring their underlying claim—returns us to the familiar terrain of </w:t>
      </w:r>
      <w:r>
        <w:rPr>
          <w:rFonts w:ascii="Arial" w:eastAsia="Arial" w:hAnsi="Arial" w:cs="Arial"/>
          <w:i/>
          <w:color w:val="000000"/>
          <w:sz w:val="20"/>
        </w:rPr>
        <w:t>Griswold</w:t>
      </w:r>
      <w:r>
        <w:rPr>
          <w:rFonts w:ascii="Arial" w:eastAsia="Arial" w:hAnsi="Arial" w:cs="Arial"/>
          <w:color w:val="000000"/>
          <w:sz w:val="20"/>
        </w:rPr>
        <w:t>. There, as here, the district court concluded both that plaintiffs had Article III standing to sue and that they were not compelled to arbitrate pursuant to a contract they had never signed.</w:t>
      </w:r>
      <w:r>
        <w:rPr>
          <w:rFonts w:ascii="Arial" w:eastAsia="Arial" w:hAnsi="Arial" w:cs="Arial"/>
          <w:vertAlign w:val="superscript"/>
        </w:rPr>
        <w:footnoteReference w:customMarkFollows="1" w:id="82"/>
        <w:t>3</w:t>
      </w:r>
      <w:r>
        <w:rPr>
          <w:rFonts w:ascii="Arial" w:eastAsia="Arial" w:hAnsi="Arial" w:cs="Arial"/>
          <w:color w:val="000000"/>
          <w:sz w:val="20"/>
        </w:rPr>
        <w:t xml:space="preserve"> </w:t>
      </w:r>
      <w:bookmarkStart w:id="1858" w:name="Bookmark_I627Y0752HM6310050000400"/>
      <w:bookmarkEnd w:id="1858"/>
      <w:r>
        <w:rPr>
          <w:rFonts w:ascii="Arial" w:eastAsia="Arial" w:hAnsi="Arial" w:cs="Arial"/>
          <w:color w:val="000000"/>
          <w:sz w:val="20"/>
        </w:rPr>
        <w:t xml:space="preserve">762 F.3d at 268.  [*763]  And like Uber, the appellant there argued "that [this Court has] not only the [**7]  authority but the obligation to determine whether Appellees possess standing because it is a threshold jurisdictional requirement both in the district court and on appeal." </w:t>
      </w:r>
      <w:r>
        <w:rPr>
          <w:rFonts w:ascii="Arial" w:eastAsia="Arial" w:hAnsi="Arial" w:cs="Arial"/>
          <w:i/>
          <w:color w:val="000000"/>
          <w:sz w:val="20"/>
        </w:rPr>
        <w:t>Id.</w:t>
      </w:r>
      <w:r>
        <w:rPr>
          <w:rFonts w:ascii="Arial" w:eastAsia="Arial" w:hAnsi="Arial" w:cs="Arial"/>
          <w:color w:val="000000"/>
          <w:sz w:val="20"/>
        </w:rPr>
        <w:t xml:space="preserve"> (internal quotation marks and citation omitted).</w:t>
      </w:r>
    </w:p>
    <w:p w14:paraId="64599A32" w14:textId="77777777" w:rsidR="002B10A6" w:rsidRDefault="00000000">
      <w:pPr>
        <w:pStyle w:val="Normal12"/>
        <w:widowControl w:val="0"/>
        <w:spacing w:before="200" w:line="260" w:lineRule="atLeast"/>
        <w:jc w:val="both"/>
      </w:pPr>
      <w:bookmarkStart w:id="1859" w:name="Bookmark_para_13_10"/>
      <w:bookmarkStart w:id="1860" w:name="Bookmark_I627Y0752D6NRX0030000400"/>
      <w:bookmarkStart w:id="1861" w:name="Bookmark_I627Y0752D6NRX0050000400"/>
      <w:bookmarkEnd w:id="1859"/>
      <w:bookmarkEnd w:id="1860"/>
      <w:bookmarkEnd w:id="1861"/>
      <w:r>
        <w:rPr>
          <w:rFonts w:ascii="Arial" w:eastAsia="Arial" w:hAnsi="Arial" w:cs="Arial"/>
          <w:color w:val="000000"/>
          <w:sz w:val="20"/>
        </w:rPr>
        <w:t xml:space="preserve">We rejected that argument, cautioning that "although standing is always a threshold issue, standing to appeal should not be confused with standing to sue." </w:t>
      </w:r>
      <w:bookmarkStart w:id="1862" w:name="Bookmark_I627Y0752D6NRX0020000400"/>
      <w:bookmarkEnd w:id="1862"/>
      <w:r>
        <w:rPr>
          <w:rFonts w:ascii="Arial" w:eastAsia="Arial" w:hAnsi="Arial" w:cs="Arial"/>
          <w:i/>
          <w:color w:val="000000"/>
          <w:sz w:val="20"/>
        </w:rPr>
        <w:t>Id.</w:t>
      </w:r>
      <w:r>
        <w:rPr>
          <w:rFonts w:ascii="Arial" w:eastAsia="Arial" w:hAnsi="Arial" w:cs="Arial"/>
          <w:color w:val="000000"/>
          <w:sz w:val="20"/>
        </w:rPr>
        <w:t xml:space="preserve"> at 269. Otherwise, we recognized, challenges to standing would blow a gaping hole in the final decision rule of 28 U.S.C. § 1291, with defendants reflexively taking interlocutory appeals in the "countless cases where a district court rejected a defendant's challenge to the plaintiff's standing." </w:t>
      </w:r>
      <w:r>
        <w:rPr>
          <w:rFonts w:ascii="Arial" w:eastAsia="Arial" w:hAnsi="Arial" w:cs="Arial"/>
          <w:i/>
          <w:color w:val="000000"/>
          <w:sz w:val="20"/>
        </w:rPr>
        <w:t>Id.</w:t>
      </w:r>
      <w:r>
        <w:rPr>
          <w:rFonts w:ascii="Arial" w:eastAsia="Arial" w:hAnsi="Arial" w:cs="Arial"/>
          <w:color w:val="000000"/>
          <w:sz w:val="20"/>
        </w:rPr>
        <w:t xml:space="preserve"> (quoting </w:t>
      </w:r>
      <w:bookmarkStart w:id="1863" w:name="Bookmark_I627Y0752D6NRX0040000400"/>
      <w:bookmarkEnd w:id="1863"/>
      <w:r>
        <w:rPr>
          <w:rFonts w:ascii="Arial" w:eastAsia="Arial" w:hAnsi="Arial" w:cs="Arial"/>
          <w:i/>
          <w:color w:val="000000"/>
          <w:sz w:val="20"/>
        </w:rPr>
        <w:t>Petroleos Mexicanos Refinacion v. M/T King A (Ex-Tbilisi)</w:t>
      </w:r>
      <w:r>
        <w:rPr>
          <w:rFonts w:ascii="Arial" w:eastAsia="Arial" w:hAnsi="Arial" w:cs="Arial"/>
          <w:color w:val="000000"/>
          <w:sz w:val="20"/>
        </w:rPr>
        <w:t xml:space="preserve">, 377 F.3d 329, 335 (3d Cir. 2004)). </w:t>
      </w:r>
      <w:bookmarkStart w:id="1864" w:name="Bookmark_LNHNREFclscc5_10"/>
      <w:bookmarkEnd w:id="1864"/>
      <w:r>
        <w:rPr>
          <w:rFonts w:ascii="Arial" w:eastAsia="Arial" w:hAnsi="Arial" w:cs="Arial"/>
          <w:color w:val="000000"/>
          <w:sz w:val="20"/>
        </w:rPr>
        <w:t xml:space="preserve">Instead, we concluded, where "a district court has [already] determined that a plaintiff has standing to sue, our power to adjudicate [the standing-to-sue] issue on an interlocutory basis is limited" to pendent appellate jurisdiction. </w:t>
      </w:r>
      <w:r>
        <w:rPr>
          <w:rFonts w:ascii="Arial" w:eastAsia="Arial" w:hAnsi="Arial" w:cs="Arial"/>
          <w:i/>
          <w:color w:val="000000"/>
          <w:sz w:val="20"/>
        </w:rPr>
        <w:t>Id.</w:t>
      </w:r>
    </w:p>
    <w:p w14:paraId="5C7D558A" w14:textId="77777777" w:rsidR="002B10A6" w:rsidRDefault="00000000">
      <w:pPr>
        <w:pStyle w:val="Normal12"/>
        <w:widowControl w:val="0"/>
        <w:spacing w:before="200" w:line="260" w:lineRule="atLeast"/>
        <w:jc w:val="both"/>
      </w:pPr>
      <w:bookmarkStart w:id="1865" w:name="Bookmark_para_14_10"/>
      <w:bookmarkStart w:id="1866" w:name="Bookmark_I627Y07528T4J30020000400"/>
      <w:bookmarkStart w:id="1867" w:name="Bookmark_I627Y07528T4J30040000400"/>
      <w:bookmarkEnd w:id="1865"/>
      <w:bookmarkEnd w:id="1866"/>
      <w:bookmarkEnd w:id="1867"/>
      <w:r>
        <w:rPr>
          <w:rFonts w:ascii="Arial" w:eastAsia="Arial" w:hAnsi="Arial" w:cs="Arial"/>
          <w:i/>
          <w:color w:val="000000"/>
          <w:sz w:val="20"/>
        </w:rPr>
        <w:t>Griswold</w:t>
      </w:r>
      <w:r>
        <w:rPr>
          <w:rFonts w:ascii="Arial" w:eastAsia="Arial" w:hAnsi="Arial" w:cs="Arial"/>
          <w:color w:val="000000"/>
          <w:sz w:val="20"/>
        </w:rPr>
        <w:t xml:space="preserve">'s logic is well grounded in Supreme Court precedent and applies to this case with full force. </w:t>
      </w:r>
      <w:bookmarkStart w:id="1868" w:name="Bookmark_I627Y0762N1R060030000400"/>
      <w:bookmarkEnd w:id="1868"/>
      <w:r>
        <w:rPr>
          <w:rFonts w:ascii="Arial" w:eastAsia="Arial" w:hAnsi="Arial" w:cs="Arial"/>
          <w:color w:val="000000"/>
          <w:sz w:val="20"/>
        </w:rPr>
        <w:t xml:space="preserve">The distinction it drew between standing to appeal and standing to sue comports with the mandate [**8]  that </w:t>
      </w:r>
      <w:bookmarkStart w:id="1869" w:name="Bookmark_LNHNREFclscc6_9"/>
      <w:bookmarkEnd w:id="1869"/>
      <w:r>
        <w:rPr>
          <w:rFonts w:ascii="Arial" w:eastAsia="Arial" w:hAnsi="Arial" w:cs="Arial"/>
          <w:color w:val="000000"/>
          <w:sz w:val="20"/>
        </w:rPr>
        <w:t xml:space="preserve">the standing analysis be tailored to the "type of relief sought." </w:t>
      </w:r>
      <w:bookmarkStart w:id="1870" w:name="Bookmark_I627Y07528T4J30010000400"/>
      <w:bookmarkEnd w:id="1870"/>
      <w:r>
        <w:rPr>
          <w:rFonts w:ascii="Arial" w:eastAsia="Arial" w:hAnsi="Arial" w:cs="Arial"/>
          <w:i/>
          <w:color w:val="000000"/>
          <w:sz w:val="20"/>
        </w:rPr>
        <w:t>Summers v. Earth Island Inst.</w:t>
      </w:r>
      <w:r>
        <w:rPr>
          <w:rFonts w:ascii="Arial" w:eastAsia="Arial" w:hAnsi="Arial" w:cs="Arial"/>
          <w:color w:val="000000"/>
          <w:sz w:val="20"/>
        </w:rPr>
        <w:t xml:space="preserve">, 555 U.S. 488, 493, 129 S. Ct. 1142, 173 L. Ed. 2d 1 (2009). </w:t>
      </w:r>
      <w:bookmarkStart w:id="1871" w:name="Bookmark_I627Y0762N1R060050000400"/>
      <w:bookmarkEnd w:id="1871"/>
      <w:r>
        <w:rPr>
          <w:rFonts w:ascii="Arial" w:eastAsia="Arial" w:hAnsi="Arial" w:cs="Arial"/>
          <w:color w:val="000000"/>
          <w:sz w:val="20"/>
        </w:rPr>
        <w:t xml:space="preserve">And in the context of an interlocutory appeal under the FAA, that means we look not to the plaintiff and the relief sought in the underlying action, but to "[the] litigant who asks for . . . immediate appeal" and "the category of order appealed from." </w:t>
      </w:r>
      <w:bookmarkStart w:id="1872" w:name="Bookmark_I627Y07528T4J30030000400"/>
      <w:bookmarkEnd w:id="1872"/>
      <w:r>
        <w:rPr>
          <w:rFonts w:ascii="Arial" w:eastAsia="Arial" w:hAnsi="Arial" w:cs="Arial"/>
          <w:i/>
          <w:color w:val="000000"/>
          <w:sz w:val="20"/>
        </w:rPr>
        <w:t>Arthur Andersen LLP v. Carlisle</w:t>
      </w:r>
      <w:r>
        <w:rPr>
          <w:rFonts w:ascii="Arial" w:eastAsia="Arial" w:hAnsi="Arial" w:cs="Arial"/>
          <w:color w:val="000000"/>
          <w:sz w:val="20"/>
        </w:rPr>
        <w:t xml:space="preserve">, 556 U.S. 624, 628, 129 S. Ct. 1896, 173 L. Ed. 2d 832 (2009) (internal quotation marks and citation omitted); </w:t>
      </w:r>
      <w:r>
        <w:rPr>
          <w:rFonts w:ascii="Arial" w:eastAsia="Arial" w:hAnsi="Arial" w:cs="Arial"/>
          <w:i/>
          <w:color w:val="000000"/>
          <w:sz w:val="20"/>
        </w:rPr>
        <w:t xml:space="preserve">see </w:t>
      </w:r>
      <w:bookmarkStart w:id="1873" w:name="Bookmark_I627Y07528T4J30050000400"/>
      <w:bookmarkEnd w:id="1873"/>
      <w:r>
        <w:rPr>
          <w:rFonts w:ascii="Arial" w:eastAsia="Arial" w:hAnsi="Arial" w:cs="Arial"/>
          <w:i/>
          <w:color w:val="000000"/>
          <w:sz w:val="20"/>
        </w:rPr>
        <w:t>Raytheon Co. v. Ashborn Agencies, Ltd.</w:t>
      </w:r>
      <w:r>
        <w:rPr>
          <w:rFonts w:ascii="Arial" w:eastAsia="Arial" w:hAnsi="Arial" w:cs="Arial"/>
          <w:color w:val="000000"/>
          <w:sz w:val="20"/>
        </w:rPr>
        <w:t xml:space="preserve">, 372 F.3d 451, 453-54, 362 U.S. App. D.C. 84 (D.C. Cir. 2004). </w:t>
      </w:r>
      <w:bookmarkStart w:id="1874" w:name="Bookmark_I627Y0762N1R060050000400_2"/>
      <w:bookmarkStart w:id="1875" w:name="Bookmark_I627Y0762N1R060030000400_2"/>
      <w:bookmarkEnd w:id="1874"/>
      <w:bookmarkEnd w:id="1875"/>
      <w:r>
        <w:rPr>
          <w:rFonts w:ascii="Arial" w:eastAsia="Arial" w:hAnsi="Arial" w:cs="Arial"/>
          <w:color w:val="000000"/>
          <w:sz w:val="20"/>
        </w:rPr>
        <w:t xml:space="preserve">To the extent we may "look through" to the "underlying substantive controversy," it is for the singular purpose of "determin[ing] whether it is predicated on an action that 'arises under' federal law." </w:t>
      </w:r>
      <w:bookmarkStart w:id="1876" w:name="Bookmark_I627Y0762N1R060020000400"/>
      <w:bookmarkEnd w:id="1876"/>
      <w:r>
        <w:rPr>
          <w:rFonts w:ascii="Arial" w:eastAsia="Arial" w:hAnsi="Arial" w:cs="Arial"/>
          <w:i/>
          <w:color w:val="000000"/>
          <w:sz w:val="20"/>
        </w:rPr>
        <w:t>Vaden v. Discover Bank</w:t>
      </w:r>
      <w:r>
        <w:rPr>
          <w:rFonts w:ascii="Arial" w:eastAsia="Arial" w:hAnsi="Arial" w:cs="Arial"/>
          <w:color w:val="000000"/>
          <w:sz w:val="20"/>
        </w:rPr>
        <w:t xml:space="preserve">, 556 U.S. 49, 62, 129 S. Ct. 1262, 173 L. Ed. 2d 206 (2009). </w:t>
      </w:r>
      <w:bookmarkStart w:id="1877" w:name="Bookmark_LNHNREFclscc7_9"/>
      <w:bookmarkEnd w:id="1877"/>
      <w:r>
        <w:rPr>
          <w:rFonts w:ascii="Arial" w:eastAsia="Arial" w:hAnsi="Arial" w:cs="Arial"/>
          <w:color w:val="000000"/>
          <w:sz w:val="20"/>
        </w:rPr>
        <w:t xml:space="preserve">In short, what </w:t>
      </w:r>
      <w:r>
        <w:rPr>
          <w:rFonts w:ascii="Arial" w:eastAsia="Arial" w:hAnsi="Arial" w:cs="Arial"/>
          <w:i/>
          <w:color w:val="000000"/>
          <w:sz w:val="20"/>
        </w:rPr>
        <w:t>Griswold</w:t>
      </w:r>
      <w:r>
        <w:rPr>
          <w:rFonts w:ascii="Arial" w:eastAsia="Arial" w:hAnsi="Arial" w:cs="Arial"/>
          <w:color w:val="000000"/>
          <w:sz w:val="20"/>
        </w:rPr>
        <w:t xml:space="preserve"> and these cases teach is that on interlocutory appeal of the denial of a motion to compel arbitration, we must assure ourselves of jurisdiction in two, and only two, respects: (1) that the appellant has standing to appeal, </w:t>
      </w:r>
      <w:r>
        <w:rPr>
          <w:rFonts w:ascii="Arial" w:eastAsia="Arial" w:hAnsi="Arial" w:cs="Arial"/>
          <w:i/>
          <w:color w:val="000000"/>
          <w:sz w:val="20"/>
        </w:rPr>
        <w:t>see id.</w:t>
      </w:r>
      <w:r>
        <w:rPr>
          <w:rFonts w:ascii="Arial" w:eastAsia="Arial" w:hAnsi="Arial" w:cs="Arial"/>
          <w:color w:val="000000"/>
          <w:sz w:val="20"/>
        </w:rPr>
        <w:t xml:space="preserve">; </w:t>
      </w:r>
      <w:bookmarkStart w:id="1878" w:name="Bookmark_I627Y0762N1R060040000400"/>
      <w:bookmarkEnd w:id="1878"/>
      <w:r>
        <w:rPr>
          <w:rFonts w:ascii="Arial" w:eastAsia="Arial" w:hAnsi="Arial" w:cs="Arial"/>
          <w:i/>
          <w:color w:val="000000"/>
          <w:sz w:val="20"/>
        </w:rPr>
        <w:t>Griswold</w:t>
      </w:r>
      <w:r>
        <w:rPr>
          <w:rFonts w:ascii="Arial" w:eastAsia="Arial" w:hAnsi="Arial" w:cs="Arial"/>
          <w:color w:val="000000"/>
          <w:sz w:val="20"/>
        </w:rPr>
        <w:t>, 762 F.3d at 268, and (2) that, "save for [the arbitration] agreement," the  [*764]  district court "would have jurisdiction under title 28, in a civil action . . . of the subject matter of a suit arising out of the controversy between the parties," 9 U.S.C. § 4.</w:t>
      </w:r>
    </w:p>
    <w:p w14:paraId="4F47861E" w14:textId="77777777" w:rsidR="002B10A6" w:rsidRDefault="00000000">
      <w:pPr>
        <w:pStyle w:val="Normal12"/>
        <w:widowControl w:val="0"/>
        <w:spacing w:before="200" w:line="260" w:lineRule="atLeast"/>
        <w:jc w:val="both"/>
      </w:pPr>
      <w:bookmarkStart w:id="1879" w:name="Bookmark_para_15_10"/>
      <w:bookmarkStart w:id="1880" w:name="Bookmark_I627Y0762N1R080020000400"/>
      <w:bookmarkEnd w:id="1879"/>
      <w:bookmarkEnd w:id="1880"/>
      <w:r>
        <w:rPr>
          <w:rFonts w:ascii="Arial" w:eastAsia="Arial" w:hAnsi="Arial" w:cs="Arial"/>
          <w:color w:val="000000"/>
          <w:sz w:val="20"/>
        </w:rPr>
        <w:t xml:space="preserve">Both requirements are met here. First, by petitioning for review under Section 4 of the FAA, Uber necessarily alleged that it was "[a] party aggrieved [**9]  by the alleged failure, neglect, or refusal of another to arbitrate under a written agreement for arbitration." 9 U.S.C. § 4. </w:t>
      </w:r>
      <w:bookmarkStart w:id="1881" w:name="Bookmark_I627Y0772HM63G0010000400"/>
      <w:bookmarkEnd w:id="1881"/>
      <w:r>
        <w:rPr>
          <w:rFonts w:ascii="Arial" w:eastAsia="Arial" w:hAnsi="Arial" w:cs="Arial"/>
          <w:color w:val="000000"/>
          <w:sz w:val="20"/>
        </w:rPr>
        <w:t xml:space="preserve">It alleged, in other words, standing to appeal: that it "suffered an injury in fact" that was "caused by" Plaintiffs, </w:t>
      </w:r>
      <w:bookmarkStart w:id="1882" w:name="Bookmark_I627Y0762N1R080010000400"/>
      <w:bookmarkEnd w:id="1882"/>
      <w:r>
        <w:rPr>
          <w:rFonts w:ascii="Arial" w:eastAsia="Arial" w:hAnsi="Arial" w:cs="Arial"/>
          <w:i/>
          <w:color w:val="000000"/>
          <w:sz w:val="20"/>
        </w:rPr>
        <w:t>Thole v. U. S. Bank N.A.</w:t>
      </w:r>
      <w:r>
        <w:rPr>
          <w:rFonts w:ascii="Arial" w:eastAsia="Arial" w:hAnsi="Arial" w:cs="Arial"/>
          <w:color w:val="000000"/>
          <w:sz w:val="20"/>
        </w:rPr>
        <w:t xml:space="preserve">, 140 S. Ct. 1615, 1618, 207 L. Ed. 2d 85 (2020), and that—because the FAA allows Uber to appeal "an order . . . denying a petition under section 4 of this title to order arbitration to proceed," 9 U.S.C. § 16(a)(1)(B)—that injury is one that "would likely be redressed by the requested judicial relief," </w:t>
      </w:r>
      <w:bookmarkStart w:id="1883" w:name="Bookmark_I627Y0762N1R080030000400"/>
      <w:bookmarkEnd w:id="1883"/>
      <w:r>
        <w:rPr>
          <w:rFonts w:ascii="Arial" w:eastAsia="Arial" w:hAnsi="Arial" w:cs="Arial"/>
          <w:i/>
          <w:color w:val="000000"/>
          <w:sz w:val="20"/>
        </w:rPr>
        <w:t>Thole</w:t>
      </w:r>
      <w:r>
        <w:rPr>
          <w:rFonts w:ascii="Arial" w:eastAsia="Arial" w:hAnsi="Arial" w:cs="Arial"/>
          <w:color w:val="000000"/>
          <w:sz w:val="20"/>
        </w:rPr>
        <w:t xml:space="preserve">, 140 S. Ct. at 1618. </w:t>
      </w:r>
      <w:bookmarkStart w:id="1884" w:name="Bookmark_I627Y0772HM63G0030000400"/>
      <w:bookmarkEnd w:id="1884"/>
      <w:r>
        <w:rPr>
          <w:rFonts w:ascii="Arial" w:eastAsia="Arial" w:hAnsi="Arial" w:cs="Arial"/>
          <w:color w:val="000000"/>
          <w:sz w:val="20"/>
        </w:rPr>
        <w:t xml:space="preserve">And second, because Plaintiffs' ADA claim against Uber presents a federal question, it is undoubtedly a "controversy between the parties" over which, "save for [the alleged arbitration] agreement," 9 U.S.C. § 4, the District Court would have subject matter jurisdiction under title 28. </w:t>
      </w:r>
      <w:bookmarkStart w:id="1885" w:name="Bookmark_I627Y0772HM63G0030000400_2"/>
      <w:bookmarkStart w:id="1886" w:name="Bookmark_I627Y0772HM63G0010000400_2"/>
      <w:bookmarkEnd w:id="1885"/>
      <w:bookmarkEnd w:id="1886"/>
      <w:r>
        <w:rPr>
          <w:rFonts w:ascii="Arial" w:eastAsia="Arial" w:hAnsi="Arial" w:cs="Arial"/>
          <w:i/>
          <w:color w:val="000000"/>
          <w:sz w:val="20"/>
        </w:rPr>
        <w:t xml:space="preserve">See </w:t>
      </w:r>
      <w:bookmarkStart w:id="1887" w:name="Bookmark_I627Y0762N1R080050000400"/>
      <w:bookmarkEnd w:id="1887"/>
      <w:r>
        <w:rPr>
          <w:rFonts w:ascii="Arial" w:eastAsia="Arial" w:hAnsi="Arial" w:cs="Arial"/>
          <w:i/>
          <w:color w:val="000000"/>
          <w:sz w:val="20"/>
        </w:rPr>
        <w:t>Vaden</w:t>
      </w:r>
      <w:r>
        <w:rPr>
          <w:rFonts w:ascii="Arial" w:eastAsia="Arial" w:hAnsi="Arial" w:cs="Arial"/>
          <w:color w:val="000000"/>
          <w:sz w:val="20"/>
        </w:rPr>
        <w:t xml:space="preserve">, 556 U.S. at 62. As a result, we have jurisdiction over this appeal, and in view of our "limited" authority "to adjudicate [standing to sue] on an interlocutory basis," </w:t>
      </w:r>
      <w:bookmarkStart w:id="1888" w:name="Bookmark_I627Y0772HM63G0020000400"/>
      <w:bookmarkEnd w:id="1888"/>
      <w:r>
        <w:rPr>
          <w:rFonts w:ascii="Arial" w:eastAsia="Arial" w:hAnsi="Arial" w:cs="Arial"/>
          <w:i/>
          <w:color w:val="000000"/>
          <w:sz w:val="20"/>
        </w:rPr>
        <w:t>Griswold</w:t>
      </w:r>
      <w:r>
        <w:rPr>
          <w:rFonts w:ascii="Arial" w:eastAsia="Arial" w:hAnsi="Arial" w:cs="Arial"/>
          <w:color w:val="000000"/>
          <w:sz w:val="20"/>
        </w:rPr>
        <w:t>, 762 F.3d at 269, we have neither the need nor the obligation to ascertain Plaintiffs' standing to sue.</w:t>
      </w:r>
    </w:p>
    <w:p w14:paraId="05F117D3" w14:textId="77777777" w:rsidR="002B10A6" w:rsidRDefault="00000000">
      <w:pPr>
        <w:pStyle w:val="Normal12"/>
        <w:widowControl w:val="0"/>
        <w:spacing w:before="200" w:line="260" w:lineRule="atLeast"/>
        <w:jc w:val="both"/>
      </w:pPr>
      <w:bookmarkStart w:id="1889" w:name="Bookmark_para_16_8"/>
      <w:bookmarkStart w:id="1890" w:name="Bookmark_I130PTFT2K800003YBJ0000G"/>
      <w:bookmarkStart w:id="1891" w:name="Bookmark_I627Y0772HM63G0050000400"/>
      <w:bookmarkStart w:id="1892" w:name="Bookmark_I627Y0772HM63J0040000400"/>
      <w:bookmarkEnd w:id="1889"/>
      <w:bookmarkEnd w:id="1890"/>
      <w:bookmarkEnd w:id="1891"/>
      <w:bookmarkEnd w:id="1892"/>
      <w:r>
        <w:rPr>
          <w:rFonts w:ascii="Arial" w:eastAsia="Arial" w:hAnsi="Arial" w:cs="Arial"/>
          <w:color w:val="000000"/>
          <w:sz w:val="20"/>
        </w:rPr>
        <w:t xml:space="preserve">Uber counters that this case is controlled by </w:t>
      </w:r>
      <w:bookmarkStart w:id="1893" w:name="Bookmark_I627Y0772HM63G0040000400"/>
      <w:bookmarkEnd w:id="1893"/>
      <w:r>
        <w:rPr>
          <w:rFonts w:ascii="Arial" w:eastAsia="Arial" w:hAnsi="Arial" w:cs="Arial"/>
          <w:i/>
          <w:color w:val="000000"/>
          <w:sz w:val="20"/>
        </w:rPr>
        <w:t>Larsen v. Senate</w:t>
      </w:r>
      <w:r>
        <w:rPr>
          <w:rFonts w:ascii="Arial" w:eastAsia="Arial" w:hAnsi="Arial" w:cs="Arial"/>
          <w:color w:val="000000"/>
          <w:sz w:val="20"/>
        </w:rPr>
        <w:t xml:space="preserve">, 152 F.3d 240 (3d Cir. 1998), which requires us to resolve all jurisdictional questions on interlocutory appeal, and that, because </w:t>
      </w:r>
      <w:r>
        <w:rPr>
          <w:rFonts w:ascii="Arial" w:eastAsia="Arial" w:hAnsi="Arial" w:cs="Arial"/>
          <w:i/>
          <w:color w:val="000000"/>
          <w:sz w:val="20"/>
        </w:rPr>
        <w:t>Griswold</w:t>
      </w:r>
      <w:r>
        <w:rPr>
          <w:rFonts w:ascii="Arial" w:eastAsia="Arial" w:hAnsi="Arial" w:cs="Arial"/>
          <w:color w:val="000000"/>
          <w:sz w:val="20"/>
        </w:rPr>
        <w:t xml:space="preserve"> was decided later, we are "bound by the holding in [</w:t>
      </w:r>
      <w:r>
        <w:rPr>
          <w:rFonts w:ascii="Arial" w:eastAsia="Arial" w:hAnsi="Arial" w:cs="Arial"/>
          <w:i/>
          <w:color w:val="000000"/>
          <w:sz w:val="20"/>
        </w:rPr>
        <w:t>Larsen</w:t>
      </w:r>
      <w:r>
        <w:rPr>
          <w:rFonts w:ascii="Arial" w:eastAsia="Arial" w:hAnsi="Arial" w:cs="Arial"/>
          <w:color w:val="000000"/>
          <w:sz w:val="20"/>
        </w:rPr>
        <w:t xml:space="preserve">] regardless [**10]  of any conflicting language [in </w:t>
      </w:r>
      <w:r>
        <w:rPr>
          <w:rFonts w:ascii="Arial" w:eastAsia="Arial" w:hAnsi="Arial" w:cs="Arial"/>
          <w:i/>
          <w:color w:val="000000"/>
          <w:sz w:val="20"/>
        </w:rPr>
        <w:t>Griswold</w:t>
      </w:r>
      <w:r>
        <w:rPr>
          <w:rFonts w:ascii="Arial" w:eastAsia="Arial" w:hAnsi="Arial" w:cs="Arial"/>
          <w:color w:val="000000"/>
          <w:sz w:val="20"/>
        </w:rPr>
        <w:t xml:space="preserve">], if there is any." </w:t>
      </w:r>
      <w:bookmarkStart w:id="1894" w:name="Bookmark_I627Y0772HM63J0010000400"/>
      <w:bookmarkEnd w:id="1894"/>
      <w:r>
        <w:rPr>
          <w:rFonts w:ascii="Arial" w:eastAsia="Arial" w:hAnsi="Arial" w:cs="Arial"/>
          <w:i/>
          <w:color w:val="000000"/>
          <w:sz w:val="20"/>
        </w:rPr>
        <w:t>Pardini v. Allegheny Intermediate Unit</w:t>
      </w:r>
      <w:r>
        <w:rPr>
          <w:rFonts w:ascii="Arial" w:eastAsia="Arial" w:hAnsi="Arial" w:cs="Arial"/>
          <w:color w:val="000000"/>
          <w:sz w:val="20"/>
        </w:rPr>
        <w:t xml:space="preserve">, 524 F.3d 419, 426 (3d Cir. 2008). </w:t>
      </w:r>
      <w:bookmarkStart w:id="1895" w:name="Bookmark_LNHNREFclscc8_8"/>
      <w:bookmarkEnd w:id="1895"/>
      <w:r>
        <w:rPr>
          <w:rFonts w:ascii="Arial" w:eastAsia="Arial" w:hAnsi="Arial" w:cs="Arial"/>
          <w:color w:val="000000"/>
          <w:sz w:val="20"/>
        </w:rPr>
        <w:t xml:space="preserve">The principle Uber invokes from </w:t>
      </w:r>
      <w:r>
        <w:rPr>
          <w:rFonts w:ascii="Arial" w:eastAsia="Arial" w:hAnsi="Arial" w:cs="Arial"/>
          <w:i/>
          <w:color w:val="000000"/>
          <w:sz w:val="20"/>
        </w:rPr>
        <w:t>Pardini</w:t>
      </w:r>
      <w:r>
        <w:rPr>
          <w:rFonts w:ascii="Arial" w:eastAsia="Arial" w:hAnsi="Arial" w:cs="Arial"/>
          <w:color w:val="000000"/>
          <w:sz w:val="20"/>
        </w:rPr>
        <w:t xml:space="preserve">, however, is applicable only where a subsequent panel addresses "the same issue" as the former. </w:t>
      </w:r>
      <w:r>
        <w:rPr>
          <w:rFonts w:ascii="Arial" w:eastAsia="Arial" w:hAnsi="Arial" w:cs="Arial"/>
          <w:i/>
          <w:color w:val="000000"/>
          <w:sz w:val="20"/>
        </w:rPr>
        <w:t>Id.</w:t>
      </w:r>
      <w:r>
        <w:rPr>
          <w:rFonts w:ascii="Arial" w:eastAsia="Arial" w:hAnsi="Arial" w:cs="Arial"/>
          <w:color w:val="000000"/>
          <w:sz w:val="20"/>
        </w:rPr>
        <w:t xml:space="preserve"> Where there is "substantial doubt as to whether a prior panel actually decided an issue," on the other hand, "the later panel should not be foreclosed." </w:t>
      </w:r>
      <w:bookmarkStart w:id="1896" w:name="Bookmark_I627Y0772HM63J0030000400"/>
      <w:bookmarkEnd w:id="1896"/>
      <w:r>
        <w:rPr>
          <w:rFonts w:ascii="Arial" w:eastAsia="Arial" w:hAnsi="Arial" w:cs="Arial"/>
          <w:i/>
          <w:color w:val="000000"/>
          <w:sz w:val="20"/>
        </w:rPr>
        <w:t>Id.</w:t>
      </w:r>
      <w:r>
        <w:rPr>
          <w:rFonts w:ascii="Arial" w:eastAsia="Arial" w:hAnsi="Arial" w:cs="Arial"/>
          <w:color w:val="000000"/>
          <w:sz w:val="20"/>
        </w:rPr>
        <w:t xml:space="preserve"> at 427 (citation omitted).</w:t>
      </w:r>
    </w:p>
    <w:p w14:paraId="0D2BB4D9" w14:textId="77777777" w:rsidR="002B10A6" w:rsidRDefault="00000000">
      <w:pPr>
        <w:pStyle w:val="Normal12"/>
        <w:widowControl w:val="0"/>
        <w:spacing w:before="200" w:line="260" w:lineRule="atLeast"/>
        <w:jc w:val="both"/>
      </w:pPr>
      <w:bookmarkStart w:id="1897" w:name="Bookmark_para_17_8"/>
      <w:bookmarkStart w:id="1898" w:name="Bookmark_I627Y0772SF7YF0010000400"/>
      <w:bookmarkEnd w:id="1897"/>
      <w:bookmarkEnd w:id="1898"/>
      <w:r>
        <w:rPr>
          <w:rFonts w:ascii="Arial" w:eastAsia="Arial" w:hAnsi="Arial" w:cs="Arial"/>
          <w:color w:val="000000"/>
          <w:sz w:val="20"/>
        </w:rPr>
        <w:t xml:space="preserve">Such is the case here. In </w:t>
      </w:r>
      <w:r>
        <w:rPr>
          <w:rFonts w:ascii="Arial" w:eastAsia="Arial" w:hAnsi="Arial" w:cs="Arial"/>
          <w:i/>
          <w:color w:val="000000"/>
          <w:sz w:val="20"/>
        </w:rPr>
        <w:t>Larsen</w:t>
      </w:r>
      <w:r>
        <w:rPr>
          <w:rFonts w:ascii="Arial" w:eastAsia="Arial" w:hAnsi="Arial" w:cs="Arial"/>
          <w:color w:val="000000"/>
          <w:sz w:val="20"/>
        </w:rPr>
        <w:t xml:space="preserve">, a former Commonwealth justice challenged his impeachment and removal from office. Although the district court concluded the suit did not raise political questions and was justiciable, it dismissed most of the claims, holding, among other things, that any property interest in the judicial position was too "highly circumscribed," </w:t>
      </w:r>
      <w:bookmarkStart w:id="1899" w:name="Bookmark_I627Y0772HM63J0050000400"/>
      <w:bookmarkEnd w:id="1899"/>
      <w:r>
        <w:rPr>
          <w:rFonts w:ascii="Arial" w:eastAsia="Arial" w:hAnsi="Arial" w:cs="Arial"/>
          <w:i/>
          <w:color w:val="000000"/>
          <w:sz w:val="20"/>
        </w:rPr>
        <w:t>Larsen</w:t>
      </w:r>
      <w:r>
        <w:rPr>
          <w:rFonts w:ascii="Arial" w:eastAsia="Arial" w:hAnsi="Arial" w:cs="Arial"/>
          <w:color w:val="000000"/>
          <w:sz w:val="20"/>
        </w:rPr>
        <w:t xml:space="preserve">, 152 F.3d at 245 (citation omitted)—a question it then certified for interlocutory appeal under 28 U.S.C. § 1292(b), </w:t>
      </w:r>
      <w:r>
        <w:rPr>
          <w:rFonts w:ascii="Arial" w:eastAsia="Arial" w:hAnsi="Arial" w:cs="Arial"/>
          <w:i/>
          <w:color w:val="000000"/>
          <w:sz w:val="20"/>
        </w:rPr>
        <w:t>see id.</w:t>
      </w:r>
      <w:r>
        <w:rPr>
          <w:rFonts w:ascii="Arial" w:eastAsia="Arial" w:hAnsi="Arial" w:cs="Arial"/>
          <w:color w:val="000000"/>
          <w:sz w:val="20"/>
        </w:rPr>
        <w:t xml:space="preserve"> We determined, however, that before addressing the justice's property interest in his position, we had to consider whether any federal review was barred by federalism concerns or the political-question doctrine because justiciability was "not only an issue that we [could] reach, but one that we must reach." </w:t>
      </w:r>
      <w:r>
        <w:rPr>
          <w:rFonts w:ascii="Arial" w:eastAsia="Arial" w:hAnsi="Arial" w:cs="Arial"/>
          <w:i/>
          <w:color w:val="000000"/>
          <w:sz w:val="20"/>
        </w:rPr>
        <w:t>Id.</w:t>
      </w:r>
      <w:r>
        <w:rPr>
          <w:rFonts w:ascii="Arial" w:eastAsia="Arial" w:hAnsi="Arial" w:cs="Arial"/>
          <w:color w:val="000000"/>
          <w:sz w:val="20"/>
        </w:rPr>
        <w:t xml:space="preserve"> </w:t>
      </w:r>
      <w:bookmarkStart w:id="1900" w:name="Bookmark_LNHNREFclscc9_8"/>
      <w:bookmarkEnd w:id="1900"/>
      <w:r>
        <w:rPr>
          <w:rFonts w:ascii="Arial" w:eastAsia="Arial" w:hAnsi="Arial" w:cs="Arial"/>
          <w:color w:val="000000"/>
          <w:sz w:val="20"/>
        </w:rPr>
        <w:t xml:space="preserve">Though justiciability is not a jurisdictional requirement, [**11]  </w:t>
      </w:r>
      <w:r>
        <w:rPr>
          <w:rFonts w:ascii="Arial" w:eastAsia="Arial" w:hAnsi="Arial" w:cs="Arial"/>
          <w:i/>
          <w:color w:val="000000"/>
          <w:sz w:val="20"/>
        </w:rPr>
        <w:t xml:space="preserve">see </w:t>
      </w:r>
      <w:bookmarkStart w:id="1901" w:name="Bookmark_I627Y0772SF7YF0020000400"/>
      <w:bookmarkEnd w:id="1901"/>
      <w:r>
        <w:rPr>
          <w:rFonts w:ascii="Arial" w:eastAsia="Arial" w:hAnsi="Arial" w:cs="Arial"/>
          <w:i/>
          <w:color w:val="000000"/>
          <w:sz w:val="20"/>
        </w:rPr>
        <w:t>Baker v. Carr</w:t>
      </w:r>
      <w:r>
        <w:rPr>
          <w:rFonts w:ascii="Arial" w:eastAsia="Arial" w:hAnsi="Arial" w:cs="Arial"/>
          <w:color w:val="000000"/>
          <w:sz w:val="20"/>
        </w:rPr>
        <w:t xml:space="preserve">, 369 U.S. 186, 198, 82 S. Ct. 691, 7 L. Ed. 2d 663 (1962), we reasoned that the Supreme Court's instructions to not "'assume[]' jurisdiction for the purpose of deciding the merits," </w:t>
      </w:r>
      <w:bookmarkStart w:id="1902" w:name="Bookmark_I627Y0772SF7YF0040000400"/>
      <w:bookmarkEnd w:id="1902"/>
      <w:r>
        <w:rPr>
          <w:rFonts w:ascii="Arial" w:eastAsia="Arial" w:hAnsi="Arial" w:cs="Arial"/>
          <w:i/>
          <w:color w:val="000000"/>
          <w:sz w:val="20"/>
        </w:rPr>
        <w:t>Larsen</w:t>
      </w:r>
      <w:r>
        <w:rPr>
          <w:rFonts w:ascii="Arial" w:eastAsia="Arial" w:hAnsi="Arial" w:cs="Arial"/>
          <w:color w:val="000000"/>
          <w:sz w:val="20"/>
        </w:rPr>
        <w:t xml:space="preserve">, 152 F.3d at 245 (quoting </w:t>
      </w:r>
      <w:bookmarkStart w:id="1903" w:name="Bookmark_I627Y0772D6NSG0010000400"/>
      <w:bookmarkEnd w:id="1903"/>
      <w:r>
        <w:rPr>
          <w:rFonts w:ascii="Arial" w:eastAsia="Arial" w:hAnsi="Arial" w:cs="Arial"/>
          <w:i/>
          <w:color w:val="000000"/>
          <w:sz w:val="20"/>
        </w:rPr>
        <w:t>Steel Co. v. Citizens for a Better Env't</w:t>
      </w:r>
      <w:r>
        <w:rPr>
          <w:rFonts w:ascii="Arial" w:eastAsia="Arial" w:hAnsi="Arial" w:cs="Arial"/>
          <w:color w:val="000000"/>
          <w:sz w:val="20"/>
        </w:rPr>
        <w:t>, 523 U.S. 83, 94, 118 S. Ct. 1003, 140 L. Ed. 2d 210 (1998)), extended to the federalism and political question issues presented.</w:t>
      </w:r>
    </w:p>
    <w:p w14:paraId="60C5AF56" w14:textId="77777777" w:rsidR="002B10A6" w:rsidRDefault="00000000">
      <w:pPr>
        <w:pStyle w:val="Normal12"/>
        <w:widowControl w:val="0"/>
        <w:spacing w:before="200" w:line="260" w:lineRule="atLeast"/>
        <w:jc w:val="both"/>
      </w:pPr>
      <w:bookmarkStart w:id="1904" w:name="Bookmark_para_18_8"/>
      <w:bookmarkStart w:id="1905" w:name="Bookmark_I627Y0772D6NSG0040000400"/>
      <w:bookmarkStart w:id="1906" w:name="Bookmark_I130PTFTF8H00003YBJ0000K"/>
      <w:bookmarkStart w:id="1907" w:name="Bookmark_I627Y0782D6NSH0050000400"/>
      <w:bookmarkEnd w:id="1904"/>
      <w:bookmarkEnd w:id="1905"/>
      <w:bookmarkEnd w:id="1906"/>
      <w:bookmarkEnd w:id="1907"/>
      <w:r>
        <w:rPr>
          <w:rFonts w:ascii="Arial" w:eastAsia="Arial" w:hAnsi="Arial" w:cs="Arial"/>
          <w:color w:val="000000"/>
          <w:sz w:val="20"/>
        </w:rPr>
        <w:t xml:space="preserve">In urging that </w:t>
      </w:r>
      <w:r>
        <w:rPr>
          <w:rFonts w:ascii="Arial" w:eastAsia="Arial" w:hAnsi="Arial" w:cs="Arial"/>
          <w:i/>
          <w:color w:val="000000"/>
          <w:sz w:val="20"/>
        </w:rPr>
        <w:t>Larsen</w:t>
      </w:r>
      <w:r>
        <w:rPr>
          <w:rFonts w:ascii="Arial" w:eastAsia="Arial" w:hAnsi="Arial" w:cs="Arial"/>
          <w:color w:val="000000"/>
          <w:sz w:val="20"/>
        </w:rPr>
        <w:t xml:space="preserve"> involved "the same issue," </w:t>
      </w:r>
      <w:bookmarkStart w:id="1908" w:name="Bookmark_I627Y0772D6NSG0030000400"/>
      <w:bookmarkEnd w:id="1908"/>
      <w:r>
        <w:rPr>
          <w:rFonts w:ascii="Arial" w:eastAsia="Arial" w:hAnsi="Arial" w:cs="Arial"/>
          <w:i/>
          <w:color w:val="000000"/>
          <w:sz w:val="20"/>
        </w:rPr>
        <w:t>Pardini</w:t>
      </w:r>
      <w:r>
        <w:rPr>
          <w:rFonts w:ascii="Arial" w:eastAsia="Arial" w:hAnsi="Arial" w:cs="Arial"/>
          <w:color w:val="000000"/>
          <w:sz w:val="20"/>
        </w:rPr>
        <w:t xml:space="preserve">, 524 F.3d at 426, as </w:t>
      </w:r>
      <w:r>
        <w:rPr>
          <w:rFonts w:ascii="Arial" w:eastAsia="Arial" w:hAnsi="Arial" w:cs="Arial"/>
          <w:i/>
          <w:color w:val="000000"/>
          <w:sz w:val="20"/>
        </w:rPr>
        <w:t>Griswold</w:t>
      </w:r>
      <w:r>
        <w:rPr>
          <w:rFonts w:ascii="Arial" w:eastAsia="Arial" w:hAnsi="Arial" w:cs="Arial"/>
          <w:color w:val="000000"/>
          <w:sz w:val="20"/>
        </w:rPr>
        <w:t xml:space="preserve"> and requires any and all jurisdictional issues to be adjudicated on interlocutory appeal, Uber fails to acknowledge the context-specific inquiry for standing, [*765]  </w:t>
      </w:r>
      <w:r>
        <w:rPr>
          <w:rFonts w:ascii="Arial" w:eastAsia="Arial" w:hAnsi="Arial" w:cs="Arial"/>
          <w:i/>
          <w:color w:val="000000"/>
          <w:sz w:val="20"/>
        </w:rPr>
        <w:t xml:space="preserve">see </w:t>
      </w:r>
      <w:bookmarkStart w:id="1909" w:name="Bookmark_I627Y0772D6NSG0050000400"/>
      <w:bookmarkEnd w:id="1909"/>
      <w:r>
        <w:rPr>
          <w:rFonts w:ascii="Arial" w:eastAsia="Arial" w:hAnsi="Arial" w:cs="Arial"/>
          <w:i/>
          <w:color w:val="000000"/>
          <w:sz w:val="20"/>
        </w:rPr>
        <w:t>Summers</w:t>
      </w:r>
      <w:r>
        <w:rPr>
          <w:rFonts w:ascii="Arial" w:eastAsia="Arial" w:hAnsi="Arial" w:cs="Arial"/>
          <w:color w:val="000000"/>
          <w:sz w:val="20"/>
        </w:rPr>
        <w:t xml:space="preserve">, 555 U.S. at 493; </w:t>
      </w:r>
      <w:bookmarkStart w:id="1910" w:name="Bookmark_I627Y0782D6NSH0020000400"/>
      <w:bookmarkEnd w:id="1910"/>
      <w:r>
        <w:rPr>
          <w:rFonts w:ascii="Arial" w:eastAsia="Arial" w:hAnsi="Arial" w:cs="Arial"/>
          <w:i/>
          <w:color w:val="000000"/>
          <w:sz w:val="20"/>
        </w:rPr>
        <w:t>Arthur Andersen</w:t>
      </w:r>
      <w:r>
        <w:rPr>
          <w:rFonts w:ascii="Arial" w:eastAsia="Arial" w:hAnsi="Arial" w:cs="Arial"/>
          <w:color w:val="000000"/>
          <w:sz w:val="20"/>
        </w:rPr>
        <w:t xml:space="preserve">, 556 U.S. at 628. Larsen arose in the context of a question that was certified under § 1292(b) and that we could not address on the merits without first determining that the subject matter belonged in federal court. </w:t>
      </w:r>
      <w:bookmarkStart w:id="1911" w:name="Bookmark_I130PTFTPTC00003YBJ0000N"/>
      <w:bookmarkStart w:id="1912" w:name="Bookmark_I627Y07828T4JM0020000400"/>
      <w:bookmarkEnd w:id="1911"/>
      <w:bookmarkEnd w:id="1912"/>
      <w:r>
        <w:rPr>
          <w:rFonts w:ascii="Arial" w:eastAsia="Arial" w:hAnsi="Arial" w:cs="Arial"/>
          <w:color w:val="000000"/>
          <w:sz w:val="20"/>
        </w:rPr>
        <w:t xml:space="preserve">Here, as in </w:t>
      </w:r>
      <w:bookmarkStart w:id="1913" w:name="Bookmark_I627Y07828T4JM0020000400_2"/>
      <w:bookmarkStart w:id="1914" w:name="Bookmark_I627Y0782D6NSH0050000400_2"/>
      <w:bookmarkStart w:id="1915" w:name="Bookmark_I627Y0772D6NSG0040000400_2"/>
      <w:bookmarkStart w:id="1916" w:name="Bookmark_I627Y0782D6NSH0040000400"/>
      <w:bookmarkEnd w:id="1913"/>
      <w:bookmarkEnd w:id="1914"/>
      <w:bookmarkEnd w:id="1915"/>
      <w:bookmarkEnd w:id="1916"/>
      <w:r>
        <w:rPr>
          <w:rFonts w:ascii="Arial" w:eastAsia="Arial" w:hAnsi="Arial" w:cs="Arial"/>
          <w:i/>
          <w:color w:val="000000"/>
          <w:sz w:val="20"/>
        </w:rPr>
        <w:t>Griswold</w:t>
      </w:r>
      <w:r>
        <w:rPr>
          <w:rFonts w:ascii="Arial" w:eastAsia="Arial" w:hAnsi="Arial" w:cs="Arial"/>
          <w:color w:val="000000"/>
          <w:sz w:val="20"/>
        </w:rPr>
        <w:t xml:space="preserve">, however, no justiciability hurdles stand in the way of reaching the merits of the arbitrability issue: Uber has standing to appeal the denial of its motion to compel arbitration under 9 U.S.C. § 16(a)(1)(B), and there is no dispute that the District Court had subject matter jurisdiction under 28 U.S.C. § 1331. In view of the different "type of relief sought," </w:t>
      </w:r>
      <w:bookmarkStart w:id="1917" w:name="Bookmark_I627Y07828T4JM0010000400"/>
      <w:bookmarkEnd w:id="1917"/>
      <w:r>
        <w:rPr>
          <w:rFonts w:ascii="Arial" w:eastAsia="Arial" w:hAnsi="Arial" w:cs="Arial"/>
          <w:i/>
          <w:color w:val="000000"/>
          <w:sz w:val="20"/>
        </w:rPr>
        <w:t>Summers</w:t>
      </w:r>
      <w:r>
        <w:rPr>
          <w:rFonts w:ascii="Arial" w:eastAsia="Arial" w:hAnsi="Arial" w:cs="Arial"/>
          <w:color w:val="000000"/>
          <w:sz w:val="20"/>
        </w:rPr>
        <w:t xml:space="preserve">, 555 U.S. at 493, and the different "category of order appealed from," </w:t>
      </w:r>
      <w:bookmarkStart w:id="1918" w:name="Bookmark_I627Y07828T4JM0030000400"/>
      <w:bookmarkEnd w:id="1918"/>
      <w:r>
        <w:rPr>
          <w:rFonts w:ascii="Arial" w:eastAsia="Arial" w:hAnsi="Arial" w:cs="Arial"/>
          <w:i/>
          <w:color w:val="000000"/>
          <w:sz w:val="20"/>
        </w:rPr>
        <w:t>Arthur Andersen</w:t>
      </w:r>
      <w:r>
        <w:rPr>
          <w:rFonts w:ascii="Arial" w:eastAsia="Arial" w:hAnsi="Arial" w:cs="Arial"/>
          <w:color w:val="000000"/>
          <w:sz w:val="20"/>
        </w:rPr>
        <w:t xml:space="preserve">, 556 U.S. at 628, </w:t>
      </w:r>
      <w:bookmarkStart w:id="1919" w:name="Bookmark_I627Y07828T4JM0020000400_3"/>
      <w:bookmarkStart w:id="1920" w:name="Bookmark_I627Y07828T4JM0050000400"/>
      <w:bookmarkEnd w:id="1919"/>
      <w:bookmarkEnd w:id="1920"/>
      <w:r>
        <w:rPr>
          <w:rFonts w:ascii="Arial" w:eastAsia="Arial" w:hAnsi="Arial" w:cs="Arial"/>
          <w:i/>
          <w:color w:val="000000"/>
          <w:sz w:val="20"/>
        </w:rPr>
        <w:t>Larsen</w:t>
      </w:r>
      <w:r>
        <w:rPr>
          <w:rFonts w:ascii="Arial" w:eastAsia="Arial" w:hAnsi="Arial" w:cs="Arial"/>
          <w:color w:val="000000"/>
          <w:sz w:val="20"/>
        </w:rPr>
        <w:t xml:space="preserve"> does not control here because it neither addresses the "same issue" as </w:t>
      </w:r>
      <w:r>
        <w:rPr>
          <w:rFonts w:ascii="Arial" w:eastAsia="Arial" w:hAnsi="Arial" w:cs="Arial"/>
          <w:i/>
          <w:color w:val="000000"/>
          <w:sz w:val="20"/>
        </w:rPr>
        <w:t>Griswold</w:t>
      </w:r>
      <w:r>
        <w:rPr>
          <w:rFonts w:ascii="Arial" w:eastAsia="Arial" w:hAnsi="Arial" w:cs="Arial"/>
          <w:color w:val="000000"/>
          <w:sz w:val="20"/>
        </w:rPr>
        <w:t xml:space="preserve"> nor contains "any conflicting language," </w:t>
      </w:r>
      <w:bookmarkStart w:id="1921" w:name="Bookmark_I627Y0782HM63R0020000400"/>
      <w:bookmarkEnd w:id="1921"/>
      <w:r>
        <w:rPr>
          <w:rFonts w:ascii="Arial" w:eastAsia="Arial" w:hAnsi="Arial" w:cs="Arial"/>
          <w:i/>
          <w:color w:val="000000"/>
          <w:sz w:val="20"/>
        </w:rPr>
        <w:t>Pardini</w:t>
      </w:r>
      <w:r>
        <w:rPr>
          <w:rFonts w:ascii="Arial" w:eastAsia="Arial" w:hAnsi="Arial" w:cs="Arial"/>
          <w:color w:val="000000"/>
          <w:sz w:val="20"/>
        </w:rPr>
        <w:t xml:space="preserve">, 524 F.3d at 426. </w:t>
      </w:r>
      <w:r>
        <w:rPr>
          <w:rFonts w:ascii="Arial" w:eastAsia="Arial" w:hAnsi="Arial" w:cs="Arial"/>
          <w:i/>
          <w:color w:val="000000"/>
          <w:sz w:val="20"/>
        </w:rPr>
        <w:t>Griswold</w:t>
      </w:r>
      <w:r>
        <w:rPr>
          <w:rFonts w:ascii="Arial" w:eastAsia="Arial" w:hAnsi="Arial" w:cs="Arial"/>
          <w:color w:val="000000"/>
          <w:sz w:val="20"/>
        </w:rPr>
        <w:t>, on the other hand, is on all fours. [**12] </w:t>
      </w:r>
    </w:p>
    <w:p w14:paraId="1AE47386" w14:textId="77777777" w:rsidR="002B10A6" w:rsidRDefault="00000000">
      <w:pPr>
        <w:pStyle w:val="Normal12"/>
        <w:widowControl w:val="0"/>
        <w:spacing w:before="200" w:line="260" w:lineRule="atLeast"/>
        <w:jc w:val="both"/>
      </w:pPr>
      <w:bookmarkStart w:id="1922" w:name="Bookmark_para_19_7"/>
      <w:bookmarkStart w:id="1923" w:name="Bookmark_I627Y0782HM63R0050000400"/>
      <w:bookmarkEnd w:id="1922"/>
      <w:bookmarkEnd w:id="1923"/>
      <w:r>
        <w:rPr>
          <w:rFonts w:ascii="Arial" w:eastAsia="Arial" w:hAnsi="Arial" w:cs="Arial"/>
          <w:color w:val="000000"/>
          <w:sz w:val="20"/>
        </w:rPr>
        <w:t xml:space="preserve">In sum, having assured ourselves of appellate jurisdiction to review the District Court's denial of Uber's motion to compel arbitration, we have no independent duty to also review its ruling that Plaintiffs have standing to sue. </w:t>
      </w:r>
      <w:r>
        <w:rPr>
          <w:rFonts w:ascii="Arial" w:eastAsia="Arial" w:hAnsi="Arial" w:cs="Arial"/>
          <w:i/>
          <w:color w:val="000000"/>
          <w:sz w:val="20"/>
        </w:rPr>
        <w:t xml:space="preserve">See </w:t>
      </w:r>
      <w:bookmarkStart w:id="1924" w:name="Bookmark_I627Y0782HM63R0040000400"/>
      <w:bookmarkEnd w:id="1924"/>
      <w:r>
        <w:rPr>
          <w:rFonts w:ascii="Arial" w:eastAsia="Arial" w:hAnsi="Arial" w:cs="Arial"/>
          <w:i/>
          <w:color w:val="000000"/>
          <w:sz w:val="20"/>
        </w:rPr>
        <w:t>Griswold</w:t>
      </w:r>
      <w:r>
        <w:rPr>
          <w:rFonts w:ascii="Arial" w:eastAsia="Arial" w:hAnsi="Arial" w:cs="Arial"/>
          <w:color w:val="000000"/>
          <w:sz w:val="20"/>
        </w:rPr>
        <w:t>, 762 F.3d at 269. We turn, then, to consider whether the doctrine of pendent appellate jurisdiction provides an alternative basis for us to review the standing ruling.</w:t>
      </w:r>
    </w:p>
    <w:p w14:paraId="4930AA21" w14:textId="77777777" w:rsidR="002B10A6" w:rsidRDefault="00000000">
      <w:pPr>
        <w:pStyle w:val="Normal12"/>
        <w:widowControl w:val="0"/>
        <w:spacing w:before="240" w:line="260" w:lineRule="atLeast"/>
      </w:pPr>
      <w:r>
        <w:br/>
      </w:r>
      <w:r>
        <w:rPr>
          <w:rFonts w:ascii="Arial" w:eastAsia="Arial" w:hAnsi="Arial" w:cs="Arial"/>
          <w:i/>
          <w:color w:val="000000"/>
          <w:sz w:val="20"/>
        </w:rPr>
        <w:t>2. Pendent Appellate Jurisdiction Is Also Lacking</w:t>
      </w:r>
    </w:p>
    <w:p w14:paraId="6AFB94A5" w14:textId="77777777" w:rsidR="002B10A6" w:rsidRDefault="00000000">
      <w:pPr>
        <w:pStyle w:val="Normal12"/>
        <w:widowControl w:val="0"/>
        <w:spacing w:before="200" w:line="260" w:lineRule="atLeast"/>
        <w:jc w:val="both"/>
      </w:pPr>
      <w:bookmarkStart w:id="1925" w:name="Bookmark_para_20_7"/>
      <w:bookmarkStart w:id="1926" w:name="Bookmark_I130PTFT63000003YBJ0000H"/>
      <w:bookmarkStart w:id="1927" w:name="Bookmark_I627Y0782SF7YM0020000400"/>
      <w:bookmarkStart w:id="1928" w:name="Bookmark_I627Y0782SF7YM0040000400"/>
      <w:bookmarkStart w:id="1929" w:name="Bookmark_LNHNREFclscc10_7"/>
      <w:bookmarkEnd w:id="1925"/>
      <w:bookmarkEnd w:id="1926"/>
      <w:bookmarkEnd w:id="1927"/>
      <w:bookmarkEnd w:id="1928"/>
      <w:bookmarkEnd w:id="1929"/>
      <w:r>
        <w:rPr>
          <w:rFonts w:ascii="Arial" w:eastAsia="Arial" w:hAnsi="Arial" w:cs="Arial"/>
          <w:color w:val="000000"/>
          <w:sz w:val="20"/>
        </w:rPr>
        <w:t xml:space="preserve">We have discretion to review an otherwise nonappealable issue under our pendent appellate jurisdiction where (1) it is "inextricably intertwined" with the appealable issue or (2) review is otherwise "necessary to ensure meaningful review of the appealable order." </w:t>
      </w:r>
      <w:bookmarkStart w:id="1930" w:name="Bookmark_I627Y0782SF7YM0010000400"/>
      <w:bookmarkEnd w:id="1930"/>
      <w:r>
        <w:rPr>
          <w:rFonts w:ascii="Arial" w:eastAsia="Arial" w:hAnsi="Arial" w:cs="Arial"/>
          <w:i/>
          <w:color w:val="000000"/>
          <w:sz w:val="20"/>
        </w:rPr>
        <w:t>DuPont</w:t>
      </w:r>
      <w:r>
        <w:rPr>
          <w:rFonts w:ascii="Arial" w:eastAsia="Arial" w:hAnsi="Arial" w:cs="Arial"/>
          <w:color w:val="000000"/>
          <w:sz w:val="20"/>
        </w:rPr>
        <w:t xml:space="preserve">, 269 F.3d at 203. We have cautioned, however, that this authority is "narrow . . . and should be used sparingly," </w:t>
      </w:r>
      <w:r>
        <w:rPr>
          <w:rFonts w:ascii="Arial" w:eastAsia="Arial" w:hAnsi="Arial" w:cs="Arial"/>
          <w:i/>
          <w:color w:val="000000"/>
          <w:sz w:val="20"/>
        </w:rPr>
        <w:t>id.</w:t>
      </w:r>
      <w:r>
        <w:rPr>
          <w:rFonts w:ascii="Arial" w:eastAsia="Arial" w:hAnsi="Arial" w:cs="Arial"/>
          <w:color w:val="000000"/>
          <w:sz w:val="20"/>
        </w:rPr>
        <w:t xml:space="preserve"> (internal quotation marks and citation omitted), because overuse would "effectively undermine the final decision rule," </w:t>
      </w:r>
      <w:bookmarkStart w:id="1931" w:name="Bookmark_I627Y0782SF7YM0030000400"/>
      <w:bookmarkEnd w:id="1931"/>
      <w:r>
        <w:rPr>
          <w:rFonts w:ascii="Arial" w:eastAsia="Arial" w:hAnsi="Arial" w:cs="Arial"/>
          <w:i/>
          <w:color w:val="000000"/>
          <w:sz w:val="20"/>
        </w:rPr>
        <w:t>Kershner v. Mazurkiewicz</w:t>
      </w:r>
      <w:r>
        <w:rPr>
          <w:rFonts w:ascii="Arial" w:eastAsia="Arial" w:hAnsi="Arial" w:cs="Arial"/>
          <w:color w:val="000000"/>
          <w:sz w:val="20"/>
        </w:rPr>
        <w:t>, 670 F.2d 440, 449 (3d Cir. 1982) (en banc). Here, Uber focuses on the first prong and argues that standing to sue is "inextricably intertwined" with arbitrability. We are not persuaded.</w:t>
      </w:r>
    </w:p>
    <w:p w14:paraId="508263EB" w14:textId="77777777" w:rsidR="002B10A6" w:rsidRDefault="00000000">
      <w:pPr>
        <w:pStyle w:val="Normal12"/>
        <w:widowControl w:val="0"/>
        <w:spacing w:before="200" w:line="260" w:lineRule="atLeast"/>
        <w:jc w:val="both"/>
      </w:pPr>
      <w:bookmarkStart w:id="1932" w:name="Bookmark_para_21_7"/>
      <w:bookmarkStart w:id="1933" w:name="Bookmark_I627Y0782D6NSJ0010000400"/>
      <w:bookmarkStart w:id="1934" w:name="Bookmark_I627Y0782D6NSJ0050000400"/>
      <w:bookmarkStart w:id="1935" w:name="Bookmark_I627Y0782D6NSM0020000400"/>
      <w:bookmarkStart w:id="1936" w:name="Bookmark_LNHNREFclscc11_7"/>
      <w:bookmarkEnd w:id="1932"/>
      <w:bookmarkEnd w:id="1933"/>
      <w:bookmarkEnd w:id="1934"/>
      <w:bookmarkEnd w:id="1935"/>
      <w:bookmarkEnd w:id="1936"/>
      <w:r>
        <w:rPr>
          <w:rFonts w:ascii="Arial" w:eastAsia="Arial" w:hAnsi="Arial" w:cs="Arial"/>
          <w:color w:val="000000"/>
          <w:sz w:val="20"/>
        </w:rPr>
        <w:t xml:space="preserve">Issues are inextricably intertwined where the appealable issue "cannot be resolved without reference to the otherwise unappealable [**13]  issue," </w:t>
      </w:r>
      <w:bookmarkStart w:id="1937" w:name="Bookmark_I627Y0782SF7YM0050000400"/>
      <w:bookmarkEnd w:id="1937"/>
      <w:r>
        <w:rPr>
          <w:rFonts w:ascii="Arial" w:eastAsia="Arial" w:hAnsi="Arial" w:cs="Arial"/>
          <w:i/>
          <w:color w:val="000000"/>
          <w:sz w:val="20"/>
        </w:rPr>
        <w:t>Invista S.A.R.L. v. Rhodia, S.A.</w:t>
      </w:r>
      <w:r>
        <w:rPr>
          <w:rFonts w:ascii="Arial" w:eastAsia="Arial" w:hAnsi="Arial" w:cs="Arial"/>
          <w:color w:val="000000"/>
          <w:sz w:val="20"/>
        </w:rPr>
        <w:t xml:space="preserve">, 625 F.3d 75, 88 (3d Cir. 2010) (citation omitted)—for example, if "the latter issue directly controls disposition of the former," </w:t>
      </w:r>
      <w:bookmarkStart w:id="1938" w:name="Bookmark_I627Y0782D6NSJ0020000400"/>
      <w:bookmarkEnd w:id="1938"/>
      <w:r>
        <w:rPr>
          <w:rFonts w:ascii="Arial" w:eastAsia="Arial" w:hAnsi="Arial" w:cs="Arial"/>
          <w:i/>
          <w:color w:val="000000"/>
          <w:sz w:val="20"/>
        </w:rPr>
        <w:t>Kershner</w:t>
      </w:r>
      <w:r>
        <w:rPr>
          <w:rFonts w:ascii="Arial" w:eastAsia="Arial" w:hAnsi="Arial" w:cs="Arial"/>
          <w:color w:val="000000"/>
          <w:sz w:val="20"/>
        </w:rPr>
        <w:t xml:space="preserve">, 670 F.2d at 449. It is not enough, however, for the two issues to merely "arise out of the same factual matrix." </w:t>
      </w:r>
      <w:bookmarkStart w:id="1939" w:name="Bookmark_I627Y0782D6NSJ0040000400"/>
      <w:bookmarkEnd w:id="1939"/>
      <w:r>
        <w:rPr>
          <w:rFonts w:ascii="Arial" w:eastAsia="Arial" w:hAnsi="Arial" w:cs="Arial"/>
          <w:i/>
          <w:color w:val="000000"/>
          <w:sz w:val="20"/>
        </w:rPr>
        <w:t>Reinig v. RBS Citizens, N.A.</w:t>
      </w:r>
      <w:r>
        <w:rPr>
          <w:rFonts w:ascii="Arial" w:eastAsia="Arial" w:hAnsi="Arial" w:cs="Arial"/>
          <w:color w:val="000000"/>
          <w:sz w:val="20"/>
        </w:rPr>
        <w:t xml:space="preserve">, 912 F.3d 115, 130 (3d Cir. 2018). </w:t>
      </w:r>
      <w:bookmarkStart w:id="1940" w:name="Bookmark_I627Y0782D6NSM0040000400"/>
      <w:bookmarkEnd w:id="1940"/>
      <w:r>
        <w:rPr>
          <w:rFonts w:ascii="Arial" w:eastAsia="Arial" w:hAnsi="Arial" w:cs="Arial"/>
          <w:color w:val="000000"/>
          <w:sz w:val="20"/>
        </w:rPr>
        <w:t xml:space="preserve">If "we are confronted with two similar, but independent, issues," there is no need for pendent appellate jurisdiction so long as "resolution of the non-appealable order would require us to conduct an inquiry that is distinct from . . . the inquiry required to resolve solely the [appealable] issue." </w:t>
      </w:r>
      <w:r>
        <w:rPr>
          <w:rFonts w:ascii="Arial" w:eastAsia="Arial" w:hAnsi="Arial" w:cs="Arial"/>
          <w:i/>
          <w:color w:val="000000"/>
          <w:sz w:val="20"/>
        </w:rPr>
        <w:t>Id.</w:t>
      </w:r>
      <w:r>
        <w:rPr>
          <w:rFonts w:ascii="Arial" w:eastAsia="Arial" w:hAnsi="Arial" w:cs="Arial"/>
          <w:color w:val="000000"/>
          <w:sz w:val="20"/>
        </w:rPr>
        <w:t xml:space="preserve"> (quoting </w:t>
      </w:r>
      <w:bookmarkStart w:id="1941" w:name="Bookmark_I627Y0782D6NSM0010000400"/>
      <w:bookmarkEnd w:id="1941"/>
      <w:r>
        <w:rPr>
          <w:rFonts w:ascii="Arial" w:eastAsia="Arial" w:hAnsi="Arial" w:cs="Arial"/>
          <w:i/>
          <w:color w:val="000000"/>
          <w:sz w:val="20"/>
        </w:rPr>
        <w:t>Myers v. Hertz Corp.</w:t>
      </w:r>
      <w:r>
        <w:rPr>
          <w:rFonts w:ascii="Arial" w:eastAsia="Arial" w:hAnsi="Arial" w:cs="Arial"/>
          <w:color w:val="000000"/>
          <w:sz w:val="20"/>
        </w:rPr>
        <w:t xml:space="preserve">, 624 F.3d 537, 553-54 (2d Cir. 2010) (citation omitted)). </w:t>
      </w:r>
      <w:bookmarkStart w:id="1942" w:name="Bookmark_I627Y0782D6NSM0040000400_2"/>
      <w:bookmarkEnd w:id="1942"/>
      <w:r>
        <w:rPr>
          <w:rFonts w:ascii="Arial" w:eastAsia="Arial" w:hAnsi="Arial" w:cs="Arial"/>
          <w:color w:val="000000"/>
          <w:sz w:val="20"/>
        </w:rPr>
        <w:t xml:space="preserve">Simply put, if we can adjudicate the appealable order "without venturing into otherwise nonreviewable matters, we have no need—and therefore no power—to examine" those matters. </w:t>
      </w:r>
      <w:bookmarkStart w:id="1943" w:name="Bookmark_I627Y0782D6NSM0030000400"/>
      <w:bookmarkEnd w:id="1943"/>
      <w:r>
        <w:rPr>
          <w:rFonts w:ascii="Arial" w:eastAsia="Arial" w:hAnsi="Arial" w:cs="Arial"/>
          <w:i/>
          <w:color w:val="000000"/>
          <w:sz w:val="20"/>
        </w:rPr>
        <w:t>Id.</w:t>
      </w:r>
      <w:r>
        <w:rPr>
          <w:rFonts w:ascii="Arial" w:eastAsia="Arial" w:hAnsi="Arial" w:cs="Arial"/>
          <w:color w:val="000000"/>
          <w:sz w:val="20"/>
        </w:rPr>
        <w:t xml:space="preserve"> at 131 (internal quotation marks and citations omitted).</w:t>
      </w:r>
    </w:p>
    <w:p w14:paraId="35401074" w14:textId="77777777" w:rsidR="002B10A6" w:rsidRDefault="00000000">
      <w:pPr>
        <w:pStyle w:val="Normal12"/>
        <w:widowControl w:val="0"/>
        <w:spacing w:before="200" w:line="260" w:lineRule="atLeast"/>
        <w:jc w:val="both"/>
      </w:pPr>
      <w:bookmarkStart w:id="1944" w:name="Bookmark_para_22_7"/>
      <w:bookmarkStart w:id="1945" w:name="Bookmark_I627Y0792HM63X0010000400"/>
      <w:bookmarkEnd w:id="1944"/>
      <w:bookmarkEnd w:id="1945"/>
      <w:r>
        <w:rPr>
          <w:rFonts w:ascii="Arial" w:eastAsia="Arial" w:hAnsi="Arial" w:cs="Arial"/>
          <w:color w:val="000000"/>
          <w:sz w:val="20"/>
        </w:rPr>
        <w:t xml:space="preserve">Such was the case in </w:t>
      </w:r>
      <w:r>
        <w:rPr>
          <w:rFonts w:ascii="Arial" w:eastAsia="Arial" w:hAnsi="Arial" w:cs="Arial"/>
          <w:i/>
          <w:color w:val="000000"/>
          <w:sz w:val="20"/>
        </w:rPr>
        <w:t>Griswold</w:t>
      </w:r>
      <w:r>
        <w:rPr>
          <w:rFonts w:ascii="Arial" w:eastAsia="Arial" w:hAnsi="Arial" w:cs="Arial"/>
          <w:color w:val="000000"/>
          <w:sz w:val="20"/>
        </w:rPr>
        <w:t xml:space="preserve">, which involved the same nonappealable issue of standing and appealable issue of arbitrability, but the facts necessary for determining standing were different from the facts necessary to decide whether, under the equitable-estoppel doctrine, "a non-signatory to the . . . agreement . . . can be bound to its arbitration clause because it reaped the benefits of the contract." </w:t>
      </w:r>
      <w:bookmarkStart w:id="1946" w:name="Bookmark_I627Y0782D6NSM0050000400"/>
      <w:bookmarkEnd w:id="1946"/>
      <w:r>
        <w:rPr>
          <w:rFonts w:ascii="Arial" w:eastAsia="Arial" w:hAnsi="Arial" w:cs="Arial"/>
          <w:color w:val="000000"/>
          <w:sz w:val="20"/>
        </w:rPr>
        <w:t xml:space="preserve">762 F.3d at 270.  [*766]  Because "the factual [**14]  underpinnings of the [two] issues [we]re distinct," </w:t>
      </w:r>
      <w:r>
        <w:rPr>
          <w:rFonts w:ascii="Arial" w:eastAsia="Arial" w:hAnsi="Arial" w:cs="Arial"/>
          <w:i/>
          <w:color w:val="000000"/>
          <w:sz w:val="20"/>
        </w:rPr>
        <w:t>id.</w:t>
      </w:r>
      <w:r>
        <w:rPr>
          <w:rFonts w:ascii="Arial" w:eastAsia="Arial" w:hAnsi="Arial" w:cs="Arial"/>
          <w:color w:val="000000"/>
          <w:sz w:val="20"/>
        </w:rPr>
        <w:t>, we declined to exercise pendent appellate jurisdiction.</w:t>
      </w:r>
    </w:p>
    <w:p w14:paraId="75C4030F" w14:textId="77777777" w:rsidR="002B10A6" w:rsidRDefault="00000000">
      <w:pPr>
        <w:pStyle w:val="Normal12"/>
        <w:widowControl w:val="0"/>
        <w:spacing w:before="200" w:line="260" w:lineRule="atLeast"/>
        <w:jc w:val="both"/>
      </w:pPr>
      <w:bookmarkStart w:id="1947" w:name="Bookmark_para_23_7"/>
      <w:bookmarkStart w:id="1948" w:name="Bookmark_I627Y0792HM63X0030000400"/>
      <w:bookmarkStart w:id="1949" w:name="Bookmark_I627Y0792HM63X0050000400"/>
      <w:bookmarkEnd w:id="1947"/>
      <w:bookmarkEnd w:id="1948"/>
      <w:bookmarkEnd w:id="1949"/>
      <w:r>
        <w:rPr>
          <w:rFonts w:ascii="Arial" w:eastAsia="Arial" w:hAnsi="Arial" w:cs="Arial"/>
          <w:color w:val="000000"/>
          <w:sz w:val="20"/>
        </w:rPr>
        <w:t xml:space="preserve">And such is the case here, where the facts necessary to evaluate whether Plaintiffs have demonstrated standing under the ADA are different from the facts necessary for assessing whether they are bound by Uber's Terms of Use. Uber likens this case to </w:t>
      </w:r>
      <w:r>
        <w:rPr>
          <w:rFonts w:ascii="Arial" w:eastAsia="Arial" w:hAnsi="Arial" w:cs="Arial"/>
          <w:i/>
          <w:color w:val="000000"/>
          <w:sz w:val="20"/>
        </w:rPr>
        <w:t>In re Majestic Star Casino, LLC</w:t>
      </w:r>
      <w:r>
        <w:rPr>
          <w:rFonts w:ascii="Arial" w:eastAsia="Arial" w:hAnsi="Arial" w:cs="Arial"/>
          <w:color w:val="000000"/>
          <w:sz w:val="20"/>
        </w:rPr>
        <w:t xml:space="preserve">, where we analyzed standing to sue after concluding that we could not "address the merits" of the appeal without also assessing "whether the Debtors ha[d] standing." </w:t>
      </w:r>
      <w:bookmarkStart w:id="1950" w:name="Bookmark_I627Y0792HM63X0020000400"/>
      <w:bookmarkEnd w:id="1950"/>
      <w:r>
        <w:rPr>
          <w:rFonts w:ascii="Arial" w:eastAsia="Arial" w:hAnsi="Arial" w:cs="Arial"/>
          <w:color w:val="000000"/>
          <w:sz w:val="20"/>
        </w:rPr>
        <w:t xml:space="preserve">716 F.3d 736, 747 (3d Cir. 2013). </w:t>
      </w:r>
      <w:bookmarkStart w:id="1951" w:name="Bookmark_I627Y0792SF7YT0020000400"/>
      <w:bookmarkEnd w:id="1951"/>
      <w:r>
        <w:rPr>
          <w:rFonts w:ascii="Arial" w:eastAsia="Arial" w:hAnsi="Arial" w:cs="Arial"/>
          <w:color w:val="000000"/>
          <w:sz w:val="20"/>
        </w:rPr>
        <w:t xml:space="preserve">Here, however, the only link Uber has established between the issues of injury-in-fact under the ADA and arbitrability under the FAA is its own theory that both arise from its Terms of Use. That does not mean, however, that the question whether Plaintiffs are equitably estopped from rejecting the arbitration clause "cannot be resolved without reference to" Plaintiffs' standing to claim discrimination. </w:t>
      </w:r>
      <w:bookmarkStart w:id="1952" w:name="Bookmark_I627Y0792HM63X0040000400"/>
      <w:bookmarkEnd w:id="1952"/>
      <w:r>
        <w:rPr>
          <w:rFonts w:ascii="Arial" w:eastAsia="Arial" w:hAnsi="Arial" w:cs="Arial"/>
          <w:i/>
          <w:color w:val="000000"/>
          <w:sz w:val="20"/>
        </w:rPr>
        <w:t>Invista</w:t>
      </w:r>
      <w:r>
        <w:rPr>
          <w:rFonts w:ascii="Arial" w:eastAsia="Arial" w:hAnsi="Arial" w:cs="Arial"/>
          <w:color w:val="000000"/>
          <w:sz w:val="20"/>
        </w:rPr>
        <w:t xml:space="preserve">, 625 F.3d at 88. </w:t>
      </w:r>
      <w:bookmarkStart w:id="1953" w:name="Bookmark_I627Y0792SF7YT0020000400_2"/>
      <w:bookmarkEnd w:id="1953"/>
      <w:r>
        <w:rPr>
          <w:rFonts w:ascii="Arial" w:eastAsia="Arial" w:hAnsi="Arial" w:cs="Arial"/>
          <w:color w:val="000000"/>
          <w:sz w:val="20"/>
        </w:rPr>
        <w:t>The two issues are not inextricably intertwined, so we will not review standing to sue under our pendent appellate jurisdiction.</w:t>
      </w:r>
      <w:r>
        <w:rPr>
          <w:rFonts w:ascii="Arial" w:eastAsia="Arial" w:hAnsi="Arial" w:cs="Arial"/>
          <w:vertAlign w:val="superscript"/>
        </w:rPr>
        <w:footnoteReference w:customMarkFollows="1" w:id="83"/>
        <w:t>4</w:t>
      </w:r>
      <w:r>
        <w:rPr>
          <w:rFonts w:ascii="Arial" w:eastAsia="Arial" w:hAnsi="Arial" w:cs="Arial"/>
          <w:color w:val="000000"/>
          <w:sz w:val="20"/>
        </w:rPr>
        <w:t xml:space="preserve"> </w:t>
      </w:r>
      <w:r>
        <w:rPr>
          <w:rFonts w:ascii="Arial" w:eastAsia="Arial" w:hAnsi="Arial" w:cs="Arial"/>
          <w:i/>
          <w:color w:val="000000"/>
          <w:sz w:val="20"/>
        </w:rPr>
        <w:t xml:space="preserve">See </w:t>
      </w:r>
      <w:bookmarkStart w:id="1955" w:name="Bookmark_I627Y0792SF7YT0010000400"/>
      <w:bookmarkEnd w:id="1955"/>
      <w:r>
        <w:rPr>
          <w:rFonts w:ascii="Arial" w:eastAsia="Arial" w:hAnsi="Arial" w:cs="Arial"/>
          <w:i/>
          <w:color w:val="000000"/>
          <w:sz w:val="20"/>
        </w:rPr>
        <w:t>DuPont</w:t>
      </w:r>
      <w:r>
        <w:rPr>
          <w:rFonts w:ascii="Arial" w:eastAsia="Arial" w:hAnsi="Arial" w:cs="Arial"/>
          <w:color w:val="000000"/>
          <w:sz w:val="20"/>
        </w:rPr>
        <w:t>, 269 F.3d at 203.</w:t>
      </w:r>
    </w:p>
    <w:p w14:paraId="7BB65D3E" w14:textId="77777777" w:rsidR="002B10A6" w:rsidRDefault="00000000">
      <w:pPr>
        <w:pStyle w:val="Normal12"/>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Equitable Estoppel Does Not Bind Plaintiffs to Arbitrate</w:t>
      </w:r>
    </w:p>
    <w:p w14:paraId="1E240B09" w14:textId="77777777" w:rsidR="002B10A6" w:rsidRDefault="00000000">
      <w:pPr>
        <w:pStyle w:val="Normal12"/>
        <w:widowControl w:val="0"/>
        <w:spacing w:before="200" w:line="260" w:lineRule="atLeast"/>
        <w:jc w:val="both"/>
      </w:pPr>
      <w:bookmarkStart w:id="1956" w:name="Bookmark_para_24_7"/>
      <w:bookmarkStart w:id="1957" w:name="Bookmark_I627Y0792SF7YT0040000400"/>
      <w:bookmarkStart w:id="1958" w:name="Bookmark_I627Y07928T4JT0050000400"/>
      <w:bookmarkEnd w:id="1956"/>
      <w:bookmarkEnd w:id="1957"/>
      <w:bookmarkEnd w:id="1958"/>
      <w:r>
        <w:rPr>
          <w:rFonts w:ascii="Arial" w:eastAsia="Arial" w:hAnsi="Arial" w:cs="Arial"/>
          <w:color w:val="000000"/>
          <w:sz w:val="20"/>
        </w:rPr>
        <w:t>We turn finally to Uber's motion to compel [**15]  arbitration under Section 4 of the FAA.</w:t>
      </w:r>
      <w:r>
        <w:rPr>
          <w:rFonts w:ascii="Arial" w:eastAsia="Arial" w:hAnsi="Arial" w:cs="Arial"/>
          <w:vertAlign w:val="superscript"/>
        </w:rPr>
        <w:footnoteReference w:customMarkFollows="1" w:id="84"/>
        <w:t>5</w:t>
      </w:r>
      <w:r>
        <w:rPr>
          <w:rFonts w:ascii="Arial" w:eastAsia="Arial" w:hAnsi="Arial" w:cs="Arial"/>
          <w:color w:val="000000"/>
          <w:sz w:val="20"/>
        </w:rPr>
        <w:t xml:space="preserve"> </w:t>
      </w:r>
      <w:bookmarkStart w:id="1962" w:name="Bookmark_LNHNREFclscc12_6"/>
      <w:bookmarkEnd w:id="1962"/>
      <w:r>
        <w:rPr>
          <w:rFonts w:ascii="Arial" w:eastAsia="Arial" w:hAnsi="Arial" w:cs="Arial"/>
          <w:color w:val="000000"/>
          <w:sz w:val="20"/>
        </w:rPr>
        <w:t xml:space="preserve">While the FAA "creates substantive federal law regarding the enforceability of arbitration agreements, requiring courts to place such agreements upon the same footing as other contracts," </w:t>
      </w:r>
      <w:bookmarkStart w:id="1963" w:name="Bookmark_I627Y0792SF7YT0030000400"/>
      <w:bookmarkEnd w:id="1963"/>
      <w:r>
        <w:rPr>
          <w:rFonts w:ascii="Arial" w:eastAsia="Arial" w:hAnsi="Arial" w:cs="Arial"/>
          <w:i/>
          <w:color w:val="000000"/>
          <w:sz w:val="20"/>
        </w:rPr>
        <w:t>Arthur Andersen</w:t>
      </w:r>
      <w:r>
        <w:rPr>
          <w:rFonts w:ascii="Arial" w:eastAsia="Arial" w:hAnsi="Arial" w:cs="Arial"/>
          <w:color w:val="000000"/>
          <w:sz w:val="20"/>
        </w:rPr>
        <w:t xml:space="preserve">, 556 U.S. at 630 (internal quotation marks and citation omitted), it does not "alter background principles of state contract law regarding the scope of agreements," </w:t>
      </w:r>
      <w:r>
        <w:rPr>
          <w:rFonts w:ascii="Arial" w:eastAsia="Arial" w:hAnsi="Arial" w:cs="Arial"/>
          <w:i/>
          <w:color w:val="000000"/>
          <w:sz w:val="20"/>
        </w:rPr>
        <w:t>id.</w:t>
      </w:r>
      <w:r>
        <w:rPr>
          <w:rFonts w:ascii="Arial" w:eastAsia="Arial" w:hAnsi="Arial" w:cs="Arial"/>
          <w:color w:val="000000"/>
          <w:sz w:val="20"/>
        </w:rPr>
        <w:t xml:space="preserve"> Those background principles include "doctrines [like estoppel] that authorize the enforcement of a contract [against] a nonsignatory." </w:t>
      </w:r>
      <w:bookmarkStart w:id="1964" w:name="Bookmark_I627Y0792SF7YT0050000400"/>
      <w:bookmarkEnd w:id="1964"/>
      <w:r>
        <w:rPr>
          <w:rFonts w:ascii="Arial" w:eastAsia="Arial" w:hAnsi="Arial" w:cs="Arial"/>
          <w:i/>
          <w:color w:val="000000"/>
          <w:sz w:val="20"/>
        </w:rPr>
        <w:t>GE Energy Power Conversion France SAS, Corp. v. Outokumpu Stainless USA, LLC</w:t>
      </w:r>
      <w:r>
        <w:rPr>
          <w:rFonts w:ascii="Arial" w:eastAsia="Arial" w:hAnsi="Arial" w:cs="Arial"/>
          <w:color w:val="000000"/>
          <w:sz w:val="20"/>
        </w:rPr>
        <w:t xml:space="preserve">, 140 S. Ct. 1637, 1643, 207 L. Ed. 2d 1 (2020); </w:t>
      </w:r>
      <w:r>
        <w:rPr>
          <w:rFonts w:ascii="Arial" w:eastAsia="Arial" w:hAnsi="Arial" w:cs="Arial"/>
          <w:i/>
          <w:color w:val="000000"/>
          <w:sz w:val="20"/>
        </w:rPr>
        <w:t xml:space="preserve">see also </w:t>
      </w:r>
      <w:bookmarkStart w:id="1965" w:name="Bookmark_I627Y07928T4JT0020000400"/>
      <w:bookmarkEnd w:id="1965"/>
      <w:r>
        <w:rPr>
          <w:rFonts w:ascii="Arial" w:eastAsia="Arial" w:hAnsi="Arial" w:cs="Arial"/>
          <w:i/>
          <w:color w:val="000000"/>
          <w:sz w:val="20"/>
        </w:rPr>
        <w:t>Bouriez v. Carnegie Mellon Univ.</w:t>
      </w:r>
      <w:r>
        <w:rPr>
          <w:rFonts w:ascii="Arial" w:eastAsia="Arial" w:hAnsi="Arial" w:cs="Arial"/>
          <w:color w:val="000000"/>
          <w:sz w:val="20"/>
        </w:rPr>
        <w:t>, 359 F.3d 292, 294 (3d Cir. 2004); 21 Williston on Contracts § 57:19 (Richard A. Lord ed., 4th ed. 2001).</w:t>
      </w:r>
    </w:p>
    <w:p w14:paraId="67C82751" w14:textId="77777777" w:rsidR="002B10A6" w:rsidRDefault="00000000">
      <w:pPr>
        <w:pStyle w:val="Normal12"/>
        <w:widowControl w:val="0"/>
        <w:spacing w:before="200" w:line="260" w:lineRule="atLeast"/>
        <w:jc w:val="both"/>
      </w:pPr>
      <w:bookmarkStart w:id="1966" w:name="Bookmark_para_25_7"/>
      <w:bookmarkStart w:id="1967" w:name="Bookmark_I627Y0792HM6410020000400"/>
      <w:bookmarkStart w:id="1968" w:name="Bookmark_I627Y07B2SF7YY0030000400"/>
      <w:bookmarkEnd w:id="1966"/>
      <w:bookmarkEnd w:id="1967"/>
      <w:bookmarkEnd w:id="1968"/>
      <w:r>
        <w:rPr>
          <w:rFonts w:ascii="Arial" w:eastAsia="Arial" w:hAnsi="Arial" w:cs="Arial"/>
          <w:color w:val="000000"/>
          <w:sz w:val="20"/>
        </w:rPr>
        <w:t xml:space="preserve">Here, the parties agree that the relevant state contract law is that of Pennsylvania. </w:t>
      </w:r>
      <w:bookmarkStart w:id="1969" w:name="Bookmark_I627Y07B2D6NSV0020000400"/>
      <w:bookmarkStart w:id="1970" w:name="Bookmark_LNHNREFclscc14_4"/>
      <w:bookmarkEnd w:id="1969"/>
      <w:bookmarkEnd w:id="1970"/>
      <w:r>
        <w:rPr>
          <w:rFonts w:ascii="Arial" w:eastAsia="Arial" w:hAnsi="Arial" w:cs="Arial"/>
          <w:color w:val="000000"/>
          <w:sz w:val="20"/>
        </w:rPr>
        <w:t xml:space="preserve">Under Pennsylvania law, the general rule is that "only parties to an arbitration agreement are subject to arbitration," </w:t>
      </w:r>
      <w:bookmarkStart w:id="1971" w:name="Bookmark_I627Y0792HM6410010000400"/>
      <w:bookmarkEnd w:id="1971"/>
      <w:r>
        <w:rPr>
          <w:rFonts w:ascii="Arial" w:eastAsia="Arial" w:hAnsi="Arial" w:cs="Arial"/>
          <w:i/>
          <w:color w:val="000000"/>
          <w:sz w:val="20"/>
        </w:rPr>
        <w:t>Smay v. E.R. Stuebner, Inc.</w:t>
      </w:r>
      <w:r>
        <w:rPr>
          <w:rFonts w:ascii="Arial" w:eastAsia="Arial" w:hAnsi="Arial" w:cs="Arial"/>
          <w:color w:val="000000"/>
          <w:sz w:val="20"/>
        </w:rPr>
        <w:t xml:space="preserve">, 2004 PA Super 493, 864 A.2d 1266, 1271 (Pa. Super. Ct. 2004), but in some situations, "equitable estoppel [may] bind non-signatories to an arbitration clause when the non-signatory knowingly exploits the agreement containing the arbitration clause despite having never signed the agreement," </w:t>
      </w:r>
      <w:bookmarkStart w:id="1972" w:name="Bookmark_I627Y0792HM6410030000400"/>
      <w:bookmarkEnd w:id="1972"/>
      <w:r>
        <w:rPr>
          <w:rFonts w:ascii="Arial" w:eastAsia="Arial" w:hAnsi="Arial" w:cs="Arial"/>
          <w:i/>
          <w:color w:val="000000"/>
          <w:sz w:val="20"/>
        </w:rPr>
        <w:t>Washburn v. N. Health Facilities, Inc.</w:t>
      </w:r>
      <w:r>
        <w:rPr>
          <w:rFonts w:ascii="Arial" w:eastAsia="Arial" w:hAnsi="Arial" w:cs="Arial"/>
          <w:color w:val="000000"/>
          <w:sz w:val="20"/>
        </w:rPr>
        <w:t xml:space="preserve">, 2015 PA Super 168, 121 A.3d 1008, 1015 (Pa. Super. Ct. 2015) (citing </w:t>
      </w:r>
      <w:bookmarkStart w:id="1973" w:name="Bookmark_I627Y0792HM6410050000400"/>
      <w:bookmarkEnd w:id="1973"/>
      <w:r>
        <w:rPr>
          <w:rFonts w:ascii="Arial" w:eastAsia="Arial" w:hAnsi="Arial" w:cs="Arial"/>
          <w:i/>
          <w:color w:val="000000"/>
          <w:sz w:val="20"/>
        </w:rPr>
        <w:t>DuPont</w:t>
      </w:r>
      <w:r>
        <w:rPr>
          <w:rFonts w:ascii="Arial" w:eastAsia="Arial" w:hAnsi="Arial" w:cs="Arial"/>
          <w:color w:val="000000"/>
          <w:sz w:val="20"/>
        </w:rPr>
        <w:t xml:space="preserve">, 269 F.3d at 199). Put differently, where a non-signatory "embraces the agreement and directly benefits from it," </w:t>
      </w:r>
      <w:bookmarkStart w:id="1974" w:name="Bookmark_I627Y07B2SF7YY0020000400"/>
      <w:bookmarkEnd w:id="1974"/>
      <w:r>
        <w:rPr>
          <w:rFonts w:ascii="Arial" w:eastAsia="Arial" w:hAnsi="Arial" w:cs="Arial"/>
          <w:i/>
          <w:color w:val="000000"/>
          <w:sz w:val="20"/>
        </w:rPr>
        <w:t>Bouriez</w:t>
      </w:r>
      <w:r>
        <w:rPr>
          <w:rFonts w:ascii="Arial" w:eastAsia="Arial" w:hAnsi="Arial" w:cs="Arial"/>
          <w:color w:val="000000"/>
          <w:sz w:val="20"/>
        </w:rPr>
        <w:t xml:space="preserve">, 359 F.3d at 295, it may not "then turn[] its back on the portions of the contract, [**16]  such as an arbitration clause, that it finds distasteful," </w:t>
      </w:r>
      <w:bookmarkStart w:id="1975" w:name="Bookmark_I627Y07B2SF7YY0040000400"/>
      <w:bookmarkEnd w:id="1975"/>
      <w:r>
        <w:rPr>
          <w:rFonts w:ascii="Arial" w:eastAsia="Arial" w:hAnsi="Arial" w:cs="Arial"/>
          <w:i/>
          <w:color w:val="000000"/>
          <w:sz w:val="20"/>
        </w:rPr>
        <w:t>DuPont</w:t>
      </w:r>
      <w:r>
        <w:rPr>
          <w:rFonts w:ascii="Arial" w:eastAsia="Arial" w:hAnsi="Arial" w:cs="Arial"/>
          <w:color w:val="000000"/>
          <w:sz w:val="20"/>
        </w:rPr>
        <w:t xml:space="preserve">, 269 F.3d at 200. </w:t>
      </w:r>
      <w:bookmarkStart w:id="1976" w:name="Bookmark_I627Y07B2D6NSV0020000400_2"/>
      <w:bookmarkEnd w:id="1976"/>
      <w:r>
        <w:rPr>
          <w:rFonts w:ascii="Arial" w:eastAsia="Arial" w:hAnsi="Arial" w:cs="Arial"/>
          <w:i/>
          <w:color w:val="000000"/>
          <w:sz w:val="20"/>
        </w:rPr>
        <w:t xml:space="preserve">See generally </w:t>
      </w:r>
      <w:bookmarkStart w:id="1977" w:name="Bookmark_I627Y07B2D6NSV0010000400"/>
      <w:bookmarkEnd w:id="1977"/>
      <w:r>
        <w:rPr>
          <w:rFonts w:ascii="Arial" w:eastAsia="Arial" w:hAnsi="Arial" w:cs="Arial"/>
          <w:i/>
          <w:color w:val="000000"/>
          <w:sz w:val="20"/>
        </w:rPr>
        <w:t>Griswold</w:t>
      </w:r>
      <w:r>
        <w:rPr>
          <w:rFonts w:ascii="Arial" w:eastAsia="Arial" w:hAnsi="Arial" w:cs="Arial"/>
          <w:color w:val="000000"/>
          <w:sz w:val="20"/>
        </w:rPr>
        <w:t xml:space="preserve">, 762 F.3d at 272 n.6 (observing that consistent with the Supreme Court's decision in </w:t>
      </w:r>
      <w:r>
        <w:rPr>
          <w:rFonts w:ascii="Arial" w:eastAsia="Arial" w:hAnsi="Arial" w:cs="Arial"/>
          <w:i/>
          <w:color w:val="000000"/>
          <w:sz w:val="20"/>
        </w:rPr>
        <w:t>Arthur Andersen</w:t>
      </w:r>
      <w:r>
        <w:rPr>
          <w:rFonts w:ascii="Arial" w:eastAsia="Arial" w:hAnsi="Arial" w:cs="Arial"/>
          <w:color w:val="000000"/>
          <w:sz w:val="20"/>
        </w:rPr>
        <w:t>, "we may rely on our prior decisions so  [*767]  long as they do not conflict with . . . Pennsylvania state law principles").</w:t>
      </w:r>
    </w:p>
    <w:p w14:paraId="04994078" w14:textId="77777777" w:rsidR="002B10A6" w:rsidRDefault="00000000">
      <w:pPr>
        <w:pStyle w:val="Normal12"/>
        <w:widowControl w:val="0"/>
        <w:spacing w:before="200" w:line="260" w:lineRule="atLeast"/>
        <w:jc w:val="both"/>
      </w:pPr>
      <w:bookmarkStart w:id="1978" w:name="Bookmark_para_26_7"/>
      <w:bookmarkStart w:id="1979" w:name="Bookmark_I627Y07B2D6NSV0040000400"/>
      <w:bookmarkStart w:id="1980" w:name="Bookmark_I627Y07B2N1R0X0010000400"/>
      <w:bookmarkStart w:id="1981" w:name="Bookmark_LNHNREFclscc15_2"/>
      <w:bookmarkEnd w:id="1978"/>
      <w:bookmarkEnd w:id="1979"/>
      <w:bookmarkEnd w:id="1980"/>
      <w:bookmarkEnd w:id="1981"/>
      <w:r>
        <w:rPr>
          <w:rFonts w:ascii="Arial" w:eastAsia="Arial" w:hAnsi="Arial" w:cs="Arial"/>
          <w:color w:val="000000"/>
          <w:sz w:val="20"/>
        </w:rPr>
        <w:t xml:space="preserve">On the other hand, equitable estoppel is inapposite where "there is no evidence that the [nonparties] availed [themselves] of the . . . agreement or received any benefit under that agreement." </w:t>
      </w:r>
      <w:bookmarkStart w:id="1982" w:name="Bookmark_I627Y07B2D6NSV0030000400"/>
      <w:bookmarkEnd w:id="1982"/>
      <w:r>
        <w:rPr>
          <w:rFonts w:ascii="Arial" w:eastAsia="Arial" w:hAnsi="Arial" w:cs="Arial"/>
          <w:i/>
          <w:color w:val="000000"/>
          <w:sz w:val="20"/>
        </w:rPr>
        <w:t>Washburn</w:t>
      </w:r>
      <w:r>
        <w:rPr>
          <w:rFonts w:ascii="Arial" w:eastAsia="Arial" w:hAnsi="Arial" w:cs="Arial"/>
          <w:color w:val="000000"/>
          <w:sz w:val="20"/>
        </w:rPr>
        <w:t>, 121 A.3d at 1015. Where enforcement is sought against non-signatories, "[a] dispute that arises under one agreement may be litigated notwithstanding a mandatory arbitration clause in a second agreement," even where the dispute implicates "two agreements [that] are closely intertwined."</w:t>
      </w:r>
      <w:r>
        <w:rPr>
          <w:rFonts w:ascii="Arial" w:eastAsia="Arial" w:hAnsi="Arial" w:cs="Arial"/>
          <w:vertAlign w:val="superscript"/>
        </w:rPr>
        <w:footnoteReference w:customMarkFollows="1" w:id="85"/>
        <w:t>6</w:t>
      </w:r>
      <w:r>
        <w:rPr>
          <w:rFonts w:ascii="Arial" w:eastAsia="Arial" w:hAnsi="Arial" w:cs="Arial"/>
          <w:color w:val="000000"/>
          <w:sz w:val="20"/>
        </w:rPr>
        <w:t xml:space="preserve"> </w:t>
      </w:r>
      <w:bookmarkStart w:id="1988" w:name="Bookmark_I627Y07B2D6NSV0050000400"/>
      <w:bookmarkEnd w:id="1988"/>
      <w:r>
        <w:rPr>
          <w:rFonts w:ascii="Arial" w:eastAsia="Arial" w:hAnsi="Arial" w:cs="Arial"/>
          <w:i/>
          <w:color w:val="000000"/>
          <w:sz w:val="20"/>
        </w:rPr>
        <w:t>Bouriez</w:t>
      </w:r>
      <w:r>
        <w:rPr>
          <w:rFonts w:ascii="Arial" w:eastAsia="Arial" w:hAnsi="Arial" w:cs="Arial"/>
          <w:color w:val="000000"/>
          <w:sz w:val="20"/>
        </w:rPr>
        <w:t>, 359 F.3d at 295 (citation omitted).</w:t>
      </w:r>
    </w:p>
    <w:p w14:paraId="064B009B" w14:textId="77777777" w:rsidR="002B10A6" w:rsidRDefault="00000000">
      <w:pPr>
        <w:pStyle w:val="Normal12"/>
        <w:widowControl w:val="0"/>
        <w:spacing w:before="200" w:line="260" w:lineRule="atLeast"/>
        <w:jc w:val="both"/>
      </w:pPr>
      <w:bookmarkStart w:id="1989" w:name="Bookmark_para_27_7"/>
      <w:bookmarkEnd w:id="1989"/>
      <w:r>
        <w:rPr>
          <w:rFonts w:ascii="Arial" w:eastAsia="Arial" w:hAnsi="Arial" w:cs="Arial"/>
          <w:color w:val="000000"/>
          <w:sz w:val="20"/>
        </w:rPr>
        <w:t xml:space="preserve">Applying this precedent, we agree with the District Court that Uber's equitable-estoppel argument is meritless. Aside from its unreviewable standing-related arguments, Uber argues only that "to prove the discrimination they allege, Plaintiffs must prove what Uber offers," which they cannot do "without the Terms of Use because Uber makes its services available only because of, and pursuant to, the Terms of Use." Appellant's Br. [**17]  41. </w:t>
      </w:r>
      <w:bookmarkStart w:id="1990" w:name="Bookmark_I627Y07B2HM6430020000400"/>
      <w:bookmarkEnd w:id="1990"/>
      <w:r>
        <w:rPr>
          <w:rFonts w:ascii="Arial" w:eastAsia="Arial" w:hAnsi="Arial" w:cs="Arial"/>
          <w:color w:val="000000"/>
          <w:sz w:val="20"/>
        </w:rPr>
        <w:t xml:space="preserve">But that strained argument is belied by the complaint, which describes Uber's "on-demand transportation service" without any reference to the Terms of Use, A44 (capitalization altered), and alleges that Plaintiffs have not downloaded Uber's app, used its service, or otherwise availed themselves of any aspect of Uber's service agreement. Indeed, the crux of their claim is that Uber's unlawful discrimination has prevented them from partaking in or benefiting from that service agreement in the first place. Thus, as the Ninth Circuit put it in rejecting Uber's estoppel argument in a companion case, where "[p]laintiffs do not rely on Uber's Terms and Conditions," "[n]one of [those terms] is mentioned in the . . . complaint, and the only [term] Uber has mentioned is the arbitration clause," it's apparent that "Plaintiffs' case arises entirely under the ADA." </w:t>
      </w:r>
      <w:bookmarkStart w:id="1991" w:name="Bookmark_I627Y07B2HM6430010000400"/>
      <w:bookmarkEnd w:id="1991"/>
      <w:r>
        <w:rPr>
          <w:rFonts w:ascii="Arial" w:eastAsia="Arial" w:hAnsi="Arial" w:cs="Arial"/>
          <w:i/>
          <w:color w:val="000000"/>
          <w:sz w:val="20"/>
        </w:rPr>
        <w:t>Namisnak v. Uber Techs., Inc.</w:t>
      </w:r>
      <w:r>
        <w:rPr>
          <w:rFonts w:ascii="Arial" w:eastAsia="Arial" w:hAnsi="Arial" w:cs="Arial"/>
          <w:color w:val="000000"/>
          <w:sz w:val="20"/>
        </w:rPr>
        <w:t>, 971 F.3d 1088, 1095 (9th Cir. 2020).</w:t>
      </w:r>
    </w:p>
    <w:p w14:paraId="0662F8F4" w14:textId="77777777" w:rsidR="002B10A6" w:rsidRDefault="00000000">
      <w:pPr>
        <w:pStyle w:val="Normal12"/>
        <w:widowControl w:val="0"/>
        <w:spacing w:before="200" w:line="260" w:lineRule="atLeast"/>
        <w:jc w:val="both"/>
      </w:pPr>
      <w:bookmarkStart w:id="1992" w:name="Bookmark_para_28_7"/>
      <w:bookmarkStart w:id="1993" w:name="Bookmark_I627Y07B2HM6430040000400"/>
      <w:bookmarkEnd w:id="1992"/>
      <w:bookmarkEnd w:id="1993"/>
      <w:r>
        <w:rPr>
          <w:rFonts w:ascii="Arial" w:eastAsia="Arial" w:hAnsi="Arial" w:cs="Arial"/>
          <w:color w:val="000000"/>
          <w:sz w:val="20"/>
        </w:rPr>
        <w:t xml:space="preserve">In sum, because there is no evidence that Plaintiffs "availed [themselves]" of Uber's service agreement prior to or in the course of litigation or "received any benefit under that agreement," </w:t>
      </w:r>
      <w:bookmarkStart w:id="1994" w:name="Bookmark_I627Y07B2HM6430030000400"/>
      <w:bookmarkEnd w:id="1994"/>
      <w:r>
        <w:rPr>
          <w:rFonts w:ascii="Arial" w:eastAsia="Arial" w:hAnsi="Arial" w:cs="Arial"/>
          <w:i/>
          <w:color w:val="000000"/>
          <w:sz w:val="20"/>
        </w:rPr>
        <w:t>Washburn</w:t>
      </w:r>
      <w:r>
        <w:rPr>
          <w:rFonts w:ascii="Arial" w:eastAsia="Arial" w:hAnsi="Arial" w:cs="Arial"/>
          <w:color w:val="000000"/>
          <w:sz w:val="20"/>
        </w:rPr>
        <w:t>, 121 A.3d at 1015, they are not equitably estopped from rejecting its arbitration clause.</w:t>
      </w:r>
    </w:p>
    <w:p w14:paraId="1DF5566D" w14:textId="77777777" w:rsidR="002B10A6" w:rsidRDefault="00000000">
      <w:pPr>
        <w:pStyle w:val="Normal12"/>
        <w:widowControl w:val="0"/>
        <w:spacing w:before="240" w:line="260" w:lineRule="atLeast"/>
      </w:pPr>
      <w:r>
        <w:br/>
      </w:r>
      <w:r>
        <w:rPr>
          <w:rFonts w:ascii="Arial" w:eastAsia="Arial" w:hAnsi="Arial" w:cs="Arial"/>
          <w:b/>
          <w:color w:val="000000"/>
          <w:sz w:val="20"/>
        </w:rPr>
        <w:t>IV. Conclusion</w:t>
      </w:r>
    </w:p>
    <w:p w14:paraId="68014666" w14:textId="77777777" w:rsidR="002B10A6" w:rsidRDefault="00000000">
      <w:pPr>
        <w:pStyle w:val="Normal12"/>
        <w:widowControl w:val="0"/>
        <w:spacing w:before="200" w:line="260" w:lineRule="atLeast"/>
        <w:jc w:val="both"/>
      </w:pPr>
      <w:bookmarkStart w:id="1995" w:name="Bookmark_para_29_7"/>
      <w:bookmarkEnd w:id="1995"/>
      <w:r>
        <w:rPr>
          <w:rFonts w:ascii="Arial" w:eastAsia="Arial" w:hAnsi="Arial" w:cs="Arial"/>
          <w:color w:val="000000"/>
          <w:sz w:val="20"/>
        </w:rPr>
        <w:t>For the foregoing reasons, we will affirm the District [**18]  Court's order denying the motion to compel arbitration.</w:t>
      </w:r>
    </w:p>
    <w:p w14:paraId="13F696BE" w14:textId="77777777" w:rsidR="002B10A6" w:rsidRDefault="002B10A6">
      <w:pPr>
        <w:pStyle w:val="Normal12"/>
      </w:pPr>
    </w:p>
    <w:p w14:paraId="7601A8C6" w14:textId="5E088BEF" w:rsidR="002B10A6" w:rsidRDefault="00000000">
      <w:pPr>
        <w:pStyle w:val="Normal12"/>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84864" behindDoc="0" locked="0" layoutInCell="1" allowOverlap="1" wp14:anchorId="050A5B03" wp14:editId="7E31F81E">
                <wp:simplePos x="0" y="0"/>
                <wp:positionH relativeFrom="column">
                  <wp:posOffset>0</wp:posOffset>
                </wp:positionH>
                <wp:positionV relativeFrom="paragraph">
                  <wp:posOffset>127000</wp:posOffset>
                </wp:positionV>
                <wp:extent cx="6502400" cy="0"/>
                <wp:effectExtent l="9525" t="12700" r="12700" b="6350"/>
                <wp:wrapNone/>
                <wp:docPr id="1357516400"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30AB0" id="Line 27"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8B4A526" w14:textId="77777777" w:rsidR="002B10A6" w:rsidRDefault="002B10A6">
      <w:pPr>
        <w:pStyle w:val="Normal13"/>
        <w:sectPr w:rsidR="002B10A6">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gutter="0"/>
          <w:cols w:space="720"/>
          <w:titlePg/>
        </w:sectPr>
      </w:pPr>
    </w:p>
    <w:p w14:paraId="053067F8" w14:textId="77777777" w:rsidR="002B10A6" w:rsidRDefault="002B10A6">
      <w:pPr>
        <w:pStyle w:val="Normal13"/>
      </w:pPr>
    </w:p>
    <w:p w14:paraId="2D113B4F" w14:textId="77777777" w:rsidR="002B10A6" w:rsidRDefault="00000000">
      <w:pPr>
        <w:pStyle w:val="Heading112"/>
        <w:keepNext w:val="0"/>
        <w:widowControl w:val="0"/>
        <w:spacing w:after="200" w:line="340" w:lineRule="atLeast"/>
        <w:jc w:val="center"/>
      </w:pPr>
      <w:r>
        <w:rPr>
          <w:rFonts w:eastAsia="Arial"/>
          <w:color w:val="000000"/>
          <w:sz w:val="28"/>
        </w:rPr>
        <w:t>Thomas v. City of Annapolis</w:t>
      </w:r>
    </w:p>
    <w:p w14:paraId="091D119B" w14:textId="77777777" w:rsidR="002B10A6" w:rsidRDefault="00000000">
      <w:pPr>
        <w:pStyle w:val="Normal13"/>
        <w:widowControl w:val="0"/>
        <w:spacing w:before="120" w:line="260" w:lineRule="atLeast"/>
        <w:jc w:val="center"/>
      </w:pPr>
      <w:r>
        <w:rPr>
          <w:rFonts w:ascii="Arial" w:eastAsia="Arial" w:hAnsi="Arial" w:cs="Arial"/>
          <w:color w:val="000000"/>
          <w:sz w:val="20"/>
        </w:rPr>
        <w:t>United States Court of Appeals for the Fourth Circuit</w:t>
      </w:r>
    </w:p>
    <w:p w14:paraId="3B391ADC" w14:textId="77777777" w:rsidR="002B10A6" w:rsidRDefault="00000000">
      <w:pPr>
        <w:pStyle w:val="Normal13"/>
        <w:widowControl w:val="0"/>
        <w:spacing w:before="120" w:line="260" w:lineRule="atLeast"/>
        <w:jc w:val="center"/>
      </w:pPr>
      <w:r>
        <w:rPr>
          <w:rFonts w:ascii="Arial" w:eastAsia="Arial" w:hAnsi="Arial" w:cs="Arial"/>
          <w:color w:val="000000"/>
          <w:sz w:val="20"/>
        </w:rPr>
        <w:t>December 7, 2020, Argued; March 12, 2021, Decided</w:t>
      </w:r>
    </w:p>
    <w:p w14:paraId="18C84291" w14:textId="77777777" w:rsidR="002B10A6" w:rsidRDefault="00000000">
      <w:pPr>
        <w:pStyle w:val="Normal13"/>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18-2148</w:t>
      </w:r>
    </w:p>
    <w:p w14:paraId="55AE6394" w14:textId="77777777" w:rsidR="002B10A6" w:rsidRDefault="002B10A6">
      <w:pPr>
        <w:pStyle w:val="Normal13"/>
        <w:widowControl w:val="0"/>
        <w:spacing w:line="240" w:lineRule="atLeast"/>
        <w:jc w:val="both"/>
      </w:pPr>
      <w:bookmarkStart w:id="1996" w:name="Bookmark_14"/>
      <w:bookmarkEnd w:id="1996"/>
    </w:p>
    <w:p w14:paraId="1E2F19BB" w14:textId="77777777" w:rsidR="002B10A6" w:rsidRDefault="00000000">
      <w:pPr>
        <w:pStyle w:val="Normal13"/>
        <w:widowControl w:val="0"/>
        <w:spacing w:before="200" w:line="240" w:lineRule="atLeast"/>
      </w:pPr>
      <w:bookmarkStart w:id="1997" w:name="Reporter_12"/>
      <w:bookmarkEnd w:id="1997"/>
      <w:r>
        <w:rPr>
          <w:rFonts w:ascii="Arial" w:eastAsia="Arial" w:hAnsi="Arial" w:cs="Arial"/>
          <w:b/>
          <w:color w:val="000000"/>
          <w:sz w:val="18"/>
        </w:rPr>
        <w:t>Reporter</w:t>
      </w:r>
    </w:p>
    <w:p w14:paraId="0FFAE32B" w14:textId="77777777" w:rsidR="002B10A6" w:rsidRDefault="00000000">
      <w:pPr>
        <w:pStyle w:val="Normal13"/>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851 Fed. Appx. 341 *; 2021 U.S. App. LEXIS 7314 **; 2021 WL 943700</w:t>
      </w:r>
    </w:p>
    <w:p w14:paraId="26E99FFF" w14:textId="77777777" w:rsidR="002B10A6" w:rsidRDefault="00000000">
      <w:pPr>
        <w:pStyle w:val="Normal13"/>
        <w:widowControl w:val="0"/>
        <w:spacing w:before="120" w:line="260" w:lineRule="atLeast"/>
      </w:pPr>
      <w:r>
        <w:rPr>
          <w:rFonts w:ascii="Arial" w:eastAsia="Arial" w:hAnsi="Arial" w:cs="Arial"/>
          <w:color w:val="000000"/>
          <w:sz w:val="20"/>
        </w:rPr>
        <w:t>JASON THOMAS, Plaintiff - Appellant, v. CITY OF ANNAPOLIS, MARYLAND; CITY OF ANNAPOLIS, MARYLAND POLICE DEPARTMENT; CHIEF MICHAEL PRISTOOP, Official and Individual Capacity, Defendants — Appellees.</w:t>
      </w:r>
    </w:p>
    <w:p w14:paraId="6BABB607" w14:textId="77777777" w:rsidR="002B10A6" w:rsidRDefault="00000000">
      <w:pPr>
        <w:pStyle w:val="Normal13"/>
        <w:widowControl w:val="0"/>
        <w:spacing w:before="240" w:line="260" w:lineRule="atLeast"/>
        <w:jc w:val="both"/>
      </w:pPr>
      <w:bookmarkStart w:id="1998" w:name="Notice_3"/>
      <w:bookmarkEnd w:id="1998"/>
      <w:r>
        <w:rPr>
          <w:rFonts w:ascii="Arial" w:eastAsia="Arial" w:hAnsi="Arial" w:cs="Arial"/>
          <w:b/>
          <w:color w:val="000000"/>
          <w:sz w:val="20"/>
        </w:rPr>
        <w:t>Notice:</w:t>
      </w:r>
      <w:r>
        <w:rPr>
          <w:rFonts w:ascii="Arial" w:eastAsia="Arial" w:hAnsi="Arial" w:cs="Arial"/>
          <w:color w:val="000000"/>
          <w:sz w:val="20"/>
        </w:rPr>
        <w:t> </w:t>
      </w:r>
      <w:bookmarkStart w:id="1999" w:name="Bookmark_para_1_12"/>
      <w:bookmarkEnd w:id="1999"/>
      <w:r>
        <w:rPr>
          <w:rFonts w:ascii="Arial" w:eastAsia="Arial" w:hAnsi="Arial" w:cs="Arial"/>
          <w:color w:val="000000"/>
          <w:sz w:val="20"/>
        </w:rPr>
        <w:t>PLEASE REFER TO FEDERAL RULES OF APPELLATE PROCEDURE RULE 32.1 GOVERNING THE CITATION TO UNPUBLISHED OPINIONS.</w:t>
      </w:r>
    </w:p>
    <w:p w14:paraId="357313D1" w14:textId="77777777" w:rsidR="002B10A6" w:rsidRDefault="00000000">
      <w:pPr>
        <w:pStyle w:val="Normal13"/>
        <w:widowControl w:val="0"/>
        <w:spacing w:before="240" w:line="260" w:lineRule="atLeast"/>
        <w:jc w:val="both"/>
      </w:pPr>
      <w:bookmarkStart w:id="2000" w:name="Prior_History_12"/>
      <w:bookmarkEnd w:id="2000"/>
      <w:r>
        <w:rPr>
          <w:rFonts w:ascii="Arial" w:eastAsia="Arial" w:hAnsi="Arial" w:cs="Arial"/>
          <w:b/>
          <w:color w:val="000000"/>
          <w:sz w:val="20"/>
        </w:rPr>
        <w:t>Prior History:</w:t>
      </w:r>
      <w:r>
        <w:rPr>
          <w:rFonts w:ascii="Arial" w:eastAsia="Arial" w:hAnsi="Arial" w:cs="Arial"/>
          <w:color w:val="000000"/>
          <w:sz w:val="20"/>
        </w:rPr>
        <w:t> </w:t>
      </w:r>
      <w:bookmarkStart w:id="2001" w:name="Bookmark_para_2_12"/>
      <w:bookmarkEnd w:id="2001"/>
      <w:r>
        <w:rPr>
          <w:rFonts w:ascii="Arial" w:eastAsia="Arial" w:hAnsi="Arial" w:cs="Arial"/>
          <w:color w:val="000000"/>
          <w:sz w:val="20"/>
        </w:rPr>
        <w:t> [**1] Appeal from the United States District Court for the District of Maryland, at Baltimore. (1:16-cv-03823-BPG). Beth P. Gesner, Magistrate Judge.</w:t>
      </w:r>
    </w:p>
    <w:p w14:paraId="1ACC1AB6" w14:textId="77777777" w:rsidR="002B10A6" w:rsidRDefault="00000000">
      <w:pPr>
        <w:pStyle w:val="Normal13"/>
        <w:widowControl w:val="0"/>
        <w:spacing w:before="120" w:line="260" w:lineRule="atLeast"/>
      </w:pPr>
      <w:r>
        <w:rPr>
          <w:rFonts w:ascii="Arial" w:eastAsia="Arial" w:hAnsi="Arial" w:cs="Arial"/>
          <w:color w:val="000000"/>
          <w:sz w:val="20"/>
        </w:rPr>
        <w:t>Thomas v. City of Annapolis, 2018 U.S. Dist. LEXIS 149850, 2018 WL 4206951 (D. Md., Sept. 4, 2018)</w:t>
      </w:r>
    </w:p>
    <w:p w14:paraId="23296D2B" w14:textId="77777777" w:rsidR="002B10A6" w:rsidRDefault="00000000">
      <w:pPr>
        <w:pStyle w:val="Normal13"/>
        <w:widowControl w:val="0"/>
        <w:spacing w:before="240" w:line="260" w:lineRule="atLeast"/>
        <w:jc w:val="both"/>
      </w:pPr>
      <w:bookmarkStart w:id="2002" w:name="Disposition_5"/>
      <w:bookmarkEnd w:id="2002"/>
      <w:r>
        <w:rPr>
          <w:rFonts w:ascii="Arial" w:eastAsia="Arial" w:hAnsi="Arial" w:cs="Arial"/>
          <w:b/>
          <w:color w:val="000000"/>
          <w:sz w:val="20"/>
        </w:rPr>
        <w:t>Disposition:</w:t>
      </w:r>
      <w:r>
        <w:rPr>
          <w:rFonts w:ascii="Arial" w:eastAsia="Arial" w:hAnsi="Arial" w:cs="Arial"/>
          <w:color w:val="000000"/>
          <w:sz w:val="20"/>
        </w:rPr>
        <w:t> </w:t>
      </w:r>
      <w:bookmarkStart w:id="2003" w:name="Bookmark_clspara_4_5"/>
      <w:bookmarkEnd w:id="2003"/>
      <w:r>
        <w:rPr>
          <w:rFonts w:ascii="Arial" w:eastAsia="Arial" w:hAnsi="Arial" w:cs="Arial"/>
          <w:color w:val="000000"/>
          <w:sz w:val="20"/>
        </w:rPr>
        <w:t>AFFIRMED.</w:t>
      </w:r>
    </w:p>
    <w:p w14:paraId="074DD52E" w14:textId="77777777" w:rsidR="002B10A6" w:rsidRDefault="00000000">
      <w:pPr>
        <w:pStyle w:val="Normal13"/>
        <w:widowControl w:val="0"/>
        <w:spacing w:before="240" w:line="260" w:lineRule="atLeast"/>
      </w:pPr>
      <w:bookmarkStart w:id="2004" w:name="Counsel_12"/>
      <w:bookmarkEnd w:id="2004"/>
      <w:r>
        <w:rPr>
          <w:rFonts w:ascii="Arial" w:eastAsia="Arial" w:hAnsi="Arial" w:cs="Arial"/>
          <w:b/>
          <w:color w:val="000000"/>
          <w:sz w:val="20"/>
        </w:rPr>
        <w:t>Counsel:</w:t>
      </w:r>
      <w:r>
        <w:rPr>
          <w:rFonts w:ascii="Arial" w:eastAsia="Arial" w:hAnsi="Arial" w:cs="Arial"/>
          <w:color w:val="000000"/>
          <w:sz w:val="20"/>
        </w:rPr>
        <w:t> ARGUED: Corlie McCormick, Jr., MCCORMICK LAW FIRM, LLC, Crofton, Maryland, for Appellant. Kerry Elizabeth Berger, CITY OF ANNAPOLIS OFFICE OF LAW, Annapolis, Maryland, for Appellees.</w:t>
      </w:r>
    </w:p>
    <w:p w14:paraId="4FF7EEEC" w14:textId="77777777" w:rsidR="002B10A6" w:rsidRDefault="00000000">
      <w:pPr>
        <w:pStyle w:val="Normal13"/>
        <w:widowControl w:val="0"/>
        <w:spacing w:before="120" w:line="260" w:lineRule="atLeast"/>
      </w:pPr>
      <w:r>
        <w:rPr>
          <w:rFonts w:ascii="Arial" w:eastAsia="Arial" w:hAnsi="Arial" w:cs="Arial"/>
          <w:color w:val="000000"/>
          <w:sz w:val="20"/>
        </w:rPr>
        <w:t>ON BRIEF: Garry M. Elson, Assistant City Attorney, CITY OF ANNAPOLIS OFFICE OF LAW, Annapolis, Maryland, for Appellees.</w:t>
      </w:r>
    </w:p>
    <w:p w14:paraId="7595A9D3" w14:textId="77777777" w:rsidR="002B10A6" w:rsidRDefault="00000000">
      <w:pPr>
        <w:pStyle w:val="Normal13"/>
        <w:widowControl w:val="0"/>
        <w:spacing w:before="240" w:line="260" w:lineRule="atLeast"/>
      </w:pPr>
      <w:bookmarkStart w:id="2005" w:name="Judges_12"/>
      <w:bookmarkEnd w:id="2005"/>
      <w:r>
        <w:rPr>
          <w:rFonts w:ascii="Arial" w:eastAsia="Arial" w:hAnsi="Arial" w:cs="Arial"/>
          <w:b/>
          <w:color w:val="000000"/>
          <w:sz w:val="20"/>
        </w:rPr>
        <w:t>Judges:</w:t>
      </w:r>
      <w:r>
        <w:rPr>
          <w:rFonts w:ascii="Arial" w:eastAsia="Arial" w:hAnsi="Arial" w:cs="Arial"/>
          <w:color w:val="000000"/>
          <w:sz w:val="20"/>
        </w:rPr>
        <w:t> Before WILKINSON, KEENAN, and DIAZ, Circuit Judges.</w:t>
      </w:r>
    </w:p>
    <w:p w14:paraId="09A0F88B" w14:textId="77777777" w:rsidR="002B10A6" w:rsidRDefault="00000000">
      <w:pPr>
        <w:pStyle w:val="Normal13"/>
        <w:widowControl w:val="0"/>
        <w:spacing w:before="240" w:line="260" w:lineRule="atLeast"/>
      </w:pPr>
      <w:bookmarkStart w:id="2006" w:name="Opinion_by_10"/>
      <w:bookmarkEnd w:id="2006"/>
      <w:r>
        <w:rPr>
          <w:rFonts w:ascii="Arial" w:eastAsia="Arial" w:hAnsi="Arial" w:cs="Arial"/>
          <w:b/>
          <w:color w:val="000000"/>
          <w:sz w:val="20"/>
        </w:rPr>
        <w:t>Opinion by:</w:t>
      </w:r>
      <w:r>
        <w:rPr>
          <w:rFonts w:ascii="Arial" w:eastAsia="Arial" w:hAnsi="Arial" w:cs="Arial"/>
          <w:color w:val="000000"/>
          <w:sz w:val="20"/>
        </w:rPr>
        <w:t> DIAZ</w:t>
      </w:r>
    </w:p>
    <w:p w14:paraId="7F6BADC1" w14:textId="77777777" w:rsidR="002B10A6" w:rsidRDefault="00000000">
      <w:pPr>
        <w:pStyle w:val="Normal13"/>
        <w:keepNext/>
        <w:widowControl w:val="0"/>
        <w:spacing w:before="240" w:line="340" w:lineRule="atLeast"/>
      </w:pPr>
      <w:bookmarkStart w:id="2007" w:name="Opinion_12"/>
      <w:bookmarkEnd w:id="2007"/>
      <w:r>
        <w:rPr>
          <w:rFonts w:ascii="Arial" w:eastAsia="Arial" w:hAnsi="Arial" w:cs="Arial"/>
          <w:b/>
          <w:color w:val="000000"/>
          <w:sz w:val="28"/>
        </w:rPr>
        <w:t>Opinion</w:t>
      </w:r>
    </w:p>
    <w:p w14:paraId="60F5CD55" w14:textId="4670B47F" w:rsidR="002B10A6" w:rsidRDefault="002D6974">
      <w:pPr>
        <w:pStyle w:val="Normal13"/>
        <w:spacing w:line="60" w:lineRule="exact"/>
      </w:pPr>
      <w:r>
        <w:rPr>
          <w:noProof/>
        </w:rPr>
        <mc:AlternateContent>
          <mc:Choice Requires="wps">
            <w:drawing>
              <wp:anchor distT="0" distB="0" distL="114300" distR="114300" simplePos="0" relativeHeight="251685888" behindDoc="0" locked="0" layoutInCell="1" allowOverlap="1" wp14:anchorId="79522A53" wp14:editId="08BFF041">
                <wp:simplePos x="0" y="0"/>
                <wp:positionH relativeFrom="column">
                  <wp:posOffset>0</wp:posOffset>
                </wp:positionH>
                <wp:positionV relativeFrom="paragraph">
                  <wp:posOffset>25400</wp:posOffset>
                </wp:positionV>
                <wp:extent cx="3187700" cy="0"/>
                <wp:effectExtent l="19050" t="15875" r="12700" b="12700"/>
                <wp:wrapTopAndBottom/>
                <wp:docPr id="1551560299"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01E65" id="Line 2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0D31869" w14:textId="77777777" w:rsidR="002B10A6" w:rsidRDefault="002B10A6">
      <w:pPr>
        <w:pStyle w:val="Normal13"/>
      </w:pPr>
    </w:p>
    <w:p w14:paraId="4D5C4883" w14:textId="77777777" w:rsidR="002B10A6" w:rsidRDefault="00000000">
      <w:pPr>
        <w:pStyle w:val="Normal13"/>
        <w:widowControl w:val="0"/>
        <w:spacing w:before="200" w:line="260" w:lineRule="atLeast"/>
        <w:jc w:val="both"/>
      </w:pPr>
      <w:bookmarkStart w:id="2008" w:name="Bookmark_para_3_12"/>
      <w:bookmarkEnd w:id="2008"/>
      <w:r>
        <w:rPr>
          <w:rFonts w:ascii="Arial" w:eastAsia="Arial" w:hAnsi="Arial" w:cs="Arial"/>
          <w:color w:val="000000"/>
          <w:sz w:val="20"/>
        </w:rPr>
        <w:t> [*343]  DIAZ, Circuit Judge:</w:t>
      </w:r>
    </w:p>
    <w:p w14:paraId="6856B7A8" w14:textId="77777777" w:rsidR="002B10A6" w:rsidRDefault="00000000">
      <w:pPr>
        <w:pStyle w:val="Normal13"/>
        <w:widowControl w:val="0"/>
        <w:spacing w:before="200" w:line="260" w:lineRule="atLeast"/>
        <w:jc w:val="both"/>
      </w:pPr>
      <w:bookmarkStart w:id="2009" w:name="Bookmark_para_4_12"/>
      <w:bookmarkEnd w:id="2009"/>
      <w:r>
        <w:rPr>
          <w:rFonts w:ascii="Arial" w:eastAsia="Arial" w:hAnsi="Arial" w:cs="Arial"/>
          <w:color w:val="000000"/>
          <w:sz w:val="20"/>
        </w:rPr>
        <w:t>Jason Thomas, a black American man and former police officer for the City of Annapolis and Annapolis Police Department, sued the City, the Department, and the chief of police, asserting that he was wrongfully terminated because of his race and disability, was denied reasonable accommodations for his disability, and was denied his request for disability retirement because of his race, in violation of Title VII of the Civil Rights Act of 1964,</w:t>
      </w:r>
      <w:r>
        <w:rPr>
          <w:rFonts w:ascii="Arial" w:eastAsia="Arial" w:hAnsi="Arial" w:cs="Arial"/>
          <w:vertAlign w:val="superscript"/>
        </w:rPr>
        <w:footnoteReference w:customMarkFollows="1" w:id="86"/>
        <w:t>1</w:t>
      </w:r>
      <w:r>
        <w:rPr>
          <w:rFonts w:ascii="Arial" w:eastAsia="Arial" w:hAnsi="Arial" w:cs="Arial"/>
          <w:color w:val="000000"/>
          <w:sz w:val="20"/>
        </w:rPr>
        <w:t xml:space="preserve"> the Americans with Disabilities Act (the "ADA"),</w:t>
      </w:r>
      <w:r>
        <w:rPr>
          <w:rFonts w:ascii="Arial" w:eastAsia="Arial" w:hAnsi="Arial" w:cs="Arial"/>
          <w:vertAlign w:val="superscript"/>
        </w:rPr>
        <w:footnoteReference w:customMarkFollows="1" w:id="87"/>
        <w:t>2</w:t>
      </w:r>
      <w:r>
        <w:rPr>
          <w:rFonts w:ascii="Arial" w:eastAsia="Arial" w:hAnsi="Arial" w:cs="Arial"/>
          <w:color w:val="000000"/>
          <w:sz w:val="20"/>
        </w:rPr>
        <w:t xml:space="preserve"> 42 U.S.C. § 1981, and 42 U.S.C. § 1983. The district court granted summary judgment to the defendants. For the reasons that follow, we affirm.</w:t>
      </w:r>
    </w:p>
    <w:p w14:paraId="61D0A1B7" w14:textId="77777777" w:rsidR="002B10A6" w:rsidRDefault="00000000">
      <w:pPr>
        <w:pStyle w:val="Normal13"/>
        <w:widowControl w:val="0"/>
        <w:spacing w:before="120" w:line="260" w:lineRule="atLeast"/>
      </w:pPr>
      <w:r>
        <w:rPr>
          <w:rFonts w:ascii="Arial" w:eastAsia="Arial" w:hAnsi="Arial" w:cs="Arial"/>
          <w:color w:val="000000"/>
          <w:sz w:val="20"/>
        </w:rPr>
        <w:t>I.</w:t>
      </w:r>
    </w:p>
    <w:p w14:paraId="1BD8C2B9" w14:textId="77777777" w:rsidR="002B10A6" w:rsidRDefault="00000000">
      <w:pPr>
        <w:pStyle w:val="Normal13"/>
        <w:widowControl w:val="0"/>
        <w:spacing w:before="120" w:line="260" w:lineRule="atLeast"/>
      </w:pPr>
      <w:r>
        <w:rPr>
          <w:rFonts w:ascii="Arial" w:eastAsia="Arial" w:hAnsi="Arial" w:cs="Arial"/>
          <w:color w:val="000000"/>
          <w:sz w:val="20"/>
        </w:rPr>
        <w:t>A.</w:t>
      </w:r>
    </w:p>
    <w:p w14:paraId="65B2F37E" w14:textId="77777777" w:rsidR="002B10A6" w:rsidRDefault="00000000">
      <w:pPr>
        <w:pStyle w:val="Normal13"/>
        <w:widowControl w:val="0"/>
        <w:spacing w:before="200" w:line="260" w:lineRule="atLeast"/>
        <w:jc w:val="both"/>
      </w:pPr>
      <w:bookmarkStart w:id="2012" w:name="Bookmark_para_5_12"/>
      <w:bookmarkEnd w:id="2012"/>
      <w:r>
        <w:rPr>
          <w:rFonts w:ascii="Arial" w:eastAsia="Arial" w:hAnsi="Arial" w:cs="Arial"/>
          <w:color w:val="000000"/>
          <w:sz w:val="20"/>
        </w:rPr>
        <w:t>The Department hired Thomas as a patrol officer in 2013. In March [**2]  of 2014, Thomas injured his left knee and lower back while on the job. Thomas was treated by Dr. Joel Fechter, who later performed arthroscopic surgery to repair the damage to Thomas's knee. In the meantime, Police Chief Michael Pristoop assigned Thomas to light duty work as a records specialist.</w:t>
      </w:r>
    </w:p>
    <w:p w14:paraId="1D342322" w14:textId="77777777" w:rsidR="002B10A6" w:rsidRDefault="00000000">
      <w:pPr>
        <w:pStyle w:val="Normal13"/>
        <w:widowControl w:val="0"/>
        <w:spacing w:before="200" w:line="260" w:lineRule="atLeast"/>
        <w:jc w:val="both"/>
      </w:pPr>
      <w:bookmarkStart w:id="2013" w:name="Bookmark_para_6_12"/>
      <w:bookmarkEnd w:id="2013"/>
      <w:r>
        <w:rPr>
          <w:rFonts w:ascii="Arial" w:eastAsia="Arial" w:hAnsi="Arial" w:cs="Arial"/>
          <w:color w:val="000000"/>
          <w:sz w:val="20"/>
        </w:rPr>
        <w:t>In November of 2014, Dr. Mark Rosenthal conducted an independent medical examination  [*344]  to determine whether Thomas could return to full duty. Rosenthal concluded that, though Thomas had a mild knee impairment, he could return to full duty, had reached maximum medical improvement, and needed no further treatment to enable him to work. Dr. Fechter, however, continued to recommend that Thomas remain on light duty and receive further treatment.</w:t>
      </w:r>
    </w:p>
    <w:p w14:paraId="74349A94" w14:textId="77777777" w:rsidR="002B10A6" w:rsidRDefault="00000000">
      <w:pPr>
        <w:pStyle w:val="Normal13"/>
        <w:widowControl w:val="0"/>
        <w:spacing w:before="200" w:line="260" w:lineRule="atLeast"/>
        <w:jc w:val="both"/>
      </w:pPr>
      <w:bookmarkStart w:id="2014" w:name="Bookmark_para_7_12"/>
      <w:bookmarkEnd w:id="2014"/>
      <w:r>
        <w:rPr>
          <w:rFonts w:ascii="Arial" w:eastAsia="Arial" w:hAnsi="Arial" w:cs="Arial"/>
          <w:color w:val="000000"/>
          <w:sz w:val="20"/>
        </w:rPr>
        <w:t>While on light duty, Thomas applied for service-connected disability retirement. The City then ordered Thomas to undergo a second independent medical examination, conducted by Dr. Stanley Friedler. Friedler found that Thomas had a 22% permanent partial disability of the left knee. He also concluded that Thomas could return to work but should avoid kneeling and squatting when possible.</w:t>
      </w:r>
      <w:r>
        <w:rPr>
          <w:rFonts w:ascii="Arial" w:eastAsia="Arial" w:hAnsi="Arial" w:cs="Arial"/>
          <w:vertAlign w:val="superscript"/>
        </w:rPr>
        <w:footnoteReference w:customMarkFollows="1" w:id="88"/>
        <w:t>3</w:t>
      </w:r>
      <w:r>
        <w:rPr>
          <w:rFonts w:ascii="Arial" w:eastAsia="Arial" w:hAnsi="Arial" w:cs="Arial"/>
          <w:color w:val="000000"/>
          <w:sz w:val="20"/>
        </w:rPr>
        <w:t xml:space="preserve"> Notwithstanding Friedler's findings, Dr. Fechter recommended that Thomas [**3]  be permanently restricted to light duty with no standing or walking for more than 30 minutes without a break.</w:t>
      </w:r>
    </w:p>
    <w:p w14:paraId="211B07B2" w14:textId="77777777" w:rsidR="002B10A6" w:rsidRDefault="00000000">
      <w:pPr>
        <w:pStyle w:val="Normal13"/>
        <w:widowControl w:val="0"/>
        <w:spacing w:before="200" w:line="260" w:lineRule="atLeast"/>
        <w:jc w:val="both"/>
      </w:pPr>
      <w:bookmarkStart w:id="2016" w:name="Bookmark_para_8_12"/>
      <w:bookmarkEnd w:id="2016"/>
      <w:r>
        <w:rPr>
          <w:rFonts w:ascii="Arial" w:eastAsia="Arial" w:hAnsi="Arial" w:cs="Arial"/>
          <w:color w:val="000000"/>
          <w:sz w:val="20"/>
        </w:rPr>
        <w:t>Relying on Friedler's report, the City's HR director Paul Rensted denied Thomas's application for disability retirement and recommended that Thomas return to full duty.</w:t>
      </w:r>
      <w:r>
        <w:rPr>
          <w:rFonts w:ascii="Arial" w:eastAsia="Arial" w:hAnsi="Arial" w:cs="Arial"/>
          <w:vertAlign w:val="superscript"/>
        </w:rPr>
        <w:footnoteReference w:customMarkFollows="1" w:id="89"/>
        <w:t>4</w:t>
      </w:r>
      <w:r>
        <w:rPr>
          <w:rFonts w:ascii="Arial" w:eastAsia="Arial" w:hAnsi="Arial" w:cs="Arial"/>
          <w:color w:val="000000"/>
          <w:sz w:val="20"/>
        </w:rPr>
        <w:t xml:space="preserve"> Captain Christopher Amoia, one of Thomas's supervisors, ordered Thomas to return to full unrestricted duty as of June 8, 2015.</w:t>
      </w:r>
    </w:p>
    <w:p w14:paraId="2502E8BE" w14:textId="77777777" w:rsidR="002B10A6" w:rsidRDefault="00000000">
      <w:pPr>
        <w:pStyle w:val="Normal13"/>
        <w:widowControl w:val="0"/>
        <w:spacing w:before="200" w:line="260" w:lineRule="atLeast"/>
        <w:jc w:val="both"/>
      </w:pPr>
      <w:bookmarkStart w:id="2018" w:name="Bookmark_para_9_12"/>
      <w:bookmarkEnd w:id="2018"/>
      <w:r>
        <w:rPr>
          <w:rFonts w:ascii="Arial" w:eastAsia="Arial" w:hAnsi="Arial" w:cs="Arial"/>
          <w:color w:val="000000"/>
          <w:sz w:val="20"/>
        </w:rPr>
        <w:t>Thomas protested but returned to work as ordered. While at work on June 9, Thomas heard a pop in his knee and felt pain in his leg as he entered his patrol car. He returned to light duty and filed a workers' compensation claim based on the June 9 knee injury, which the City's claim administrator denied.</w:t>
      </w:r>
    </w:p>
    <w:p w14:paraId="7BA799E3" w14:textId="77777777" w:rsidR="002B10A6" w:rsidRDefault="00000000">
      <w:pPr>
        <w:pStyle w:val="Normal13"/>
        <w:widowControl w:val="0"/>
        <w:spacing w:before="200" w:line="260" w:lineRule="atLeast"/>
        <w:jc w:val="both"/>
      </w:pPr>
      <w:bookmarkStart w:id="2019" w:name="Bookmark_para_10_12"/>
      <w:bookmarkEnd w:id="2019"/>
      <w:r>
        <w:rPr>
          <w:rFonts w:ascii="Arial" w:eastAsia="Arial" w:hAnsi="Arial" w:cs="Arial"/>
          <w:color w:val="000000"/>
          <w:sz w:val="20"/>
        </w:rPr>
        <w:t>In early July 2015, Thomas was permanently offered the records specialist position he had been assigned to while on light duty, a position which paid less than Thomas was making as a police officer. Thomas declined the offer, whereupon Captain Amoia advised Thomas that he would be sent home without pay but could exhaust his remaining leave time. Thomas was on paid leave and also received short-term disability payments until November 8, 2015, when he was transferred to unpaid leave status. [**4] </w:t>
      </w:r>
    </w:p>
    <w:p w14:paraId="67C783A3" w14:textId="77777777" w:rsidR="002B10A6" w:rsidRDefault="00000000">
      <w:pPr>
        <w:pStyle w:val="Normal13"/>
        <w:widowControl w:val="0"/>
        <w:spacing w:before="200" w:line="260" w:lineRule="atLeast"/>
        <w:jc w:val="both"/>
      </w:pPr>
      <w:bookmarkStart w:id="2020" w:name="Bookmark_para_11_12"/>
      <w:bookmarkEnd w:id="2020"/>
      <w:r>
        <w:rPr>
          <w:rFonts w:ascii="Arial" w:eastAsia="Arial" w:hAnsi="Arial" w:cs="Arial"/>
          <w:color w:val="000000"/>
          <w:sz w:val="20"/>
        </w:rPr>
        <w:t>On October 20, 2015, Thomas filed a charge of discrimination against the Department with both the Maryland Commission on Civil Rights and the Equal Employment Opportunity Commission (EEOC), alleging discrimination on the basis of race and disability, as well as retaliation. On October 26, Thomas was required to undergo a third independent medical examination related to his June 9 knee injury. Dr. Leslie Matthews, who performed the examination, recommended that Thomas not return to full duty and that he avoid "running, prolonged standing, climbing hills or stairs, squatting, stooping [and] kneeling." J.A. 457.</w:t>
      </w:r>
    </w:p>
    <w:p w14:paraId="6C11ECE3" w14:textId="77777777" w:rsidR="002B10A6" w:rsidRDefault="00000000">
      <w:pPr>
        <w:pStyle w:val="Normal13"/>
        <w:widowControl w:val="0"/>
        <w:spacing w:before="200" w:line="260" w:lineRule="atLeast"/>
        <w:jc w:val="both"/>
      </w:pPr>
      <w:bookmarkStart w:id="2021" w:name="Bookmark_para_12_11"/>
      <w:bookmarkEnd w:id="2021"/>
      <w:r>
        <w:rPr>
          <w:rFonts w:ascii="Arial" w:eastAsia="Arial" w:hAnsi="Arial" w:cs="Arial"/>
          <w:color w:val="000000"/>
          <w:sz w:val="20"/>
        </w:rPr>
        <w:t>While on unpaid leave, Thomas didn't update his employer concerning his medical status and refused to answer or return calls requesting an update. In June 2016, Chief Pristoop sent Thomas a notice of termination, effective July 1, stating that Thomas's refusal to return to work—despite being medically cleared to do so—and failure to stay in contact with his supervisors constituted unsatisfactory work performance. Shortly thereafter, the  [*345]  EEOC issued Thomas a Notice of Right to Sue.</w:t>
      </w:r>
    </w:p>
    <w:p w14:paraId="06B9B728" w14:textId="77777777" w:rsidR="002B10A6" w:rsidRDefault="00000000">
      <w:pPr>
        <w:pStyle w:val="Normal13"/>
        <w:widowControl w:val="0"/>
        <w:spacing w:before="120" w:line="260" w:lineRule="atLeast"/>
      </w:pPr>
      <w:r>
        <w:rPr>
          <w:rFonts w:ascii="Arial" w:eastAsia="Arial" w:hAnsi="Arial" w:cs="Arial"/>
          <w:color w:val="000000"/>
          <w:sz w:val="20"/>
        </w:rPr>
        <w:t>B.</w:t>
      </w:r>
    </w:p>
    <w:p w14:paraId="1DB42238" w14:textId="77777777" w:rsidR="002B10A6" w:rsidRDefault="00000000">
      <w:pPr>
        <w:pStyle w:val="Normal13"/>
        <w:widowControl w:val="0"/>
        <w:spacing w:before="200" w:line="260" w:lineRule="atLeast"/>
        <w:jc w:val="both"/>
      </w:pPr>
      <w:bookmarkStart w:id="2022" w:name="Bookmark_para_13_11"/>
      <w:bookmarkEnd w:id="2022"/>
      <w:r>
        <w:rPr>
          <w:rFonts w:ascii="Arial" w:eastAsia="Arial" w:hAnsi="Arial" w:cs="Arial"/>
          <w:color w:val="000000"/>
          <w:sz w:val="20"/>
        </w:rPr>
        <w:t xml:space="preserve">Thomas timely sued the defendants, alleging violations of Title VII, the ADA, 42 U.S.C. § 1981, and 42 U.S.C. § 1983. </w:t>
      </w:r>
      <w:bookmarkStart w:id="2023" w:name="Bookmark_I627H2MK2SF8KW0020000400"/>
      <w:bookmarkEnd w:id="2023"/>
      <w:r>
        <w:rPr>
          <w:rFonts w:ascii="Arial" w:eastAsia="Arial" w:hAnsi="Arial" w:cs="Arial"/>
          <w:color w:val="000000"/>
          <w:sz w:val="20"/>
        </w:rPr>
        <w:t xml:space="preserve">Thomas alleged [**5]  that he suffered race and disability-based employment discrimination as well as retaliation. The district court granted summary judgment to all defendants. </w:t>
      </w:r>
      <w:bookmarkStart w:id="2024" w:name="Bookmark_I627H2MK2SF8KW0010000400"/>
      <w:bookmarkEnd w:id="2024"/>
      <w:r>
        <w:rPr>
          <w:rFonts w:ascii="Arial" w:eastAsia="Arial" w:hAnsi="Arial" w:cs="Arial"/>
          <w:i/>
          <w:color w:val="000000"/>
          <w:sz w:val="20"/>
        </w:rPr>
        <w:t>Thomas v. City of Annapolis</w:t>
      </w:r>
      <w:r>
        <w:rPr>
          <w:rFonts w:ascii="Arial" w:eastAsia="Arial" w:hAnsi="Arial" w:cs="Arial"/>
          <w:color w:val="000000"/>
          <w:sz w:val="20"/>
        </w:rPr>
        <w:t>, No. BPG-16-3823, 2018 U.S. Dist. LEXIS 149850, 2018 WL 4206951, at *1 (D. Md. Sept. 4, 2018).</w:t>
      </w:r>
    </w:p>
    <w:p w14:paraId="22918A06" w14:textId="77777777" w:rsidR="002B10A6" w:rsidRDefault="00000000">
      <w:pPr>
        <w:pStyle w:val="Normal13"/>
        <w:widowControl w:val="0"/>
        <w:spacing w:before="200" w:line="260" w:lineRule="atLeast"/>
        <w:jc w:val="both"/>
      </w:pPr>
      <w:bookmarkStart w:id="2025" w:name="Bookmark_para_14_11"/>
      <w:bookmarkEnd w:id="2025"/>
      <w:r>
        <w:rPr>
          <w:rFonts w:ascii="Arial" w:eastAsia="Arial" w:hAnsi="Arial" w:cs="Arial"/>
          <w:color w:val="000000"/>
          <w:sz w:val="20"/>
        </w:rPr>
        <w:t>This appeal followed.</w:t>
      </w:r>
    </w:p>
    <w:p w14:paraId="4468CD30" w14:textId="77777777" w:rsidR="002B10A6" w:rsidRDefault="00000000">
      <w:pPr>
        <w:pStyle w:val="Normal13"/>
        <w:widowControl w:val="0"/>
        <w:spacing w:before="120" w:line="260" w:lineRule="atLeast"/>
      </w:pPr>
      <w:r>
        <w:rPr>
          <w:rFonts w:ascii="Arial" w:eastAsia="Arial" w:hAnsi="Arial" w:cs="Arial"/>
          <w:color w:val="000000"/>
          <w:sz w:val="20"/>
        </w:rPr>
        <w:t>II.</w:t>
      </w:r>
    </w:p>
    <w:p w14:paraId="03948F72" w14:textId="77777777" w:rsidR="002B10A6" w:rsidRDefault="00000000">
      <w:pPr>
        <w:pStyle w:val="Normal13"/>
        <w:widowControl w:val="0"/>
        <w:spacing w:before="200" w:line="260" w:lineRule="atLeast"/>
        <w:jc w:val="both"/>
      </w:pPr>
      <w:bookmarkStart w:id="2026" w:name="Bookmark_para_15_11"/>
      <w:bookmarkStart w:id="2027" w:name="Bookmark_I627H2MK2SF8KW0040000400"/>
      <w:bookmarkStart w:id="2028" w:name="Bookmark_I627H2MM2N1RN00010000400"/>
      <w:bookmarkStart w:id="2029" w:name="Bookmark_LNHNREFclscc1_11"/>
      <w:bookmarkEnd w:id="2026"/>
      <w:bookmarkEnd w:id="2027"/>
      <w:bookmarkEnd w:id="2028"/>
      <w:bookmarkEnd w:id="2029"/>
      <w:r>
        <w:rPr>
          <w:rFonts w:ascii="Arial" w:eastAsia="Arial" w:hAnsi="Arial" w:cs="Arial"/>
          <w:color w:val="000000"/>
          <w:sz w:val="20"/>
        </w:rPr>
        <w:t xml:space="preserve">We review a grant of summary judgment de novo. </w:t>
      </w:r>
      <w:bookmarkStart w:id="2030" w:name="Bookmark_I627H2MK2SF8KW0030000400"/>
      <w:bookmarkEnd w:id="2030"/>
      <w:r>
        <w:rPr>
          <w:rFonts w:ascii="Arial" w:eastAsia="Arial" w:hAnsi="Arial" w:cs="Arial"/>
          <w:i/>
          <w:color w:val="000000"/>
          <w:sz w:val="20"/>
        </w:rPr>
        <w:t>Foster v. Univ. of Md.-E. Shore</w:t>
      </w:r>
      <w:r>
        <w:rPr>
          <w:rFonts w:ascii="Arial" w:eastAsia="Arial" w:hAnsi="Arial" w:cs="Arial"/>
          <w:color w:val="000000"/>
          <w:sz w:val="20"/>
        </w:rPr>
        <w:t xml:space="preserve">, 787 F.3d 243, 248 (4th Cir. 2015). "Summary judgment is appropriate when there is no genuine dispute as to any material fact and the movant is entitled to judgment as a matter of law." </w:t>
      </w:r>
      <w:r>
        <w:rPr>
          <w:rFonts w:ascii="Arial" w:eastAsia="Arial" w:hAnsi="Arial" w:cs="Arial"/>
          <w:i/>
          <w:color w:val="000000"/>
          <w:sz w:val="20"/>
        </w:rPr>
        <w:t>Id.</w:t>
      </w:r>
      <w:r>
        <w:rPr>
          <w:rFonts w:ascii="Arial" w:eastAsia="Arial" w:hAnsi="Arial" w:cs="Arial"/>
          <w:color w:val="000000"/>
          <w:sz w:val="20"/>
        </w:rPr>
        <w:t xml:space="preserve"> (cleaned up). "A dispute is genuine if a reasonable jury could return a verdict for the nonmoving party." </w:t>
      </w:r>
      <w:bookmarkStart w:id="2031" w:name="Bookmark_I627H2MK2SF8KW0050000400"/>
      <w:bookmarkEnd w:id="2031"/>
      <w:r>
        <w:rPr>
          <w:rFonts w:ascii="Arial" w:eastAsia="Arial" w:hAnsi="Arial" w:cs="Arial"/>
          <w:i/>
          <w:color w:val="000000"/>
          <w:sz w:val="20"/>
        </w:rPr>
        <w:t>Libertarian Party of Va. v. Judd</w:t>
      </w:r>
      <w:r>
        <w:rPr>
          <w:rFonts w:ascii="Arial" w:eastAsia="Arial" w:hAnsi="Arial" w:cs="Arial"/>
          <w:color w:val="000000"/>
          <w:sz w:val="20"/>
        </w:rPr>
        <w:t xml:space="preserve">, 718 F.3d 308, 313 (4th Cir. 2013) (cleaned up). "A fact is material if it might affect the outcome of the suit under the governing law." </w:t>
      </w:r>
      <w:r>
        <w:rPr>
          <w:rFonts w:ascii="Arial" w:eastAsia="Arial" w:hAnsi="Arial" w:cs="Arial"/>
          <w:i/>
          <w:color w:val="000000"/>
          <w:sz w:val="20"/>
        </w:rPr>
        <w:t>Id.</w:t>
      </w:r>
      <w:r>
        <w:rPr>
          <w:rFonts w:ascii="Arial" w:eastAsia="Arial" w:hAnsi="Arial" w:cs="Arial"/>
          <w:color w:val="000000"/>
          <w:sz w:val="20"/>
        </w:rPr>
        <w:t xml:space="preserve"> (cleaned up).</w:t>
      </w:r>
    </w:p>
    <w:p w14:paraId="754FB631" w14:textId="77777777" w:rsidR="002B10A6" w:rsidRDefault="00000000">
      <w:pPr>
        <w:pStyle w:val="Normal13"/>
        <w:widowControl w:val="0"/>
        <w:spacing w:before="120" w:line="260" w:lineRule="atLeast"/>
      </w:pPr>
      <w:r>
        <w:rPr>
          <w:rFonts w:ascii="Arial" w:eastAsia="Arial" w:hAnsi="Arial" w:cs="Arial"/>
          <w:color w:val="000000"/>
          <w:sz w:val="20"/>
        </w:rPr>
        <w:t>A.</w:t>
      </w:r>
    </w:p>
    <w:p w14:paraId="0E0D7555" w14:textId="77777777" w:rsidR="002B10A6" w:rsidRDefault="00000000">
      <w:pPr>
        <w:pStyle w:val="Normal13"/>
        <w:widowControl w:val="0"/>
        <w:spacing w:before="200" w:line="260" w:lineRule="atLeast"/>
        <w:jc w:val="both"/>
      </w:pPr>
      <w:bookmarkStart w:id="2032" w:name="Bookmark_para_16_9"/>
      <w:bookmarkEnd w:id="2032"/>
      <w:r>
        <w:rPr>
          <w:rFonts w:ascii="Arial" w:eastAsia="Arial" w:hAnsi="Arial" w:cs="Arial"/>
          <w:color w:val="000000"/>
          <w:sz w:val="20"/>
        </w:rPr>
        <w:t xml:space="preserve">We first turn to Thomas's Title VII and ADA discrimination claims. </w:t>
      </w:r>
      <w:bookmarkStart w:id="2033" w:name="Bookmark_LNHNREFclscc2_11"/>
      <w:bookmarkEnd w:id="2033"/>
      <w:r>
        <w:rPr>
          <w:rFonts w:ascii="Arial" w:eastAsia="Arial" w:hAnsi="Arial" w:cs="Arial"/>
          <w:color w:val="000000"/>
          <w:sz w:val="20"/>
        </w:rPr>
        <w:t xml:space="preserve">Title VII prohibits an employer from "discharg[ing] any individual, or otherwise . . . discriminat[ing] against any individual with respect to his compensation, terms, conditions, or privileges of employment, because of such individual's race." 42 U.S.C. § 2000e-2(a). </w:t>
      </w:r>
      <w:bookmarkStart w:id="2034" w:name="Bookmark_LNHNREFclscc3_11"/>
      <w:bookmarkEnd w:id="2034"/>
      <w:r>
        <w:rPr>
          <w:rFonts w:ascii="Arial" w:eastAsia="Arial" w:hAnsi="Arial" w:cs="Arial"/>
          <w:color w:val="000000"/>
          <w:sz w:val="20"/>
        </w:rPr>
        <w:t>The ADA provides that "[n]o covered entity shall discriminate against a qualified individual on the basis of disability." 42 U.S.C. § 12112(a).</w:t>
      </w:r>
    </w:p>
    <w:p w14:paraId="355AF75A" w14:textId="77777777" w:rsidR="002B10A6" w:rsidRDefault="00000000">
      <w:pPr>
        <w:pStyle w:val="Normal13"/>
        <w:widowControl w:val="0"/>
        <w:spacing w:before="200" w:line="260" w:lineRule="atLeast"/>
        <w:jc w:val="both"/>
      </w:pPr>
      <w:bookmarkStart w:id="2035" w:name="Bookmark_para_17_9"/>
      <w:bookmarkStart w:id="2036" w:name="Bookmark_I627H2MM2N1RN00030000400"/>
      <w:bookmarkStart w:id="2037" w:name="Bookmark_I627H2MM2N1RN00050000400"/>
      <w:bookmarkStart w:id="2038" w:name="Bookmark_LNHNREFclscc4_11"/>
      <w:bookmarkEnd w:id="2035"/>
      <w:bookmarkEnd w:id="2036"/>
      <w:bookmarkEnd w:id="2037"/>
      <w:bookmarkEnd w:id="2038"/>
      <w:r>
        <w:rPr>
          <w:rFonts w:ascii="Arial" w:eastAsia="Arial" w:hAnsi="Arial" w:cs="Arial"/>
          <w:color w:val="000000"/>
          <w:sz w:val="20"/>
        </w:rPr>
        <w:t xml:space="preserve">We evaluate discrimination claims under both statutes using the burden-shifting framework in </w:t>
      </w:r>
      <w:r>
        <w:rPr>
          <w:rFonts w:ascii="Arial" w:eastAsia="Arial" w:hAnsi="Arial" w:cs="Arial"/>
          <w:i/>
          <w:color w:val="000000"/>
          <w:sz w:val="20"/>
        </w:rPr>
        <w:t>McDonnell Douglas [**6]  Corp. v. Green</w:t>
      </w:r>
      <w:r>
        <w:rPr>
          <w:rFonts w:ascii="Arial" w:eastAsia="Arial" w:hAnsi="Arial" w:cs="Arial"/>
          <w:color w:val="000000"/>
          <w:sz w:val="20"/>
        </w:rPr>
        <w:t xml:space="preserve">, which requires the plaintiff to establish a prima facie case of discrimination before the defendant must proffer a legitimate business reason for the adverse employment action. </w:t>
      </w:r>
      <w:bookmarkStart w:id="2039" w:name="Bookmark_I627H2MM2N1RN00020000400"/>
      <w:bookmarkEnd w:id="2039"/>
      <w:r>
        <w:rPr>
          <w:rFonts w:ascii="Arial" w:eastAsia="Arial" w:hAnsi="Arial" w:cs="Arial"/>
          <w:color w:val="000000"/>
          <w:sz w:val="20"/>
        </w:rPr>
        <w:t xml:space="preserve">411 U.S. 792, 93 S. Ct. 1817, 36 L. Ed. 2d 668 (1973). To establish a prima facie case, the plaintiff must prove: (1) membership in a protected class; (2) satisfactory job performance; (3) adverse employment action; and (4) different treatment from similarly situated employees outside the protected class. </w:t>
      </w:r>
      <w:r>
        <w:rPr>
          <w:rFonts w:ascii="Arial" w:eastAsia="Arial" w:hAnsi="Arial" w:cs="Arial"/>
          <w:i/>
          <w:color w:val="000000"/>
          <w:sz w:val="20"/>
        </w:rPr>
        <w:t xml:space="preserve">See </w:t>
      </w:r>
      <w:bookmarkStart w:id="2040" w:name="Bookmark_I627H2MM2N1RN00040000400"/>
      <w:bookmarkEnd w:id="2040"/>
      <w:r>
        <w:rPr>
          <w:rFonts w:ascii="Arial" w:eastAsia="Arial" w:hAnsi="Arial" w:cs="Arial"/>
          <w:i/>
          <w:color w:val="000000"/>
          <w:sz w:val="20"/>
        </w:rPr>
        <w:t>Coleman v. Md. Court of Appeals</w:t>
      </w:r>
      <w:r>
        <w:rPr>
          <w:rFonts w:ascii="Arial" w:eastAsia="Arial" w:hAnsi="Arial" w:cs="Arial"/>
          <w:color w:val="000000"/>
          <w:sz w:val="20"/>
        </w:rPr>
        <w:t xml:space="preserve">, 626 F.3d 187, 190 (4th Cir. 2010) (providing elements of a prima facie case for discrimination claims under Title VII); </w:t>
      </w:r>
      <w:bookmarkStart w:id="2041" w:name="Bookmark_I627H2MM2D6N590010000400"/>
      <w:bookmarkEnd w:id="2041"/>
      <w:r>
        <w:rPr>
          <w:rFonts w:ascii="Arial" w:eastAsia="Arial" w:hAnsi="Arial" w:cs="Arial"/>
          <w:i/>
          <w:color w:val="000000"/>
          <w:sz w:val="20"/>
        </w:rPr>
        <w:t>Haulbrook v. Michelin N. Am.</w:t>
      </w:r>
      <w:r>
        <w:rPr>
          <w:rFonts w:ascii="Arial" w:eastAsia="Arial" w:hAnsi="Arial" w:cs="Arial"/>
          <w:color w:val="000000"/>
          <w:sz w:val="20"/>
        </w:rPr>
        <w:t>, 252 F.3d 696, 702 (4th Cir. 2001) (same under the ADA).</w:t>
      </w:r>
    </w:p>
    <w:p w14:paraId="7DCFF762" w14:textId="77777777" w:rsidR="002B10A6" w:rsidRDefault="00000000">
      <w:pPr>
        <w:pStyle w:val="Normal13"/>
        <w:widowControl w:val="0"/>
        <w:spacing w:before="200" w:line="260" w:lineRule="atLeast"/>
        <w:jc w:val="both"/>
      </w:pPr>
      <w:bookmarkStart w:id="2042" w:name="Bookmark_para_18_9"/>
      <w:bookmarkStart w:id="2043" w:name="Bookmark_I627H2MM2D6N590040000400"/>
      <w:bookmarkStart w:id="2044" w:name="Bookmark_LNHNREFclscc5_11"/>
      <w:bookmarkEnd w:id="2042"/>
      <w:bookmarkEnd w:id="2043"/>
      <w:bookmarkEnd w:id="2044"/>
      <w:r>
        <w:rPr>
          <w:rFonts w:ascii="Arial" w:eastAsia="Arial" w:hAnsi="Arial" w:cs="Arial"/>
          <w:color w:val="000000"/>
          <w:sz w:val="20"/>
        </w:rPr>
        <w:t xml:space="preserve">With respect to both Title VII and the ADA, "[a]n adverse action is one that 'constitutes a significant change in employment status, such as hiring, firing, failing to promote, reassignment with significantly different responsibilities, or a decision causing a significant change in benefits.'" </w:t>
      </w:r>
      <w:bookmarkStart w:id="2045" w:name="Bookmark_I627H2MM2D6N590030000400"/>
      <w:bookmarkEnd w:id="2045"/>
      <w:r>
        <w:rPr>
          <w:rFonts w:ascii="Arial" w:eastAsia="Arial" w:hAnsi="Arial" w:cs="Arial"/>
          <w:i/>
          <w:color w:val="000000"/>
          <w:sz w:val="20"/>
        </w:rPr>
        <w:t>Hoyle v. Freightliner, LLC</w:t>
      </w:r>
      <w:r>
        <w:rPr>
          <w:rFonts w:ascii="Arial" w:eastAsia="Arial" w:hAnsi="Arial" w:cs="Arial"/>
          <w:color w:val="000000"/>
          <w:sz w:val="20"/>
        </w:rPr>
        <w:t xml:space="preserve">, 650 F.3d 321, 337 (4th Cir. 2011) (quoting </w:t>
      </w:r>
      <w:bookmarkStart w:id="2046" w:name="Bookmark_I627H2MM2D6N590050000400"/>
      <w:bookmarkEnd w:id="2046"/>
      <w:r>
        <w:rPr>
          <w:rFonts w:ascii="Arial" w:eastAsia="Arial" w:hAnsi="Arial" w:cs="Arial"/>
          <w:i/>
          <w:color w:val="000000"/>
          <w:sz w:val="20"/>
        </w:rPr>
        <w:t>Burlington Indus., Inc. v. Ellerth</w:t>
      </w:r>
      <w:r>
        <w:rPr>
          <w:rFonts w:ascii="Arial" w:eastAsia="Arial" w:hAnsi="Arial" w:cs="Arial"/>
          <w:color w:val="000000"/>
          <w:sz w:val="20"/>
        </w:rPr>
        <w:t>, 524 U.S. 742, 761, 118 S. Ct. 2257, 141 L. Ed. 2d 633 (1998)).</w:t>
      </w:r>
    </w:p>
    <w:p w14:paraId="2E525394" w14:textId="77777777" w:rsidR="002B10A6" w:rsidRDefault="00000000">
      <w:pPr>
        <w:pStyle w:val="Normal13"/>
        <w:widowControl w:val="0"/>
        <w:spacing w:before="120" w:line="260" w:lineRule="atLeast"/>
      </w:pPr>
      <w:r>
        <w:rPr>
          <w:rFonts w:ascii="Arial" w:eastAsia="Arial" w:hAnsi="Arial" w:cs="Arial"/>
          <w:color w:val="000000"/>
          <w:sz w:val="20"/>
        </w:rPr>
        <w:t>1.</w:t>
      </w:r>
    </w:p>
    <w:p w14:paraId="275D1AAD" w14:textId="77777777" w:rsidR="002B10A6" w:rsidRDefault="00000000">
      <w:pPr>
        <w:pStyle w:val="Normal13"/>
        <w:widowControl w:val="0"/>
        <w:spacing w:before="200" w:line="260" w:lineRule="atLeast"/>
        <w:jc w:val="both"/>
      </w:pPr>
      <w:bookmarkStart w:id="2047" w:name="Bookmark_para_19_8"/>
      <w:bookmarkStart w:id="2048" w:name="Bookmark_I627H2MN2N1RN60030000400"/>
      <w:bookmarkEnd w:id="2047"/>
      <w:bookmarkEnd w:id="2048"/>
      <w:r>
        <w:rPr>
          <w:rFonts w:ascii="Arial" w:eastAsia="Arial" w:hAnsi="Arial" w:cs="Arial"/>
          <w:color w:val="000000"/>
          <w:sz w:val="20"/>
        </w:rPr>
        <w:t xml:space="preserve">The district court held, and we agree, that Thomas suffered only two adverse employment actions: being placed on leave without pay and being terminated. The denial of disability retirement was not an adverse employment action. </w:t>
      </w:r>
      <w:r>
        <w:rPr>
          <w:rFonts w:ascii="Arial" w:eastAsia="Arial" w:hAnsi="Arial" w:cs="Arial"/>
          <w:i/>
          <w:color w:val="000000"/>
          <w:sz w:val="20"/>
        </w:rPr>
        <w:t xml:space="preserve">See </w:t>
      </w:r>
      <w:bookmarkStart w:id="2049" w:name="Bookmark_I627H2MN2N1RN60020000400"/>
      <w:bookmarkEnd w:id="2049"/>
      <w:r>
        <w:rPr>
          <w:rFonts w:ascii="Arial" w:eastAsia="Arial" w:hAnsi="Arial" w:cs="Arial"/>
          <w:i/>
          <w:color w:val="000000"/>
          <w:sz w:val="20"/>
        </w:rPr>
        <w:t>Thomas</w:t>
      </w:r>
      <w:r>
        <w:rPr>
          <w:rFonts w:ascii="Arial" w:eastAsia="Arial" w:hAnsi="Arial" w:cs="Arial"/>
          <w:color w:val="000000"/>
          <w:sz w:val="20"/>
        </w:rPr>
        <w:t>, 2018 U.S. Dist. LEXIS 149850, 2018 WL 4206951, at *4.</w:t>
      </w:r>
    </w:p>
    <w:p w14:paraId="39D52462" w14:textId="77777777" w:rsidR="002B10A6" w:rsidRDefault="00000000">
      <w:pPr>
        <w:pStyle w:val="Normal13"/>
        <w:widowControl w:val="0"/>
        <w:spacing w:before="200" w:line="260" w:lineRule="atLeast"/>
        <w:jc w:val="both"/>
      </w:pPr>
      <w:bookmarkStart w:id="2050" w:name="Bookmark_para_20_8"/>
      <w:bookmarkStart w:id="2051" w:name="Bookmark_I627H2MN2N1RN60050000400"/>
      <w:bookmarkStart w:id="2052" w:name="Bookmark_I627H2MN2HM6SG0020000400"/>
      <w:bookmarkStart w:id="2053" w:name="Bookmark_I627H2MN2HM6SG0040000400"/>
      <w:bookmarkEnd w:id="2050"/>
      <w:bookmarkEnd w:id="2051"/>
      <w:bookmarkEnd w:id="2052"/>
      <w:bookmarkEnd w:id="2053"/>
      <w:r>
        <w:rPr>
          <w:rFonts w:ascii="Arial" w:eastAsia="Arial" w:hAnsi="Arial" w:cs="Arial"/>
          <w:color w:val="000000"/>
          <w:sz w:val="20"/>
        </w:rPr>
        <w:t xml:space="preserve">We also agree with the district court that Thomas failed to show satisfactory job performance and thus [**7]  failed to show that his termination, the sole adverse  [*346]  employment action linked to job performance, was discriminatory. </w:t>
      </w:r>
      <w:bookmarkStart w:id="2054" w:name="Bookmark_I627H2MN2N1RN60040000400"/>
      <w:bookmarkEnd w:id="2054"/>
      <w:r>
        <w:rPr>
          <w:rFonts w:ascii="Arial" w:eastAsia="Arial" w:hAnsi="Arial" w:cs="Arial"/>
          <w:color w:val="000000"/>
          <w:sz w:val="20"/>
        </w:rPr>
        <w:t xml:space="preserve">2018 U.S. Dist. LEXIS 149850, [WL] at *5. </w:t>
      </w:r>
      <w:bookmarkStart w:id="2055" w:name="Bookmark_I627H2MR2N1RNK0010000400"/>
      <w:bookmarkStart w:id="2056" w:name="Bookmark_LNHNREFclscc6_10"/>
      <w:bookmarkEnd w:id="2055"/>
      <w:bookmarkEnd w:id="2056"/>
      <w:r>
        <w:rPr>
          <w:rFonts w:ascii="Arial" w:eastAsia="Arial" w:hAnsi="Arial" w:cs="Arial"/>
          <w:color w:val="000000"/>
          <w:sz w:val="20"/>
        </w:rPr>
        <w:t xml:space="preserve">In determining whether Thomas performed his job satisfactorily, "[i]t is the perception of the decision maker which is relevant, not the self-assessment of [Thomas]." </w:t>
      </w:r>
      <w:bookmarkStart w:id="2057" w:name="Bookmark_I627H2MN2HM6SG0010000400"/>
      <w:bookmarkEnd w:id="2057"/>
      <w:r>
        <w:rPr>
          <w:rFonts w:ascii="Arial" w:eastAsia="Arial" w:hAnsi="Arial" w:cs="Arial"/>
          <w:i/>
          <w:color w:val="000000"/>
          <w:sz w:val="20"/>
        </w:rPr>
        <w:t>Evans v. Techs. Applications &amp; Serv. Co.</w:t>
      </w:r>
      <w:r>
        <w:rPr>
          <w:rFonts w:ascii="Arial" w:eastAsia="Arial" w:hAnsi="Arial" w:cs="Arial"/>
          <w:color w:val="000000"/>
          <w:sz w:val="20"/>
        </w:rPr>
        <w:t xml:space="preserve">, 80 F.3d 954, 960-61 (4th Cir. 1996) (cleaned up). Thomas's own assessment "cannot establish a genuine issue as to whether [Thomas] was meeting [his employer's] expectations." </w:t>
      </w:r>
      <w:bookmarkStart w:id="2058" w:name="Bookmark_I627H2MN2HM6SG0030000400"/>
      <w:bookmarkEnd w:id="2058"/>
      <w:r>
        <w:rPr>
          <w:rFonts w:ascii="Arial" w:eastAsia="Arial" w:hAnsi="Arial" w:cs="Arial"/>
          <w:i/>
          <w:color w:val="000000"/>
          <w:sz w:val="20"/>
        </w:rPr>
        <w:t>King v. Rumsfeld</w:t>
      </w:r>
      <w:r>
        <w:rPr>
          <w:rFonts w:ascii="Arial" w:eastAsia="Arial" w:hAnsi="Arial" w:cs="Arial"/>
          <w:color w:val="000000"/>
          <w:sz w:val="20"/>
        </w:rPr>
        <w:t xml:space="preserve">, 328 F.3d 145, 149 (4th Cir. 2003). </w:t>
      </w:r>
      <w:bookmarkStart w:id="2059" w:name="Bookmark_I627H2MR2N1RNK0010000400_2"/>
      <w:bookmarkEnd w:id="2059"/>
      <w:r>
        <w:rPr>
          <w:rFonts w:ascii="Arial" w:eastAsia="Arial" w:hAnsi="Arial" w:cs="Arial"/>
          <w:color w:val="000000"/>
          <w:sz w:val="20"/>
        </w:rPr>
        <w:t xml:space="preserve">Thomas must also show that his job performance was satisfactory "at the time of the adverse employment action." </w:t>
      </w:r>
      <w:bookmarkStart w:id="2060" w:name="Bookmark_I627H2MN2HM6SG0050000400"/>
      <w:bookmarkEnd w:id="2060"/>
      <w:r>
        <w:rPr>
          <w:rFonts w:ascii="Arial" w:eastAsia="Arial" w:hAnsi="Arial" w:cs="Arial"/>
          <w:i/>
          <w:color w:val="000000"/>
          <w:sz w:val="20"/>
        </w:rPr>
        <w:t>Holland v. Wash. Homes, Inc.</w:t>
      </w:r>
      <w:r>
        <w:rPr>
          <w:rFonts w:ascii="Arial" w:eastAsia="Arial" w:hAnsi="Arial" w:cs="Arial"/>
          <w:color w:val="000000"/>
          <w:sz w:val="20"/>
        </w:rPr>
        <w:t>, 487 F.3d 208, 214 (4th Cir. 2007).</w:t>
      </w:r>
    </w:p>
    <w:p w14:paraId="40E18CA8" w14:textId="77777777" w:rsidR="002B10A6" w:rsidRDefault="00000000">
      <w:pPr>
        <w:pStyle w:val="Normal13"/>
        <w:widowControl w:val="0"/>
        <w:spacing w:before="200" w:line="260" w:lineRule="atLeast"/>
        <w:jc w:val="both"/>
      </w:pPr>
      <w:bookmarkStart w:id="2061" w:name="Bookmark_para_21_8"/>
      <w:bookmarkEnd w:id="2061"/>
      <w:r>
        <w:rPr>
          <w:rFonts w:ascii="Arial" w:eastAsia="Arial" w:hAnsi="Arial" w:cs="Arial"/>
          <w:color w:val="000000"/>
          <w:sz w:val="20"/>
        </w:rPr>
        <w:t>Thomas doesn't dispute that he didn't return his employer's calls while on unpaid leave</w:t>
      </w:r>
      <w:r>
        <w:rPr>
          <w:rFonts w:ascii="Arial" w:eastAsia="Arial" w:hAnsi="Arial" w:cs="Arial"/>
          <w:vertAlign w:val="superscript"/>
        </w:rPr>
        <w:footnoteReference w:customMarkFollows="1" w:id="90"/>
        <w:t>5</w:t>
      </w:r>
      <w:r>
        <w:rPr>
          <w:rFonts w:ascii="Arial" w:eastAsia="Arial" w:hAnsi="Arial" w:cs="Arial"/>
          <w:color w:val="000000"/>
          <w:sz w:val="20"/>
        </w:rPr>
        <w:t xml:space="preserve"> but argues that his performance reviews show that he performed satisfactorily through February of 2015. Thomas also argues that, because he was never given a negative performance review or otherwise informed that his performance was unsatisfactory, and because employees whose performance is unsatisfactory typically receive negative performance reviews or counselling, his performance must have been satisfactory. We disagree.</w:t>
      </w:r>
    </w:p>
    <w:p w14:paraId="27DDE6B2" w14:textId="77777777" w:rsidR="002B10A6" w:rsidRDefault="00000000">
      <w:pPr>
        <w:pStyle w:val="Normal13"/>
        <w:widowControl w:val="0"/>
        <w:spacing w:before="200" w:line="260" w:lineRule="atLeast"/>
        <w:jc w:val="both"/>
      </w:pPr>
      <w:bookmarkStart w:id="2063" w:name="Bookmark_para_22_8"/>
      <w:bookmarkEnd w:id="2063"/>
      <w:r>
        <w:rPr>
          <w:rFonts w:ascii="Arial" w:eastAsia="Arial" w:hAnsi="Arial" w:cs="Arial"/>
          <w:color w:val="000000"/>
          <w:sz w:val="20"/>
        </w:rPr>
        <w:t xml:space="preserve">At most, Thomas has shown that the City failed to send him a written pre-termination notification that his performance was unsatisfactory, and [**8]  that this failure may have deviated from the City's standard procedures in addressing performance issues. But Thomas cites to no record evidence that his performance was satisfactory in the period immediately preceding his termination. </w:t>
      </w:r>
      <w:bookmarkStart w:id="2064" w:name="Bookmark_I627H2MR2N1RNK0030000400"/>
      <w:bookmarkEnd w:id="2064"/>
      <w:r>
        <w:rPr>
          <w:rFonts w:ascii="Arial" w:eastAsia="Arial" w:hAnsi="Arial" w:cs="Arial"/>
          <w:color w:val="000000"/>
          <w:sz w:val="20"/>
        </w:rPr>
        <w:t xml:space="preserve">And Chief Pristoop testified that he believed that Thomas was unwilling to return to work, because Thomas refused to remain in contact with the Department. Thomas may disagree with Chief Pristoop's determination that his failure to return calls while on unpaid leave evinced an intent not to return to work, but it is the Chief's assessment, not Thomas's, that matters. </w:t>
      </w:r>
      <w:bookmarkStart w:id="2065" w:name="Bookmark_I627H2MR2N1RNK0020000400"/>
      <w:bookmarkEnd w:id="2065"/>
      <w:r>
        <w:rPr>
          <w:rFonts w:ascii="Arial" w:eastAsia="Arial" w:hAnsi="Arial" w:cs="Arial"/>
          <w:i/>
          <w:color w:val="000000"/>
          <w:sz w:val="20"/>
        </w:rPr>
        <w:t>Evans</w:t>
      </w:r>
      <w:r>
        <w:rPr>
          <w:rFonts w:ascii="Arial" w:eastAsia="Arial" w:hAnsi="Arial" w:cs="Arial"/>
          <w:color w:val="000000"/>
          <w:sz w:val="20"/>
        </w:rPr>
        <w:t>, 80 F.3d at 960-61.</w:t>
      </w:r>
    </w:p>
    <w:p w14:paraId="06E7F017" w14:textId="77777777" w:rsidR="002B10A6" w:rsidRDefault="00000000">
      <w:pPr>
        <w:pStyle w:val="Normal13"/>
        <w:widowControl w:val="0"/>
        <w:spacing w:before="120" w:line="260" w:lineRule="atLeast"/>
      </w:pPr>
      <w:r>
        <w:rPr>
          <w:rFonts w:ascii="Arial" w:eastAsia="Arial" w:hAnsi="Arial" w:cs="Arial"/>
          <w:color w:val="000000"/>
          <w:sz w:val="20"/>
        </w:rPr>
        <w:t>2.</w:t>
      </w:r>
    </w:p>
    <w:p w14:paraId="0AF26964" w14:textId="77777777" w:rsidR="002B10A6" w:rsidRDefault="00000000">
      <w:pPr>
        <w:pStyle w:val="Normal13"/>
        <w:widowControl w:val="0"/>
        <w:spacing w:before="200" w:line="260" w:lineRule="atLeast"/>
        <w:jc w:val="both"/>
      </w:pPr>
      <w:bookmarkStart w:id="2066" w:name="Bookmark_para_23_8"/>
      <w:bookmarkEnd w:id="2066"/>
      <w:r>
        <w:rPr>
          <w:rFonts w:ascii="Arial" w:eastAsia="Arial" w:hAnsi="Arial" w:cs="Arial"/>
          <w:color w:val="000000"/>
          <w:sz w:val="20"/>
        </w:rPr>
        <w:t>Thomas next argues that the City discriminated against him when it denied his disability retirement application based on the results of independent medical examinations, while approving the application of a white officer based on the recommendation of the officer's personal physicians. This argument also fails.</w:t>
      </w:r>
    </w:p>
    <w:p w14:paraId="10C1DC4D" w14:textId="77777777" w:rsidR="002B10A6" w:rsidRDefault="00000000">
      <w:pPr>
        <w:pStyle w:val="Normal13"/>
        <w:widowControl w:val="0"/>
        <w:spacing w:before="200" w:line="260" w:lineRule="atLeast"/>
        <w:jc w:val="both"/>
      </w:pPr>
      <w:bookmarkStart w:id="2067" w:name="Bookmark_para_24_8"/>
      <w:bookmarkStart w:id="2068" w:name="Bookmark_I627H2MR2N1RNK0050000400"/>
      <w:bookmarkStart w:id="2069" w:name="Bookmark_I627H2MR28T4030020000400"/>
      <w:bookmarkStart w:id="2070" w:name="Bookmark_LNHNREFclscc7_10"/>
      <w:bookmarkEnd w:id="2067"/>
      <w:bookmarkEnd w:id="2068"/>
      <w:bookmarkEnd w:id="2069"/>
      <w:bookmarkEnd w:id="2070"/>
      <w:r>
        <w:rPr>
          <w:rFonts w:ascii="Arial" w:eastAsia="Arial" w:hAnsi="Arial" w:cs="Arial"/>
          <w:color w:val="000000"/>
          <w:sz w:val="20"/>
        </w:rPr>
        <w:t xml:space="preserve">"To establish a prima facie case of discriminatory denial of [an employment benefit], a plaintiff must show that: (1) the plaintiff is a member of a protected class; (2) the defendant provided [the benefit] to its employees; (3) the plaintiff was eligible for the [benefit]; and [**9]  (4) the plaintiff was not provided [the benefit] under circumstances giving rise to an inference of discrimination." </w:t>
      </w:r>
      <w:bookmarkStart w:id="2071" w:name="Bookmark_I627H2MR2N1RNK0040000400"/>
      <w:bookmarkEnd w:id="2071"/>
      <w:r>
        <w:rPr>
          <w:rFonts w:ascii="Arial" w:eastAsia="Arial" w:hAnsi="Arial" w:cs="Arial"/>
          <w:i/>
          <w:color w:val="000000"/>
          <w:sz w:val="20"/>
        </w:rPr>
        <w:t>Thompson v. Potomac Elec. Power Co.</w:t>
      </w:r>
      <w:r>
        <w:rPr>
          <w:rFonts w:ascii="Arial" w:eastAsia="Arial" w:hAnsi="Arial" w:cs="Arial"/>
          <w:color w:val="000000"/>
          <w:sz w:val="20"/>
        </w:rPr>
        <w:t xml:space="preserve">, 312 F.3d 645, 649-50 (4th Cir. 2002). </w:t>
      </w:r>
      <w:bookmarkStart w:id="2072" w:name="Bookmark_I627H2MR28T4030040000400"/>
      <w:bookmarkEnd w:id="2072"/>
      <w:r>
        <w:rPr>
          <w:rFonts w:ascii="Arial" w:eastAsia="Arial" w:hAnsi="Arial" w:cs="Arial"/>
          <w:color w:val="000000"/>
          <w:sz w:val="20"/>
        </w:rPr>
        <w:t xml:space="preserve">When analyzing the fourth factor,  [*347]  we don't require the plaintiff to point to a similarly situated comparator to succeed on a discrimination claim. </w:t>
      </w:r>
      <w:bookmarkStart w:id="2073" w:name="Bookmark_I627H2MR28T4030010000400"/>
      <w:bookmarkEnd w:id="2073"/>
      <w:r>
        <w:rPr>
          <w:rFonts w:ascii="Arial" w:eastAsia="Arial" w:hAnsi="Arial" w:cs="Arial"/>
          <w:i/>
          <w:color w:val="000000"/>
          <w:sz w:val="20"/>
        </w:rPr>
        <w:t>Bryant v. Aiken Reg'l Med. Ctrs., Inc.</w:t>
      </w:r>
      <w:r>
        <w:rPr>
          <w:rFonts w:ascii="Arial" w:eastAsia="Arial" w:hAnsi="Arial" w:cs="Arial"/>
          <w:color w:val="000000"/>
          <w:sz w:val="20"/>
        </w:rPr>
        <w:t xml:space="preserve">, 333 F.3d 536, 545 (4th Cir. 2003). </w:t>
      </w:r>
      <w:bookmarkStart w:id="2074" w:name="Bookmark_I627H2MR28T4030040000400_2"/>
      <w:bookmarkEnd w:id="2074"/>
      <w:r>
        <w:rPr>
          <w:rFonts w:ascii="Arial" w:eastAsia="Arial" w:hAnsi="Arial" w:cs="Arial"/>
          <w:color w:val="000000"/>
          <w:sz w:val="20"/>
        </w:rPr>
        <w:t xml:space="preserve">But when a plaintiff's allegations, as here, are based "completely upon a comparison to an employee from a non-protected class . . . the validity of [the plaintiff's] prima facie case depends upon whether that comparator is indeed similarly situated." </w:t>
      </w:r>
      <w:bookmarkStart w:id="2075" w:name="Bookmark_I627H2MR28T4030030000400"/>
      <w:bookmarkEnd w:id="2075"/>
      <w:r>
        <w:rPr>
          <w:rFonts w:ascii="Arial" w:eastAsia="Arial" w:hAnsi="Arial" w:cs="Arial"/>
          <w:i/>
          <w:color w:val="000000"/>
          <w:sz w:val="20"/>
        </w:rPr>
        <w:t>Haywood v. Locke</w:t>
      </w:r>
      <w:r>
        <w:rPr>
          <w:rFonts w:ascii="Arial" w:eastAsia="Arial" w:hAnsi="Arial" w:cs="Arial"/>
          <w:color w:val="000000"/>
          <w:sz w:val="20"/>
        </w:rPr>
        <w:t>, 387 F. App'x 355, 359 (4th Cir. 2010).</w:t>
      </w:r>
    </w:p>
    <w:p w14:paraId="782D2792" w14:textId="77777777" w:rsidR="002B10A6" w:rsidRDefault="00000000">
      <w:pPr>
        <w:pStyle w:val="Normal13"/>
        <w:widowControl w:val="0"/>
        <w:spacing w:before="200" w:line="260" w:lineRule="atLeast"/>
        <w:jc w:val="both"/>
      </w:pPr>
      <w:bookmarkStart w:id="2076" w:name="Bookmark_para_25_8"/>
      <w:bookmarkEnd w:id="2076"/>
      <w:r>
        <w:rPr>
          <w:rFonts w:ascii="Arial" w:eastAsia="Arial" w:hAnsi="Arial" w:cs="Arial"/>
          <w:color w:val="000000"/>
          <w:sz w:val="20"/>
        </w:rPr>
        <w:t xml:space="preserve">Thus, Thomas must show that he's similar in "all relevant respects" to his comparator. </w:t>
      </w:r>
      <w:r>
        <w:rPr>
          <w:rFonts w:ascii="Arial" w:eastAsia="Arial" w:hAnsi="Arial" w:cs="Arial"/>
          <w:i/>
          <w:color w:val="000000"/>
          <w:sz w:val="20"/>
        </w:rPr>
        <w:t>Id.</w:t>
      </w:r>
      <w:r>
        <w:rPr>
          <w:rFonts w:ascii="Arial" w:eastAsia="Arial" w:hAnsi="Arial" w:cs="Arial"/>
          <w:color w:val="000000"/>
          <w:sz w:val="20"/>
        </w:rPr>
        <w:t xml:space="preserve"> "Such a showing would include evidence that the employees dealt with the same supervisor, were subject to the same standards and engaged in the same conduct without such differentiating or mitigating circumstances that would distinguish their conduct or the employer's treatment of them for it." </w:t>
      </w:r>
      <w:r>
        <w:rPr>
          <w:rFonts w:ascii="Arial" w:eastAsia="Arial" w:hAnsi="Arial" w:cs="Arial"/>
          <w:i/>
          <w:color w:val="000000"/>
          <w:sz w:val="20"/>
        </w:rPr>
        <w:t>Id.</w:t>
      </w:r>
      <w:r>
        <w:rPr>
          <w:rFonts w:ascii="Arial" w:eastAsia="Arial" w:hAnsi="Arial" w:cs="Arial"/>
          <w:color w:val="000000"/>
          <w:sz w:val="20"/>
        </w:rPr>
        <w:t xml:space="preserve"> (cleaned up).</w:t>
      </w:r>
    </w:p>
    <w:p w14:paraId="775415AE" w14:textId="77777777" w:rsidR="002B10A6" w:rsidRDefault="00000000">
      <w:pPr>
        <w:pStyle w:val="Normal13"/>
        <w:widowControl w:val="0"/>
        <w:spacing w:before="200" w:line="260" w:lineRule="atLeast"/>
        <w:jc w:val="both"/>
      </w:pPr>
      <w:bookmarkStart w:id="2077" w:name="Bookmark_para_26_8"/>
      <w:bookmarkEnd w:id="2077"/>
      <w:r>
        <w:rPr>
          <w:rFonts w:ascii="Arial" w:eastAsia="Arial" w:hAnsi="Arial" w:cs="Arial"/>
          <w:color w:val="000000"/>
          <w:sz w:val="20"/>
        </w:rPr>
        <w:t>Thomas fails to show that the denial of his request for disability retirement raises an inference of discrimination. He points to a single white officer as a valid comparator, because she was the only white officer whose disability retirement application Paul Rensted approved. [**10]  But as the district court noted, the physician who conducted this officer's independent medical examination determined that she couldn't perform the duties of a police officer.</w:t>
      </w:r>
    </w:p>
    <w:p w14:paraId="6FD0A7F9" w14:textId="77777777" w:rsidR="002B10A6" w:rsidRDefault="00000000">
      <w:pPr>
        <w:pStyle w:val="Normal13"/>
        <w:widowControl w:val="0"/>
        <w:spacing w:before="200" w:line="260" w:lineRule="atLeast"/>
        <w:jc w:val="both"/>
      </w:pPr>
      <w:bookmarkStart w:id="2078" w:name="Bookmark_para_27_8"/>
      <w:bookmarkEnd w:id="2078"/>
      <w:r>
        <w:rPr>
          <w:rFonts w:ascii="Arial" w:eastAsia="Arial" w:hAnsi="Arial" w:cs="Arial"/>
          <w:color w:val="000000"/>
          <w:sz w:val="20"/>
        </w:rPr>
        <w:t>Moreover, the white officer's examination occurred before Rensted granted her application for disability retirement, and Rensted testified that he granted her application because the examination found that she was unable to work as a police officer. Rensted also sent the white officer a letter acknowledging the examination and stating that he requested additional medical information from her physicians to determine if she could be transferred to another position.</w:t>
      </w:r>
    </w:p>
    <w:p w14:paraId="32C8EDB9" w14:textId="77777777" w:rsidR="002B10A6" w:rsidRDefault="00000000">
      <w:pPr>
        <w:pStyle w:val="Normal13"/>
        <w:widowControl w:val="0"/>
        <w:spacing w:before="200" w:line="260" w:lineRule="atLeast"/>
        <w:jc w:val="both"/>
      </w:pPr>
      <w:bookmarkStart w:id="2079" w:name="Bookmark_para_28_8"/>
      <w:bookmarkEnd w:id="2079"/>
      <w:r>
        <w:rPr>
          <w:rFonts w:ascii="Arial" w:eastAsia="Arial" w:hAnsi="Arial" w:cs="Arial"/>
          <w:color w:val="000000"/>
          <w:sz w:val="20"/>
        </w:rPr>
        <w:t>As Thomas notes, the letter approving the officer's disability retirement states that Rensted granted her request "[b]ased on the medical documentation provided by your physicians." J.A. 279. Thomas latches on to this one sentence to argue that Rensted deferred to the white officer's personal physicians in granting her request for disability retirement and did not consider the independent medical examination. But Thomas mischaracterizes the record, which shows that Rensted received, read, and relied upon the white officer's examination, first to request [**11]  additional information from her physicians and second to grant her request for disability retirement. The district court was thus right to reject Thomas's claim that he was denied disability retirement under circumstances giving rise to an inference of discrimination.</w:t>
      </w:r>
    </w:p>
    <w:p w14:paraId="6154AC32" w14:textId="77777777" w:rsidR="002B10A6" w:rsidRDefault="00000000">
      <w:pPr>
        <w:pStyle w:val="Normal13"/>
        <w:widowControl w:val="0"/>
        <w:spacing w:before="120" w:line="260" w:lineRule="atLeast"/>
      </w:pPr>
      <w:r>
        <w:rPr>
          <w:rFonts w:ascii="Arial" w:eastAsia="Arial" w:hAnsi="Arial" w:cs="Arial"/>
          <w:color w:val="000000"/>
          <w:sz w:val="20"/>
        </w:rPr>
        <w:t>B.</w:t>
      </w:r>
    </w:p>
    <w:p w14:paraId="085ED9C7" w14:textId="77777777" w:rsidR="002B10A6" w:rsidRDefault="00000000">
      <w:pPr>
        <w:pStyle w:val="Normal13"/>
        <w:widowControl w:val="0"/>
        <w:spacing w:before="200" w:line="260" w:lineRule="atLeast"/>
        <w:jc w:val="both"/>
      </w:pPr>
      <w:bookmarkStart w:id="2080" w:name="Bookmark_para_29_8"/>
      <w:bookmarkStart w:id="2081" w:name="Bookmark_I627H2MS2SF8MX0010000400"/>
      <w:bookmarkEnd w:id="2080"/>
      <w:bookmarkEnd w:id="2081"/>
      <w:r>
        <w:rPr>
          <w:rFonts w:ascii="Arial" w:eastAsia="Arial" w:hAnsi="Arial" w:cs="Arial"/>
          <w:color w:val="000000"/>
          <w:sz w:val="20"/>
        </w:rPr>
        <w:t xml:space="preserve">We next turn to Thomas's § 1981 claims. </w:t>
      </w:r>
      <w:bookmarkStart w:id="2082" w:name="Bookmark_I627H2MS2SF8MX0030000400"/>
      <w:bookmarkStart w:id="2083" w:name="Bookmark_LNHNREFclscc8_9"/>
      <w:bookmarkEnd w:id="2082"/>
      <w:bookmarkEnd w:id="2083"/>
      <w:r>
        <w:rPr>
          <w:rFonts w:ascii="Arial" w:eastAsia="Arial" w:hAnsi="Arial" w:cs="Arial"/>
          <w:color w:val="000000"/>
          <w:sz w:val="20"/>
        </w:rPr>
        <w:t xml:space="preserve">Section 1981 provides that "[a]ll persons within the jurisdiction of the United States shall have the same right . . . to make and enforce contracts . . . as is enjoyed by white citizens." 42 U.S.C. § 1981(a). The elements of a prima facie case under § 1981 are the same as under Title VII. </w:t>
      </w:r>
      <w:bookmarkStart w:id="2084" w:name="Bookmark_I627H2MR28T4030050000400"/>
      <w:bookmarkEnd w:id="2084"/>
      <w:r>
        <w:rPr>
          <w:rFonts w:ascii="Arial" w:eastAsia="Arial" w:hAnsi="Arial" w:cs="Arial"/>
          <w:i/>
          <w:color w:val="000000"/>
          <w:sz w:val="20"/>
        </w:rPr>
        <w:t>James v. Booz-Allen &amp; Hamilton, Inc.</w:t>
      </w:r>
      <w:r>
        <w:rPr>
          <w:rFonts w:ascii="Arial" w:eastAsia="Arial" w:hAnsi="Arial" w:cs="Arial"/>
          <w:color w:val="000000"/>
          <w:sz w:val="20"/>
        </w:rPr>
        <w:t xml:space="preserve">, 368 F.3d 371, 375 n.1 (4th Cir. 2004). </w:t>
      </w:r>
      <w:bookmarkStart w:id="2085" w:name="Bookmark_I627H2MS2SF8MX0030000400_2"/>
      <w:bookmarkEnd w:id="2085"/>
      <w:r>
        <w:rPr>
          <w:rFonts w:ascii="Arial" w:eastAsia="Arial" w:hAnsi="Arial" w:cs="Arial"/>
          <w:color w:val="000000"/>
          <w:sz w:val="20"/>
        </w:rPr>
        <w:t xml:space="preserve">"[W]hen suit is brought against a state actor, § 1983 is the exclusive federal remedy for violation of the rights guaranteed in § 1981." </w:t>
      </w:r>
      <w:bookmarkStart w:id="2086" w:name="Bookmark_I627H2MS2SF8MX0020000400"/>
      <w:bookmarkEnd w:id="2086"/>
      <w:r>
        <w:rPr>
          <w:rFonts w:ascii="Arial" w:eastAsia="Arial" w:hAnsi="Arial" w:cs="Arial"/>
          <w:i/>
          <w:color w:val="000000"/>
          <w:sz w:val="20"/>
        </w:rPr>
        <w:t>Dennis v. Cnty. of Fairfax</w:t>
      </w:r>
      <w:r>
        <w:rPr>
          <w:rFonts w:ascii="Arial" w:eastAsia="Arial" w:hAnsi="Arial" w:cs="Arial"/>
          <w:color w:val="000000"/>
          <w:sz w:val="20"/>
        </w:rPr>
        <w:t>, 55 F.3d 151, 156 (4th Cir. 1995) (cleaned up).</w:t>
      </w:r>
    </w:p>
    <w:p w14:paraId="39D55214" w14:textId="77777777" w:rsidR="002B10A6" w:rsidRDefault="00000000">
      <w:pPr>
        <w:pStyle w:val="Normal13"/>
        <w:widowControl w:val="0"/>
        <w:spacing w:before="200" w:line="260" w:lineRule="atLeast"/>
        <w:jc w:val="both"/>
      </w:pPr>
      <w:bookmarkStart w:id="2087" w:name="Bookmark_para_30_7"/>
      <w:bookmarkStart w:id="2088" w:name="Bookmark_I4W501X1CDS000066DD000CP"/>
      <w:bookmarkStart w:id="2089" w:name="Bookmark_I627H2MS2SF8MX0050000400"/>
      <w:bookmarkStart w:id="2090" w:name="Bookmark_LNHNREFclscc9_9"/>
      <w:bookmarkEnd w:id="2087"/>
      <w:bookmarkEnd w:id="2088"/>
      <w:bookmarkEnd w:id="2089"/>
      <w:bookmarkEnd w:id="2090"/>
      <w:r>
        <w:rPr>
          <w:rFonts w:ascii="Arial" w:eastAsia="Arial" w:hAnsi="Arial" w:cs="Arial"/>
          <w:color w:val="000000"/>
          <w:sz w:val="20"/>
        </w:rPr>
        <w:t xml:space="preserve">Section 1983 holds liable "[e]very person who, under color of [state law], subjects, or causes to be subjected, any citizen of the United States . . . to the deprivation of any rights, privileges, or immunities secured by the Constitution and laws." 42 U.S.C. § 1983. An official can be liable under § 1983 only "where it is affirmatively  [*348]  shown that the official charged acted personally in the deprivation of the plaintiffs' rights." </w:t>
      </w:r>
      <w:bookmarkStart w:id="2091" w:name="Bookmark_I627H2MS2SF8MX0040000400"/>
      <w:bookmarkEnd w:id="2091"/>
      <w:r>
        <w:rPr>
          <w:rFonts w:ascii="Arial" w:eastAsia="Arial" w:hAnsi="Arial" w:cs="Arial"/>
          <w:i/>
          <w:color w:val="000000"/>
          <w:sz w:val="20"/>
        </w:rPr>
        <w:t>Wilcox v. Brown</w:t>
      </w:r>
      <w:r>
        <w:rPr>
          <w:rFonts w:ascii="Arial" w:eastAsia="Arial" w:hAnsi="Arial" w:cs="Arial"/>
          <w:color w:val="000000"/>
          <w:sz w:val="20"/>
        </w:rPr>
        <w:t>, 877 F.3d 161, 170 (4th Cir. 2017) (cleaned up). Thomas makes no such showing.</w:t>
      </w:r>
    </w:p>
    <w:p w14:paraId="47BA983D" w14:textId="77777777" w:rsidR="002B10A6" w:rsidRDefault="00000000">
      <w:pPr>
        <w:pStyle w:val="Normal13"/>
        <w:widowControl w:val="0"/>
        <w:spacing w:before="200" w:line="260" w:lineRule="atLeast"/>
        <w:jc w:val="both"/>
      </w:pPr>
      <w:bookmarkStart w:id="2092" w:name="Bookmark_para_31_7"/>
      <w:bookmarkEnd w:id="2092"/>
      <w:r>
        <w:rPr>
          <w:rFonts w:ascii="Arial" w:eastAsia="Arial" w:hAnsi="Arial" w:cs="Arial"/>
          <w:color w:val="000000"/>
          <w:sz w:val="20"/>
        </w:rPr>
        <w:t xml:space="preserve">For starters, Thomas offers no evidence that Chief Pristoop [**12]  violated his constitutional rights. </w:t>
      </w:r>
      <w:bookmarkStart w:id="2093" w:name="Bookmark_I627H2MS2SF8N20020000400"/>
      <w:bookmarkEnd w:id="2093"/>
      <w:r>
        <w:rPr>
          <w:rFonts w:ascii="Arial" w:eastAsia="Arial" w:hAnsi="Arial" w:cs="Arial"/>
          <w:color w:val="000000"/>
          <w:sz w:val="20"/>
        </w:rPr>
        <w:t xml:space="preserve">Thomas repeats his arguments that he was discriminated against under Title VII and the ADA and makes conclusory allegations that Pristoop violated his rights under the Maryland Law Enforcement Officers Bill of Rights by terminating him without a hearing. </w:t>
      </w:r>
      <w:bookmarkStart w:id="2094" w:name="Bookmark_LNHNREFclscc10_8"/>
      <w:bookmarkEnd w:id="2094"/>
      <w:r>
        <w:rPr>
          <w:rFonts w:ascii="Arial" w:eastAsia="Arial" w:hAnsi="Arial" w:cs="Arial"/>
          <w:color w:val="000000"/>
          <w:sz w:val="20"/>
        </w:rPr>
        <w:t xml:space="preserve">But this argument falters because the procedural safeguards contained in the Bill of Rights don't apply when an officer is terminated for unsatisfactory work performance. </w:t>
      </w:r>
      <w:bookmarkStart w:id="2095" w:name="Bookmark_I627H2MS2SF8N20040000400"/>
      <w:bookmarkStart w:id="2096" w:name="Bookmark_I627H2MS2SF8N20010000400"/>
      <w:bookmarkEnd w:id="2095"/>
      <w:bookmarkEnd w:id="2096"/>
      <w:r>
        <w:rPr>
          <w:rFonts w:ascii="Arial" w:eastAsia="Arial" w:hAnsi="Arial" w:cs="Arial"/>
          <w:i/>
          <w:color w:val="000000"/>
          <w:sz w:val="20"/>
        </w:rPr>
        <w:t>Cancelose v. City of Greenbelt</w:t>
      </w:r>
      <w:r>
        <w:rPr>
          <w:rFonts w:ascii="Arial" w:eastAsia="Arial" w:hAnsi="Arial" w:cs="Arial"/>
          <w:color w:val="000000"/>
          <w:sz w:val="20"/>
        </w:rPr>
        <w:t xml:space="preserve">, 75 Md. App. 662, 542 A.2d 1288, 1291 (Md. 1988). </w:t>
      </w:r>
      <w:bookmarkStart w:id="2097" w:name="Bookmark_I627H2MS2SF8N20040000400_2"/>
      <w:bookmarkEnd w:id="2097"/>
      <w:r>
        <w:rPr>
          <w:rFonts w:ascii="Arial" w:eastAsia="Arial" w:hAnsi="Arial" w:cs="Arial"/>
          <w:color w:val="000000"/>
          <w:sz w:val="20"/>
        </w:rPr>
        <w:t xml:space="preserve">In any event, even if Thomas didn't receive the process he was due under state or local policies, he wouldn't have a § 1983 claim against Pristoop. </w:t>
      </w:r>
      <w:r>
        <w:rPr>
          <w:rFonts w:ascii="Arial" w:eastAsia="Arial" w:hAnsi="Arial" w:cs="Arial"/>
          <w:i/>
          <w:color w:val="000000"/>
          <w:sz w:val="20"/>
        </w:rPr>
        <w:t xml:space="preserve">See </w:t>
      </w:r>
      <w:bookmarkStart w:id="2098" w:name="Bookmark_I627H2MS2SF8N20030000400"/>
      <w:bookmarkEnd w:id="2098"/>
      <w:r>
        <w:rPr>
          <w:rFonts w:ascii="Arial" w:eastAsia="Arial" w:hAnsi="Arial" w:cs="Arial"/>
          <w:i/>
          <w:color w:val="000000"/>
          <w:sz w:val="20"/>
        </w:rPr>
        <w:t>Riccio v. Cnty. of Fairfax</w:t>
      </w:r>
      <w:r>
        <w:rPr>
          <w:rFonts w:ascii="Arial" w:eastAsia="Arial" w:hAnsi="Arial" w:cs="Arial"/>
          <w:color w:val="000000"/>
          <w:sz w:val="20"/>
        </w:rPr>
        <w:t>, 907 F.2d 1459, 1469 (4th Cir. 1990) ("If state law grants more procedural rights than the Constitution would otherwise require, a state's failure to abide by that law is not a federal due process issue.").</w:t>
      </w:r>
    </w:p>
    <w:p w14:paraId="5C6F473B" w14:textId="77777777" w:rsidR="002B10A6" w:rsidRDefault="00000000">
      <w:pPr>
        <w:pStyle w:val="Normal13"/>
        <w:widowControl w:val="0"/>
        <w:spacing w:before="200" w:line="260" w:lineRule="atLeast"/>
        <w:jc w:val="both"/>
      </w:pPr>
      <w:bookmarkStart w:id="2099" w:name="Bookmark_para_32_7"/>
      <w:bookmarkStart w:id="2100" w:name="Bookmark_I627H2MT2N1RP20010000400"/>
      <w:bookmarkEnd w:id="2099"/>
      <w:bookmarkEnd w:id="2100"/>
      <w:r>
        <w:rPr>
          <w:rFonts w:ascii="Arial" w:eastAsia="Arial" w:hAnsi="Arial" w:cs="Arial"/>
          <w:color w:val="000000"/>
          <w:sz w:val="20"/>
        </w:rPr>
        <w:t xml:space="preserve">Nor is the City liable under § 1983. </w:t>
      </w:r>
      <w:bookmarkStart w:id="2101" w:name="Bookmark_I627H2MT2N1RP20030000400"/>
      <w:bookmarkStart w:id="2102" w:name="Bookmark_LNHNREFclscc11_8"/>
      <w:bookmarkEnd w:id="2101"/>
      <w:bookmarkEnd w:id="2102"/>
      <w:r>
        <w:rPr>
          <w:rFonts w:ascii="Arial" w:eastAsia="Arial" w:hAnsi="Arial" w:cs="Arial"/>
          <w:color w:val="000000"/>
          <w:sz w:val="20"/>
        </w:rPr>
        <w:t xml:space="preserve">"A municipality is liable under § 1983 where a policymaker officially promulgates or sanctions an unconstitutional law, or where the municipality is deliberately indifferent to the development of an unconstitutional custom." </w:t>
      </w:r>
      <w:bookmarkStart w:id="2103" w:name="Bookmark_I627H2MS2SF8N20050000400"/>
      <w:bookmarkEnd w:id="2103"/>
      <w:r>
        <w:rPr>
          <w:rFonts w:ascii="Arial" w:eastAsia="Arial" w:hAnsi="Arial" w:cs="Arial"/>
          <w:i/>
          <w:color w:val="000000"/>
          <w:sz w:val="20"/>
        </w:rPr>
        <w:t>Smith v. Ray</w:t>
      </w:r>
      <w:r>
        <w:rPr>
          <w:rFonts w:ascii="Arial" w:eastAsia="Arial" w:hAnsi="Arial" w:cs="Arial"/>
          <w:color w:val="000000"/>
          <w:sz w:val="20"/>
        </w:rPr>
        <w:t xml:space="preserve">, 409 F. App'x 641, 650 (4th Cir. 2011) (cleaned up). Conversely, a municipality isn't liable for mere "isolated incidents of unconstitutional conduct by subordinate employees . . . . </w:t>
      </w:r>
      <w:bookmarkStart w:id="2104" w:name="Bookmark_I627H2MT2N1RP20030000400_2"/>
      <w:bookmarkEnd w:id="2104"/>
      <w:r>
        <w:rPr>
          <w:rFonts w:ascii="Arial" w:eastAsia="Arial" w:hAnsi="Arial" w:cs="Arial"/>
          <w:color w:val="000000"/>
          <w:sz w:val="20"/>
        </w:rPr>
        <w:t xml:space="preserve">Rather, there must be numerous particular instances of [**13]  unconstitutional conduct in order to establish a custom or practice." </w:t>
      </w:r>
      <w:bookmarkStart w:id="2105" w:name="Bookmark_I627H2MT2N1RP20020000400"/>
      <w:bookmarkEnd w:id="2105"/>
      <w:r>
        <w:rPr>
          <w:rFonts w:ascii="Arial" w:eastAsia="Arial" w:hAnsi="Arial" w:cs="Arial"/>
          <w:i/>
          <w:color w:val="000000"/>
          <w:sz w:val="20"/>
        </w:rPr>
        <w:t>Lytle v. Doyle</w:t>
      </w:r>
      <w:r>
        <w:rPr>
          <w:rFonts w:ascii="Arial" w:eastAsia="Arial" w:hAnsi="Arial" w:cs="Arial"/>
          <w:color w:val="000000"/>
          <w:sz w:val="20"/>
        </w:rPr>
        <w:t>, 326 F.3d 463, 473 (4th Cir. 2003) (cleaned up).</w:t>
      </w:r>
    </w:p>
    <w:p w14:paraId="340C91EE" w14:textId="77777777" w:rsidR="002B10A6" w:rsidRDefault="00000000">
      <w:pPr>
        <w:pStyle w:val="Normal13"/>
        <w:widowControl w:val="0"/>
        <w:spacing w:before="200" w:line="260" w:lineRule="atLeast"/>
        <w:jc w:val="both"/>
      </w:pPr>
      <w:bookmarkStart w:id="2106" w:name="Bookmark_para_33_6"/>
      <w:bookmarkEnd w:id="2106"/>
      <w:r>
        <w:rPr>
          <w:rFonts w:ascii="Arial" w:eastAsia="Arial" w:hAnsi="Arial" w:cs="Arial"/>
          <w:color w:val="000000"/>
          <w:sz w:val="20"/>
        </w:rPr>
        <w:t>Thomas points to no evidence that the City or the Department customarily discriminated against black officers when imposing discipline or evaluating disability retirement applications. His sole argument on this point is that several white officers were treated more favorably than he was in the disability retirement process. But the instances of conduct that Thomas describes are neither numerous nor unconstitutional. The district therefore correctly rejected Thomas's § 1981 claims.</w:t>
      </w:r>
    </w:p>
    <w:p w14:paraId="614715BA" w14:textId="77777777" w:rsidR="002B10A6" w:rsidRDefault="00000000">
      <w:pPr>
        <w:pStyle w:val="Normal13"/>
        <w:widowControl w:val="0"/>
        <w:spacing w:before="120" w:line="260" w:lineRule="atLeast"/>
      </w:pPr>
      <w:r>
        <w:rPr>
          <w:rFonts w:ascii="Arial" w:eastAsia="Arial" w:hAnsi="Arial" w:cs="Arial"/>
          <w:color w:val="000000"/>
          <w:sz w:val="20"/>
        </w:rPr>
        <w:t>C.</w:t>
      </w:r>
    </w:p>
    <w:p w14:paraId="7F19583C" w14:textId="77777777" w:rsidR="002B10A6" w:rsidRDefault="00000000">
      <w:pPr>
        <w:pStyle w:val="Normal13"/>
        <w:widowControl w:val="0"/>
        <w:spacing w:before="200" w:line="260" w:lineRule="atLeast"/>
        <w:jc w:val="both"/>
      </w:pPr>
      <w:bookmarkStart w:id="2107" w:name="Bookmark_para_34_5"/>
      <w:bookmarkStart w:id="2108" w:name="Bookmark_I627H2MT2N1RP20050000400"/>
      <w:bookmarkStart w:id="2109" w:name="Bookmark_LNHNREFclscc12_7"/>
      <w:bookmarkEnd w:id="2107"/>
      <w:bookmarkEnd w:id="2108"/>
      <w:bookmarkEnd w:id="2109"/>
      <w:r>
        <w:rPr>
          <w:rFonts w:ascii="Arial" w:eastAsia="Arial" w:hAnsi="Arial" w:cs="Arial"/>
          <w:color w:val="000000"/>
          <w:sz w:val="20"/>
        </w:rPr>
        <w:t>We next address Thomas's failure-to-accommodate claim under the ADA.</w:t>
      </w:r>
    </w:p>
    <w:p w14:paraId="0A5AE392" w14:textId="77777777" w:rsidR="002B10A6" w:rsidRDefault="00000000">
      <w:pPr>
        <w:pStyle w:val="Normal13"/>
        <w:widowControl w:val="0"/>
        <w:spacing w:line="260" w:lineRule="atLeast"/>
        <w:ind w:left="400"/>
        <w:jc w:val="both"/>
      </w:pPr>
      <w:bookmarkStart w:id="2110" w:name="Bookmark_para_35_5"/>
      <w:bookmarkStart w:id="2111" w:name="Bookmark_I627H2MT2N1RP20050000400_2"/>
      <w:bookmarkStart w:id="2112" w:name="Bookmark_I627H2MT2SF8N60020000400"/>
      <w:bookmarkEnd w:id="2110"/>
      <w:bookmarkEnd w:id="2111"/>
      <w:bookmarkEnd w:id="2112"/>
      <w:r>
        <w:rPr>
          <w:rFonts w:ascii="Arial" w:eastAsia="Arial" w:hAnsi="Arial" w:cs="Arial"/>
          <w:color w:val="000000"/>
          <w:sz w:val="20"/>
        </w:rPr>
        <w:t>[T]o establish a prima facie case against his employer for failure to accommodate under the ADA, the plaintiff must show: (1) that he was an individual who had a disability within the meaning of the statute; (2) that the employer had notice of his disability; (3) that with reasonable accommodation he could perform the essential functions of the position; and (4) that the employer refused to make such accommodations.</w:t>
      </w:r>
    </w:p>
    <w:p w14:paraId="5BD90F8F" w14:textId="77777777" w:rsidR="002B10A6" w:rsidRDefault="00000000">
      <w:pPr>
        <w:pStyle w:val="Normal13"/>
        <w:widowControl w:val="0"/>
        <w:spacing w:before="200" w:line="260" w:lineRule="atLeast"/>
        <w:jc w:val="both"/>
      </w:pPr>
      <w:bookmarkStart w:id="2113" w:name="Bookmark_I627H2MT2SF8N60020000400_2"/>
      <w:bookmarkStart w:id="2114" w:name="Bookmark_I627H2MT2N1RP20050000400_3"/>
      <w:bookmarkStart w:id="2115" w:name="Bookmark_I627H2MT2N1RP20040000400"/>
      <w:bookmarkEnd w:id="2113"/>
      <w:bookmarkEnd w:id="2114"/>
      <w:bookmarkEnd w:id="2115"/>
      <w:r>
        <w:rPr>
          <w:rFonts w:ascii="Arial" w:eastAsia="Arial" w:hAnsi="Arial" w:cs="Arial"/>
          <w:i/>
          <w:color w:val="000000"/>
          <w:sz w:val="20"/>
        </w:rPr>
        <w:t>Wilson v. Dollar Gen. Corp.</w:t>
      </w:r>
      <w:r>
        <w:rPr>
          <w:rFonts w:ascii="Arial" w:eastAsia="Arial" w:hAnsi="Arial" w:cs="Arial"/>
          <w:color w:val="000000"/>
          <w:sz w:val="20"/>
        </w:rPr>
        <w:t xml:space="preserve">, 717 F.3d 337, 345 (4th Cir. 2013) (cleaned up). Even if Thomas establishes his prima facie case, the City may avoid liability if it can show as a matter of law that the proposed accommodation [**14]  "will cause undue hardship in the particular circumstances." </w:t>
      </w:r>
      <w:bookmarkStart w:id="2116" w:name="Bookmark_I627H2MT2SF8N60010000400"/>
      <w:bookmarkEnd w:id="2116"/>
      <w:r>
        <w:rPr>
          <w:rFonts w:ascii="Arial" w:eastAsia="Arial" w:hAnsi="Arial" w:cs="Arial"/>
          <w:i/>
          <w:color w:val="000000"/>
          <w:sz w:val="20"/>
        </w:rPr>
        <w:t>Halpern v. Wake Forest Univ. Health Scis.</w:t>
      </w:r>
      <w:r>
        <w:rPr>
          <w:rFonts w:ascii="Arial" w:eastAsia="Arial" w:hAnsi="Arial" w:cs="Arial"/>
          <w:color w:val="000000"/>
          <w:sz w:val="20"/>
        </w:rPr>
        <w:t>, 669 F.3d 454, 464 (4th Cir. 2012) (cleaned up).</w:t>
      </w:r>
    </w:p>
    <w:p w14:paraId="3136D1A5" w14:textId="77777777" w:rsidR="002B10A6" w:rsidRDefault="00000000">
      <w:pPr>
        <w:pStyle w:val="Normal13"/>
        <w:widowControl w:val="0"/>
        <w:spacing w:before="200" w:line="260" w:lineRule="atLeast"/>
        <w:jc w:val="both"/>
      </w:pPr>
      <w:bookmarkStart w:id="2117" w:name="Bookmark_para_36_5"/>
      <w:bookmarkStart w:id="2118" w:name="Bookmark_I627H2MT2SF8N60040000400"/>
      <w:bookmarkStart w:id="2119" w:name="Bookmark_LNHNREFclscc13_5"/>
      <w:bookmarkEnd w:id="2117"/>
      <w:bookmarkEnd w:id="2118"/>
      <w:bookmarkEnd w:id="2119"/>
      <w:r>
        <w:rPr>
          <w:rFonts w:ascii="Arial" w:eastAsia="Arial" w:hAnsi="Arial" w:cs="Arial"/>
          <w:color w:val="000000"/>
          <w:sz w:val="20"/>
        </w:rPr>
        <w:t xml:space="preserve">The ADA defines a "disability" as "a physical or mental impairment that substantially limits one or more major life activities." 42 U.S.C. § 12102(1)(A). </w:t>
      </w:r>
      <w:bookmarkStart w:id="2120" w:name="Bookmark_3WDFKWG4H000003K5N00001"/>
      <w:bookmarkEnd w:id="2120"/>
      <w:r>
        <w:rPr>
          <w:rFonts w:ascii="Arial" w:eastAsia="Arial" w:hAnsi="Arial" w:cs="Arial"/>
          <w:color w:val="000000"/>
          <w:sz w:val="20"/>
        </w:rPr>
        <w:t xml:space="preserve">"The term 'substantially limits' shall be construed broadly in favor of expansive coverage" and is "not meant to be a demanding standard." 29 C.F.R. § 1630.2(j)(1)(i). </w:t>
      </w:r>
      <w:r>
        <w:rPr>
          <w:rFonts w:ascii="Arial" w:eastAsia="Arial" w:hAnsi="Arial" w:cs="Arial"/>
          <w:i/>
          <w:color w:val="000000"/>
          <w:sz w:val="20"/>
        </w:rPr>
        <w:t xml:space="preserve">See also </w:t>
      </w:r>
      <w:bookmarkStart w:id="2121" w:name="Bookmark_I627H2MT2SF8N60030000400"/>
      <w:bookmarkEnd w:id="2121"/>
      <w:r>
        <w:rPr>
          <w:rFonts w:ascii="Arial" w:eastAsia="Arial" w:hAnsi="Arial" w:cs="Arial"/>
          <w:i/>
          <w:color w:val="000000"/>
          <w:sz w:val="20"/>
        </w:rPr>
        <w:t>Summers v. Altarum Inst., Corp.</w:t>
      </w:r>
      <w:r>
        <w:rPr>
          <w:rFonts w:ascii="Arial" w:eastAsia="Arial" w:hAnsi="Arial" w:cs="Arial"/>
          <w:color w:val="000000"/>
          <w:sz w:val="20"/>
        </w:rPr>
        <w:t xml:space="preserve">, 740 F.3d 325, 329 [*349]  (4th Cir. 2014) (noting that the ADA Amendments Act ("ADAAA"), passed in 2008, broadened the definition of disability and expressly abrogated </w:t>
      </w:r>
      <w:bookmarkStart w:id="2122" w:name="Bookmark_I3NBM6SG0R500003JWB00001"/>
      <w:bookmarkEnd w:id="2122"/>
      <w:r>
        <w:rPr>
          <w:rFonts w:ascii="Arial" w:eastAsia="Arial" w:hAnsi="Arial" w:cs="Arial"/>
          <w:i/>
          <w:color w:val="000000"/>
          <w:sz w:val="20"/>
        </w:rPr>
        <w:t>Toyota Motor Mfg., Kentucky, Inc. v. Williams</w:t>
      </w:r>
      <w:r>
        <w:rPr>
          <w:rFonts w:ascii="Arial" w:eastAsia="Arial" w:hAnsi="Arial" w:cs="Arial"/>
          <w:color w:val="000000"/>
          <w:sz w:val="20"/>
        </w:rPr>
        <w:t>, 534 U.S. 184, 122 S. Ct. 681, 151 L. Ed. 2d 615 (2002)). As relevant here, "walking," "standing," "bending," and "working" are major life activities. 29 C.F.R. § 1630.2(i)(1)(i).</w:t>
      </w:r>
    </w:p>
    <w:p w14:paraId="1F15619D" w14:textId="77777777" w:rsidR="002B10A6" w:rsidRDefault="00000000">
      <w:pPr>
        <w:pStyle w:val="Normal13"/>
        <w:widowControl w:val="0"/>
        <w:spacing w:before="200" w:line="260" w:lineRule="atLeast"/>
        <w:jc w:val="both"/>
      </w:pPr>
      <w:bookmarkStart w:id="2123" w:name="Bookmark_para_37_4"/>
      <w:bookmarkStart w:id="2124" w:name="Bookmark_I627H2MV2D6N6G0030000400"/>
      <w:bookmarkStart w:id="2125" w:name="Bookmark_I4W501X1H3C000066DD000CR"/>
      <w:bookmarkStart w:id="2126" w:name="Bookmark_I627H2MV2N1RP80020000400"/>
      <w:bookmarkEnd w:id="2123"/>
      <w:bookmarkEnd w:id="2124"/>
      <w:bookmarkEnd w:id="2125"/>
      <w:bookmarkEnd w:id="2126"/>
      <w:r>
        <w:rPr>
          <w:rFonts w:ascii="Arial" w:eastAsia="Arial" w:hAnsi="Arial" w:cs="Arial"/>
          <w:color w:val="000000"/>
          <w:sz w:val="20"/>
        </w:rPr>
        <w:t xml:space="preserve">The district court relied on </w:t>
      </w:r>
      <w:r>
        <w:rPr>
          <w:rFonts w:ascii="Arial" w:eastAsia="Arial" w:hAnsi="Arial" w:cs="Arial"/>
          <w:i/>
          <w:color w:val="000000"/>
          <w:sz w:val="20"/>
        </w:rPr>
        <w:t>Toyota</w:t>
      </w:r>
      <w:r>
        <w:rPr>
          <w:rFonts w:ascii="Arial" w:eastAsia="Arial" w:hAnsi="Arial" w:cs="Arial"/>
          <w:color w:val="000000"/>
          <w:sz w:val="20"/>
        </w:rPr>
        <w:t xml:space="preserve"> and its progeny to hold that Thomas wasn't disabled, because his limitations didn't interfere with the affected life activities "considerabl[y]" or "to a large degree." </w:t>
      </w:r>
      <w:bookmarkStart w:id="2127" w:name="Bookmark_I627H2MV2D6N6G0020000400"/>
      <w:bookmarkEnd w:id="2127"/>
      <w:r>
        <w:rPr>
          <w:rFonts w:ascii="Arial" w:eastAsia="Arial" w:hAnsi="Arial" w:cs="Arial"/>
          <w:i/>
          <w:color w:val="000000"/>
          <w:sz w:val="20"/>
        </w:rPr>
        <w:t>Thomas</w:t>
      </w:r>
      <w:r>
        <w:rPr>
          <w:rFonts w:ascii="Arial" w:eastAsia="Arial" w:hAnsi="Arial" w:cs="Arial"/>
          <w:color w:val="000000"/>
          <w:sz w:val="20"/>
        </w:rPr>
        <w:t xml:space="preserve">, 2018 U.S. Dist. LEXIS 149850, 2018 WL 4206951, at *11 (quoting </w:t>
      </w:r>
      <w:bookmarkStart w:id="2128" w:name="Bookmark_I627H2MV2D6N6G0040000400"/>
      <w:bookmarkEnd w:id="2128"/>
      <w:r>
        <w:rPr>
          <w:rFonts w:ascii="Arial" w:eastAsia="Arial" w:hAnsi="Arial" w:cs="Arial"/>
          <w:i/>
          <w:color w:val="000000"/>
          <w:sz w:val="20"/>
        </w:rPr>
        <w:t>Toyota</w:t>
      </w:r>
      <w:r>
        <w:rPr>
          <w:rFonts w:ascii="Arial" w:eastAsia="Arial" w:hAnsi="Arial" w:cs="Arial"/>
          <w:color w:val="000000"/>
          <w:sz w:val="20"/>
        </w:rPr>
        <w:t>, 534 U.S. at 185.</w:t>
      </w:r>
      <w:r>
        <w:rPr>
          <w:rFonts w:ascii="Arial" w:eastAsia="Arial" w:hAnsi="Arial" w:cs="Arial"/>
          <w:vertAlign w:val="superscript"/>
        </w:rPr>
        <w:footnoteReference w:customMarkFollows="1" w:id="91"/>
        <w:t>6</w:t>
      </w:r>
      <w:r>
        <w:rPr>
          <w:rFonts w:ascii="Arial" w:eastAsia="Arial" w:hAnsi="Arial" w:cs="Arial"/>
          <w:color w:val="000000"/>
          <w:sz w:val="20"/>
        </w:rPr>
        <w:t xml:space="preserve"> But under the broader definition of disability under the ADAAA, the record evidence shows that there is a genuine issue of material fact as to whether Thomas is disabled under the ADA. Three of the four doctors who examined Thomas determined that he had a permanent knee impairment and should, at a minimum, avoid bending and squatting. Thus, the district court erred in holding that Thomas wasn't disabled [**15]  as a matter of law.</w:t>
      </w:r>
    </w:p>
    <w:p w14:paraId="124E8021" w14:textId="77777777" w:rsidR="002B10A6" w:rsidRDefault="00000000">
      <w:pPr>
        <w:pStyle w:val="Normal13"/>
        <w:widowControl w:val="0"/>
        <w:spacing w:before="200" w:line="260" w:lineRule="atLeast"/>
        <w:jc w:val="both"/>
      </w:pPr>
      <w:bookmarkStart w:id="2131" w:name="Bookmark_para_38_3"/>
      <w:bookmarkStart w:id="2132" w:name="Bookmark_I627H2MV2N1RP80040000400"/>
      <w:bookmarkStart w:id="2133" w:name="Bookmark_I627H2MW2N1RP90010000400"/>
      <w:bookmarkEnd w:id="2131"/>
      <w:bookmarkEnd w:id="2132"/>
      <w:bookmarkEnd w:id="2133"/>
      <w:r>
        <w:rPr>
          <w:rFonts w:ascii="Arial" w:eastAsia="Arial" w:hAnsi="Arial" w:cs="Arial"/>
          <w:color w:val="000000"/>
          <w:sz w:val="20"/>
        </w:rPr>
        <w:t xml:space="preserve">Nonetheless, Thomas's claim fails for another reason: he didn't request a reasonable accommodation. </w:t>
      </w:r>
      <w:bookmarkStart w:id="2134" w:name="Bookmark_LNHNREFclscc14_5"/>
      <w:bookmarkEnd w:id="2134"/>
      <w:r>
        <w:rPr>
          <w:rFonts w:ascii="Arial" w:eastAsia="Arial" w:hAnsi="Arial" w:cs="Arial"/>
          <w:color w:val="000000"/>
          <w:sz w:val="20"/>
        </w:rPr>
        <w:t xml:space="preserve">"The term 'reasonable accommodation' means '[m]odifications or adjustments to the work environment, or to the manner or circumstances under which the position held or desired is customarily performed, that enable an individual with a disability . . . to perform the essential functions of that position.'" </w:t>
      </w:r>
      <w:bookmarkStart w:id="2135" w:name="Bookmark_I627H2MV2N1RP80030000400"/>
      <w:bookmarkEnd w:id="2135"/>
      <w:r>
        <w:rPr>
          <w:rFonts w:ascii="Arial" w:eastAsia="Arial" w:hAnsi="Arial" w:cs="Arial"/>
          <w:i/>
          <w:color w:val="000000"/>
          <w:sz w:val="20"/>
        </w:rPr>
        <w:t>EEOC v. Womble Carlyle Sandridge &amp; Rice, LLP</w:t>
      </w:r>
      <w:r>
        <w:rPr>
          <w:rFonts w:ascii="Arial" w:eastAsia="Arial" w:hAnsi="Arial" w:cs="Arial"/>
          <w:color w:val="000000"/>
          <w:sz w:val="20"/>
        </w:rPr>
        <w:t xml:space="preserve">, 616 F. App'x 588, 593 (4th Cir. 2015) (quoting 29 C.F.R. § 1630.2(o)(1)(ii)). The ADA provides that "reasonable accommodation" includes "job restructuring, part-time or modified work schedules, [and] reassignment to a vacant position." </w:t>
      </w:r>
      <w:bookmarkStart w:id="2136" w:name="Bookmark_I627H2MV2N1RP80050000400"/>
      <w:bookmarkEnd w:id="2136"/>
      <w:r>
        <w:rPr>
          <w:rFonts w:ascii="Arial" w:eastAsia="Arial" w:hAnsi="Arial" w:cs="Arial"/>
          <w:i/>
          <w:color w:val="000000"/>
          <w:sz w:val="20"/>
        </w:rPr>
        <w:t>Reyazuddin v. Montgomery Cty.</w:t>
      </w:r>
      <w:r>
        <w:rPr>
          <w:rFonts w:ascii="Arial" w:eastAsia="Arial" w:hAnsi="Arial" w:cs="Arial"/>
          <w:color w:val="000000"/>
          <w:sz w:val="20"/>
        </w:rPr>
        <w:t>, 789 F.3d 407, 414 (4th Cir. 2015) (quoting 42 U.S.C. § 12111(9)(B)).</w:t>
      </w:r>
    </w:p>
    <w:p w14:paraId="68963F63" w14:textId="77777777" w:rsidR="002B10A6" w:rsidRDefault="00000000">
      <w:pPr>
        <w:pStyle w:val="Normal13"/>
        <w:widowControl w:val="0"/>
        <w:spacing w:before="200" w:line="260" w:lineRule="atLeast"/>
        <w:jc w:val="both"/>
      </w:pPr>
      <w:bookmarkStart w:id="2137" w:name="Bookmark_para_39_3"/>
      <w:bookmarkEnd w:id="2137"/>
      <w:r>
        <w:rPr>
          <w:rFonts w:ascii="Arial" w:eastAsia="Arial" w:hAnsi="Arial" w:cs="Arial"/>
          <w:color w:val="000000"/>
          <w:sz w:val="20"/>
        </w:rPr>
        <w:t xml:space="preserve">Here, Thomas requested three accommodations: disability retirement, a permanent light duty position, or reassignment as a detective. </w:t>
      </w:r>
      <w:bookmarkStart w:id="2138" w:name="Bookmark_I627H2MW2N1RP90030000400"/>
      <w:bookmarkEnd w:id="2138"/>
      <w:r>
        <w:rPr>
          <w:rFonts w:ascii="Arial" w:eastAsia="Arial" w:hAnsi="Arial" w:cs="Arial"/>
          <w:color w:val="000000"/>
          <w:sz w:val="20"/>
        </w:rPr>
        <w:t xml:space="preserve">Disability retirement isn't a reasonable accommodation, since it would have ended Thomas's employment as a police officer. A permanent light duty position is also not a reasonable accommodation, because it would have shifted all or most of Thomas's duties to other officers. </w:t>
      </w:r>
      <w:r>
        <w:rPr>
          <w:rFonts w:ascii="Arial" w:eastAsia="Arial" w:hAnsi="Arial" w:cs="Arial"/>
          <w:i/>
          <w:color w:val="000000"/>
          <w:sz w:val="20"/>
        </w:rPr>
        <w:t xml:space="preserve">See </w:t>
      </w:r>
      <w:bookmarkStart w:id="2139" w:name="Bookmark_I627H2MW2N1RP90020000400"/>
      <w:bookmarkEnd w:id="2139"/>
      <w:r>
        <w:rPr>
          <w:rFonts w:ascii="Arial" w:eastAsia="Arial" w:hAnsi="Arial" w:cs="Arial"/>
          <w:i/>
          <w:color w:val="000000"/>
          <w:sz w:val="20"/>
        </w:rPr>
        <w:t>Crabill v. Charlotte Mecklenburg Bd. of Educ.</w:t>
      </w:r>
      <w:r>
        <w:rPr>
          <w:rFonts w:ascii="Arial" w:eastAsia="Arial" w:hAnsi="Arial" w:cs="Arial"/>
          <w:color w:val="000000"/>
          <w:sz w:val="20"/>
        </w:rPr>
        <w:t xml:space="preserve">, 423 F. App'x 314, 323 (4th Cir. 2011) ("[T]he ADA does not require an employer to reallocate essential job functions or assign an employee permanent light duty." (cleaned up)). </w:t>
      </w:r>
      <w:bookmarkStart w:id="2140" w:name="Bookmark_I627H2MW2N1RP90050000400"/>
      <w:bookmarkEnd w:id="2140"/>
      <w:r>
        <w:rPr>
          <w:rFonts w:ascii="Arial" w:eastAsia="Arial" w:hAnsi="Arial" w:cs="Arial"/>
          <w:color w:val="000000"/>
          <w:sz w:val="20"/>
        </w:rPr>
        <w:t xml:space="preserve">And, though the record is unclear [**16]  as to whether Thomas could have performed the essential functions of a detective position, was qualified for that position, requested that position, or if a detective position was then vacant, Thomas fails to argue in his opening brief that he should have been assigned as a detective as a reasonable accommodation. He has thus waived this argument. </w:t>
      </w:r>
      <w:bookmarkStart w:id="2141" w:name="Bookmark_I627H2MW2N1RP90040000400"/>
      <w:bookmarkEnd w:id="2141"/>
      <w:r>
        <w:rPr>
          <w:rFonts w:ascii="Arial" w:eastAsia="Arial" w:hAnsi="Arial" w:cs="Arial"/>
          <w:i/>
          <w:color w:val="000000"/>
          <w:sz w:val="20"/>
        </w:rPr>
        <w:t>Equal Rights Ctr. v. Niles Bolton Assocs.</w:t>
      </w:r>
      <w:r>
        <w:rPr>
          <w:rFonts w:ascii="Arial" w:eastAsia="Arial" w:hAnsi="Arial" w:cs="Arial"/>
          <w:color w:val="000000"/>
          <w:sz w:val="20"/>
        </w:rPr>
        <w:t>, 602 F.3d 597, 604 n.4 (4th Cir. 2010) (arguments not raised in opening brief are waived).</w:t>
      </w:r>
    </w:p>
    <w:p w14:paraId="670AAB27" w14:textId="77777777" w:rsidR="002B10A6" w:rsidRDefault="00000000">
      <w:pPr>
        <w:pStyle w:val="Normal13"/>
        <w:widowControl w:val="0"/>
        <w:spacing w:before="120" w:line="260" w:lineRule="atLeast"/>
      </w:pPr>
      <w:r>
        <w:rPr>
          <w:rFonts w:ascii="Arial" w:eastAsia="Arial" w:hAnsi="Arial" w:cs="Arial"/>
          <w:color w:val="000000"/>
          <w:sz w:val="20"/>
        </w:rPr>
        <w:t>D.</w:t>
      </w:r>
    </w:p>
    <w:p w14:paraId="1F54F07B" w14:textId="77777777" w:rsidR="002B10A6" w:rsidRDefault="00000000">
      <w:pPr>
        <w:pStyle w:val="Normal13"/>
        <w:widowControl w:val="0"/>
        <w:spacing w:before="200" w:line="260" w:lineRule="atLeast"/>
        <w:jc w:val="both"/>
      </w:pPr>
      <w:bookmarkStart w:id="2142" w:name="Bookmark_para_40_3"/>
      <w:bookmarkStart w:id="2143" w:name="Bookmark_I627H2MW2N1RPD0020000400"/>
      <w:bookmarkStart w:id="2144" w:name="Bookmark_I627H2MW2HM6TM0030000400"/>
      <w:bookmarkEnd w:id="2142"/>
      <w:bookmarkEnd w:id="2143"/>
      <w:bookmarkEnd w:id="2144"/>
      <w:r>
        <w:rPr>
          <w:rFonts w:ascii="Arial" w:eastAsia="Arial" w:hAnsi="Arial" w:cs="Arial"/>
          <w:color w:val="000000"/>
          <w:sz w:val="20"/>
        </w:rPr>
        <w:t xml:space="preserve">Finally, we turn to Thomas's retaliation claims under Title VII, the ADA, and 42 U.S.C. § 1983. </w:t>
      </w:r>
      <w:bookmarkStart w:id="2145" w:name="Bookmark_I627H2MW2N1RPD0040000400"/>
      <w:bookmarkStart w:id="2146" w:name="Bookmark_LNHNREFclscc15_3"/>
      <w:bookmarkEnd w:id="2145"/>
      <w:bookmarkEnd w:id="2146"/>
      <w:r>
        <w:rPr>
          <w:rFonts w:ascii="Arial" w:eastAsia="Arial" w:hAnsi="Arial" w:cs="Arial"/>
          <w:color w:val="000000"/>
          <w:sz w:val="20"/>
        </w:rPr>
        <w:t xml:space="preserve">To establish a prima facie case of retaliation, a Title VII plaintiff  [*350]  proceeding under the </w:t>
      </w:r>
      <w:r>
        <w:rPr>
          <w:rFonts w:ascii="Arial" w:eastAsia="Arial" w:hAnsi="Arial" w:cs="Arial"/>
          <w:i/>
          <w:color w:val="000000"/>
          <w:sz w:val="20"/>
        </w:rPr>
        <w:t>McDonnell Douglas</w:t>
      </w:r>
      <w:r>
        <w:rPr>
          <w:rFonts w:ascii="Arial" w:eastAsia="Arial" w:hAnsi="Arial" w:cs="Arial"/>
          <w:color w:val="000000"/>
          <w:sz w:val="20"/>
        </w:rPr>
        <w:t xml:space="preserve"> framework must show that: (1) he engaged in protected activity, (2) his employer took adverse action against him, and (3) a causal relationship existed between the protected activity and the adverse employment action. </w:t>
      </w:r>
      <w:bookmarkStart w:id="2147" w:name="Bookmark_I627H2MW2HM6TM0010000400"/>
      <w:bookmarkStart w:id="2148" w:name="Bookmark_I627H2MX2N1RPF0020000400"/>
      <w:bookmarkStart w:id="2149" w:name="Bookmark_I627H2MW2N1RPD0010000400"/>
      <w:bookmarkEnd w:id="2147"/>
      <w:bookmarkEnd w:id="2148"/>
      <w:bookmarkEnd w:id="2149"/>
      <w:r>
        <w:rPr>
          <w:rFonts w:ascii="Arial" w:eastAsia="Arial" w:hAnsi="Arial" w:cs="Arial"/>
          <w:i/>
          <w:color w:val="000000"/>
          <w:sz w:val="20"/>
        </w:rPr>
        <w:t>Foster</w:t>
      </w:r>
      <w:r>
        <w:rPr>
          <w:rFonts w:ascii="Arial" w:eastAsia="Arial" w:hAnsi="Arial" w:cs="Arial"/>
          <w:color w:val="000000"/>
          <w:sz w:val="20"/>
        </w:rPr>
        <w:t>, 787 F.3d at 250.</w:t>
      </w:r>
      <w:r>
        <w:rPr>
          <w:rFonts w:ascii="Arial" w:eastAsia="Arial" w:hAnsi="Arial" w:cs="Arial"/>
          <w:vertAlign w:val="superscript"/>
        </w:rPr>
        <w:footnoteReference w:customMarkFollows="1" w:id="92"/>
        <w:t>7</w:t>
      </w:r>
      <w:r>
        <w:rPr>
          <w:rFonts w:ascii="Arial" w:eastAsia="Arial" w:hAnsi="Arial" w:cs="Arial"/>
          <w:color w:val="000000"/>
          <w:sz w:val="20"/>
        </w:rPr>
        <w:t xml:space="preserve"> If the plaintiff makes a prima facie case of retaliation, the burden shifts to the employer "to show that its purportedly retaliatory action was in fact the result of a legitimate non-retaliatory reason." </w:t>
      </w:r>
      <w:r>
        <w:rPr>
          <w:rFonts w:ascii="Arial" w:eastAsia="Arial" w:hAnsi="Arial" w:cs="Arial"/>
          <w:i/>
          <w:color w:val="000000"/>
          <w:sz w:val="20"/>
        </w:rPr>
        <w:t>Id.</w:t>
      </w:r>
      <w:r>
        <w:rPr>
          <w:rFonts w:ascii="Arial" w:eastAsia="Arial" w:hAnsi="Arial" w:cs="Arial"/>
          <w:color w:val="000000"/>
          <w:sz w:val="20"/>
        </w:rPr>
        <w:t xml:space="preserve"> The burden then shifts back to the plaintiff to demonstrate that the employer's purported non-retaliatory reasons were pretextual. </w:t>
      </w:r>
      <w:bookmarkStart w:id="2153" w:name="Bookmark_I627H2MX2N1RPF0020000400_2"/>
      <w:bookmarkStart w:id="2154" w:name="Bookmark_I627H2MW2HM6TM0010000400_2"/>
      <w:bookmarkStart w:id="2155" w:name="Bookmark_I627H2MW2N1RPD0040000400_2"/>
      <w:bookmarkEnd w:id="2153"/>
      <w:bookmarkEnd w:id="2154"/>
      <w:bookmarkEnd w:id="2155"/>
      <w:r>
        <w:rPr>
          <w:rFonts w:ascii="Arial" w:eastAsia="Arial" w:hAnsi="Arial" w:cs="Arial"/>
          <w:i/>
          <w:color w:val="000000"/>
          <w:sz w:val="20"/>
        </w:rPr>
        <w:t>Id.</w:t>
      </w:r>
      <w:r>
        <w:rPr>
          <w:rFonts w:ascii="Arial" w:eastAsia="Arial" w:hAnsi="Arial" w:cs="Arial"/>
          <w:color w:val="000000"/>
          <w:sz w:val="20"/>
        </w:rPr>
        <w:t xml:space="preserve"> Protected activity includes the right to file [**17]  an EEOC charge or similar complaint with a state agency, </w:t>
      </w:r>
      <w:r>
        <w:rPr>
          <w:rFonts w:ascii="Arial" w:eastAsia="Arial" w:hAnsi="Arial" w:cs="Arial"/>
          <w:i/>
          <w:color w:val="000000"/>
          <w:sz w:val="20"/>
        </w:rPr>
        <w:t>see, e.g.</w:t>
      </w:r>
      <w:r>
        <w:rPr>
          <w:rFonts w:ascii="Arial" w:eastAsia="Arial" w:hAnsi="Arial" w:cs="Arial"/>
          <w:color w:val="000000"/>
          <w:sz w:val="20"/>
        </w:rPr>
        <w:t xml:space="preserve">, 42 U.S.C. § 2000e-3(a), or to request an accommodation, </w:t>
      </w:r>
      <w:bookmarkStart w:id="2156" w:name="Bookmark_I627H2MW2N1RPD0030000400"/>
      <w:bookmarkEnd w:id="2156"/>
      <w:r>
        <w:rPr>
          <w:rFonts w:ascii="Arial" w:eastAsia="Arial" w:hAnsi="Arial" w:cs="Arial"/>
          <w:i/>
          <w:color w:val="000000"/>
          <w:sz w:val="20"/>
        </w:rPr>
        <w:t>Haulbrook</w:t>
      </w:r>
      <w:r>
        <w:rPr>
          <w:rFonts w:ascii="Arial" w:eastAsia="Arial" w:hAnsi="Arial" w:cs="Arial"/>
          <w:color w:val="000000"/>
          <w:sz w:val="20"/>
        </w:rPr>
        <w:t xml:space="preserve">, 252 F.3d at 706. "[U]nlike a substantive discrimination claim, the adverse action component of Title VII's antiretaliation provision is not limited to discriminatory actions that affect the terms and conditions of employment," and "the adverse action component of Title VII's antiretaliation provision can be satisfied by showing that the employer took materially adverse action in response to an employee engaging in a protected activity." </w:t>
      </w:r>
      <w:bookmarkStart w:id="2157" w:name="Bookmark_I627H2MW2N1RPD0050000400"/>
      <w:bookmarkEnd w:id="2157"/>
      <w:r>
        <w:rPr>
          <w:rFonts w:ascii="Arial" w:eastAsia="Arial" w:hAnsi="Arial" w:cs="Arial"/>
          <w:i/>
          <w:color w:val="000000"/>
          <w:sz w:val="20"/>
        </w:rPr>
        <w:t>Williams v. Prince William Cty.</w:t>
      </w:r>
      <w:r>
        <w:rPr>
          <w:rFonts w:ascii="Arial" w:eastAsia="Arial" w:hAnsi="Arial" w:cs="Arial"/>
          <w:color w:val="000000"/>
          <w:sz w:val="20"/>
        </w:rPr>
        <w:t>, 645 F. App'x 243, 244-45 (4th Cir. 2016).</w:t>
      </w:r>
      <w:r>
        <w:rPr>
          <w:rFonts w:ascii="Arial" w:eastAsia="Arial" w:hAnsi="Arial" w:cs="Arial"/>
          <w:vertAlign w:val="superscript"/>
        </w:rPr>
        <w:footnoteReference w:customMarkFollows="1" w:id="93"/>
        <w:t>8</w:t>
      </w:r>
    </w:p>
    <w:p w14:paraId="189A5516" w14:textId="77777777" w:rsidR="002B10A6" w:rsidRDefault="00000000">
      <w:pPr>
        <w:pStyle w:val="Normal13"/>
        <w:widowControl w:val="0"/>
        <w:spacing w:before="200" w:line="260" w:lineRule="atLeast"/>
        <w:jc w:val="both"/>
      </w:pPr>
      <w:bookmarkStart w:id="2160" w:name="Bookmark_para_41_3"/>
      <w:bookmarkStart w:id="2161" w:name="Bookmark_I627H2MX2N1RPF0040000400"/>
      <w:bookmarkEnd w:id="2160"/>
      <w:bookmarkEnd w:id="2161"/>
      <w:r>
        <w:rPr>
          <w:rFonts w:ascii="Arial" w:eastAsia="Arial" w:hAnsi="Arial" w:cs="Arial"/>
          <w:color w:val="000000"/>
          <w:sz w:val="20"/>
        </w:rPr>
        <w:t xml:space="preserve">The district court held that Thomas failed to establish his prima facie case of retaliation because he didn't show a causal relationship between the adverse employment actions taken against him, namely being placed on leave without pay and later terminated, and his filing of employment discrimination charges. While noting the 20-day gap between Thomas's filing of charges with the EEOC and Maryland Commission on Civil Rights and the City placing him on leave without pay, the court held that this close temporal proximity didn't establish a causal connection, because the date on which Thomas went on unpaid leave was administratively predetermined well before [**18]  Thomas filed charges of employment discrimination. </w:t>
      </w:r>
      <w:bookmarkStart w:id="2162" w:name="Bookmark_I627H2MX2N1RPF0030000400"/>
      <w:bookmarkEnd w:id="2162"/>
      <w:r>
        <w:rPr>
          <w:rFonts w:ascii="Arial" w:eastAsia="Arial" w:hAnsi="Arial" w:cs="Arial"/>
          <w:i/>
          <w:color w:val="000000"/>
          <w:sz w:val="20"/>
        </w:rPr>
        <w:t>Thomas</w:t>
      </w:r>
      <w:r>
        <w:rPr>
          <w:rFonts w:ascii="Arial" w:eastAsia="Arial" w:hAnsi="Arial" w:cs="Arial"/>
          <w:color w:val="000000"/>
          <w:sz w:val="20"/>
        </w:rPr>
        <w:t>, 2018 U.S. Dist. LEXIS 149850, 2018 WL 4206951, at *9.</w:t>
      </w:r>
    </w:p>
    <w:p w14:paraId="73BEDB85" w14:textId="77777777" w:rsidR="002B10A6" w:rsidRDefault="00000000">
      <w:pPr>
        <w:pStyle w:val="Normal13"/>
        <w:widowControl w:val="0"/>
        <w:spacing w:before="200" w:line="260" w:lineRule="atLeast"/>
        <w:jc w:val="both"/>
      </w:pPr>
      <w:bookmarkStart w:id="2163" w:name="Bookmark_para_42_3"/>
      <w:bookmarkStart w:id="2164" w:name="Bookmark_I627H2MX28T40V0010000400"/>
      <w:bookmarkStart w:id="2165" w:name="Bookmark_I627H2MX28T40V0030000400"/>
      <w:bookmarkStart w:id="2166" w:name="Bookmark_LNHNREFclscc16_1"/>
      <w:bookmarkEnd w:id="2163"/>
      <w:bookmarkEnd w:id="2164"/>
      <w:bookmarkEnd w:id="2165"/>
      <w:bookmarkEnd w:id="2166"/>
      <w:r>
        <w:rPr>
          <w:rFonts w:ascii="Arial" w:eastAsia="Arial" w:hAnsi="Arial" w:cs="Arial"/>
          <w:color w:val="000000"/>
          <w:sz w:val="20"/>
        </w:rPr>
        <w:t xml:space="preserve">But establishing a "causal relationship" at the prima facie stage isn't an onerous burden. </w:t>
      </w:r>
      <w:r>
        <w:rPr>
          <w:rFonts w:ascii="Arial" w:eastAsia="Arial" w:hAnsi="Arial" w:cs="Arial"/>
          <w:i/>
          <w:color w:val="000000"/>
          <w:sz w:val="20"/>
        </w:rPr>
        <w:t xml:space="preserve">See </w:t>
      </w:r>
      <w:bookmarkStart w:id="2167" w:name="Bookmark_I627H2MX2N1RPF0050000400"/>
      <w:bookmarkEnd w:id="2167"/>
      <w:r>
        <w:rPr>
          <w:rFonts w:ascii="Arial" w:eastAsia="Arial" w:hAnsi="Arial" w:cs="Arial"/>
          <w:i/>
          <w:color w:val="000000"/>
          <w:sz w:val="20"/>
        </w:rPr>
        <w:t>Foster</w:t>
      </w:r>
      <w:r>
        <w:rPr>
          <w:rFonts w:ascii="Arial" w:eastAsia="Arial" w:hAnsi="Arial" w:cs="Arial"/>
          <w:color w:val="000000"/>
          <w:sz w:val="20"/>
        </w:rPr>
        <w:t xml:space="preserve">, 787 F.3d at 251. </w:t>
      </w:r>
      <w:bookmarkStart w:id="2168" w:name="Bookmark_I627H2MX28T40V0050000400"/>
      <w:bookmarkEnd w:id="2168"/>
      <w:r>
        <w:rPr>
          <w:rFonts w:ascii="Arial" w:eastAsia="Arial" w:hAnsi="Arial" w:cs="Arial"/>
          <w:color w:val="000000"/>
          <w:sz w:val="20"/>
        </w:rPr>
        <w:t xml:space="preserve">"An employee may satisfy his burden simply by showing that (1) the employer either understood or should have understood the employee to be engaged in protected activity and (2) the employer took adverse action against the employee soon after becoming aware of such activity." </w:t>
      </w:r>
      <w:bookmarkStart w:id="2169" w:name="Bookmark_I627H2MX28T40V0020000400"/>
      <w:bookmarkEnd w:id="2169"/>
      <w:r>
        <w:rPr>
          <w:rFonts w:ascii="Arial" w:eastAsia="Arial" w:hAnsi="Arial" w:cs="Arial"/>
          <w:i/>
          <w:color w:val="000000"/>
          <w:sz w:val="20"/>
        </w:rPr>
        <w:t>Strothers v. City of Laurel</w:t>
      </w:r>
      <w:r>
        <w:rPr>
          <w:rFonts w:ascii="Arial" w:eastAsia="Arial" w:hAnsi="Arial" w:cs="Arial"/>
          <w:color w:val="000000"/>
          <w:sz w:val="20"/>
        </w:rPr>
        <w:t xml:space="preserve">, 895 F.3d 317, 335-36 (4th Cir. 2018). </w:t>
      </w:r>
      <w:bookmarkStart w:id="2170" w:name="Bookmark_I627H2MX28T40V0050000400_2"/>
      <w:bookmarkEnd w:id="2170"/>
      <w:r>
        <w:rPr>
          <w:rFonts w:ascii="Arial" w:eastAsia="Arial" w:hAnsi="Arial" w:cs="Arial"/>
          <w:color w:val="000000"/>
          <w:sz w:val="20"/>
        </w:rPr>
        <w:t xml:space="preserve">We have previously held that four months between the protected activity and adverse employment action is sufficient to establish a causal connection at the prima facie stage. </w:t>
      </w:r>
      <w:bookmarkStart w:id="2171" w:name="Bookmark_I627H2MX28T40V0040000400"/>
      <w:bookmarkEnd w:id="2171"/>
      <w:r>
        <w:rPr>
          <w:rFonts w:ascii="Arial" w:eastAsia="Arial" w:hAnsi="Arial" w:cs="Arial"/>
          <w:i/>
          <w:color w:val="000000"/>
          <w:sz w:val="20"/>
        </w:rPr>
        <w:t>Carter v. Ball</w:t>
      </w:r>
      <w:r>
        <w:rPr>
          <w:rFonts w:ascii="Arial" w:eastAsia="Arial" w:hAnsi="Arial" w:cs="Arial"/>
          <w:color w:val="000000"/>
          <w:sz w:val="20"/>
        </w:rPr>
        <w:t>, 33 F.3d 450, 460 (4th Cir. 1994).</w:t>
      </w:r>
    </w:p>
    <w:p w14:paraId="7BF875CC" w14:textId="77777777" w:rsidR="002B10A6" w:rsidRDefault="00000000">
      <w:pPr>
        <w:pStyle w:val="Normal13"/>
        <w:widowControl w:val="0"/>
        <w:spacing w:before="200" w:line="260" w:lineRule="atLeast"/>
        <w:jc w:val="both"/>
      </w:pPr>
      <w:bookmarkStart w:id="2172" w:name="Bookmark_para_43_2"/>
      <w:bookmarkEnd w:id="2172"/>
      <w:r>
        <w:rPr>
          <w:rFonts w:ascii="Arial" w:eastAsia="Arial" w:hAnsi="Arial" w:cs="Arial"/>
          <w:color w:val="000000"/>
          <w:sz w:val="20"/>
        </w:rPr>
        <w:t xml:space="preserve">The 20 days between Thomas's filing of his charges before the Maryland Commission on Civil Rights and EEOC and the City placing him on unpaid leave falls well within the four-month window deemed sufficient for establishing causation at the prima facie stage. </w:t>
      </w:r>
      <w:r>
        <w:rPr>
          <w:rFonts w:ascii="Arial" w:eastAsia="Arial" w:hAnsi="Arial" w:cs="Arial"/>
          <w:i/>
          <w:color w:val="000000"/>
          <w:sz w:val="20"/>
        </w:rPr>
        <w:t>Id.</w:t>
      </w:r>
      <w:r>
        <w:rPr>
          <w:rFonts w:ascii="Arial" w:eastAsia="Arial" w:hAnsi="Arial" w:cs="Arial"/>
          <w:color w:val="000000"/>
          <w:sz w:val="20"/>
        </w:rPr>
        <w:t xml:space="preserve"> Thus, though the district court was correct that the City took no affirmative steps to place Thomas on unpaid leave 20 days after he filed his discrimination charges, the court nevertheless erred in rejecting Thomas's prima facie case of retaliation. The temporal proximity between Thomas's filing of discrimination  [*351]  charges and being [**19]  placed on unpaid leave, regardless of why the adverse action occurred, is enough to carry Thomas's initial burden.</w:t>
      </w:r>
    </w:p>
    <w:p w14:paraId="05CC1650" w14:textId="77777777" w:rsidR="002B10A6" w:rsidRDefault="00000000">
      <w:pPr>
        <w:pStyle w:val="Normal13"/>
        <w:widowControl w:val="0"/>
        <w:spacing w:before="200" w:line="260" w:lineRule="atLeast"/>
        <w:jc w:val="both"/>
      </w:pPr>
      <w:bookmarkStart w:id="2173" w:name="Bookmark_para_44_2"/>
      <w:bookmarkStart w:id="2174" w:name="Bookmark_I4W501X1N3P000066DD000CS"/>
      <w:bookmarkStart w:id="2175" w:name="Bookmark_I627H2MX28T40Y0020000400"/>
      <w:bookmarkEnd w:id="2173"/>
      <w:bookmarkEnd w:id="2174"/>
      <w:bookmarkEnd w:id="2175"/>
      <w:r>
        <w:rPr>
          <w:rFonts w:ascii="Arial" w:eastAsia="Arial" w:hAnsi="Arial" w:cs="Arial"/>
          <w:color w:val="000000"/>
          <w:sz w:val="20"/>
        </w:rPr>
        <w:t xml:space="preserve">The burden then shifts to the City to put forth a legitimate non-retaliatory reason for the purportedly retaliatory action. </w:t>
      </w:r>
      <w:bookmarkStart w:id="2176" w:name="Bookmark_I627H2MX28T40Y0010000400"/>
      <w:bookmarkEnd w:id="2176"/>
      <w:r>
        <w:rPr>
          <w:rFonts w:ascii="Arial" w:eastAsia="Arial" w:hAnsi="Arial" w:cs="Arial"/>
          <w:i/>
          <w:color w:val="000000"/>
          <w:sz w:val="20"/>
        </w:rPr>
        <w:t>Foster</w:t>
      </w:r>
      <w:r>
        <w:rPr>
          <w:rFonts w:ascii="Arial" w:eastAsia="Arial" w:hAnsi="Arial" w:cs="Arial"/>
          <w:color w:val="000000"/>
          <w:sz w:val="20"/>
        </w:rPr>
        <w:t>, 787 F.3d at 250. Here, the City has done so, explaining, as discussed above, that it placed Thomas on leave without pay because his paid leave and short-term disability benefits ran out.</w:t>
      </w:r>
    </w:p>
    <w:p w14:paraId="0180B0A4" w14:textId="77777777" w:rsidR="002B10A6" w:rsidRDefault="00000000">
      <w:pPr>
        <w:pStyle w:val="Normal13"/>
        <w:widowControl w:val="0"/>
        <w:spacing w:before="200" w:line="260" w:lineRule="atLeast"/>
        <w:jc w:val="both"/>
      </w:pPr>
      <w:bookmarkStart w:id="2177" w:name="Bookmark_para_45_2"/>
      <w:bookmarkEnd w:id="2177"/>
      <w:r>
        <w:rPr>
          <w:rFonts w:ascii="Arial" w:eastAsia="Arial" w:hAnsi="Arial" w:cs="Arial"/>
          <w:color w:val="000000"/>
          <w:sz w:val="20"/>
        </w:rPr>
        <w:t>The burden then shifts back to Thomas to show that the City's purported non-retaliatory reason was pretextual. Thomas makes no such showing, instead asserting that the City's handling of his retirement application and decision to return him to full duty—neither of which are adverse employment actions—were contrary to its own policies and practices. But Thomas fails to explain how these purported deviations from the City's policies establish pretext.</w:t>
      </w:r>
    </w:p>
    <w:p w14:paraId="4105322F" w14:textId="77777777" w:rsidR="002B10A6" w:rsidRDefault="00000000">
      <w:pPr>
        <w:pStyle w:val="Normal13"/>
        <w:widowControl w:val="0"/>
        <w:spacing w:before="200" w:line="260" w:lineRule="atLeast"/>
        <w:jc w:val="both"/>
      </w:pPr>
      <w:bookmarkStart w:id="2178" w:name="Bookmark_para_46_1"/>
      <w:bookmarkStart w:id="2179" w:name="Bookmark_I4W501X1SPR000066DD000CT"/>
      <w:bookmarkStart w:id="2180" w:name="Bookmark_I627H2MX28T40Y0040000400"/>
      <w:bookmarkEnd w:id="2178"/>
      <w:bookmarkEnd w:id="2179"/>
      <w:bookmarkEnd w:id="2180"/>
      <w:r>
        <w:rPr>
          <w:rFonts w:ascii="Arial" w:eastAsia="Arial" w:hAnsi="Arial" w:cs="Arial"/>
          <w:color w:val="000000"/>
          <w:sz w:val="20"/>
        </w:rPr>
        <w:t xml:space="preserve">At most, Thomas shows that the City could have done a better job in following its own internal procedures. </w:t>
      </w:r>
      <w:bookmarkStart w:id="2181" w:name="Bookmark_LNHNREFclscc17_1"/>
      <w:bookmarkEnd w:id="2181"/>
      <w:r>
        <w:rPr>
          <w:rFonts w:ascii="Arial" w:eastAsia="Arial" w:hAnsi="Arial" w:cs="Arial"/>
          <w:color w:val="000000"/>
          <w:sz w:val="20"/>
        </w:rPr>
        <w:t xml:space="preserve">But "[o]nce an employer has provided a non-discriminatory explanation for its decision, the plaintiff cannot seek to expose that rationale as pretextual by focusing on minor discrepancies that do not cast doubt on the explanation's [**20]  validity, or by raising points that are wholly irrelevant to it." </w:t>
      </w:r>
      <w:bookmarkStart w:id="2182" w:name="Bookmark_I627H2MX28T40Y0030000400"/>
      <w:bookmarkEnd w:id="2182"/>
      <w:r>
        <w:rPr>
          <w:rFonts w:ascii="Arial" w:eastAsia="Arial" w:hAnsi="Arial" w:cs="Arial"/>
          <w:i/>
          <w:color w:val="000000"/>
          <w:sz w:val="20"/>
        </w:rPr>
        <w:t>Hux v. City of Newport News</w:t>
      </w:r>
      <w:r>
        <w:rPr>
          <w:rFonts w:ascii="Arial" w:eastAsia="Arial" w:hAnsi="Arial" w:cs="Arial"/>
          <w:color w:val="000000"/>
          <w:sz w:val="20"/>
        </w:rPr>
        <w:t>, 451 F.3d 311, 315 (4th Cir. 2006). Because Thomas has shown no more than that, his claim fails.</w:t>
      </w:r>
    </w:p>
    <w:p w14:paraId="7F630E29" w14:textId="77777777" w:rsidR="002B10A6" w:rsidRDefault="00000000">
      <w:pPr>
        <w:pStyle w:val="Normal13"/>
        <w:widowControl w:val="0"/>
        <w:spacing w:before="120" w:line="260" w:lineRule="atLeast"/>
      </w:pPr>
      <w:r>
        <w:rPr>
          <w:rFonts w:ascii="Arial" w:eastAsia="Arial" w:hAnsi="Arial" w:cs="Arial"/>
          <w:color w:val="000000"/>
          <w:sz w:val="20"/>
        </w:rPr>
        <w:t>III.</w:t>
      </w:r>
    </w:p>
    <w:p w14:paraId="16234571" w14:textId="77777777" w:rsidR="002B10A6" w:rsidRDefault="00000000">
      <w:pPr>
        <w:pStyle w:val="Normal13"/>
        <w:widowControl w:val="0"/>
        <w:spacing w:before="200" w:line="260" w:lineRule="atLeast"/>
        <w:jc w:val="both"/>
      </w:pPr>
      <w:bookmarkStart w:id="2183" w:name="Bookmark_para_47_1"/>
      <w:bookmarkEnd w:id="2183"/>
      <w:r>
        <w:rPr>
          <w:rFonts w:ascii="Arial" w:eastAsia="Arial" w:hAnsi="Arial" w:cs="Arial"/>
          <w:color w:val="000000"/>
          <w:sz w:val="20"/>
        </w:rPr>
        <w:t>For the reasons given, we affirm the district court's judgment.</w:t>
      </w:r>
    </w:p>
    <w:p w14:paraId="622BADFB" w14:textId="77777777" w:rsidR="002B10A6" w:rsidRDefault="00000000">
      <w:pPr>
        <w:pStyle w:val="Normal13"/>
        <w:widowControl w:val="0"/>
        <w:spacing w:before="200" w:line="260" w:lineRule="atLeast"/>
        <w:jc w:val="both"/>
      </w:pPr>
      <w:bookmarkStart w:id="2184" w:name="Bookmark_para_48_1"/>
      <w:bookmarkEnd w:id="2184"/>
      <w:r>
        <w:rPr>
          <w:rFonts w:ascii="Arial" w:eastAsia="Arial" w:hAnsi="Arial" w:cs="Arial"/>
          <w:i/>
          <w:color w:val="000000"/>
          <w:sz w:val="20"/>
        </w:rPr>
        <w:t>AFFIRMED</w:t>
      </w:r>
    </w:p>
    <w:p w14:paraId="40BE5D49" w14:textId="77777777" w:rsidR="002B10A6" w:rsidRDefault="002B10A6">
      <w:pPr>
        <w:pStyle w:val="Normal13"/>
      </w:pPr>
    </w:p>
    <w:p w14:paraId="620D90F6" w14:textId="2F6327A1" w:rsidR="002B10A6" w:rsidRDefault="00000000">
      <w:pPr>
        <w:pStyle w:val="Normal13"/>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86912" behindDoc="0" locked="0" layoutInCell="1" allowOverlap="1" wp14:anchorId="602EA0BF" wp14:editId="206720D4">
                <wp:simplePos x="0" y="0"/>
                <wp:positionH relativeFrom="column">
                  <wp:posOffset>0</wp:posOffset>
                </wp:positionH>
                <wp:positionV relativeFrom="paragraph">
                  <wp:posOffset>127000</wp:posOffset>
                </wp:positionV>
                <wp:extent cx="6502400" cy="0"/>
                <wp:effectExtent l="9525" t="12700" r="12700" b="6350"/>
                <wp:wrapNone/>
                <wp:docPr id="167656792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728837" id="Line 29"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D7F063C" w14:textId="77777777" w:rsidR="002B10A6" w:rsidRDefault="002B10A6">
      <w:pPr>
        <w:pStyle w:val="Normal14"/>
        <w:sectPr w:rsidR="002B10A6">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gutter="0"/>
          <w:cols w:space="720"/>
          <w:titlePg/>
        </w:sectPr>
      </w:pPr>
    </w:p>
    <w:p w14:paraId="4D1EEF9B" w14:textId="77777777" w:rsidR="002B10A6" w:rsidRDefault="002B10A6">
      <w:pPr>
        <w:pStyle w:val="Normal14"/>
      </w:pPr>
    </w:p>
    <w:p w14:paraId="36DAF5E9" w14:textId="77777777" w:rsidR="002B10A6" w:rsidRDefault="00000000">
      <w:pPr>
        <w:pStyle w:val="Heading113"/>
        <w:keepNext w:val="0"/>
        <w:widowControl w:val="0"/>
        <w:spacing w:after="200" w:line="340" w:lineRule="atLeast"/>
        <w:jc w:val="center"/>
      </w:pPr>
      <w:r>
        <w:rPr>
          <w:rFonts w:eastAsia="Arial"/>
          <w:color w:val="000000"/>
          <w:sz w:val="28"/>
        </w:rPr>
        <w:t>Suárez-Torres v. Panaderia y Resposteria España, Inc.</w:t>
      </w:r>
    </w:p>
    <w:p w14:paraId="0918B501" w14:textId="77777777" w:rsidR="002B10A6" w:rsidRDefault="00000000">
      <w:pPr>
        <w:pStyle w:val="Normal14"/>
        <w:widowControl w:val="0"/>
        <w:spacing w:before="120" w:line="260" w:lineRule="atLeast"/>
        <w:jc w:val="center"/>
      </w:pPr>
      <w:r>
        <w:rPr>
          <w:rFonts w:ascii="Arial" w:eastAsia="Arial" w:hAnsi="Arial" w:cs="Arial"/>
          <w:color w:val="000000"/>
          <w:sz w:val="20"/>
        </w:rPr>
        <w:t>United States Court of Appeals for the First Circuit</w:t>
      </w:r>
    </w:p>
    <w:p w14:paraId="13E4942C" w14:textId="77777777" w:rsidR="002B10A6" w:rsidRDefault="00000000">
      <w:pPr>
        <w:pStyle w:val="Normal14"/>
        <w:widowControl w:val="0"/>
        <w:spacing w:before="120" w:line="260" w:lineRule="atLeast"/>
        <w:jc w:val="center"/>
      </w:pPr>
      <w:r>
        <w:rPr>
          <w:rFonts w:ascii="Arial" w:eastAsia="Arial" w:hAnsi="Arial" w:cs="Arial"/>
          <w:color w:val="000000"/>
          <w:sz w:val="20"/>
        </w:rPr>
        <w:t>February 17, 2021, Decided</w:t>
      </w:r>
    </w:p>
    <w:p w14:paraId="4315274A" w14:textId="77777777" w:rsidR="002B10A6" w:rsidRDefault="00000000">
      <w:pPr>
        <w:pStyle w:val="Normal14"/>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Nos. 18-1618; 18-1684</w:t>
      </w:r>
    </w:p>
    <w:p w14:paraId="1D910A6A" w14:textId="77777777" w:rsidR="002B10A6" w:rsidRDefault="002B10A6">
      <w:pPr>
        <w:pStyle w:val="Normal14"/>
        <w:widowControl w:val="0"/>
        <w:spacing w:line="240" w:lineRule="atLeast"/>
        <w:jc w:val="both"/>
      </w:pPr>
      <w:bookmarkStart w:id="2185" w:name="Bookmark_15"/>
      <w:bookmarkEnd w:id="2185"/>
    </w:p>
    <w:p w14:paraId="604957C0" w14:textId="77777777" w:rsidR="002B10A6" w:rsidRDefault="00000000">
      <w:pPr>
        <w:pStyle w:val="Normal14"/>
        <w:widowControl w:val="0"/>
        <w:spacing w:before="200" w:line="240" w:lineRule="atLeast"/>
      </w:pPr>
      <w:bookmarkStart w:id="2186" w:name="Reporter_13"/>
      <w:bookmarkEnd w:id="2186"/>
      <w:r>
        <w:rPr>
          <w:rFonts w:ascii="Arial" w:eastAsia="Arial" w:hAnsi="Arial" w:cs="Arial"/>
          <w:b/>
          <w:color w:val="000000"/>
          <w:sz w:val="18"/>
        </w:rPr>
        <w:t>Reporter</w:t>
      </w:r>
    </w:p>
    <w:p w14:paraId="78B85962" w14:textId="77777777" w:rsidR="002B10A6" w:rsidRDefault="00000000">
      <w:pPr>
        <w:pStyle w:val="Normal14"/>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988 F.3d 542 *; 2021 U.S. App. LEXIS 4514 **; 2021 WL 613201</w:t>
      </w:r>
    </w:p>
    <w:p w14:paraId="5349EF60" w14:textId="77777777" w:rsidR="002B10A6" w:rsidRDefault="00000000">
      <w:pPr>
        <w:pStyle w:val="Normal14"/>
        <w:widowControl w:val="0"/>
        <w:spacing w:before="120" w:line="260" w:lineRule="atLeast"/>
      </w:pPr>
      <w:r>
        <w:rPr>
          <w:rFonts w:ascii="Arial" w:eastAsia="Arial" w:hAnsi="Arial" w:cs="Arial"/>
          <w:color w:val="000000"/>
          <w:sz w:val="20"/>
        </w:rPr>
        <w:t>MARIA SUÁREZ-TORRES and NORBETO MEDINA-RODRIGUEZ, Plaintiffs, Appellants, v. PANADERIA Y RESPOSTERIA ESPAÑA, INC., d/b/a PANADERIA ESPAÑA and IMMOBILIARIA ISLA VERDE, INC., Defendants, Appellees.</w:t>
      </w:r>
    </w:p>
    <w:p w14:paraId="56710992" w14:textId="77777777" w:rsidR="002B10A6" w:rsidRDefault="00000000">
      <w:pPr>
        <w:pStyle w:val="Normal14"/>
        <w:widowControl w:val="0"/>
        <w:spacing w:before="240" w:line="260" w:lineRule="atLeast"/>
        <w:jc w:val="both"/>
      </w:pPr>
      <w:bookmarkStart w:id="2187" w:name="Prior_History_13"/>
      <w:bookmarkEnd w:id="2187"/>
      <w:r>
        <w:rPr>
          <w:rFonts w:ascii="Arial" w:eastAsia="Arial" w:hAnsi="Arial" w:cs="Arial"/>
          <w:b/>
          <w:color w:val="000000"/>
          <w:sz w:val="20"/>
        </w:rPr>
        <w:t>Prior History:</w:t>
      </w:r>
      <w:r>
        <w:rPr>
          <w:rFonts w:ascii="Arial" w:eastAsia="Arial" w:hAnsi="Arial" w:cs="Arial"/>
          <w:color w:val="000000"/>
          <w:sz w:val="20"/>
        </w:rPr>
        <w:t> </w:t>
      </w:r>
      <w:bookmarkStart w:id="2188" w:name="Bookmark_para_1_13"/>
      <w:bookmarkEnd w:id="2188"/>
      <w:r>
        <w:rPr>
          <w:rFonts w:ascii="Arial" w:eastAsia="Arial" w:hAnsi="Arial" w:cs="Arial"/>
          <w:color w:val="000000"/>
          <w:sz w:val="20"/>
        </w:rPr>
        <w:t> [**1] APPEALS FROM THE UNITED STATES DISTRICT COURT FOR THE DISTRICT OF PUERTO RICO. [Hon. Juan M. Pérez-Giménez, U.S. District Judge].</w:t>
      </w:r>
    </w:p>
    <w:p w14:paraId="4988FBC2" w14:textId="77777777" w:rsidR="002B10A6" w:rsidRDefault="00000000">
      <w:pPr>
        <w:pStyle w:val="Normal14"/>
        <w:widowControl w:val="0"/>
        <w:spacing w:before="120" w:line="260" w:lineRule="atLeast"/>
      </w:pPr>
      <w:r>
        <w:rPr>
          <w:rFonts w:ascii="Arial" w:eastAsia="Arial" w:hAnsi="Arial" w:cs="Arial"/>
          <w:color w:val="000000"/>
          <w:sz w:val="20"/>
        </w:rPr>
        <w:t>Suarez-Torres v. Panaderia Y Reposteria Espana, Inc., 2018 U.S. Dist. LEXIS 95519, 2018 WL 2670658 (D.P.R., June 4, 2018)</w:t>
      </w:r>
    </w:p>
    <w:p w14:paraId="272F1386" w14:textId="77777777" w:rsidR="002B10A6" w:rsidRDefault="00000000">
      <w:pPr>
        <w:pStyle w:val="Normal14"/>
        <w:widowControl w:val="0"/>
        <w:spacing w:before="240" w:line="260" w:lineRule="atLeast"/>
        <w:jc w:val="both"/>
      </w:pPr>
      <w:bookmarkStart w:id="2189" w:name="Disposition_6"/>
      <w:bookmarkEnd w:id="2189"/>
      <w:r>
        <w:rPr>
          <w:rFonts w:ascii="Arial" w:eastAsia="Arial" w:hAnsi="Arial" w:cs="Arial"/>
          <w:b/>
          <w:color w:val="000000"/>
          <w:sz w:val="20"/>
        </w:rPr>
        <w:t>Disposition:</w:t>
      </w:r>
      <w:r>
        <w:rPr>
          <w:rFonts w:ascii="Arial" w:eastAsia="Arial" w:hAnsi="Arial" w:cs="Arial"/>
          <w:color w:val="000000"/>
          <w:sz w:val="20"/>
        </w:rPr>
        <w:t> </w:t>
      </w:r>
      <w:bookmarkStart w:id="2190" w:name="Bookmark_clspara_4_6"/>
      <w:bookmarkEnd w:id="2190"/>
      <w:r>
        <w:rPr>
          <w:rFonts w:ascii="Arial" w:eastAsia="Arial" w:hAnsi="Arial" w:cs="Arial"/>
          <w:color w:val="000000"/>
          <w:sz w:val="20"/>
        </w:rPr>
        <w:t>Affirmed.</w:t>
      </w:r>
    </w:p>
    <w:p w14:paraId="540CD18C" w14:textId="77777777" w:rsidR="002B10A6" w:rsidRDefault="00000000">
      <w:pPr>
        <w:pStyle w:val="Normal14"/>
        <w:widowControl w:val="0"/>
        <w:spacing w:before="240" w:line="260" w:lineRule="atLeast"/>
      </w:pPr>
      <w:bookmarkStart w:id="2191" w:name="Counsel_13"/>
      <w:bookmarkEnd w:id="2191"/>
      <w:r>
        <w:rPr>
          <w:rFonts w:ascii="Arial" w:eastAsia="Arial" w:hAnsi="Arial" w:cs="Arial"/>
          <w:b/>
          <w:color w:val="000000"/>
          <w:sz w:val="20"/>
        </w:rPr>
        <w:t>Counsel:</w:t>
      </w:r>
      <w:r>
        <w:rPr>
          <w:rFonts w:ascii="Arial" w:eastAsia="Arial" w:hAnsi="Arial" w:cs="Arial"/>
          <w:color w:val="000000"/>
          <w:sz w:val="20"/>
        </w:rPr>
        <w:t> Jose Carlos Velez Colon for appellants, with whom Law Offices of Velez-Colon was on brief.</w:t>
      </w:r>
    </w:p>
    <w:p w14:paraId="0ACFC7D9" w14:textId="77777777" w:rsidR="002B10A6" w:rsidRDefault="00000000">
      <w:pPr>
        <w:pStyle w:val="Normal14"/>
        <w:widowControl w:val="0"/>
        <w:spacing w:before="120" w:line="260" w:lineRule="atLeast"/>
      </w:pPr>
      <w:r>
        <w:rPr>
          <w:rFonts w:ascii="Arial" w:eastAsia="Arial" w:hAnsi="Arial" w:cs="Arial"/>
          <w:color w:val="000000"/>
          <w:sz w:val="20"/>
        </w:rPr>
        <w:t>José Enrico Valenzuela-Alvarado for appellees, with whom Valenzuela-Alvarado, LLC was on brief.</w:t>
      </w:r>
    </w:p>
    <w:p w14:paraId="60327718" w14:textId="77777777" w:rsidR="002B10A6" w:rsidRDefault="00000000">
      <w:pPr>
        <w:pStyle w:val="Normal14"/>
        <w:widowControl w:val="0"/>
        <w:spacing w:before="240" w:line="260" w:lineRule="atLeast"/>
      </w:pPr>
      <w:bookmarkStart w:id="2192" w:name="Judges_13"/>
      <w:bookmarkEnd w:id="2192"/>
      <w:r>
        <w:rPr>
          <w:rFonts w:ascii="Arial" w:eastAsia="Arial" w:hAnsi="Arial" w:cs="Arial"/>
          <w:b/>
          <w:color w:val="000000"/>
          <w:sz w:val="20"/>
        </w:rPr>
        <w:t>Judges:</w:t>
      </w:r>
      <w:r>
        <w:rPr>
          <w:rFonts w:ascii="Arial" w:eastAsia="Arial" w:hAnsi="Arial" w:cs="Arial"/>
          <w:color w:val="000000"/>
          <w:sz w:val="20"/>
        </w:rPr>
        <w:t> Before Barron, Lipez, and Dyk,</w:t>
      </w:r>
      <w:r>
        <w:rPr>
          <w:rFonts w:ascii="Arial" w:eastAsia="Arial" w:hAnsi="Arial" w:cs="Arial"/>
          <w:vertAlign w:val="superscript"/>
        </w:rPr>
        <w:footnoteReference w:customMarkFollows="1" w:id="94"/>
        <w:t>*</w:t>
      </w:r>
      <w:r>
        <w:rPr>
          <w:rFonts w:ascii="Arial" w:eastAsia="Arial" w:hAnsi="Arial" w:cs="Arial"/>
          <w:color w:val="000000"/>
          <w:sz w:val="20"/>
        </w:rPr>
        <w:t xml:space="preserve"> Circuit Judges.</w:t>
      </w:r>
    </w:p>
    <w:p w14:paraId="0B0FB474" w14:textId="77777777" w:rsidR="002B10A6" w:rsidRDefault="00000000">
      <w:pPr>
        <w:pStyle w:val="Normal14"/>
        <w:widowControl w:val="0"/>
        <w:spacing w:before="240" w:line="260" w:lineRule="atLeast"/>
      </w:pPr>
      <w:bookmarkStart w:id="2194" w:name="Opinion_by_11"/>
      <w:bookmarkEnd w:id="2194"/>
      <w:r>
        <w:rPr>
          <w:rFonts w:ascii="Arial" w:eastAsia="Arial" w:hAnsi="Arial" w:cs="Arial"/>
          <w:b/>
          <w:color w:val="000000"/>
          <w:sz w:val="20"/>
        </w:rPr>
        <w:t>Opinion by:</w:t>
      </w:r>
      <w:r>
        <w:rPr>
          <w:rFonts w:ascii="Arial" w:eastAsia="Arial" w:hAnsi="Arial" w:cs="Arial"/>
          <w:color w:val="000000"/>
          <w:sz w:val="20"/>
        </w:rPr>
        <w:t> LIPEZ</w:t>
      </w:r>
    </w:p>
    <w:p w14:paraId="748A8CB8" w14:textId="77777777" w:rsidR="002B10A6" w:rsidRDefault="00000000">
      <w:pPr>
        <w:pStyle w:val="Normal14"/>
        <w:keepNext/>
        <w:widowControl w:val="0"/>
        <w:spacing w:before="240" w:line="340" w:lineRule="atLeast"/>
      </w:pPr>
      <w:bookmarkStart w:id="2195" w:name="Opinion_13"/>
      <w:bookmarkEnd w:id="2195"/>
      <w:r>
        <w:rPr>
          <w:rFonts w:ascii="Arial" w:eastAsia="Arial" w:hAnsi="Arial" w:cs="Arial"/>
          <w:b/>
          <w:color w:val="000000"/>
          <w:sz w:val="28"/>
        </w:rPr>
        <w:t>Opinion</w:t>
      </w:r>
    </w:p>
    <w:p w14:paraId="02457319" w14:textId="013ACE55" w:rsidR="002B10A6" w:rsidRDefault="002D6974">
      <w:pPr>
        <w:pStyle w:val="Normal14"/>
        <w:spacing w:line="60" w:lineRule="exact"/>
      </w:pPr>
      <w:r>
        <w:rPr>
          <w:noProof/>
        </w:rPr>
        <mc:AlternateContent>
          <mc:Choice Requires="wps">
            <w:drawing>
              <wp:anchor distT="0" distB="0" distL="114300" distR="114300" simplePos="0" relativeHeight="251687936" behindDoc="0" locked="0" layoutInCell="1" allowOverlap="1" wp14:anchorId="77D99D1E" wp14:editId="04B079BC">
                <wp:simplePos x="0" y="0"/>
                <wp:positionH relativeFrom="column">
                  <wp:posOffset>0</wp:posOffset>
                </wp:positionH>
                <wp:positionV relativeFrom="paragraph">
                  <wp:posOffset>25400</wp:posOffset>
                </wp:positionV>
                <wp:extent cx="3187700" cy="0"/>
                <wp:effectExtent l="19050" t="15875" r="12700" b="12700"/>
                <wp:wrapTopAndBottom/>
                <wp:docPr id="141902731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AEBB2" id="Line 3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D5D2A1F" w14:textId="77777777" w:rsidR="002B10A6" w:rsidRDefault="002B10A6">
      <w:pPr>
        <w:pStyle w:val="Normal14"/>
      </w:pPr>
    </w:p>
    <w:p w14:paraId="3A25CF44" w14:textId="77777777" w:rsidR="002B10A6" w:rsidRDefault="00000000">
      <w:pPr>
        <w:pStyle w:val="Normal14"/>
        <w:widowControl w:val="0"/>
        <w:spacing w:before="200" w:line="260" w:lineRule="atLeast"/>
        <w:jc w:val="both"/>
      </w:pPr>
      <w:bookmarkStart w:id="2196" w:name="Bookmark_para_2_13"/>
      <w:bookmarkEnd w:id="2196"/>
      <w:r>
        <w:rPr>
          <w:rFonts w:ascii="Arial" w:eastAsia="Arial" w:hAnsi="Arial" w:cs="Arial"/>
          <w:color w:val="000000"/>
          <w:sz w:val="20"/>
        </w:rPr>
        <w:t xml:space="preserve"> [*546]  </w:t>
      </w:r>
      <w:r>
        <w:rPr>
          <w:rFonts w:ascii="Arial" w:eastAsia="Arial" w:hAnsi="Arial" w:cs="Arial"/>
          <w:b/>
          <w:color w:val="000000"/>
          <w:sz w:val="20"/>
        </w:rPr>
        <w:t>LIPEZ</w:t>
      </w:r>
      <w:r>
        <w:rPr>
          <w:rFonts w:ascii="Arial" w:eastAsia="Arial" w:hAnsi="Arial" w:cs="Arial"/>
          <w:color w:val="000000"/>
          <w:sz w:val="20"/>
        </w:rPr>
        <w:t xml:space="preserve">, </w:t>
      </w:r>
      <w:r>
        <w:rPr>
          <w:rFonts w:ascii="Arial" w:eastAsia="Arial" w:hAnsi="Arial" w:cs="Arial"/>
          <w:b/>
          <w:color w:val="000000"/>
          <w:sz w:val="20"/>
          <w:u w:val="single"/>
        </w:rPr>
        <w:t>Circuit Judge</w:t>
      </w:r>
      <w:r>
        <w:rPr>
          <w:rFonts w:ascii="Arial" w:eastAsia="Arial" w:hAnsi="Arial" w:cs="Arial"/>
          <w:color w:val="000000"/>
          <w:sz w:val="20"/>
        </w:rPr>
        <w:t>. This appeal arises from a lawsuit brought by appellants Maria Suárez-Torres and Norberto Medina-Rodriguez against appellees Panaderia y Reposteria España, Inc., a bakery in Carolina, Puerto Rico, and Inmobiliaria Isla Verde, Inc. (collectively, "Panaderia España")</w:t>
      </w:r>
      <w:r>
        <w:rPr>
          <w:rFonts w:ascii="Arial" w:eastAsia="Arial" w:hAnsi="Arial" w:cs="Arial"/>
          <w:vertAlign w:val="superscript"/>
        </w:rPr>
        <w:footnoteReference w:customMarkFollows="1" w:id="95"/>
        <w:t>1</w:t>
      </w:r>
      <w:r>
        <w:rPr>
          <w:rFonts w:ascii="Arial" w:eastAsia="Arial" w:hAnsi="Arial" w:cs="Arial"/>
          <w:color w:val="000000"/>
          <w:sz w:val="20"/>
        </w:rPr>
        <w:t xml:space="preserve"> under the Americans with Disabilities Act of 1990 ("ADA")</w:t>
      </w:r>
      <w:r>
        <w:rPr>
          <w:rFonts w:ascii="Arial" w:eastAsia="Arial" w:hAnsi="Arial" w:cs="Arial"/>
          <w:vertAlign w:val="superscript"/>
        </w:rPr>
        <w:footnoteReference w:customMarkFollows="1" w:id="96"/>
        <w:t>2</w:t>
      </w:r>
      <w:r>
        <w:rPr>
          <w:rFonts w:ascii="Arial" w:eastAsia="Arial" w:hAnsi="Arial" w:cs="Arial"/>
          <w:color w:val="000000"/>
          <w:sz w:val="20"/>
        </w:rPr>
        <w:t xml:space="preserve"> and the Puerto Rico Civil Rights Act.</w:t>
      </w:r>
      <w:r>
        <w:rPr>
          <w:rFonts w:ascii="Arial" w:eastAsia="Arial" w:hAnsi="Arial" w:cs="Arial"/>
          <w:vertAlign w:val="superscript"/>
        </w:rPr>
        <w:footnoteReference w:customMarkFollows="1" w:id="97"/>
        <w:t>3</w:t>
      </w:r>
      <w:r>
        <w:rPr>
          <w:rFonts w:ascii="Arial" w:eastAsia="Arial" w:hAnsi="Arial" w:cs="Arial"/>
          <w:color w:val="000000"/>
          <w:sz w:val="20"/>
        </w:rPr>
        <w:t xml:space="preserve"> Suárez-Torres and Medina-Rodriguez appeal the district court's post-judgment denial of their motion for attorney's fees and motion to reopen. After careful review, we affirm.</w:t>
      </w:r>
    </w:p>
    <w:p w14:paraId="578D32AD" w14:textId="77777777" w:rsidR="002B10A6" w:rsidRDefault="00000000">
      <w:pPr>
        <w:pStyle w:val="Normal14"/>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5EDE01EB" w14:textId="77777777" w:rsidR="002B10A6" w:rsidRDefault="00000000">
      <w:pPr>
        <w:pStyle w:val="Normal14"/>
        <w:widowControl w:val="0"/>
        <w:spacing w:before="200" w:line="260" w:lineRule="atLeast"/>
        <w:jc w:val="both"/>
      </w:pPr>
      <w:bookmarkStart w:id="2200" w:name="Bookmark_para_3_13"/>
      <w:bookmarkEnd w:id="2200"/>
      <w:r>
        <w:rPr>
          <w:rFonts w:ascii="Arial" w:eastAsia="Arial" w:hAnsi="Arial" w:cs="Arial"/>
          <w:color w:val="000000"/>
          <w:sz w:val="20"/>
        </w:rPr>
        <w:t>Suárez-Torres and Medina-Rodriguez are described in the complaint as "testers" who visit local places of public accommodation in Puerto Rico primarily to assess and challenge violations of the ADA. Suárez-Torres and Medina-Rodriguez allege that they each visited Panaderia [**2]  España on separate occasions --Medina-Rodriguez in early 2015 and Suárez-Torres in early 2016 --and encountered barriers to their equal access and full enjoyment of appellees' facilities, services, goods, and amenities. In April 2016, Suárez-Torres and Medina-Rodriguez filed suit against Panaderia España, alleging that the bakery had violated the ADA by failing to remedy architectural barriers -- specifically, inadequate accessible parking, lack of accessible seating and service counters, and structural deficiencies in the accessible restroom -- and by maintaining a discriminatory policy of keeping the accessible restroom, but not other restrooms, locked, which forced disabled individuals to ask for a key to use the restroom. Shortly thereafter, Suárez-Torres and Medina-Rodriguez sent a letter to Panaderia España requesting that all ADA violations be remedied and demanding a settlement of $4,500.</w:t>
      </w:r>
    </w:p>
    <w:p w14:paraId="05FC83DE" w14:textId="77777777" w:rsidR="002B10A6" w:rsidRDefault="00000000">
      <w:pPr>
        <w:pStyle w:val="Normal14"/>
        <w:widowControl w:val="0"/>
        <w:spacing w:before="200" w:line="260" w:lineRule="atLeast"/>
        <w:jc w:val="both"/>
      </w:pPr>
      <w:bookmarkStart w:id="2201" w:name="Bookmark_para_4_13"/>
      <w:bookmarkEnd w:id="2201"/>
      <w:r>
        <w:rPr>
          <w:rFonts w:ascii="Arial" w:eastAsia="Arial" w:hAnsi="Arial" w:cs="Arial"/>
          <w:color w:val="000000"/>
          <w:sz w:val="20"/>
        </w:rPr>
        <w:t>In January 2017, an expert retained by Suárez-Torres and Medina-Rodriguez conducted an inspection of the bakery and drafted a report, which was provided to Panaderia España. At a status conference shortly after the inspection, the district court granted Panaderia España's request to retain [**3]  its own expert to conduct a site inspection within 30 days. The court also set a deadline for the parties to file simultaneous motions for summary judgment.</w:t>
      </w:r>
    </w:p>
    <w:p w14:paraId="435B99EA" w14:textId="77777777" w:rsidR="002B10A6" w:rsidRDefault="00000000">
      <w:pPr>
        <w:pStyle w:val="Normal14"/>
        <w:widowControl w:val="0"/>
        <w:spacing w:before="200" w:line="260" w:lineRule="atLeast"/>
        <w:jc w:val="both"/>
      </w:pPr>
      <w:bookmarkStart w:id="2202" w:name="Bookmark_para_5_13"/>
      <w:bookmarkEnd w:id="2202"/>
      <w:r>
        <w:rPr>
          <w:rFonts w:ascii="Arial" w:eastAsia="Arial" w:hAnsi="Arial" w:cs="Arial"/>
          <w:color w:val="000000"/>
          <w:sz w:val="20"/>
        </w:rPr>
        <w:t>In April 2017, Panaderia España filed a motion for summary judgment, challenging appellants' standing as testers and arguing that appellants failed to show an injury-in-fact because they did not prove they actually visited the bakery. It also argued that appellants' claims were moot because the bakery had renovated its premises to comply with ADA standards. In a sworn statement, the owner of the bakery attested to the renovations, stated that he had hired an expert to inspect whether the renovations brought the property into compliance with the ADA, and explained that the expert found additional "situations" involving ADA noncompliance that would "be fully corrected soon." Suárez-Torres and Medina-Rodriguez filed an opposition to Panaderia España's motion for summary  [*547]  judgment, but it was stricken as untimely and noncompliant with the federal rules.</w:t>
      </w:r>
    </w:p>
    <w:p w14:paraId="2C2C7DAD" w14:textId="77777777" w:rsidR="002B10A6" w:rsidRDefault="00000000">
      <w:pPr>
        <w:pStyle w:val="Normal14"/>
        <w:widowControl w:val="0"/>
        <w:spacing w:before="200" w:line="260" w:lineRule="atLeast"/>
        <w:jc w:val="both"/>
      </w:pPr>
      <w:bookmarkStart w:id="2203" w:name="Bookmark_para_6_13"/>
      <w:bookmarkEnd w:id="2203"/>
      <w:r>
        <w:rPr>
          <w:rFonts w:ascii="Arial" w:eastAsia="Arial" w:hAnsi="Arial" w:cs="Arial"/>
          <w:color w:val="000000"/>
          <w:sz w:val="20"/>
        </w:rPr>
        <w:t>The district court denied Panaderia España's summary judgment motion in an order dated January 23, 2018. The court first rejected Panaderia España's argument that Suárez-Torres and Medina-Rodriguez [**4]  lacked standing because of their status as testers. The court concluded that "'tester' motive does not defeat standing," and may even make it more likely that plaintiffs would return to the bakery, even if only to ensure ADA compliance. The court also declined to afford any weight to Panaderia España's contention that plaintiffs were lying about whether they visited the bakery.</w:t>
      </w:r>
    </w:p>
    <w:p w14:paraId="41DE1D41" w14:textId="77777777" w:rsidR="002B10A6" w:rsidRDefault="00000000">
      <w:pPr>
        <w:pStyle w:val="Normal14"/>
        <w:widowControl w:val="0"/>
        <w:spacing w:before="200" w:line="260" w:lineRule="atLeast"/>
        <w:jc w:val="both"/>
      </w:pPr>
      <w:bookmarkStart w:id="2204" w:name="Bookmark_para_7_13"/>
      <w:bookmarkEnd w:id="2204"/>
      <w:r>
        <w:rPr>
          <w:rFonts w:ascii="Arial" w:eastAsia="Arial" w:hAnsi="Arial" w:cs="Arial"/>
          <w:color w:val="000000"/>
          <w:sz w:val="20"/>
        </w:rPr>
        <w:t>Then, turning to Panaderia España's claim that the business was renovated to comply with ADA standards and that any remaining violations would be "fully corrected soon," the court explained that,</w:t>
      </w:r>
    </w:p>
    <w:p w14:paraId="0115246D" w14:textId="77777777" w:rsidR="002B10A6" w:rsidRDefault="00000000">
      <w:pPr>
        <w:pStyle w:val="Normal14"/>
        <w:widowControl w:val="0"/>
        <w:spacing w:before="200" w:line="260" w:lineRule="atLeast"/>
        <w:ind w:left="400"/>
        <w:jc w:val="both"/>
      </w:pPr>
      <w:bookmarkStart w:id="2205" w:name="Bookmark_para_8_13"/>
      <w:bookmarkEnd w:id="2205"/>
      <w:r>
        <w:rPr>
          <w:rFonts w:ascii="Arial" w:eastAsia="Arial" w:hAnsi="Arial" w:cs="Arial"/>
          <w:color w:val="000000"/>
          <w:sz w:val="20"/>
        </w:rPr>
        <w:t xml:space="preserve">the motion for summary judgment fails to set forth evidence of the completion of these changes or adjustments to the design of the locale, which would thereby make the plaintiffs' ADA claims moot at this stage. Because defendants do not purport to have addressed the alleged ADA violations, the motion for summary judgment is </w:t>
      </w:r>
      <w:r>
        <w:rPr>
          <w:rFonts w:ascii="Arial" w:eastAsia="Arial" w:hAnsi="Arial" w:cs="Arial"/>
          <w:b/>
          <w:color w:val="000000"/>
          <w:sz w:val="20"/>
        </w:rPr>
        <w:t>DENIED WITHOUT PREJUDICE</w:t>
      </w:r>
      <w:r>
        <w:rPr>
          <w:rFonts w:ascii="Arial" w:eastAsia="Arial" w:hAnsi="Arial" w:cs="Arial"/>
          <w:color w:val="000000"/>
          <w:sz w:val="20"/>
        </w:rPr>
        <w:t>. Defendants are hereby ordered to submit evidence of the completion of the changes to the design of the business establishment that would make it fully compliant with all applicable standards and guidelines under [the] ADA.</w:t>
      </w:r>
    </w:p>
    <w:p w14:paraId="23232CF6" w14:textId="77777777" w:rsidR="002B10A6" w:rsidRDefault="00000000">
      <w:pPr>
        <w:pStyle w:val="Normal14"/>
        <w:widowControl w:val="0"/>
        <w:spacing w:before="200" w:line="260" w:lineRule="atLeast"/>
        <w:jc w:val="both"/>
      </w:pPr>
      <w:bookmarkStart w:id="2206" w:name="Bookmark_para_9_13"/>
      <w:bookmarkEnd w:id="2206"/>
      <w:r>
        <w:rPr>
          <w:rFonts w:ascii="Arial" w:eastAsia="Arial" w:hAnsi="Arial" w:cs="Arial"/>
          <w:color w:val="000000"/>
          <w:sz w:val="20"/>
        </w:rPr>
        <w:t>The district court convened a status conference two [**5]  days later. The minute entry for that conference reads, in its entirety:</w:t>
      </w:r>
    </w:p>
    <w:p w14:paraId="17809829" w14:textId="77777777" w:rsidR="002B10A6" w:rsidRDefault="00000000">
      <w:pPr>
        <w:pStyle w:val="Normal14"/>
        <w:widowControl w:val="0"/>
        <w:spacing w:line="260" w:lineRule="atLeast"/>
        <w:ind w:left="400"/>
        <w:jc w:val="both"/>
      </w:pPr>
      <w:bookmarkStart w:id="2207" w:name="Bookmark_para_10_13"/>
      <w:bookmarkEnd w:id="2207"/>
      <w:r>
        <w:rPr>
          <w:rFonts w:ascii="Arial" w:eastAsia="Arial" w:hAnsi="Arial" w:cs="Arial"/>
          <w:color w:val="000000"/>
          <w:sz w:val="20"/>
        </w:rPr>
        <w:t>[Counsel for] defendants informed [the court] that completion of the changes to be made at Panaderia y Reposteria España to comply with [the] ADA shall be completed within 90 days. Hence, the defendants were granted the request [for 90 days to make the identified changes] and shall file a motion by not later than April 27, 2018 and shall submit the pertinent documents in compliance as to the changes made at the establishment under [the] ADA. No objection by counsel for plaintiffs.</w:t>
      </w:r>
    </w:p>
    <w:p w14:paraId="3B5A241D" w14:textId="77777777" w:rsidR="002B10A6" w:rsidRDefault="00000000">
      <w:pPr>
        <w:pStyle w:val="Normal14"/>
        <w:widowControl w:val="0"/>
        <w:spacing w:before="200" w:line="260" w:lineRule="atLeast"/>
        <w:jc w:val="both"/>
      </w:pPr>
      <w:bookmarkStart w:id="2208" w:name="Bookmark_para_11_13"/>
      <w:bookmarkEnd w:id="2208"/>
      <w:r>
        <w:rPr>
          <w:rFonts w:ascii="Arial" w:eastAsia="Arial" w:hAnsi="Arial" w:cs="Arial"/>
          <w:color w:val="000000"/>
          <w:sz w:val="20"/>
        </w:rPr>
        <w:t>Less than two weeks after that status conference -- well before the ninety-day deadline for Panaderia España to complete and submit evidence of the outstanding architectural renovations -- Suárez-Torres and Medina-Rodriguez filed a motion to dismiss their claims brought under the Puerto Rico Civil Rights Act and for final judgment on their ADA claims "on account that [they] obtained the requested relief under federal law and [we]re fully satisfied with the result of th[e] civil action." Appellants specifically noted that judgment in their favor was appropriate because Panaderia España had agreed to complete the "required changes or adjustments [**6]  to the design of the locale" within 90 days.</w:t>
      </w:r>
    </w:p>
    <w:p w14:paraId="0C284C1C" w14:textId="77777777" w:rsidR="002B10A6" w:rsidRDefault="00000000">
      <w:pPr>
        <w:pStyle w:val="Normal14"/>
        <w:widowControl w:val="0"/>
        <w:spacing w:before="200" w:line="260" w:lineRule="atLeast"/>
        <w:jc w:val="both"/>
      </w:pPr>
      <w:bookmarkStart w:id="2209" w:name="Bookmark_para_12_12"/>
      <w:bookmarkEnd w:id="2209"/>
      <w:r>
        <w:rPr>
          <w:rFonts w:ascii="Arial" w:eastAsia="Arial" w:hAnsi="Arial" w:cs="Arial"/>
          <w:color w:val="000000"/>
          <w:sz w:val="20"/>
        </w:rPr>
        <w:t>In an electronic docket order, the district court "noted" plaintiffs' motion for judgment, indicated that it would "dismiss[] [the] state law claims with prejudice and ADA claims without prejudice," and stated that the plaintiffs "may file a motion to reopen [the] case if the defendants fail to comply with the deadlines established in the most recent status conference." The court entered a judgment of dismissal in accordance with that docket order the same day.</w:t>
      </w:r>
    </w:p>
    <w:p w14:paraId="00FC889F" w14:textId="77777777" w:rsidR="002B10A6" w:rsidRDefault="00000000">
      <w:pPr>
        <w:pStyle w:val="Normal14"/>
        <w:widowControl w:val="0"/>
        <w:spacing w:before="200" w:line="260" w:lineRule="atLeast"/>
        <w:jc w:val="both"/>
      </w:pPr>
      <w:bookmarkStart w:id="2210" w:name="Bookmark_para_13_12"/>
      <w:bookmarkEnd w:id="2210"/>
      <w:r>
        <w:rPr>
          <w:rFonts w:ascii="Arial" w:eastAsia="Arial" w:hAnsi="Arial" w:cs="Arial"/>
          <w:color w:val="000000"/>
          <w:sz w:val="20"/>
        </w:rPr>
        <w:t>Suárez-Torres and Medina-Rodriguez then moved for attorney's fees. They argued that they were "prevailing parties" under the ADA's fee-shifting provision, 42 U.S.C. § 12205, because Panaderia España admitted noncompliance with the ADA and the district court had ordered it to submit evidence of compliance. Panaderia España  [*548]  opposed, arguing that plaintiffs failed to litigate the case and their attorney's ethically suspect conduct precluded a fee award.</w:t>
      </w:r>
    </w:p>
    <w:p w14:paraId="7311E2F2" w14:textId="77777777" w:rsidR="002B10A6" w:rsidRDefault="00000000">
      <w:pPr>
        <w:pStyle w:val="Normal14"/>
        <w:widowControl w:val="0"/>
        <w:spacing w:before="200" w:line="260" w:lineRule="atLeast"/>
        <w:jc w:val="both"/>
      </w:pPr>
      <w:bookmarkStart w:id="2211" w:name="Bookmark_para_14_12"/>
      <w:bookmarkEnd w:id="2211"/>
      <w:r>
        <w:rPr>
          <w:rFonts w:ascii="Arial" w:eastAsia="Arial" w:hAnsi="Arial" w:cs="Arial"/>
          <w:color w:val="000000"/>
          <w:sz w:val="20"/>
        </w:rPr>
        <w:t>The district court denied the motion, remarking that it "certainly did not address the merits of the plaintiffs' ADA claim" and "did not place itself in a position to enforce the terms of any settlement agreement or to compel the defendant to make any alterations [**7]  to its place of business." To the contrary, the court explained, it had merely "noted the plaintiffs' satisfaction with the defendants' voluntary modifications to the building," proceeded to enter judgment "as requested," and notified plaintiffs of their ability to request that the case be reopened if the agreed-upon changes were not completed in a timely manner.</w:t>
      </w:r>
    </w:p>
    <w:p w14:paraId="103C5E0C" w14:textId="77777777" w:rsidR="002B10A6" w:rsidRDefault="00000000">
      <w:pPr>
        <w:pStyle w:val="Normal14"/>
        <w:widowControl w:val="0"/>
        <w:spacing w:before="200" w:line="260" w:lineRule="atLeast"/>
        <w:jc w:val="both"/>
      </w:pPr>
      <w:bookmarkStart w:id="2212" w:name="Bookmark_para_15_12"/>
      <w:bookmarkEnd w:id="2212"/>
      <w:r>
        <w:rPr>
          <w:rFonts w:ascii="Arial" w:eastAsia="Arial" w:hAnsi="Arial" w:cs="Arial"/>
          <w:color w:val="000000"/>
          <w:sz w:val="20"/>
        </w:rPr>
        <w:t>Panaderia España secured an extension of time to submit evidence of the completed alterations. Two weeks after the new deadline, it filed a "Motion in Compliance with Order" accompanied by an expert report. The report detailed the many architectural changes that Panaderia España had made and concluded that the premises were,</w:t>
      </w:r>
    </w:p>
    <w:p w14:paraId="76F0A23C" w14:textId="77777777" w:rsidR="002B10A6" w:rsidRDefault="00000000">
      <w:pPr>
        <w:pStyle w:val="Normal14"/>
        <w:widowControl w:val="0"/>
        <w:spacing w:line="260" w:lineRule="atLeast"/>
        <w:ind w:left="400"/>
        <w:jc w:val="both"/>
      </w:pPr>
      <w:bookmarkStart w:id="2213" w:name="Bookmark_para_16_10"/>
      <w:bookmarkEnd w:id="2213"/>
      <w:r>
        <w:rPr>
          <w:rFonts w:ascii="Arial" w:eastAsia="Arial" w:hAnsi="Arial" w:cs="Arial"/>
          <w:color w:val="000000"/>
          <w:sz w:val="20"/>
        </w:rPr>
        <w:t>in compliance with the [ADA] as they relate to persons with disabilities parking at designated accessible spaces, entering the facilities, and being able to reach and make use of the accessible sales and service counter, tables and restroom.</w:t>
      </w:r>
    </w:p>
    <w:p w14:paraId="088CDAA0" w14:textId="77777777" w:rsidR="002B10A6" w:rsidRDefault="00000000">
      <w:pPr>
        <w:pStyle w:val="Normal14"/>
        <w:widowControl w:val="0"/>
        <w:spacing w:before="200" w:line="260" w:lineRule="atLeast"/>
        <w:jc w:val="both"/>
      </w:pPr>
      <w:bookmarkStart w:id="2214" w:name="Bookmark_para_17_10"/>
      <w:bookmarkEnd w:id="2214"/>
      <w:r>
        <w:rPr>
          <w:rFonts w:ascii="Arial" w:eastAsia="Arial" w:hAnsi="Arial" w:cs="Arial"/>
          <w:color w:val="000000"/>
          <w:sz w:val="20"/>
        </w:rPr>
        <w:t>In response, Suárez-Torres and Medina-Rodriguez moved to reopen the case. They argued that the expert report showed that Panaderia España was still violating the ADA because: (1) a newly designed accessible parking space encroached on a pedestrian walkway, (2) certain [**8]  pipes in the accessible restroom were not properly insulated or covered, and (3) Panaderia España continued to maintain its discriminatory policy of locking the accessible restroom.</w:t>
      </w:r>
    </w:p>
    <w:p w14:paraId="1EABE54C" w14:textId="77777777" w:rsidR="002B10A6" w:rsidRDefault="00000000">
      <w:pPr>
        <w:pStyle w:val="Normal14"/>
        <w:widowControl w:val="0"/>
        <w:spacing w:before="200" w:line="260" w:lineRule="atLeast"/>
        <w:jc w:val="both"/>
      </w:pPr>
      <w:bookmarkStart w:id="2215" w:name="Bookmark_para_18_10"/>
      <w:bookmarkEnd w:id="2215"/>
      <w:r>
        <w:rPr>
          <w:rFonts w:ascii="Arial" w:eastAsia="Arial" w:hAnsi="Arial" w:cs="Arial"/>
          <w:color w:val="000000"/>
          <w:sz w:val="20"/>
        </w:rPr>
        <w:t>The district court denied the motion to reopen in a brief electronic docket order:</w:t>
      </w:r>
    </w:p>
    <w:p w14:paraId="43885ECA" w14:textId="77777777" w:rsidR="002B10A6" w:rsidRDefault="00000000">
      <w:pPr>
        <w:pStyle w:val="Normal14"/>
        <w:widowControl w:val="0"/>
        <w:spacing w:line="260" w:lineRule="atLeast"/>
        <w:ind w:left="400"/>
        <w:jc w:val="both"/>
      </w:pPr>
      <w:bookmarkStart w:id="2216" w:name="Bookmark_para_19_9"/>
      <w:bookmarkEnd w:id="2216"/>
      <w:r>
        <w:rPr>
          <w:rFonts w:ascii="Arial" w:eastAsia="Arial" w:hAnsi="Arial" w:cs="Arial"/>
          <w:color w:val="000000"/>
          <w:sz w:val="20"/>
        </w:rPr>
        <w:t>[The motion to reopen] stems from Panaderia [España's] motion in compliance (Docket No. 93) that it has addressed any and all alleged and supposed structural and design deficiencies raised in the ADA complaint in regards to the establishment's parking, access aisles, tables, service counters and restrooms. Therefore, the court finds that the new and different allegations from those in the claim are not the subject or object of this suit. Accordingly, the court denies the plaintiffs' motion to reopen the case.</w:t>
      </w:r>
    </w:p>
    <w:p w14:paraId="61A93E7A" w14:textId="77777777" w:rsidR="002B10A6" w:rsidRDefault="00000000">
      <w:pPr>
        <w:pStyle w:val="Normal14"/>
        <w:widowControl w:val="0"/>
        <w:spacing w:line="260" w:lineRule="atLeast"/>
        <w:jc w:val="both"/>
      </w:pPr>
      <w:r>
        <w:rPr>
          <w:rFonts w:ascii="Arial" w:eastAsia="Arial" w:hAnsi="Arial" w:cs="Arial"/>
          <w:color w:val="000000"/>
          <w:sz w:val="20"/>
        </w:rPr>
        <w:t>Suárez-Torres and Medina-Rodriguez timely appealed both the district court's order denying their request for attorney's fees and its order denying their motion to reopen.</w:t>
      </w:r>
    </w:p>
    <w:p w14:paraId="34CEB905" w14:textId="77777777" w:rsidR="002B10A6" w:rsidRDefault="00000000">
      <w:pPr>
        <w:pStyle w:val="Normal14"/>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799CC177" w14:textId="77777777" w:rsidR="002B10A6" w:rsidRDefault="00000000">
      <w:pPr>
        <w:pStyle w:val="Normal14"/>
        <w:widowControl w:val="0"/>
        <w:spacing w:before="240" w:line="260" w:lineRule="atLeast"/>
      </w:pPr>
      <w:r>
        <w:br/>
      </w:r>
      <w:r>
        <w:rPr>
          <w:rFonts w:ascii="Arial" w:eastAsia="Arial" w:hAnsi="Arial" w:cs="Arial"/>
          <w:b/>
          <w:color w:val="000000"/>
          <w:sz w:val="20"/>
        </w:rPr>
        <w:t>A. Standing</w:t>
      </w:r>
    </w:p>
    <w:p w14:paraId="0DB6EB78" w14:textId="77777777" w:rsidR="002B10A6" w:rsidRDefault="00000000">
      <w:pPr>
        <w:pStyle w:val="Normal14"/>
        <w:widowControl w:val="0"/>
        <w:spacing w:before="200" w:line="260" w:lineRule="atLeast"/>
        <w:jc w:val="both"/>
      </w:pPr>
      <w:bookmarkStart w:id="2217" w:name="Bookmark_para_20_9"/>
      <w:bookmarkEnd w:id="2217"/>
      <w:r>
        <w:rPr>
          <w:rFonts w:ascii="Arial" w:eastAsia="Arial" w:hAnsi="Arial" w:cs="Arial"/>
          <w:color w:val="000000"/>
          <w:sz w:val="20"/>
        </w:rPr>
        <w:t>Panaderia España argues that appellants are not entitled to collect fees because they lacked standing to pursue their ADA claims in the first instance. Specifically, Panaderia España contends that appellants never visited the bakery themselves [**9]  and, even if they did, they were not injured because the only purpose of their visit was to test ADA compliance. Panaderia España raised those same arguments as grounds for summary judgment below but the district court disagreed, holding that Panaderia España offered "no extraneous evidence to support the[] contention that the court should doubt the sincerity of plaintiffs' averment," and that appellants' tester status did not defeat standing.</w:t>
      </w:r>
    </w:p>
    <w:p w14:paraId="3D740A2C" w14:textId="77777777" w:rsidR="002B10A6" w:rsidRDefault="00000000">
      <w:pPr>
        <w:pStyle w:val="Normal14"/>
        <w:widowControl w:val="0"/>
        <w:spacing w:before="200" w:line="260" w:lineRule="atLeast"/>
        <w:jc w:val="both"/>
      </w:pPr>
      <w:bookmarkStart w:id="2218" w:name="Bookmark_para_21_9"/>
      <w:bookmarkEnd w:id="2218"/>
      <w:r>
        <w:rPr>
          <w:rFonts w:ascii="Arial" w:eastAsia="Arial" w:hAnsi="Arial" w:cs="Arial"/>
          <w:color w:val="000000"/>
          <w:sz w:val="20"/>
        </w:rPr>
        <w:t xml:space="preserve">Panaderia España never challenged the district court's determination that appellants had standing. Instead, the case settled  [*549]  shortly after summary judgment was denied and, thereafter, the court entered a judgment of dismissal. </w:t>
      </w:r>
      <w:bookmarkStart w:id="2219" w:name="Bookmark_I622TVCF2D6NXN0020000400"/>
      <w:bookmarkEnd w:id="2219"/>
      <w:r>
        <w:rPr>
          <w:rFonts w:ascii="Arial" w:eastAsia="Arial" w:hAnsi="Arial" w:cs="Arial"/>
          <w:color w:val="000000"/>
          <w:sz w:val="20"/>
        </w:rPr>
        <w:t xml:space="preserve">Panaderia España now seeks to raise lack of standing as an alternative ground for affirmance of the district court's post-judgment rulings on appellants' motions for attorney's fees and to reopen. </w:t>
      </w:r>
      <w:bookmarkStart w:id="2220" w:name="Bookmark_I622TVCG2N1PNM0010000400"/>
      <w:bookmarkEnd w:id="2220"/>
      <w:r>
        <w:rPr>
          <w:rFonts w:ascii="Arial" w:eastAsia="Arial" w:hAnsi="Arial" w:cs="Arial"/>
          <w:color w:val="000000"/>
          <w:sz w:val="20"/>
        </w:rPr>
        <w:t xml:space="preserve">Arguably, principles of collateral estoppel might preclude Panaderia España from relitigating the district court's standing determination on summary judgment. </w:t>
      </w:r>
      <w:r>
        <w:rPr>
          <w:rFonts w:ascii="Arial" w:eastAsia="Arial" w:hAnsi="Arial" w:cs="Arial"/>
          <w:color w:val="000000"/>
          <w:sz w:val="20"/>
          <w:u w:val="single"/>
        </w:rPr>
        <w:t xml:space="preserve">See </w:t>
      </w:r>
      <w:bookmarkStart w:id="2221" w:name="Bookmark_I622TVCF2D6NXN0010000400"/>
      <w:bookmarkEnd w:id="2221"/>
      <w:r>
        <w:rPr>
          <w:rFonts w:ascii="Arial" w:eastAsia="Arial" w:hAnsi="Arial" w:cs="Arial"/>
          <w:color w:val="000000"/>
          <w:sz w:val="20"/>
          <w:u w:val="single"/>
        </w:rPr>
        <w:t>Burlington Northern R.R. v. Hyundai Merchant Marine Co.</w:t>
      </w:r>
      <w:r>
        <w:rPr>
          <w:rFonts w:ascii="Arial" w:eastAsia="Arial" w:hAnsi="Arial" w:cs="Arial"/>
          <w:color w:val="000000"/>
          <w:sz w:val="20"/>
        </w:rPr>
        <w:t xml:space="preserve">, 63 F.3d 1227, 1233 n.8 (3d Cir. 1995) (explaining that denial of summary judgment can sometimes support collateral estoppel); </w:t>
      </w:r>
      <w:r>
        <w:rPr>
          <w:rFonts w:ascii="Arial" w:eastAsia="Arial" w:hAnsi="Arial" w:cs="Arial"/>
          <w:color w:val="000000"/>
          <w:sz w:val="20"/>
          <w:u w:val="single"/>
        </w:rPr>
        <w:t xml:space="preserve">but see </w:t>
      </w:r>
      <w:bookmarkStart w:id="2222" w:name="Bookmark_I622TVCF2D6NXN0030000400"/>
      <w:bookmarkEnd w:id="2222"/>
      <w:r>
        <w:rPr>
          <w:rFonts w:ascii="Arial" w:eastAsia="Arial" w:hAnsi="Arial" w:cs="Arial"/>
          <w:color w:val="000000"/>
          <w:sz w:val="20"/>
          <w:u w:val="single"/>
        </w:rPr>
        <w:t>Kay R Elect. Corp. v. Stone &amp; Webster Constructions Co.</w:t>
      </w:r>
      <w:r>
        <w:rPr>
          <w:rFonts w:ascii="Arial" w:eastAsia="Arial" w:hAnsi="Arial" w:cs="Arial"/>
          <w:color w:val="000000"/>
          <w:sz w:val="20"/>
        </w:rPr>
        <w:t xml:space="preserve">, 23 F.3d 55, 59 (2d Cir. 1994) (concluding that the denial of a motion for summary judgment is not [**10]  a final judgment supporting issue preclusion). </w:t>
      </w:r>
      <w:bookmarkStart w:id="2223" w:name="Bookmark_I622TVCG2N1PNM0010000400_2"/>
      <w:bookmarkEnd w:id="2223"/>
      <w:r>
        <w:rPr>
          <w:rFonts w:ascii="Arial" w:eastAsia="Arial" w:hAnsi="Arial" w:cs="Arial"/>
          <w:color w:val="000000"/>
          <w:sz w:val="20"/>
        </w:rPr>
        <w:t xml:space="preserve">Moreover, whether appellants had standing to bring their ADA claims in the first instance may be irrelevant to their ability to seek attorney's fees. </w:t>
      </w:r>
      <w:r>
        <w:rPr>
          <w:rFonts w:ascii="Arial" w:eastAsia="Arial" w:hAnsi="Arial" w:cs="Arial"/>
          <w:color w:val="000000"/>
          <w:sz w:val="20"/>
          <w:u w:val="single"/>
        </w:rPr>
        <w:t xml:space="preserve">See </w:t>
      </w:r>
      <w:bookmarkStart w:id="2224" w:name="Bookmark_I622TVCF2D6NXN0050000400"/>
      <w:bookmarkEnd w:id="2224"/>
      <w:r>
        <w:rPr>
          <w:rFonts w:ascii="Arial" w:eastAsia="Arial" w:hAnsi="Arial" w:cs="Arial"/>
          <w:color w:val="000000"/>
          <w:sz w:val="20"/>
          <w:u w:val="single"/>
        </w:rPr>
        <w:t>D.A. Osguthorpe Fam. P'ship v. ASC Utah, Inc.</w:t>
      </w:r>
      <w:r>
        <w:rPr>
          <w:rFonts w:ascii="Arial" w:eastAsia="Arial" w:hAnsi="Arial" w:cs="Arial"/>
          <w:color w:val="000000"/>
          <w:sz w:val="20"/>
        </w:rPr>
        <w:t>, 705 F.3d 1223, 1236 (10th Cir. 2013) (explaining that "a district court may still award attorney's fees after dismissing the underlying action for lack of subject-matter jurisdiction. . . . because a claim for attorney's fees gives rise to issues separate and distinct from the merits of the original cause of action" (internal citation omitted)).</w:t>
      </w:r>
    </w:p>
    <w:p w14:paraId="27B720F0" w14:textId="77777777" w:rsidR="002B10A6" w:rsidRDefault="00000000">
      <w:pPr>
        <w:pStyle w:val="Normal14"/>
        <w:widowControl w:val="0"/>
        <w:spacing w:before="200" w:line="260" w:lineRule="atLeast"/>
        <w:jc w:val="both"/>
      </w:pPr>
      <w:bookmarkStart w:id="2225" w:name="Bookmark_para_22_9"/>
      <w:bookmarkStart w:id="2226" w:name="Bookmark_I622TVCG2N1PNM0030000400"/>
      <w:bookmarkEnd w:id="2225"/>
      <w:bookmarkEnd w:id="2226"/>
      <w:r>
        <w:rPr>
          <w:rFonts w:ascii="Arial" w:eastAsia="Arial" w:hAnsi="Arial" w:cs="Arial"/>
          <w:color w:val="000000"/>
          <w:sz w:val="20"/>
        </w:rPr>
        <w:t xml:space="preserve">On the other hand, Panaderia España's argument challenges the existence of an injury-in-fact, a constitutional standing requirement that implicates our subject-matter jurisdiction and, hence, we may be obliged to consider it. </w:t>
      </w:r>
      <w:bookmarkStart w:id="2227" w:name="Bookmark_I622TVCG2N1PNM0020000400"/>
      <w:bookmarkEnd w:id="2227"/>
      <w:r>
        <w:rPr>
          <w:rFonts w:ascii="Arial" w:eastAsia="Arial" w:hAnsi="Arial" w:cs="Arial"/>
          <w:color w:val="000000"/>
          <w:sz w:val="20"/>
          <w:u w:val="single"/>
        </w:rPr>
        <w:t>Merrimon v. Unum Life Ins. Co. of Am</w:t>
      </w:r>
      <w:r>
        <w:rPr>
          <w:rFonts w:ascii="Arial" w:eastAsia="Arial" w:hAnsi="Arial" w:cs="Arial"/>
          <w:color w:val="000000"/>
          <w:sz w:val="20"/>
        </w:rPr>
        <w:t>., 758 F.3d 46, 51-52 (1st Cir. 2014) ("The presence or absence of constitutional standing implicates a federal court's subject-matter jurisdiction. . . . [A] federal court is obliged to resolve that issue even if the parties have neither briefed nor argued it."). We need not resolve whether Panaderia España's standing challenge is procedurally proper, however, because we conclude that it fails in any event.</w:t>
      </w:r>
    </w:p>
    <w:p w14:paraId="377760B1" w14:textId="77777777" w:rsidR="002B10A6" w:rsidRDefault="00000000">
      <w:pPr>
        <w:pStyle w:val="Normal14"/>
        <w:widowControl w:val="0"/>
        <w:spacing w:before="200" w:line="260" w:lineRule="atLeast"/>
        <w:jc w:val="both"/>
      </w:pPr>
      <w:bookmarkStart w:id="2228" w:name="Bookmark_para_23_9"/>
      <w:bookmarkStart w:id="2229" w:name="Bookmark_I2TY7SH6MF80000VRRB00009"/>
      <w:bookmarkStart w:id="2230" w:name="Bookmark_I622TVCG2N1PNM0050000400"/>
      <w:bookmarkStart w:id="2231" w:name="Bookmark_LNHNREFclscc1_12"/>
      <w:bookmarkEnd w:id="2228"/>
      <w:bookmarkEnd w:id="2229"/>
      <w:bookmarkEnd w:id="2230"/>
      <w:bookmarkEnd w:id="2231"/>
      <w:r>
        <w:rPr>
          <w:rFonts w:ascii="Arial" w:eastAsia="Arial" w:hAnsi="Arial" w:cs="Arial"/>
          <w:color w:val="000000"/>
          <w:sz w:val="20"/>
        </w:rPr>
        <w:t xml:space="preserve">The three familiar requirements of standing are: (1) injury in fact, (2) a causal connection [**11]  between the injury and the defendant's alleged misconduct, and (3) that the injury would have been redressed by a favorable outcome. </w:t>
      </w:r>
      <w:bookmarkStart w:id="2232" w:name="Bookmark_I622TVCG2N1PNM0040000400"/>
      <w:bookmarkEnd w:id="2232"/>
      <w:r>
        <w:rPr>
          <w:rFonts w:ascii="Arial" w:eastAsia="Arial" w:hAnsi="Arial" w:cs="Arial"/>
          <w:color w:val="000000"/>
          <w:sz w:val="20"/>
          <w:u w:val="single"/>
        </w:rPr>
        <w:t>Lujan v. Defs. Of Wildlife</w:t>
      </w:r>
      <w:r>
        <w:rPr>
          <w:rFonts w:ascii="Arial" w:eastAsia="Arial" w:hAnsi="Arial" w:cs="Arial"/>
          <w:color w:val="000000"/>
          <w:sz w:val="20"/>
        </w:rPr>
        <w:t>, 504 U.S. 555, 560-61, 112 S. Ct. 2130, 119 L. Ed. 2d 351 (1992). Panaderia España challenges only the first prong, alleging that appellants fabricated their visits to the bakery and cannot establish an injury because they are testers.</w:t>
      </w:r>
      <w:r>
        <w:rPr>
          <w:rFonts w:ascii="Arial" w:eastAsia="Arial" w:hAnsi="Arial" w:cs="Arial"/>
          <w:vertAlign w:val="superscript"/>
        </w:rPr>
        <w:footnoteReference w:customMarkFollows="1" w:id="98"/>
        <w:t>4</w:t>
      </w:r>
    </w:p>
    <w:p w14:paraId="79C54768" w14:textId="77777777" w:rsidR="002B10A6" w:rsidRDefault="00000000">
      <w:pPr>
        <w:pStyle w:val="Normal14"/>
        <w:widowControl w:val="0"/>
        <w:spacing w:before="200" w:line="260" w:lineRule="atLeast"/>
        <w:jc w:val="both"/>
      </w:pPr>
      <w:bookmarkStart w:id="2236" w:name="Bookmark_para_24_9"/>
      <w:bookmarkStart w:id="2237" w:name="Bookmark_I622TVCH2HM5SY0040000400"/>
      <w:bookmarkStart w:id="2238" w:name="Bookmark_LNHNREFclscc2_12"/>
      <w:bookmarkEnd w:id="2236"/>
      <w:bookmarkEnd w:id="2237"/>
      <w:bookmarkEnd w:id="2238"/>
      <w:r>
        <w:rPr>
          <w:rFonts w:ascii="Arial" w:eastAsia="Arial" w:hAnsi="Arial" w:cs="Arial"/>
          <w:color w:val="000000"/>
          <w:sz w:val="20"/>
        </w:rPr>
        <w:t xml:space="preserve">The burden of proof to establish standing is consistent with "the manner and degree of evidence required at the successive stages of the litigation." </w:t>
      </w:r>
      <w:bookmarkStart w:id="2239" w:name="Bookmark_I622TVCH2HM5SY0030000400"/>
      <w:bookmarkEnd w:id="2239"/>
      <w:r>
        <w:rPr>
          <w:rFonts w:ascii="Arial" w:eastAsia="Arial" w:hAnsi="Arial" w:cs="Arial"/>
          <w:color w:val="000000"/>
          <w:sz w:val="20"/>
          <w:u w:val="single"/>
        </w:rPr>
        <w:t>Id.</w:t>
      </w:r>
      <w:r>
        <w:rPr>
          <w:rFonts w:ascii="Arial" w:eastAsia="Arial" w:hAnsi="Arial" w:cs="Arial"/>
          <w:color w:val="000000"/>
          <w:sz w:val="20"/>
        </w:rPr>
        <w:t xml:space="preserve"> at 561. </w:t>
      </w:r>
      <w:bookmarkStart w:id="2240" w:name="Bookmark_I622TVCH2HM5T00010000400"/>
      <w:bookmarkEnd w:id="2240"/>
      <w:r>
        <w:rPr>
          <w:rFonts w:ascii="Arial" w:eastAsia="Arial" w:hAnsi="Arial" w:cs="Arial"/>
          <w:color w:val="000000"/>
          <w:sz w:val="20"/>
        </w:rPr>
        <w:t xml:space="preserve">Where, as here, the case progresses to the summary judgment stage, the moving party --Panaderia España -- must initially support its challenge to standing "by citing to particular parts of materials in the record . . . or showing that the materials cited do not establish . . . a genuine dispute [of material fact]."  [*550]  Fed. R. Civ. P. 56(c)(1). </w:t>
      </w:r>
      <w:bookmarkStart w:id="2241" w:name="Bookmark_I622TVCH2HM5T00050000400"/>
      <w:bookmarkEnd w:id="2241"/>
      <w:r>
        <w:rPr>
          <w:rFonts w:ascii="Arial" w:eastAsia="Arial" w:hAnsi="Arial" w:cs="Arial"/>
          <w:color w:val="000000"/>
          <w:sz w:val="20"/>
        </w:rPr>
        <w:t xml:space="preserve">The nonmoving party -- Suárez-Torres and Medina-Rodriguez -- must then counter with specific facts supported by affidavits or other affirmative evidence. </w:t>
      </w:r>
      <w:bookmarkStart w:id="2242" w:name="Bookmark_I622TVCH2HM5T00050000400_2"/>
      <w:bookmarkStart w:id="2243" w:name="Bookmark_I622TVCH2HM5T00010000400_2"/>
      <w:bookmarkEnd w:id="2242"/>
      <w:bookmarkEnd w:id="2243"/>
      <w:r>
        <w:rPr>
          <w:rFonts w:ascii="Arial" w:eastAsia="Arial" w:hAnsi="Arial" w:cs="Arial"/>
          <w:color w:val="000000"/>
          <w:sz w:val="20"/>
          <w:u w:val="single"/>
        </w:rPr>
        <w:t xml:space="preserve">See </w:t>
      </w:r>
      <w:bookmarkStart w:id="2244" w:name="Bookmark_I622TVCH2HM5SY0050000400"/>
      <w:bookmarkEnd w:id="2244"/>
      <w:r>
        <w:rPr>
          <w:rFonts w:ascii="Arial" w:eastAsia="Arial" w:hAnsi="Arial" w:cs="Arial"/>
          <w:color w:val="000000"/>
          <w:sz w:val="20"/>
          <w:u w:val="single"/>
        </w:rPr>
        <w:t>Libertad v. Welch</w:t>
      </w:r>
      <w:r>
        <w:rPr>
          <w:rFonts w:ascii="Arial" w:eastAsia="Arial" w:hAnsi="Arial" w:cs="Arial"/>
          <w:color w:val="000000"/>
          <w:sz w:val="20"/>
        </w:rPr>
        <w:t xml:space="preserve">, 53 F.3d 428, 436 (1st Cir. 1995); </w:t>
      </w:r>
      <w:r>
        <w:rPr>
          <w:rFonts w:ascii="Arial" w:eastAsia="Arial" w:hAnsi="Arial" w:cs="Arial"/>
          <w:color w:val="000000"/>
          <w:sz w:val="20"/>
          <w:u w:val="single"/>
        </w:rPr>
        <w:t xml:space="preserve">see also </w:t>
      </w:r>
      <w:bookmarkStart w:id="2245" w:name="Bookmark_I622TVCH2HM5T00020000400"/>
      <w:bookmarkEnd w:id="2245"/>
      <w:r>
        <w:rPr>
          <w:rFonts w:ascii="Arial" w:eastAsia="Arial" w:hAnsi="Arial" w:cs="Arial"/>
          <w:color w:val="000000"/>
          <w:sz w:val="20"/>
          <w:u w:val="single"/>
        </w:rPr>
        <w:t>Day v. Bond</w:t>
      </w:r>
      <w:r>
        <w:rPr>
          <w:rFonts w:ascii="Arial" w:eastAsia="Arial" w:hAnsi="Arial" w:cs="Arial"/>
          <w:color w:val="000000"/>
          <w:sz w:val="20"/>
        </w:rPr>
        <w:t xml:space="preserve">, 500 F.3d 1127, 1132 (10th Cir. 2007) ("To prevail at summary judgment on standing grounds, the defendant must show that the record is devoid of evidence raising a genuine issue of material fact that would support the plaintiff's ultimate burden of proving standing. . . . 'In response [**12]  to a summary judgment motion,' the plaintiff cannot 'rest on "mere allegations," but must "set forth" by affidavit or other evidence "specific facts"' regarding the elements of standing." (quoting </w:t>
      </w:r>
      <w:bookmarkStart w:id="2246" w:name="Bookmark_I622TVCH2HM5T00040000400"/>
      <w:bookmarkEnd w:id="2246"/>
      <w:r>
        <w:rPr>
          <w:rFonts w:ascii="Arial" w:eastAsia="Arial" w:hAnsi="Arial" w:cs="Arial"/>
          <w:color w:val="000000"/>
          <w:sz w:val="20"/>
          <w:u w:val="single"/>
        </w:rPr>
        <w:t>Lujan</w:t>
      </w:r>
      <w:r>
        <w:rPr>
          <w:rFonts w:ascii="Arial" w:eastAsia="Arial" w:hAnsi="Arial" w:cs="Arial"/>
          <w:color w:val="000000"/>
          <w:sz w:val="20"/>
        </w:rPr>
        <w:t xml:space="preserve">, 504 U.S. at 561)); </w:t>
      </w:r>
      <w:bookmarkStart w:id="2247" w:name="Bookmark_I622TVCH2N1PNV0010000400"/>
      <w:bookmarkEnd w:id="2247"/>
      <w:r>
        <w:rPr>
          <w:rFonts w:ascii="Arial" w:eastAsia="Arial" w:hAnsi="Arial" w:cs="Arial"/>
          <w:color w:val="000000"/>
          <w:sz w:val="20"/>
          <w:u w:val="single"/>
        </w:rPr>
        <w:t>Wyoming v. Oklahoma</w:t>
      </w:r>
      <w:r>
        <w:rPr>
          <w:rFonts w:ascii="Arial" w:eastAsia="Arial" w:hAnsi="Arial" w:cs="Arial"/>
          <w:color w:val="000000"/>
          <w:sz w:val="20"/>
        </w:rPr>
        <w:t>, 502 U.S. 437, 464, 112 S. Ct. 789, 117 L. Ed. 2d 1 (1992) (Scalia, J., dissenting) ("The standing issue is obviously subject to different evaluation, depending upon the stage the litigation has reached. . . . [To] obtain or avoid summary judgment[, the] moving party must 'show that there is no genuine issue as to any material fact,' and [the] nonmoving party cannot rest on 'mere allegations' to counter a properly supported motion, but must set forth 'specific facts' through affidavits or other evidence." (quoting Fed. R. Civ. P. 56)).</w:t>
      </w:r>
    </w:p>
    <w:p w14:paraId="20514A35" w14:textId="77777777" w:rsidR="002B10A6" w:rsidRDefault="00000000">
      <w:pPr>
        <w:pStyle w:val="Normal14"/>
        <w:widowControl w:val="0"/>
        <w:spacing w:before="200" w:line="260" w:lineRule="atLeast"/>
        <w:jc w:val="both"/>
      </w:pPr>
      <w:bookmarkStart w:id="2248" w:name="Bookmark_para_25_9"/>
      <w:bookmarkEnd w:id="2248"/>
      <w:r>
        <w:rPr>
          <w:rFonts w:ascii="Arial" w:eastAsia="Arial" w:hAnsi="Arial" w:cs="Arial"/>
          <w:color w:val="000000"/>
          <w:sz w:val="20"/>
        </w:rPr>
        <w:t>In support of its contention that appellants did not actually visit the bakery, Panaderia España offers no more than its assertion that appellants fabricated the visits described in the complaint. Panaderia España fails to substantiate its allegation or point to any supporting evidence in the record. Such speculation cannot support a challenge to standing at the summary judgment stage. Accordingly, we conclude that Panaderia España failed to meet its initial burden to challenge standing at the summary judgment phase and, like the [**13]  district court, decline to afford any weight to the unsupported allegation that appellants lied about their visits to the bakery.</w:t>
      </w:r>
    </w:p>
    <w:p w14:paraId="69989C9B" w14:textId="77777777" w:rsidR="002B10A6" w:rsidRDefault="00000000">
      <w:pPr>
        <w:pStyle w:val="Normal14"/>
        <w:widowControl w:val="0"/>
        <w:spacing w:before="200" w:line="260" w:lineRule="atLeast"/>
        <w:jc w:val="both"/>
      </w:pPr>
      <w:bookmarkStart w:id="2249" w:name="Bookmark_para_26_9"/>
      <w:bookmarkEnd w:id="2249"/>
      <w:r>
        <w:rPr>
          <w:rFonts w:ascii="Arial" w:eastAsia="Arial" w:hAnsi="Arial" w:cs="Arial"/>
          <w:color w:val="000000"/>
          <w:sz w:val="20"/>
        </w:rPr>
        <w:t>In contrast, Panaderia España did proffer support in favor of its argument that appellants and their attorney are "testers" by offering the statements of appellants describing themselves as testers. Panaderia España contends that, as testers, appellants are unable to establish an injury because their only motivation in visiting the bakery was to detect ADA violations.</w:t>
      </w:r>
    </w:p>
    <w:p w14:paraId="1EBCDFD8" w14:textId="77777777" w:rsidR="002B10A6" w:rsidRDefault="00000000">
      <w:pPr>
        <w:pStyle w:val="Normal14"/>
        <w:widowControl w:val="0"/>
        <w:spacing w:before="200" w:line="260" w:lineRule="atLeast"/>
        <w:jc w:val="both"/>
      </w:pPr>
      <w:bookmarkStart w:id="2250" w:name="Bookmark_para_27_9"/>
      <w:bookmarkStart w:id="2251" w:name="Bookmark_I622TVCH2N1PNV0040000400"/>
      <w:bookmarkStart w:id="2252" w:name="Bookmark_I622TVCJ2D6NY30010000400"/>
      <w:bookmarkStart w:id="2253" w:name="Bookmark_I622TVCJ2D6NY30030000400"/>
      <w:bookmarkEnd w:id="2250"/>
      <w:bookmarkEnd w:id="2251"/>
      <w:bookmarkEnd w:id="2252"/>
      <w:bookmarkEnd w:id="2253"/>
      <w:r>
        <w:rPr>
          <w:rFonts w:ascii="Arial" w:eastAsia="Arial" w:hAnsi="Arial" w:cs="Arial"/>
          <w:color w:val="000000"/>
          <w:sz w:val="20"/>
        </w:rPr>
        <w:t xml:space="preserve">We have not previously addressed the impact of a plaintiff's status as a "tester" on her ability to establish standing under the ADA. However, the circuits that have considered this issue have uniformly concluded that </w:t>
      </w:r>
      <w:bookmarkStart w:id="2254" w:name="Bookmark_LNHNREFclscc3_12"/>
      <w:bookmarkEnd w:id="2254"/>
      <w:r>
        <w:rPr>
          <w:rFonts w:ascii="Arial" w:eastAsia="Arial" w:hAnsi="Arial" w:cs="Arial"/>
          <w:color w:val="000000"/>
          <w:sz w:val="20"/>
        </w:rPr>
        <w:t>an individual's "tester" status does not defeat standing.</w:t>
      </w:r>
      <w:r>
        <w:rPr>
          <w:rFonts w:ascii="Arial" w:eastAsia="Arial" w:hAnsi="Arial" w:cs="Arial"/>
          <w:vertAlign w:val="superscript"/>
        </w:rPr>
        <w:footnoteReference w:customMarkFollows="1" w:id="99"/>
        <w:t>5</w:t>
      </w:r>
      <w:r>
        <w:rPr>
          <w:rFonts w:ascii="Arial" w:eastAsia="Arial" w:hAnsi="Arial" w:cs="Arial"/>
          <w:color w:val="000000"/>
          <w:sz w:val="20"/>
        </w:rPr>
        <w:t xml:space="preserve"> As the Eleventh Circuit explained in </w:t>
      </w:r>
      <w:r>
        <w:rPr>
          <w:rFonts w:ascii="Arial" w:eastAsia="Arial" w:hAnsi="Arial" w:cs="Arial"/>
          <w:color w:val="000000"/>
          <w:sz w:val="20"/>
          <w:u w:val="single"/>
        </w:rPr>
        <w:t>Houston v. Marod Supermarkets, Inc.</w:t>
      </w:r>
      <w:r>
        <w:rPr>
          <w:rFonts w:ascii="Arial" w:eastAsia="Arial" w:hAnsi="Arial" w:cs="Arial"/>
          <w:color w:val="000000"/>
          <w:sz w:val="20"/>
        </w:rPr>
        <w:t xml:space="preserve">, the ADA guarantees the right of any individual to be free from "disability discrimination in the enjoyment of [public places of accommodation] regardless of [the individual's] motive for visiting the facility." </w:t>
      </w:r>
      <w:bookmarkStart w:id="2261" w:name="Bookmark_I622TVCH2N1PNV0030000400"/>
      <w:bookmarkEnd w:id="2261"/>
      <w:r>
        <w:rPr>
          <w:rFonts w:ascii="Arial" w:eastAsia="Arial" w:hAnsi="Arial" w:cs="Arial"/>
          <w:color w:val="000000"/>
          <w:sz w:val="20"/>
        </w:rPr>
        <w:t xml:space="preserve">733 F.3d at 1332. Congress did not limit the protections of the ADA to "clients or customers" or otherwise impose a bona fide visitor requirement. </w:t>
      </w:r>
      <w:bookmarkStart w:id="2262" w:name="Bookmark_I622TVCH2N1PNV0050000400"/>
      <w:bookmarkEnd w:id="2262"/>
      <w:r>
        <w:rPr>
          <w:rFonts w:ascii="Arial" w:eastAsia="Arial" w:hAnsi="Arial" w:cs="Arial"/>
          <w:color w:val="000000"/>
          <w:sz w:val="20"/>
          <w:u w:val="single"/>
        </w:rPr>
        <w:t>Id.</w:t>
      </w:r>
      <w:r>
        <w:rPr>
          <w:rFonts w:ascii="Arial" w:eastAsia="Arial" w:hAnsi="Arial" w:cs="Arial"/>
          <w:color w:val="000000"/>
          <w:sz w:val="20"/>
        </w:rPr>
        <w:t xml:space="preserve"> at 1332-34 (contrasting [**14]  42 U.S.C. §§ 3604(a),</w:t>
      </w:r>
      <w:r>
        <w:rPr>
          <w:rFonts w:ascii="Arial" w:eastAsia="Arial" w:hAnsi="Arial" w:cs="Arial"/>
          <w:vertAlign w:val="superscript"/>
        </w:rPr>
        <w:footnoteReference w:customMarkFollows="1" w:id="100"/>
        <w:t>6</w:t>
      </w:r>
      <w:r>
        <w:rPr>
          <w:rFonts w:ascii="Arial" w:eastAsia="Arial" w:hAnsi="Arial" w:cs="Arial"/>
          <w:color w:val="000000"/>
          <w:sz w:val="20"/>
        </w:rPr>
        <w:t xml:space="preserve"> and 12182(b)(1)(A)(iv),</w:t>
      </w:r>
      <w:r>
        <w:rPr>
          <w:rFonts w:ascii="Arial" w:eastAsia="Arial" w:hAnsi="Arial" w:cs="Arial"/>
          <w:vertAlign w:val="superscript"/>
        </w:rPr>
        <w:footnoteReference w:customMarkFollows="1" w:id="101"/>
        <w:t>7</w:t>
      </w:r>
      <w:r>
        <w:rPr>
          <w:rFonts w:ascii="Arial" w:eastAsia="Arial" w:hAnsi="Arial" w:cs="Arial"/>
          <w:color w:val="000000"/>
          <w:sz w:val="20"/>
        </w:rPr>
        <w:t xml:space="preserve">  [*551]  which do contain such requirements). Hence, such limitations should not be read into the ADA. </w:t>
      </w:r>
      <w:r>
        <w:rPr>
          <w:rFonts w:ascii="Arial" w:eastAsia="Arial" w:hAnsi="Arial" w:cs="Arial"/>
          <w:color w:val="000000"/>
          <w:sz w:val="20"/>
          <w:u w:val="single"/>
        </w:rPr>
        <w:t>Id.</w:t>
      </w:r>
      <w:r>
        <w:rPr>
          <w:rFonts w:ascii="Arial" w:eastAsia="Arial" w:hAnsi="Arial" w:cs="Arial"/>
          <w:color w:val="000000"/>
          <w:sz w:val="20"/>
        </w:rPr>
        <w:t xml:space="preserve"> We agree with this analysis. Accordingly, we conclude that appellants' status as testers does not defeat standing.</w:t>
      </w:r>
      <w:r>
        <w:rPr>
          <w:rFonts w:ascii="Arial" w:eastAsia="Arial" w:hAnsi="Arial" w:cs="Arial"/>
          <w:vertAlign w:val="superscript"/>
        </w:rPr>
        <w:footnoteReference w:customMarkFollows="1" w:id="102"/>
        <w:t>8</w:t>
      </w:r>
    </w:p>
    <w:p w14:paraId="4EE42CC5" w14:textId="77777777" w:rsidR="002B10A6" w:rsidRDefault="00000000">
      <w:pPr>
        <w:pStyle w:val="Normal14"/>
        <w:widowControl w:val="0"/>
        <w:spacing w:before="240" w:line="260" w:lineRule="atLeast"/>
      </w:pPr>
      <w:r>
        <w:br/>
      </w:r>
      <w:r>
        <w:rPr>
          <w:rFonts w:ascii="Arial" w:eastAsia="Arial" w:hAnsi="Arial" w:cs="Arial"/>
          <w:b/>
          <w:color w:val="000000"/>
          <w:sz w:val="20"/>
        </w:rPr>
        <w:t>B. Attorney's Fees</w:t>
      </w:r>
    </w:p>
    <w:p w14:paraId="22967076" w14:textId="77777777" w:rsidR="002B10A6" w:rsidRDefault="00000000">
      <w:pPr>
        <w:pStyle w:val="Normal14"/>
        <w:widowControl w:val="0"/>
        <w:spacing w:before="200" w:line="260" w:lineRule="atLeast"/>
        <w:jc w:val="both"/>
      </w:pPr>
      <w:bookmarkStart w:id="2272" w:name="Bookmark_para_28_9"/>
      <w:bookmarkStart w:id="2273" w:name="Bookmark_I622TVCK2N1PP50040000400"/>
      <w:bookmarkStart w:id="2274" w:name="Bookmark_LNHNREFclscc6_11"/>
      <w:bookmarkEnd w:id="2272"/>
      <w:bookmarkEnd w:id="2273"/>
      <w:bookmarkEnd w:id="2274"/>
      <w:r>
        <w:rPr>
          <w:rFonts w:ascii="Arial" w:eastAsia="Arial" w:hAnsi="Arial" w:cs="Arial"/>
          <w:color w:val="000000"/>
          <w:sz w:val="20"/>
        </w:rPr>
        <w:t xml:space="preserve">Parties in the United States "ordinarily [are] required to bear their own attorney's fees" absent explicit fee-shifting authority. </w:t>
      </w:r>
      <w:bookmarkStart w:id="2275" w:name="Bookmark_I622TVCK2N1PP50030000400"/>
      <w:bookmarkEnd w:id="2275"/>
      <w:r>
        <w:rPr>
          <w:rFonts w:ascii="Arial" w:eastAsia="Arial" w:hAnsi="Arial" w:cs="Arial"/>
          <w:color w:val="000000"/>
          <w:sz w:val="20"/>
          <w:u w:val="single"/>
        </w:rPr>
        <w:t>Buckhannon Bd. &amp; Care Home, Inc. v. W. Va. Dep't of Health &amp; Hum. Res</w:t>
      </w:r>
      <w:r>
        <w:rPr>
          <w:rFonts w:ascii="Arial" w:eastAsia="Arial" w:hAnsi="Arial" w:cs="Arial"/>
          <w:color w:val="000000"/>
          <w:sz w:val="20"/>
        </w:rPr>
        <w:t>., 532 U.S. 598, 602, 121 S. Ct. 1835, 149 L. Ed. 2d 855 (2001). The ADA contains such explicit authority:</w:t>
      </w:r>
    </w:p>
    <w:p w14:paraId="0065321E" w14:textId="77777777" w:rsidR="002B10A6" w:rsidRDefault="00000000">
      <w:pPr>
        <w:pStyle w:val="Normal14"/>
        <w:widowControl w:val="0"/>
        <w:spacing w:line="260" w:lineRule="atLeast"/>
        <w:ind w:left="400"/>
        <w:jc w:val="both"/>
      </w:pPr>
      <w:bookmarkStart w:id="2276" w:name="Bookmark_para_29_9"/>
      <w:bookmarkEnd w:id="2276"/>
      <w:r>
        <w:rPr>
          <w:rFonts w:ascii="Arial" w:eastAsia="Arial" w:hAnsi="Arial" w:cs="Arial"/>
          <w:color w:val="000000"/>
          <w:sz w:val="20"/>
        </w:rPr>
        <w:t>In any action or administrative proceeding commenced pursuant to this chapter, the court or agency, in its discretion, may allow the prevailing party, other than the United States, a reasonable attorney's fee, including litigation expenses, and costs . . . .</w:t>
      </w:r>
    </w:p>
    <w:p w14:paraId="454054CE" w14:textId="77777777" w:rsidR="002B10A6" w:rsidRDefault="00000000">
      <w:pPr>
        <w:pStyle w:val="Normal14"/>
        <w:widowControl w:val="0"/>
        <w:spacing w:line="260" w:lineRule="atLeast"/>
        <w:jc w:val="both"/>
      </w:pPr>
      <w:r>
        <w:rPr>
          <w:rFonts w:ascii="Arial" w:eastAsia="Arial" w:hAnsi="Arial" w:cs="Arial"/>
          <w:color w:val="000000"/>
          <w:sz w:val="20"/>
        </w:rPr>
        <w:t>42 U.S.C. § 12205.</w:t>
      </w:r>
    </w:p>
    <w:p w14:paraId="50024D9C" w14:textId="77777777" w:rsidR="002B10A6" w:rsidRDefault="00000000">
      <w:pPr>
        <w:pStyle w:val="Normal14"/>
        <w:widowControl w:val="0"/>
        <w:spacing w:before="200" w:line="260" w:lineRule="atLeast"/>
        <w:jc w:val="both"/>
      </w:pPr>
      <w:bookmarkStart w:id="2277" w:name="Bookmark_para_30_8"/>
      <w:bookmarkStart w:id="2278" w:name="Bookmark_I622TVCM2N1PP70010000400"/>
      <w:bookmarkStart w:id="2279" w:name="Bookmark_I2TY7SH6PH70000VRRB0000B"/>
      <w:bookmarkStart w:id="2280" w:name="Bookmark_I2TY7SH6S710000VRRB0000C"/>
      <w:bookmarkStart w:id="2281" w:name="Bookmark_I622TVCM2N1PP70050000400"/>
      <w:bookmarkStart w:id="2282" w:name="Bookmark_LNHNREFclscc7_11"/>
      <w:bookmarkEnd w:id="2277"/>
      <w:bookmarkEnd w:id="2278"/>
      <w:bookmarkEnd w:id="2279"/>
      <w:bookmarkEnd w:id="2280"/>
      <w:bookmarkEnd w:id="2281"/>
      <w:bookmarkEnd w:id="2282"/>
      <w:r>
        <w:rPr>
          <w:rFonts w:ascii="Arial" w:eastAsia="Arial" w:hAnsi="Arial" w:cs="Arial"/>
          <w:color w:val="000000"/>
          <w:sz w:val="20"/>
        </w:rPr>
        <w:t xml:space="preserve">To recover fees under the ADA's fee-shifting provision, a party must demonstrate that she has prevailed in the litigation. </w:t>
      </w:r>
      <w:bookmarkStart w:id="2283" w:name="Bookmark_I622TVCM2N1PP90010000400"/>
      <w:bookmarkEnd w:id="2283"/>
      <w:r>
        <w:rPr>
          <w:rFonts w:ascii="Arial" w:eastAsia="Arial" w:hAnsi="Arial" w:cs="Arial"/>
          <w:color w:val="000000"/>
          <w:sz w:val="20"/>
          <w:u w:val="single"/>
        </w:rPr>
        <w:t>Id.</w:t>
      </w:r>
      <w:r>
        <w:rPr>
          <w:rFonts w:ascii="Arial" w:eastAsia="Arial" w:hAnsi="Arial" w:cs="Arial"/>
          <w:color w:val="000000"/>
          <w:sz w:val="20"/>
        </w:rPr>
        <w:t xml:space="preserve"> The term "prevailing party" is a "legal term of art," </w:t>
      </w:r>
      <w:bookmarkStart w:id="2284" w:name="Bookmark_I622TVCK2N1PP50050000400"/>
      <w:bookmarkEnd w:id="2284"/>
      <w:r>
        <w:rPr>
          <w:rFonts w:ascii="Arial" w:eastAsia="Arial" w:hAnsi="Arial" w:cs="Arial"/>
          <w:color w:val="000000"/>
          <w:sz w:val="20"/>
          <w:u w:val="single"/>
        </w:rPr>
        <w:t>Buckhannon</w:t>
      </w:r>
      <w:r>
        <w:rPr>
          <w:rFonts w:ascii="Arial" w:eastAsia="Arial" w:hAnsi="Arial" w:cs="Arial"/>
          <w:color w:val="000000"/>
          <w:sz w:val="20"/>
        </w:rPr>
        <w:t xml:space="preserve">, 532 U.S. at 603, and "[t]he concepts that shape th[at] term apply broadly to the entire universe of federal fee-shifting statutes." </w:t>
      </w:r>
      <w:bookmarkStart w:id="2285" w:name="Bookmark_I622TVCM2N1PP70020000400"/>
      <w:bookmarkEnd w:id="2285"/>
      <w:r>
        <w:rPr>
          <w:rFonts w:ascii="Arial" w:eastAsia="Arial" w:hAnsi="Arial" w:cs="Arial"/>
          <w:color w:val="000000"/>
          <w:sz w:val="20"/>
          <w:u w:val="single"/>
        </w:rPr>
        <w:t>Hutchinson ex rel. Julien v. Patrick</w:t>
      </w:r>
      <w:r>
        <w:rPr>
          <w:rFonts w:ascii="Arial" w:eastAsia="Arial" w:hAnsi="Arial" w:cs="Arial"/>
          <w:color w:val="000000"/>
          <w:sz w:val="20"/>
        </w:rPr>
        <w:t xml:space="preserve">, 636 F.3d 1, 8 (1st Cir. 2011). To qualify as a "prevailing party," the party seeking to recover fees must demonstrate (1) "a material alteration of the legal relationship of the parties" (2) that possesses the requisite "judicial imprimatur." </w:t>
      </w:r>
      <w:bookmarkStart w:id="2286" w:name="Bookmark_I622TVCM2N1PP70040000400"/>
      <w:bookmarkEnd w:id="2286"/>
      <w:r>
        <w:rPr>
          <w:rFonts w:ascii="Arial" w:eastAsia="Arial" w:hAnsi="Arial" w:cs="Arial"/>
          <w:color w:val="000000"/>
          <w:sz w:val="20"/>
          <w:u w:val="single"/>
        </w:rPr>
        <w:t>Buckhannon</w:t>
      </w:r>
      <w:r>
        <w:rPr>
          <w:rFonts w:ascii="Arial" w:eastAsia="Arial" w:hAnsi="Arial" w:cs="Arial"/>
          <w:color w:val="000000"/>
          <w:sz w:val="20"/>
        </w:rPr>
        <w:t xml:space="preserve">, 532 U.S. at 604-05 (quoting [**15]  </w:t>
      </w:r>
      <w:bookmarkStart w:id="2287" w:name="Bookmark_I622TVCM2D6NYH0010000400"/>
      <w:bookmarkEnd w:id="2287"/>
      <w:r>
        <w:rPr>
          <w:rFonts w:ascii="Arial" w:eastAsia="Arial" w:hAnsi="Arial" w:cs="Arial"/>
          <w:color w:val="000000"/>
          <w:sz w:val="20"/>
          <w:u w:val="single"/>
        </w:rPr>
        <w:t>Tex. State Tchrs. Ass'n v. Garland Indep. Sch. Dist.</w:t>
      </w:r>
      <w:r>
        <w:rPr>
          <w:rFonts w:ascii="Arial" w:eastAsia="Arial" w:hAnsi="Arial" w:cs="Arial"/>
          <w:color w:val="000000"/>
          <w:sz w:val="20"/>
        </w:rPr>
        <w:t xml:space="preserve">, 489 U.S. 782, 792-93, 109 S. Ct. 1486, 103 L. Ed. 2d 866 (1989)); </w:t>
      </w:r>
      <w:r>
        <w:rPr>
          <w:rFonts w:ascii="Arial" w:eastAsia="Arial" w:hAnsi="Arial" w:cs="Arial"/>
          <w:color w:val="000000"/>
          <w:sz w:val="20"/>
          <w:u w:val="single"/>
        </w:rPr>
        <w:t xml:space="preserve">see also </w:t>
      </w:r>
      <w:bookmarkStart w:id="2288" w:name="Bookmark_I622TVCM2D6NYH0030000400"/>
      <w:bookmarkEnd w:id="2288"/>
      <w:r>
        <w:rPr>
          <w:rFonts w:ascii="Arial" w:eastAsia="Arial" w:hAnsi="Arial" w:cs="Arial"/>
          <w:color w:val="000000"/>
          <w:sz w:val="20"/>
          <w:u w:val="single"/>
        </w:rPr>
        <w:t>Hutchinson</w:t>
      </w:r>
      <w:r>
        <w:rPr>
          <w:rFonts w:ascii="Arial" w:eastAsia="Arial" w:hAnsi="Arial" w:cs="Arial"/>
          <w:color w:val="000000"/>
          <w:sz w:val="20"/>
        </w:rPr>
        <w:t xml:space="preserve">, 636 F.3d at 8-9. </w:t>
      </w:r>
      <w:bookmarkStart w:id="2289" w:name="Bookmark_I622TVCM2N1PP90010000400_2"/>
      <w:bookmarkEnd w:id="2289"/>
      <w:r>
        <w:rPr>
          <w:rFonts w:ascii="Arial" w:eastAsia="Arial" w:hAnsi="Arial" w:cs="Arial"/>
          <w:color w:val="000000"/>
          <w:sz w:val="20"/>
        </w:rPr>
        <w:t xml:space="preserve">We review a district court's determination as to "prevailing party" status de novo. </w:t>
      </w:r>
      <w:bookmarkStart w:id="2290" w:name="Bookmark_I622TVCM2D6NYH0050000400"/>
      <w:bookmarkEnd w:id="2290"/>
      <w:r>
        <w:rPr>
          <w:rFonts w:ascii="Arial" w:eastAsia="Arial" w:hAnsi="Arial" w:cs="Arial"/>
          <w:color w:val="000000"/>
          <w:sz w:val="20"/>
          <w:u w:val="single"/>
        </w:rPr>
        <w:t>Aronov v. Napolitano</w:t>
      </w:r>
      <w:r>
        <w:rPr>
          <w:rFonts w:ascii="Arial" w:eastAsia="Arial" w:hAnsi="Arial" w:cs="Arial"/>
          <w:color w:val="000000"/>
          <w:sz w:val="20"/>
        </w:rPr>
        <w:t>, 562 F.3d 84, 88 (1st Cir. 2009).</w:t>
      </w:r>
    </w:p>
    <w:p w14:paraId="03683BAF" w14:textId="77777777" w:rsidR="002B10A6" w:rsidRDefault="00000000">
      <w:pPr>
        <w:pStyle w:val="Normal14"/>
        <w:widowControl w:val="0"/>
        <w:spacing w:before="240" w:line="260" w:lineRule="atLeast"/>
      </w:pPr>
      <w:r>
        <w:br/>
      </w:r>
      <w:r>
        <w:rPr>
          <w:rFonts w:ascii="Arial" w:eastAsia="Arial" w:hAnsi="Arial" w:cs="Arial"/>
          <w:b/>
          <w:color w:val="000000"/>
          <w:sz w:val="20"/>
        </w:rPr>
        <w:t>1. Material Change in Legal Relationship</w:t>
      </w:r>
    </w:p>
    <w:p w14:paraId="50C64C2A" w14:textId="77777777" w:rsidR="002B10A6" w:rsidRDefault="00000000">
      <w:pPr>
        <w:pStyle w:val="Normal14"/>
        <w:widowControl w:val="0"/>
        <w:spacing w:before="200" w:line="260" w:lineRule="atLeast"/>
        <w:jc w:val="both"/>
      </w:pPr>
      <w:bookmarkStart w:id="2291" w:name="Bookmark_para_31_8"/>
      <w:bookmarkStart w:id="2292" w:name="Bookmark_I622TVCM2N1PP90030000400"/>
      <w:bookmarkEnd w:id="2291"/>
      <w:bookmarkEnd w:id="2292"/>
      <w:r>
        <w:rPr>
          <w:rFonts w:ascii="Arial" w:eastAsia="Arial" w:hAnsi="Arial" w:cs="Arial"/>
          <w:color w:val="000000"/>
          <w:sz w:val="20"/>
        </w:rPr>
        <w:t xml:space="preserve">We readily conclude that appellants have established the first requirement of prevailing party status -- that a material change occurred in the parties' legal relationship. </w:t>
      </w:r>
      <w:bookmarkStart w:id="2293" w:name="Bookmark_LNHNREFclscc8_10"/>
      <w:bookmarkEnd w:id="2293"/>
      <w:r>
        <w:rPr>
          <w:rFonts w:ascii="Arial" w:eastAsia="Arial" w:hAnsi="Arial" w:cs="Arial"/>
          <w:color w:val="000000"/>
          <w:sz w:val="20"/>
        </w:rPr>
        <w:t xml:space="preserve">A material change occurs when the plaintiff succeeds on "any significant issue in litigation which achieves some of the benefit the [plaintiff] sought in bringing the suit." </w:t>
      </w:r>
      <w:bookmarkStart w:id="2294" w:name="Bookmark_I622TVCM2N1PP90020000400"/>
      <w:bookmarkEnd w:id="2294"/>
      <w:r>
        <w:rPr>
          <w:rFonts w:ascii="Arial" w:eastAsia="Arial" w:hAnsi="Arial" w:cs="Arial"/>
          <w:color w:val="000000"/>
          <w:sz w:val="20"/>
          <w:u w:val="single"/>
        </w:rPr>
        <w:t>Tex. State Tchrs. Ass'n</w:t>
      </w:r>
      <w:r>
        <w:rPr>
          <w:rFonts w:ascii="Arial" w:eastAsia="Arial" w:hAnsi="Arial" w:cs="Arial"/>
          <w:color w:val="000000"/>
          <w:sz w:val="20"/>
        </w:rPr>
        <w:t xml:space="preserve">, 489 U.S. at 789 (quoting </w:t>
      </w:r>
      <w:bookmarkStart w:id="2295" w:name="Bookmark_I622TVCM2N1PP90040000400"/>
      <w:bookmarkEnd w:id="2295"/>
      <w:r>
        <w:rPr>
          <w:rFonts w:ascii="Arial" w:eastAsia="Arial" w:hAnsi="Arial" w:cs="Arial"/>
          <w:color w:val="000000"/>
          <w:sz w:val="20"/>
          <w:u w:val="single"/>
        </w:rPr>
        <w:t>Hensley v. Eckerhart</w:t>
      </w:r>
      <w:r>
        <w:rPr>
          <w:rFonts w:ascii="Arial" w:eastAsia="Arial" w:hAnsi="Arial" w:cs="Arial"/>
          <w:color w:val="000000"/>
          <w:sz w:val="20"/>
        </w:rPr>
        <w:t>, 461 U.S. 424, 433, 103 S. Ct. 1933, 76 L. Ed. 2d 40 (1983)).</w:t>
      </w:r>
    </w:p>
    <w:p w14:paraId="6264CBCF" w14:textId="77777777" w:rsidR="002B10A6" w:rsidRDefault="00000000">
      <w:pPr>
        <w:pStyle w:val="Normal14"/>
        <w:widowControl w:val="0"/>
        <w:spacing w:before="200" w:line="260" w:lineRule="atLeast"/>
        <w:jc w:val="both"/>
      </w:pPr>
      <w:bookmarkStart w:id="2296" w:name="Bookmark_para_32_8"/>
      <w:bookmarkEnd w:id="2296"/>
      <w:r>
        <w:rPr>
          <w:rFonts w:ascii="Arial" w:eastAsia="Arial" w:hAnsi="Arial" w:cs="Arial"/>
          <w:color w:val="000000"/>
          <w:sz w:val="20"/>
        </w:rPr>
        <w:t> [*552]  As a result of the instant litigation, Panaderia España hired a structural engineer to assess ADA compliance and made substantial -- albeit insufficient, according to appellants --alterations to the bakery. Those changes, detailed in the report of Panaderia España's expert, addressed several of the concerns appellants outlined in their complaint, including the lack of accessible parking, the height of service and dining counters, and various structural issues in the accessible restroom. By causing Panaderia España to take substantial steps toward ADA compliance, Suárez-Torres and Medina-Rodriguez achieved at least some of the benefits sought in filing their suit and, therefore, a material change [**16]  occurred in the legal relationship of the parties.</w:t>
      </w:r>
    </w:p>
    <w:p w14:paraId="4FEBBB42" w14:textId="77777777" w:rsidR="002B10A6" w:rsidRDefault="00000000">
      <w:pPr>
        <w:pStyle w:val="Normal14"/>
        <w:widowControl w:val="0"/>
        <w:spacing w:before="240" w:line="260" w:lineRule="atLeast"/>
      </w:pPr>
      <w:r>
        <w:br/>
      </w:r>
      <w:r>
        <w:rPr>
          <w:rFonts w:ascii="Arial" w:eastAsia="Arial" w:hAnsi="Arial" w:cs="Arial"/>
          <w:b/>
          <w:color w:val="000000"/>
          <w:sz w:val="20"/>
        </w:rPr>
        <w:t>2. Judicial Imprimatur</w:t>
      </w:r>
    </w:p>
    <w:p w14:paraId="217BC4DF" w14:textId="77777777" w:rsidR="002B10A6" w:rsidRDefault="00000000">
      <w:pPr>
        <w:pStyle w:val="Normal14"/>
        <w:widowControl w:val="0"/>
        <w:spacing w:before="200" w:line="260" w:lineRule="atLeast"/>
        <w:jc w:val="both"/>
      </w:pPr>
      <w:bookmarkStart w:id="2297" w:name="Bookmark_para_33_7"/>
      <w:bookmarkStart w:id="2298" w:name="Bookmark_I622TVCN28T50Y0020000400"/>
      <w:bookmarkStart w:id="2299" w:name="Bookmark_LNHNREFclscc9_10"/>
      <w:bookmarkEnd w:id="2297"/>
      <w:bookmarkEnd w:id="2298"/>
      <w:bookmarkEnd w:id="2299"/>
      <w:r>
        <w:rPr>
          <w:rFonts w:ascii="Arial" w:eastAsia="Arial" w:hAnsi="Arial" w:cs="Arial"/>
          <w:color w:val="000000"/>
          <w:sz w:val="20"/>
        </w:rPr>
        <w:t xml:space="preserve">The judicial imprimatur inquiry looks to the level of court involvement in the parties' changed relationship. </w:t>
      </w:r>
      <w:bookmarkStart w:id="2300" w:name="Bookmark_I622TVCN28T50Y0040000400"/>
      <w:bookmarkStart w:id="2301" w:name="Bookmark_I622TVCN28T50Y0010000400"/>
      <w:bookmarkEnd w:id="2300"/>
      <w:bookmarkEnd w:id="2301"/>
      <w:r>
        <w:rPr>
          <w:rFonts w:ascii="Arial" w:eastAsia="Arial" w:hAnsi="Arial" w:cs="Arial"/>
          <w:color w:val="000000"/>
          <w:sz w:val="20"/>
          <w:u w:val="single"/>
        </w:rPr>
        <w:t>Buckhannon</w:t>
      </w:r>
      <w:r>
        <w:rPr>
          <w:rFonts w:ascii="Arial" w:eastAsia="Arial" w:hAnsi="Arial" w:cs="Arial"/>
          <w:color w:val="000000"/>
          <w:sz w:val="20"/>
        </w:rPr>
        <w:t xml:space="preserve">, 532 U.S. at 605-06. </w:t>
      </w:r>
      <w:bookmarkStart w:id="2302" w:name="Bookmark_I622TVCN2SF7NG0010000400"/>
      <w:bookmarkEnd w:id="2302"/>
      <w:r>
        <w:rPr>
          <w:rFonts w:ascii="Arial" w:eastAsia="Arial" w:hAnsi="Arial" w:cs="Arial"/>
          <w:color w:val="000000"/>
          <w:sz w:val="20"/>
        </w:rPr>
        <w:t xml:space="preserve">A voluntary change in conduct by the defendant, "although perhaps accomplishing what the plaintiff sought to achieve by the lawsuit, lacks the necessary judicial imprimatur" for prevailing party status. </w:t>
      </w:r>
      <w:bookmarkStart w:id="2303" w:name="Bookmark_I622TVCN2SF7NG0010000400_2"/>
      <w:bookmarkStart w:id="2304" w:name="Bookmark_I622TVCN28T50Y0040000400_2"/>
      <w:bookmarkStart w:id="2305" w:name="Bookmark_I622TVCN28T50Y0030000400"/>
      <w:bookmarkEnd w:id="2303"/>
      <w:bookmarkEnd w:id="2304"/>
      <w:bookmarkEnd w:id="2305"/>
      <w:r>
        <w:rPr>
          <w:rFonts w:ascii="Arial" w:eastAsia="Arial" w:hAnsi="Arial" w:cs="Arial"/>
          <w:color w:val="000000"/>
          <w:sz w:val="20"/>
          <w:u w:val="single"/>
        </w:rPr>
        <w:t>Id.</w:t>
      </w:r>
      <w:r>
        <w:rPr>
          <w:rFonts w:ascii="Arial" w:eastAsia="Arial" w:hAnsi="Arial" w:cs="Arial"/>
          <w:color w:val="000000"/>
          <w:sz w:val="20"/>
        </w:rPr>
        <w:t xml:space="preserve"> at 605. </w:t>
      </w:r>
      <w:bookmarkStart w:id="2306" w:name="Bookmark_I622TVCN2SF7NG0030000400"/>
      <w:bookmarkEnd w:id="2306"/>
      <w:r>
        <w:rPr>
          <w:rFonts w:ascii="Arial" w:eastAsia="Arial" w:hAnsi="Arial" w:cs="Arial"/>
          <w:color w:val="000000"/>
          <w:sz w:val="20"/>
        </w:rPr>
        <w:t xml:space="preserve">In </w:t>
      </w:r>
      <w:r>
        <w:rPr>
          <w:rFonts w:ascii="Arial" w:eastAsia="Arial" w:hAnsi="Arial" w:cs="Arial"/>
          <w:color w:val="000000"/>
          <w:sz w:val="20"/>
          <w:u w:val="single"/>
        </w:rPr>
        <w:t>Buckhannon</w:t>
      </w:r>
      <w:r>
        <w:rPr>
          <w:rFonts w:ascii="Arial" w:eastAsia="Arial" w:hAnsi="Arial" w:cs="Arial"/>
          <w:color w:val="000000"/>
          <w:sz w:val="20"/>
        </w:rPr>
        <w:t xml:space="preserve">, the Supreme Court identified only two outcomes that necessarily satisfy the judicial imprimatur requirement: (1) "judgments on the merits" and (2) "settlement agreements enforced through a consent decree." </w:t>
      </w:r>
      <w:bookmarkStart w:id="2307" w:name="Bookmark_I622TVCN28T50Y0050000400"/>
      <w:bookmarkEnd w:id="2307"/>
      <w:r>
        <w:rPr>
          <w:rFonts w:ascii="Arial" w:eastAsia="Arial" w:hAnsi="Arial" w:cs="Arial"/>
          <w:color w:val="000000"/>
          <w:sz w:val="20"/>
          <w:u w:val="single"/>
        </w:rPr>
        <w:t>Id.</w:t>
      </w:r>
      <w:r>
        <w:rPr>
          <w:rFonts w:ascii="Arial" w:eastAsia="Arial" w:hAnsi="Arial" w:cs="Arial"/>
          <w:color w:val="000000"/>
          <w:sz w:val="20"/>
        </w:rPr>
        <w:t xml:space="preserve"> at 604. </w:t>
      </w:r>
      <w:bookmarkStart w:id="2308" w:name="Bookmark_I622TVCN2SF7NG0030000400_2"/>
      <w:bookmarkEnd w:id="2308"/>
      <w:r>
        <w:rPr>
          <w:rFonts w:ascii="Arial" w:eastAsia="Arial" w:hAnsi="Arial" w:cs="Arial"/>
          <w:color w:val="000000"/>
          <w:sz w:val="20"/>
        </w:rPr>
        <w:t xml:space="preserve">A narrow reading of </w:t>
      </w:r>
      <w:r>
        <w:rPr>
          <w:rFonts w:ascii="Arial" w:eastAsia="Arial" w:hAnsi="Arial" w:cs="Arial"/>
          <w:color w:val="000000"/>
          <w:sz w:val="20"/>
          <w:u w:val="single"/>
        </w:rPr>
        <w:t>Buckhannon</w:t>
      </w:r>
      <w:r>
        <w:rPr>
          <w:rFonts w:ascii="Arial" w:eastAsia="Arial" w:hAnsi="Arial" w:cs="Arial"/>
          <w:color w:val="000000"/>
          <w:sz w:val="20"/>
        </w:rPr>
        <w:t xml:space="preserve"> limits a finding of judicial imprimatur to one of those two circumstances. </w:t>
      </w:r>
      <w:r>
        <w:rPr>
          <w:rFonts w:ascii="Arial" w:eastAsia="Arial" w:hAnsi="Arial" w:cs="Arial"/>
          <w:color w:val="000000"/>
          <w:sz w:val="20"/>
          <w:u w:val="single"/>
        </w:rPr>
        <w:t xml:space="preserve">See, e.g., </w:t>
      </w:r>
      <w:bookmarkStart w:id="2309" w:name="Bookmark_I622TVCN2SF7NG0020000400"/>
      <w:bookmarkEnd w:id="2309"/>
      <w:r>
        <w:rPr>
          <w:rFonts w:ascii="Arial" w:eastAsia="Arial" w:hAnsi="Arial" w:cs="Arial"/>
          <w:color w:val="000000"/>
          <w:sz w:val="20"/>
          <w:u w:val="single"/>
        </w:rPr>
        <w:t>Smith v. Fitchburg Pub. Schs.</w:t>
      </w:r>
      <w:r>
        <w:rPr>
          <w:rFonts w:ascii="Arial" w:eastAsia="Arial" w:hAnsi="Arial" w:cs="Arial"/>
          <w:color w:val="000000"/>
          <w:sz w:val="20"/>
        </w:rPr>
        <w:t>, 401 F.3d 16, 23 (1st Cir. 2005).</w:t>
      </w:r>
    </w:p>
    <w:p w14:paraId="243C5616" w14:textId="77777777" w:rsidR="002B10A6" w:rsidRDefault="00000000">
      <w:pPr>
        <w:pStyle w:val="Normal14"/>
        <w:widowControl w:val="0"/>
        <w:spacing w:before="200" w:line="260" w:lineRule="atLeast"/>
        <w:jc w:val="both"/>
      </w:pPr>
      <w:bookmarkStart w:id="2310" w:name="Bookmark_para_34_6"/>
      <w:bookmarkStart w:id="2311" w:name="Bookmark_I622TVCN2SF7NG0050000400"/>
      <w:bookmarkStart w:id="2312" w:name="Bookmark_I622TVCN2HM5TP0040000400"/>
      <w:bookmarkStart w:id="2313" w:name="Bookmark_I2TY7SH6V360000VRRB0000D"/>
      <w:bookmarkStart w:id="2314" w:name="Bookmark_I2TY7SH7PTC0000VRRB0000N"/>
      <w:bookmarkStart w:id="2315" w:name="Bookmark_I622TVCN2SF7NH0030000400"/>
      <w:bookmarkStart w:id="2316" w:name="Bookmark_LNHNREFclscc10_9"/>
      <w:bookmarkEnd w:id="2310"/>
      <w:bookmarkEnd w:id="2311"/>
      <w:bookmarkEnd w:id="2312"/>
      <w:bookmarkEnd w:id="2313"/>
      <w:bookmarkEnd w:id="2314"/>
      <w:bookmarkEnd w:id="2315"/>
      <w:bookmarkEnd w:id="2316"/>
      <w:r>
        <w:rPr>
          <w:rFonts w:ascii="Arial" w:eastAsia="Arial" w:hAnsi="Arial" w:cs="Arial"/>
          <w:color w:val="000000"/>
          <w:sz w:val="20"/>
        </w:rPr>
        <w:t xml:space="preserve">We have held, however, that </w:t>
      </w:r>
      <w:r>
        <w:rPr>
          <w:rFonts w:ascii="Arial" w:eastAsia="Arial" w:hAnsi="Arial" w:cs="Arial"/>
          <w:color w:val="000000"/>
          <w:sz w:val="20"/>
          <w:u w:val="single"/>
        </w:rPr>
        <w:t>Buckhannon</w:t>
      </w:r>
      <w:r>
        <w:rPr>
          <w:rFonts w:ascii="Arial" w:eastAsia="Arial" w:hAnsi="Arial" w:cs="Arial"/>
          <w:color w:val="000000"/>
          <w:sz w:val="20"/>
        </w:rPr>
        <w:t xml:space="preserve"> should not be read so narrowly as to require courts to "look exclusively at the label attached to a particular order." </w:t>
      </w:r>
      <w:bookmarkStart w:id="2317" w:name="Bookmark_I622TVCN2SF7NG0040000400"/>
      <w:bookmarkEnd w:id="2317"/>
      <w:r>
        <w:rPr>
          <w:rFonts w:ascii="Arial" w:eastAsia="Arial" w:hAnsi="Arial" w:cs="Arial"/>
          <w:color w:val="000000"/>
          <w:sz w:val="20"/>
          <w:u w:val="single"/>
        </w:rPr>
        <w:t>Hutchinson</w:t>
      </w:r>
      <w:r>
        <w:rPr>
          <w:rFonts w:ascii="Arial" w:eastAsia="Arial" w:hAnsi="Arial" w:cs="Arial"/>
          <w:color w:val="000000"/>
          <w:sz w:val="20"/>
        </w:rPr>
        <w:t xml:space="preserve">, 636 F.3d at 9; </w:t>
      </w:r>
      <w:r>
        <w:rPr>
          <w:rFonts w:ascii="Arial" w:eastAsia="Arial" w:hAnsi="Arial" w:cs="Arial"/>
          <w:color w:val="000000"/>
          <w:sz w:val="20"/>
          <w:u w:val="single"/>
        </w:rPr>
        <w:t xml:space="preserve">see also </w:t>
      </w:r>
      <w:bookmarkStart w:id="2318" w:name="Bookmark_I622TVCN2HM5TP0010000400"/>
      <w:bookmarkEnd w:id="2318"/>
      <w:r>
        <w:rPr>
          <w:rFonts w:ascii="Arial" w:eastAsia="Arial" w:hAnsi="Arial" w:cs="Arial"/>
          <w:color w:val="000000"/>
          <w:sz w:val="20"/>
          <w:u w:val="single"/>
        </w:rPr>
        <w:t>Smith</w:t>
      </w:r>
      <w:r>
        <w:rPr>
          <w:rFonts w:ascii="Arial" w:eastAsia="Arial" w:hAnsi="Arial" w:cs="Arial"/>
          <w:color w:val="000000"/>
          <w:sz w:val="20"/>
        </w:rPr>
        <w:t xml:space="preserve">, 401 F.3d at 26 ("[W]e do not foreclose the possibility of a broad reading [of </w:t>
      </w:r>
      <w:r>
        <w:rPr>
          <w:rFonts w:ascii="Arial" w:eastAsia="Arial" w:hAnsi="Arial" w:cs="Arial"/>
          <w:color w:val="000000"/>
          <w:sz w:val="20"/>
          <w:u w:val="single"/>
        </w:rPr>
        <w:t>Buckhannon</w:t>
      </w:r>
      <w:r>
        <w:rPr>
          <w:rFonts w:ascii="Arial" w:eastAsia="Arial" w:hAnsi="Arial" w:cs="Arial"/>
          <w:color w:val="000000"/>
          <w:sz w:val="20"/>
        </w:rPr>
        <w:t xml:space="preserve">] . . . ."). Instead, "an inquiring court must consider 'whether the order contains the sort of judicial involvement and actions inherent in a "court ordered consent decree."'" </w:t>
      </w:r>
      <w:bookmarkStart w:id="2319" w:name="Bookmark_I622TVCN2HM5TP0030000400"/>
      <w:bookmarkEnd w:id="2319"/>
      <w:r>
        <w:rPr>
          <w:rFonts w:ascii="Arial" w:eastAsia="Arial" w:hAnsi="Arial" w:cs="Arial"/>
          <w:color w:val="000000"/>
          <w:sz w:val="20"/>
          <w:u w:val="single"/>
        </w:rPr>
        <w:t>Hutchinson</w:t>
      </w:r>
      <w:r>
        <w:rPr>
          <w:rFonts w:ascii="Arial" w:eastAsia="Arial" w:hAnsi="Arial" w:cs="Arial"/>
          <w:color w:val="000000"/>
          <w:sz w:val="20"/>
        </w:rPr>
        <w:t xml:space="preserve">, 636 F.3d at 9 (quoting </w:t>
      </w:r>
      <w:bookmarkStart w:id="2320" w:name="Bookmark_I622TVCN2HM5TP0050000400"/>
      <w:bookmarkEnd w:id="2320"/>
      <w:r>
        <w:rPr>
          <w:rFonts w:ascii="Arial" w:eastAsia="Arial" w:hAnsi="Arial" w:cs="Arial"/>
          <w:color w:val="000000"/>
          <w:sz w:val="20"/>
          <w:u w:val="single"/>
        </w:rPr>
        <w:t>Aronov</w:t>
      </w:r>
      <w:r>
        <w:rPr>
          <w:rFonts w:ascii="Arial" w:eastAsia="Arial" w:hAnsi="Arial" w:cs="Arial"/>
          <w:color w:val="000000"/>
          <w:sz w:val="20"/>
        </w:rPr>
        <w:t xml:space="preserve">, 562 F.3d at 90). To that end, we consider both the content [**17]  and the context of the order by applying the following factors identified in </w:t>
      </w:r>
      <w:r>
        <w:rPr>
          <w:rFonts w:ascii="Arial" w:eastAsia="Arial" w:hAnsi="Arial" w:cs="Arial"/>
          <w:color w:val="000000"/>
          <w:sz w:val="20"/>
          <w:u w:val="single"/>
        </w:rPr>
        <w:t>Hutchinson v. Patrick</w:t>
      </w:r>
      <w:r>
        <w:rPr>
          <w:rFonts w:ascii="Arial" w:eastAsia="Arial" w:hAnsi="Arial" w:cs="Arial"/>
          <w:color w:val="000000"/>
          <w:sz w:val="20"/>
        </w:rPr>
        <w:t xml:space="preserve">: (1) "whether the change in the legal relationship between the parties was 'court-ordered,'" (2) "whether there was 'judicial approval of the relief vis-à-vis the merits of the case,'" and (3) "whether there exists continuing 'judicial oversight and ability to enforce the obligations imposed on the parties.'" </w:t>
      </w:r>
      <w:bookmarkStart w:id="2321" w:name="Bookmark_I622TVCN2SF7NH0020000400"/>
      <w:bookmarkEnd w:id="2321"/>
      <w:r>
        <w:rPr>
          <w:rFonts w:ascii="Arial" w:eastAsia="Arial" w:hAnsi="Arial" w:cs="Arial"/>
          <w:color w:val="000000"/>
          <w:sz w:val="20"/>
          <w:u w:val="single"/>
        </w:rPr>
        <w:t>Id.</w:t>
      </w:r>
      <w:r>
        <w:rPr>
          <w:rFonts w:ascii="Arial" w:eastAsia="Arial" w:hAnsi="Arial" w:cs="Arial"/>
          <w:color w:val="000000"/>
          <w:sz w:val="20"/>
        </w:rPr>
        <w:t xml:space="preserve"> (quoting </w:t>
      </w:r>
      <w:bookmarkStart w:id="2322" w:name="Bookmark_I622TVCN2SF7NH0040000400"/>
      <w:bookmarkEnd w:id="2322"/>
      <w:r>
        <w:rPr>
          <w:rFonts w:ascii="Arial" w:eastAsia="Arial" w:hAnsi="Arial" w:cs="Arial"/>
          <w:color w:val="000000"/>
          <w:sz w:val="20"/>
          <w:u w:val="single"/>
        </w:rPr>
        <w:t>Aronov</w:t>
      </w:r>
      <w:r>
        <w:rPr>
          <w:rFonts w:ascii="Arial" w:eastAsia="Arial" w:hAnsi="Arial" w:cs="Arial"/>
          <w:color w:val="000000"/>
          <w:sz w:val="20"/>
        </w:rPr>
        <w:t>, 562 F.3d at 90).</w:t>
      </w:r>
    </w:p>
    <w:p w14:paraId="39BF50E0" w14:textId="77777777" w:rsidR="002B10A6" w:rsidRDefault="00000000">
      <w:pPr>
        <w:pStyle w:val="Normal14"/>
        <w:widowControl w:val="0"/>
        <w:spacing w:before="200" w:line="260" w:lineRule="atLeast"/>
        <w:jc w:val="both"/>
      </w:pPr>
      <w:bookmarkStart w:id="2323" w:name="Bookmark_para_35_6"/>
      <w:bookmarkStart w:id="2324" w:name="Bookmark_I622TVCN2SF7NJ0020000400"/>
      <w:bookmarkStart w:id="2325" w:name="Bookmark_I2TY7SH6X5P0000VRRB0000F"/>
      <w:bookmarkStart w:id="2326" w:name="Bookmark_I2TY7SH702V0000VRRB0000G"/>
      <w:bookmarkStart w:id="2327" w:name="Bookmark_I2TY7SH71K30000VRRB0000H"/>
      <w:bookmarkStart w:id="2328" w:name="Bookmark_I622TVCN2N1PPF0010000400"/>
      <w:bookmarkEnd w:id="2323"/>
      <w:bookmarkEnd w:id="2324"/>
      <w:bookmarkEnd w:id="2325"/>
      <w:bookmarkEnd w:id="2326"/>
      <w:bookmarkEnd w:id="2327"/>
      <w:bookmarkEnd w:id="2328"/>
      <w:r>
        <w:rPr>
          <w:rFonts w:ascii="Arial" w:eastAsia="Arial" w:hAnsi="Arial" w:cs="Arial"/>
          <w:color w:val="000000"/>
          <w:sz w:val="20"/>
        </w:rPr>
        <w:t xml:space="preserve">Suárez-Torres and Medina-Rodriguez initially contend that the district court's summary judgment ruling was functionally equivalent to a full and complete judgment on the merits and, therefore, makes them prevailing parties even under the narrow reading of </w:t>
      </w:r>
      <w:r>
        <w:rPr>
          <w:rFonts w:ascii="Arial" w:eastAsia="Arial" w:hAnsi="Arial" w:cs="Arial"/>
          <w:color w:val="000000"/>
          <w:sz w:val="20"/>
          <w:u w:val="single"/>
        </w:rPr>
        <w:t>Buckhannon</w:t>
      </w:r>
      <w:r>
        <w:rPr>
          <w:rFonts w:ascii="Arial" w:eastAsia="Arial" w:hAnsi="Arial" w:cs="Arial"/>
          <w:color w:val="000000"/>
          <w:sz w:val="20"/>
        </w:rPr>
        <w:t>. According to appellants, the court necessarily addressed Panaderia España's merits argument to conclude that, even in the absence of opposition,</w:t>
      </w:r>
      <w:r>
        <w:rPr>
          <w:rFonts w:ascii="Arial" w:eastAsia="Arial" w:hAnsi="Arial" w:cs="Arial"/>
          <w:vertAlign w:val="superscript"/>
        </w:rPr>
        <w:footnoteReference w:customMarkFollows="1" w:id="103"/>
        <w:t>9</w:t>
      </w:r>
      <w:r>
        <w:rPr>
          <w:rFonts w:ascii="Arial" w:eastAsia="Arial" w:hAnsi="Arial" w:cs="Arial"/>
          <w:color w:val="000000"/>
          <w:sz w:val="20"/>
        </w:rPr>
        <w:t xml:space="preserve"> summary judgment was not warranted. But even if we were to assume that is so (and we do not decide that it is), plaintiffs point to no authority indicating that an order </w:t>
      </w:r>
      <w:r>
        <w:rPr>
          <w:rFonts w:ascii="Arial" w:eastAsia="Arial" w:hAnsi="Arial" w:cs="Arial"/>
          <w:color w:val="000000"/>
          <w:sz w:val="20"/>
          <w:u w:val="single"/>
        </w:rPr>
        <w:t>denying</w:t>
      </w:r>
      <w:r>
        <w:rPr>
          <w:rFonts w:ascii="Arial" w:eastAsia="Arial" w:hAnsi="Arial" w:cs="Arial"/>
          <w:color w:val="000000"/>
          <w:sz w:val="20"/>
        </w:rPr>
        <w:t xml:space="preserve"> summary judgment is equivalent to a "judgment[] on the merits" within the meaning of </w:t>
      </w:r>
      <w:r>
        <w:rPr>
          <w:rFonts w:ascii="Arial" w:eastAsia="Arial" w:hAnsi="Arial" w:cs="Arial"/>
          <w:color w:val="000000"/>
          <w:sz w:val="20"/>
          <w:u w:val="single"/>
        </w:rPr>
        <w:t>Buckhannon</w:t>
      </w:r>
      <w:r>
        <w:rPr>
          <w:rFonts w:ascii="Arial" w:eastAsia="Arial" w:hAnsi="Arial" w:cs="Arial"/>
          <w:color w:val="000000"/>
          <w:sz w:val="20"/>
        </w:rPr>
        <w:t xml:space="preserve"> so as to automatically qualify plaintiffs as "prevailing parties." </w:t>
      </w:r>
      <w:r>
        <w:rPr>
          <w:rFonts w:ascii="Arial" w:eastAsia="Arial" w:hAnsi="Arial" w:cs="Arial"/>
          <w:color w:val="000000"/>
          <w:sz w:val="20"/>
          <w:u w:val="single"/>
        </w:rPr>
        <w:t>See</w:t>
      </w:r>
      <w:r>
        <w:rPr>
          <w:rFonts w:ascii="Arial" w:eastAsia="Arial" w:hAnsi="Arial" w:cs="Arial"/>
          <w:color w:val="000000"/>
          <w:sz w:val="20"/>
        </w:rPr>
        <w:t xml:space="preserve"> </w:t>
      </w:r>
      <w:bookmarkStart w:id="2330" w:name="Bookmark_I622TVCN2SF7NJ0010000400"/>
      <w:bookmarkEnd w:id="2330"/>
      <w:r>
        <w:rPr>
          <w:rFonts w:ascii="Arial" w:eastAsia="Arial" w:hAnsi="Arial" w:cs="Arial"/>
          <w:color w:val="000000"/>
          <w:sz w:val="20"/>
        </w:rPr>
        <w:t xml:space="preserve">532 U.S. at 604; </w:t>
      </w:r>
      <w:r>
        <w:rPr>
          <w:rFonts w:ascii="Arial" w:eastAsia="Arial" w:hAnsi="Arial" w:cs="Arial"/>
          <w:color w:val="000000"/>
          <w:sz w:val="20"/>
          <w:u w:val="single"/>
        </w:rPr>
        <w:t xml:space="preserve">see also </w:t>
      </w:r>
      <w:bookmarkStart w:id="2331" w:name="Bookmark_I622TVCN2SF7NJ0030000400"/>
      <w:bookmarkEnd w:id="2331"/>
      <w:r>
        <w:rPr>
          <w:rFonts w:ascii="Arial" w:eastAsia="Arial" w:hAnsi="Arial" w:cs="Arial"/>
          <w:color w:val="000000"/>
          <w:sz w:val="20"/>
          <w:u w:val="single"/>
        </w:rPr>
        <w:t>Aronov</w:t>
      </w:r>
      <w:r>
        <w:rPr>
          <w:rFonts w:ascii="Arial" w:eastAsia="Arial" w:hAnsi="Arial" w:cs="Arial"/>
          <w:color w:val="000000"/>
          <w:sz w:val="20"/>
        </w:rPr>
        <w:t>, 562 F.3d at 90 ("</w:t>
      </w:r>
      <w:r>
        <w:rPr>
          <w:rFonts w:ascii="Arial" w:eastAsia="Arial" w:hAnsi="Arial" w:cs="Arial"/>
          <w:color w:val="000000"/>
          <w:sz w:val="20"/>
          <w:u w:val="single"/>
        </w:rPr>
        <w:t>Buckhannon [**18] </w:t>
      </w:r>
      <w:r>
        <w:rPr>
          <w:rFonts w:ascii="Arial" w:eastAsia="Arial" w:hAnsi="Arial" w:cs="Arial"/>
          <w:color w:val="000000"/>
          <w:sz w:val="20"/>
        </w:rPr>
        <w:t xml:space="preserve"> contrasted  [*553]  final judgment on the merits . . . with . . . for example, securing the reversal of a directed verdict . . . .").</w:t>
      </w:r>
      <w:r>
        <w:rPr>
          <w:rFonts w:ascii="Arial" w:eastAsia="Arial" w:hAnsi="Arial" w:cs="Arial"/>
          <w:vertAlign w:val="superscript"/>
        </w:rPr>
        <w:footnoteReference w:customMarkFollows="1" w:id="104"/>
        <w:t>10</w:t>
      </w:r>
    </w:p>
    <w:p w14:paraId="7B8E74C4" w14:textId="77777777" w:rsidR="002B10A6" w:rsidRDefault="00000000">
      <w:pPr>
        <w:pStyle w:val="Normal14"/>
        <w:widowControl w:val="0"/>
        <w:spacing w:before="200" w:line="260" w:lineRule="atLeast"/>
        <w:jc w:val="both"/>
      </w:pPr>
      <w:bookmarkStart w:id="2337" w:name="Bookmark_para_36_6"/>
      <w:bookmarkEnd w:id="2337"/>
      <w:r>
        <w:rPr>
          <w:rFonts w:ascii="Arial" w:eastAsia="Arial" w:hAnsi="Arial" w:cs="Arial"/>
          <w:color w:val="000000"/>
          <w:sz w:val="20"/>
        </w:rPr>
        <w:t xml:space="preserve">Appellants also argue that the application of the </w:t>
      </w:r>
      <w:r>
        <w:rPr>
          <w:rFonts w:ascii="Arial" w:eastAsia="Arial" w:hAnsi="Arial" w:cs="Arial"/>
          <w:color w:val="000000"/>
          <w:sz w:val="20"/>
          <w:u w:val="single"/>
        </w:rPr>
        <w:t>Hutchinson</w:t>
      </w:r>
      <w:r>
        <w:rPr>
          <w:rFonts w:ascii="Arial" w:eastAsia="Arial" w:hAnsi="Arial" w:cs="Arial"/>
          <w:color w:val="000000"/>
          <w:sz w:val="20"/>
        </w:rPr>
        <w:t xml:space="preserve"> factors demonstrates that the summary judgment order contains the sort of judicial involvement and actions inherent in a "court ordered consent decree." We disagree.</w:t>
      </w:r>
    </w:p>
    <w:p w14:paraId="232289C7" w14:textId="77777777" w:rsidR="002B10A6" w:rsidRDefault="00000000">
      <w:pPr>
        <w:pStyle w:val="Normal14"/>
        <w:widowControl w:val="0"/>
        <w:spacing w:before="200" w:line="260" w:lineRule="atLeast"/>
        <w:jc w:val="both"/>
      </w:pPr>
      <w:bookmarkStart w:id="2338" w:name="Bookmark_para_37_5"/>
      <w:bookmarkStart w:id="2339" w:name="Bookmark_I622TVCP2N1PPH0040000400"/>
      <w:bookmarkStart w:id="2340" w:name="Bookmark_LNHNREFclscc11_9"/>
      <w:bookmarkEnd w:id="2338"/>
      <w:bookmarkEnd w:id="2339"/>
      <w:bookmarkEnd w:id="2340"/>
      <w:r>
        <w:rPr>
          <w:rFonts w:ascii="Arial" w:eastAsia="Arial" w:hAnsi="Arial" w:cs="Arial"/>
          <w:color w:val="000000"/>
          <w:sz w:val="20"/>
        </w:rPr>
        <w:t xml:space="preserve">We first ask whether the change in the parties' legal relationship was "court-ordered." </w:t>
      </w:r>
      <w:bookmarkStart w:id="2341" w:name="Bookmark_I622TVCP2N1PPH0030000400"/>
      <w:bookmarkEnd w:id="2341"/>
      <w:r>
        <w:rPr>
          <w:rFonts w:ascii="Arial" w:eastAsia="Arial" w:hAnsi="Arial" w:cs="Arial"/>
          <w:color w:val="000000"/>
          <w:sz w:val="20"/>
          <w:u w:val="single"/>
        </w:rPr>
        <w:t>Hutchinson</w:t>
      </w:r>
      <w:r>
        <w:rPr>
          <w:rFonts w:ascii="Arial" w:eastAsia="Arial" w:hAnsi="Arial" w:cs="Arial"/>
          <w:color w:val="000000"/>
          <w:sz w:val="20"/>
        </w:rPr>
        <w:t>, 636 F.3d at 9. Appellants answer that question affirmatively. They contend that Panaderia España failed to proffer evidence of remedial measures until the court denied summary judgment, ordered Panaderia España to submit evidence of "full[] complian[ce]," and enforced that order with a ninety-day deadline at the January 2018 status conference. According to appellants, the district court effectively "forced Panaderia España to do something it otherwise would not have had to do -- namely, agree [to] become fully compliant with the ADA [] within 90 days."</w:t>
      </w:r>
    </w:p>
    <w:p w14:paraId="7F0C5375" w14:textId="77777777" w:rsidR="002B10A6" w:rsidRDefault="00000000">
      <w:pPr>
        <w:pStyle w:val="Normal14"/>
        <w:widowControl w:val="0"/>
        <w:spacing w:before="200" w:line="260" w:lineRule="atLeast"/>
        <w:jc w:val="both"/>
      </w:pPr>
      <w:bookmarkStart w:id="2342" w:name="Bookmark_para_38_4"/>
      <w:bookmarkEnd w:id="2342"/>
      <w:r>
        <w:rPr>
          <w:rFonts w:ascii="Arial" w:eastAsia="Arial" w:hAnsi="Arial" w:cs="Arial"/>
          <w:color w:val="000000"/>
          <w:sz w:val="20"/>
        </w:rPr>
        <w:t>The record, however, belies that assertion. In support of its motion for summary judgment, and prior to any of the judicial actions referenced by appellants, Panaderia España submitted a declaration by its [**19]  owner stating that he had already hired a structural engineer to inspect the property and had recently remodeled "[in] compl[iance] with all ADA Standards." Panaderia España admitted voluntarily that its hired expert detected additional ADA violations that would be fully corrected "soon."</w:t>
      </w:r>
    </w:p>
    <w:p w14:paraId="16EAAA3D" w14:textId="77777777" w:rsidR="002B10A6" w:rsidRDefault="00000000">
      <w:pPr>
        <w:pStyle w:val="Normal14"/>
        <w:widowControl w:val="0"/>
        <w:spacing w:before="200" w:line="260" w:lineRule="atLeast"/>
        <w:jc w:val="both"/>
      </w:pPr>
      <w:bookmarkStart w:id="2343" w:name="Bookmark_para_39_4"/>
      <w:bookmarkStart w:id="2344" w:name="Bookmark_I2TY7SH7SBY0000VRRB0000P"/>
      <w:bookmarkStart w:id="2345" w:name="Bookmark_I622TVCP2SF7NM0010000400"/>
      <w:bookmarkStart w:id="2346" w:name="Bookmark_I622TVCP2SF7NM0030000400"/>
      <w:bookmarkEnd w:id="2343"/>
      <w:bookmarkEnd w:id="2344"/>
      <w:bookmarkEnd w:id="2345"/>
      <w:bookmarkEnd w:id="2346"/>
      <w:r>
        <w:rPr>
          <w:rFonts w:ascii="Arial" w:eastAsia="Arial" w:hAnsi="Arial" w:cs="Arial"/>
          <w:color w:val="000000"/>
          <w:sz w:val="20"/>
        </w:rPr>
        <w:t xml:space="preserve">The court's subsequent order and imposition of the ninety-day deadline did not purport to require Panaderia España to do what it had already done. It simply directed Panaderia España to substantiate its claims that its property was or would soon be "fully compliant with all applicable standards and guidelines under [the] ADA" to the extent it hoped to "make the plaintiffs' ADA claims moot at this stage." Such court involvement does not render the changed relationship "court-ordered" within the meaning of the first factor of the </w:t>
      </w:r>
      <w:bookmarkStart w:id="2347" w:name="Bookmark_I622TVCP2N1PPH0050000400"/>
      <w:bookmarkEnd w:id="2347"/>
      <w:r>
        <w:rPr>
          <w:rFonts w:ascii="Arial" w:eastAsia="Arial" w:hAnsi="Arial" w:cs="Arial"/>
          <w:color w:val="000000"/>
          <w:sz w:val="20"/>
          <w:u w:val="single"/>
        </w:rPr>
        <w:t>Hutchinson</w:t>
      </w:r>
      <w:r>
        <w:rPr>
          <w:rFonts w:ascii="Arial" w:eastAsia="Arial" w:hAnsi="Arial" w:cs="Arial"/>
          <w:color w:val="000000"/>
          <w:sz w:val="20"/>
        </w:rPr>
        <w:t xml:space="preserve"> inquiry. </w:t>
      </w:r>
      <w:r>
        <w:rPr>
          <w:rFonts w:ascii="Arial" w:eastAsia="Arial" w:hAnsi="Arial" w:cs="Arial"/>
          <w:color w:val="000000"/>
          <w:sz w:val="20"/>
          <w:u w:val="single"/>
        </w:rPr>
        <w:t xml:space="preserve">See </w:t>
      </w:r>
      <w:bookmarkStart w:id="2348" w:name="Bookmark_I622TVCP2SF7NM0020000400"/>
      <w:bookmarkEnd w:id="2348"/>
      <w:r>
        <w:rPr>
          <w:rFonts w:ascii="Arial" w:eastAsia="Arial" w:hAnsi="Arial" w:cs="Arial"/>
          <w:color w:val="000000"/>
          <w:sz w:val="20"/>
          <w:u w:val="single"/>
        </w:rPr>
        <w:t>Aronov</w:t>
      </w:r>
      <w:r>
        <w:rPr>
          <w:rFonts w:ascii="Arial" w:eastAsia="Arial" w:hAnsi="Arial" w:cs="Arial"/>
          <w:color w:val="000000"/>
          <w:sz w:val="20"/>
        </w:rPr>
        <w:t>, 562 F.3d at 92-93 (</w:t>
      </w:r>
      <w:bookmarkStart w:id="2349" w:name="Bookmark_LNHNREFclscc12_8"/>
      <w:bookmarkEnd w:id="2349"/>
      <w:r>
        <w:rPr>
          <w:rFonts w:ascii="Arial" w:eastAsia="Arial" w:hAnsi="Arial" w:cs="Arial"/>
          <w:color w:val="000000"/>
          <w:sz w:val="20"/>
        </w:rPr>
        <w:t xml:space="preserve">"A plaintiff does not become a prevailing party if the court merely recognizes what the [defendant] has voluntarily agreed to [do] . . . ." (citing </w:t>
      </w:r>
      <w:bookmarkStart w:id="2350" w:name="Bookmark_I622TVCP2SF7NM0040000400"/>
      <w:bookmarkEnd w:id="2350"/>
      <w:r>
        <w:rPr>
          <w:rFonts w:ascii="Arial" w:eastAsia="Arial" w:hAnsi="Arial" w:cs="Arial"/>
          <w:color w:val="000000"/>
          <w:sz w:val="20"/>
          <w:u w:val="single"/>
        </w:rPr>
        <w:t>Smith</w:t>
      </w:r>
      <w:r>
        <w:rPr>
          <w:rFonts w:ascii="Arial" w:eastAsia="Arial" w:hAnsi="Arial" w:cs="Arial"/>
          <w:color w:val="000000"/>
          <w:sz w:val="20"/>
        </w:rPr>
        <w:t xml:space="preserve">, 401 F.3d at 27)); </w:t>
      </w:r>
      <w:r>
        <w:rPr>
          <w:rFonts w:ascii="Arial" w:eastAsia="Arial" w:hAnsi="Arial" w:cs="Arial"/>
          <w:color w:val="000000"/>
          <w:sz w:val="20"/>
          <w:u w:val="single"/>
        </w:rPr>
        <w:t xml:space="preserve">see also </w:t>
      </w:r>
      <w:bookmarkStart w:id="2351" w:name="Bookmark_I622TVCP2SF7NN0010000400"/>
      <w:bookmarkEnd w:id="2351"/>
      <w:r>
        <w:rPr>
          <w:rFonts w:ascii="Arial" w:eastAsia="Arial" w:hAnsi="Arial" w:cs="Arial"/>
          <w:color w:val="000000"/>
          <w:sz w:val="20"/>
          <w:u w:val="single"/>
        </w:rPr>
        <w:t>Hutchinson</w:t>
      </w:r>
      <w:r>
        <w:rPr>
          <w:rFonts w:ascii="Arial" w:eastAsia="Arial" w:hAnsi="Arial" w:cs="Arial"/>
          <w:color w:val="000000"/>
          <w:sz w:val="20"/>
        </w:rPr>
        <w:t>, 636 F.3d at 9.</w:t>
      </w:r>
    </w:p>
    <w:p w14:paraId="4391AE04" w14:textId="77777777" w:rsidR="002B10A6" w:rsidRDefault="00000000">
      <w:pPr>
        <w:pStyle w:val="Normal14"/>
        <w:widowControl w:val="0"/>
        <w:spacing w:before="200" w:line="260" w:lineRule="atLeast"/>
        <w:jc w:val="both"/>
      </w:pPr>
      <w:bookmarkStart w:id="2352" w:name="Bookmark_para_40_4"/>
      <w:bookmarkStart w:id="2353" w:name="Bookmark_I2TY7SH735C0000VRRB0000J"/>
      <w:bookmarkStart w:id="2354" w:name="Bookmark_I622TVCP2SF7NN0040000400"/>
      <w:bookmarkStart w:id="2355" w:name="Bookmark_LNHNREFclscc13_6"/>
      <w:bookmarkEnd w:id="2352"/>
      <w:bookmarkEnd w:id="2353"/>
      <w:bookmarkEnd w:id="2354"/>
      <w:bookmarkEnd w:id="2355"/>
      <w:r>
        <w:rPr>
          <w:rFonts w:ascii="Arial" w:eastAsia="Arial" w:hAnsi="Arial" w:cs="Arial"/>
          <w:color w:val="000000"/>
          <w:sz w:val="20"/>
        </w:rPr>
        <w:t xml:space="preserve">Turning to the second factor, we consider whether the district court "engaged in a sufficient appraisal of the merits," even in the absence of a judgment on the merits. </w:t>
      </w:r>
      <w:bookmarkStart w:id="2356" w:name="Bookmark_I622TVCP2SF7NN0030000400"/>
      <w:bookmarkEnd w:id="2356"/>
      <w:r>
        <w:rPr>
          <w:rFonts w:ascii="Arial" w:eastAsia="Arial" w:hAnsi="Arial" w:cs="Arial"/>
          <w:color w:val="000000"/>
          <w:sz w:val="20"/>
          <w:u w:val="single"/>
        </w:rPr>
        <w:t>Hutchinson</w:t>
      </w:r>
      <w:r>
        <w:rPr>
          <w:rFonts w:ascii="Arial" w:eastAsia="Arial" w:hAnsi="Arial" w:cs="Arial"/>
          <w:color w:val="000000"/>
          <w:sz w:val="20"/>
        </w:rPr>
        <w:t>, 636 F.3d at 10. Appellants contend [**20]  that the summary judgment order included an implicit acknowledgement that the bakery violated the ADA. According to appellants, the court would not have required Panaderia España to follow through on its promise to make certain structural changes and proffer evidence of full compliance with the ADA if such changes were not required by the ADA.</w:t>
      </w:r>
    </w:p>
    <w:p w14:paraId="46CDB0B6" w14:textId="77777777" w:rsidR="002B10A6" w:rsidRDefault="00000000">
      <w:pPr>
        <w:pStyle w:val="Normal14"/>
        <w:widowControl w:val="0"/>
        <w:spacing w:before="200" w:line="260" w:lineRule="atLeast"/>
        <w:jc w:val="both"/>
      </w:pPr>
      <w:bookmarkStart w:id="2357" w:name="Bookmark_para_41_4"/>
      <w:bookmarkStart w:id="2358" w:name="Bookmark_I622TVCP2N1PPJ0010000400"/>
      <w:bookmarkStart w:id="2359" w:name="Bookmark_LNHNREFclscc14_6"/>
      <w:bookmarkEnd w:id="2357"/>
      <w:bookmarkEnd w:id="2358"/>
      <w:bookmarkEnd w:id="2359"/>
      <w:r>
        <w:rPr>
          <w:rFonts w:ascii="Arial" w:eastAsia="Arial" w:hAnsi="Arial" w:cs="Arial"/>
          <w:color w:val="000000"/>
          <w:sz w:val="20"/>
        </w:rPr>
        <w:t xml:space="preserve">Even if we agreed with appellants' view that the district court's ruling implicitly  [*554]  addressed the merits, the Supreme Court "ha[s] not awarded attorney's fees where the plaintiff . . . acquired a judicial pronouncement that [a] defendant has violated the [law] unaccompanied by </w:t>
      </w:r>
      <w:r>
        <w:rPr>
          <w:rFonts w:ascii="Arial" w:eastAsia="Arial" w:hAnsi="Arial" w:cs="Arial"/>
          <w:color w:val="000000"/>
          <w:sz w:val="20"/>
          <w:u w:val="single"/>
        </w:rPr>
        <w:t>'judicial</w:t>
      </w:r>
      <w:r>
        <w:rPr>
          <w:rFonts w:ascii="Arial" w:eastAsia="Arial" w:hAnsi="Arial" w:cs="Arial"/>
          <w:color w:val="000000"/>
          <w:sz w:val="20"/>
        </w:rPr>
        <w:t xml:space="preserve"> relief.'" </w:t>
      </w:r>
      <w:bookmarkStart w:id="2360" w:name="Bookmark_I622TVCP2SF7NN0050000400"/>
      <w:bookmarkEnd w:id="2360"/>
      <w:r>
        <w:rPr>
          <w:rFonts w:ascii="Arial" w:eastAsia="Arial" w:hAnsi="Arial" w:cs="Arial"/>
          <w:color w:val="000000"/>
          <w:sz w:val="20"/>
          <w:u w:val="single"/>
        </w:rPr>
        <w:t>Buckhannon</w:t>
      </w:r>
      <w:r>
        <w:rPr>
          <w:rFonts w:ascii="Arial" w:eastAsia="Arial" w:hAnsi="Arial" w:cs="Arial"/>
          <w:color w:val="000000"/>
          <w:sz w:val="20"/>
        </w:rPr>
        <w:t xml:space="preserve">, 532 U.S. at 606 (quoting </w:t>
      </w:r>
      <w:bookmarkStart w:id="2361" w:name="Bookmark_I622TVCP2N1PPJ0020000400"/>
      <w:bookmarkEnd w:id="2361"/>
      <w:r>
        <w:rPr>
          <w:rFonts w:ascii="Arial" w:eastAsia="Arial" w:hAnsi="Arial" w:cs="Arial"/>
          <w:color w:val="000000"/>
          <w:sz w:val="20"/>
          <w:u w:val="single"/>
        </w:rPr>
        <w:t>Hewitt v. Helms</w:t>
      </w:r>
      <w:r>
        <w:rPr>
          <w:rFonts w:ascii="Arial" w:eastAsia="Arial" w:hAnsi="Arial" w:cs="Arial"/>
          <w:color w:val="000000"/>
          <w:sz w:val="20"/>
        </w:rPr>
        <w:t xml:space="preserve">, 482 U.S. 755, 760, 107 S. Ct. 2672, 96 L. Ed. 2d 654 (1987)); </w:t>
      </w:r>
      <w:r>
        <w:rPr>
          <w:rFonts w:ascii="Arial" w:eastAsia="Arial" w:hAnsi="Arial" w:cs="Arial"/>
          <w:color w:val="000000"/>
          <w:sz w:val="20"/>
          <w:u w:val="single"/>
        </w:rPr>
        <w:t xml:space="preserve">see also </w:t>
      </w:r>
      <w:bookmarkStart w:id="2362" w:name="Bookmark_I622TVCP2N1PPJ0040000400"/>
      <w:bookmarkEnd w:id="2362"/>
      <w:r>
        <w:rPr>
          <w:rFonts w:ascii="Arial" w:eastAsia="Arial" w:hAnsi="Arial" w:cs="Arial"/>
          <w:color w:val="000000"/>
          <w:sz w:val="20"/>
          <w:u w:val="single"/>
        </w:rPr>
        <w:t>Aronov</w:t>
      </w:r>
      <w:r>
        <w:rPr>
          <w:rFonts w:ascii="Arial" w:eastAsia="Arial" w:hAnsi="Arial" w:cs="Arial"/>
          <w:color w:val="000000"/>
          <w:sz w:val="20"/>
        </w:rPr>
        <w:t>, 562 F.3d at 90 ("</w:t>
      </w:r>
      <w:r>
        <w:rPr>
          <w:rFonts w:ascii="Arial" w:eastAsia="Arial" w:hAnsi="Arial" w:cs="Arial"/>
          <w:color w:val="000000"/>
          <w:sz w:val="20"/>
          <w:u w:val="single"/>
        </w:rPr>
        <w:t>Buckhannon</w:t>
      </w:r>
      <w:r>
        <w:rPr>
          <w:rFonts w:ascii="Arial" w:eastAsia="Arial" w:hAnsi="Arial" w:cs="Arial"/>
          <w:color w:val="000000"/>
          <w:sz w:val="20"/>
        </w:rPr>
        <w:t xml:space="preserve"> contrasted final judgments and court-ordered consent decrees with situations which failed to meet the judicial imprimatur test: for example . . . acquiring a judicial pronouncement that a defendant has violated the Constitution unaccompanied by 'judicial relief' . . . ." (quoting </w:t>
      </w:r>
      <w:bookmarkStart w:id="2363" w:name="Bookmark_I622TVCP28T5140010000400"/>
      <w:bookmarkEnd w:id="2363"/>
      <w:r>
        <w:rPr>
          <w:rFonts w:ascii="Arial" w:eastAsia="Arial" w:hAnsi="Arial" w:cs="Arial"/>
          <w:color w:val="000000"/>
          <w:sz w:val="20"/>
          <w:u w:val="single"/>
        </w:rPr>
        <w:t>Buckhannon</w:t>
      </w:r>
      <w:r>
        <w:rPr>
          <w:rFonts w:ascii="Arial" w:eastAsia="Arial" w:hAnsi="Arial" w:cs="Arial"/>
          <w:color w:val="000000"/>
          <w:sz w:val="20"/>
        </w:rPr>
        <w:t>, 532 U.S. at 605-06)). Hence, an implicit appraisal of the merits is insufficient under the second prong of the Hutchinson test.</w:t>
      </w:r>
    </w:p>
    <w:p w14:paraId="5C01071D" w14:textId="77777777" w:rsidR="002B10A6" w:rsidRDefault="00000000">
      <w:pPr>
        <w:pStyle w:val="Normal14"/>
        <w:widowControl w:val="0"/>
        <w:spacing w:before="200" w:line="260" w:lineRule="atLeast"/>
        <w:jc w:val="both"/>
      </w:pPr>
      <w:bookmarkStart w:id="2364" w:name="Bookmark_para_42_4"/>
      <w:bookmarkStart w:id="2365" w:name="Bookmark_I2TY7SH7HYY0000VRRB0000K"/>
      <w:bookmarkStart w:id="2366" w:name="Bookmark_I2TY7SH7MCD0000VRRB0000M"/>
      <w:bookmarkStart w:id="2367" w:name="Bookmark_I622TVCP28T5140040000400"/>
      <w:bookmarkStart w:id="2368" w:name="Bookmark_I622TVCP28T5150030000400"/>
      <w:bookmarkStart w:id="2369" w:name="Bookmark_LNHNREFclscc15_4"/>
      <w:bookmarkEnd w:id="2364"/>
      <w:bookmarkEnd w:id="2365"/>
      <w:bookmarkEnd w:id="2366"/>
      <w:bookmarkEnd w:id="2367"/>
      <w:bookmarkEnd w:id="2368"/>
      <w:bookmarkEnd w:id="2369"/>
      <w:r>
        <w:rPr>
          <w:rFonts w:ascii="Arial" w:eastAsia="Arial" w:hAnsi="Arial" w:cs="Arial"/>
          <w:color w:val="000000"/>
          <w:sz w:val="20"/>
        </w:rPr>
        <w:t xml:space="preserve">The third and final factor requires an assessment of whether the order imposes "an obligation to comply" and whether there exists "judicial [**21]  oversight to enforce that obligation." </w:t>
      </w:r>
      <w:bookmarkStart w:id="2370" w:name="Bookmark_I622TVCP28T5140030000400"/>
      <w:bookmarkEnd w:id="2370"/>
      <w:r>
        <w:rPr>
          <w:rFonts w:ascii="Arial" w:eastAsia="Arial" w:hAnsi="Arial" w:cs="Arial"/>
          <w:color w:val="000000"/>
          <w:sz w:val="20"/>
          <w:u w:val="single"/>
        </w:rPr>
        <w:t>Hutchinson</w:t>
      </w:r>
      <w:r>
        <w:rPr>
          <w:rFonts w:ascii="Arial" w:eastAsia="Arial" w:hAnsi="Arial" w:cs="Arial"/>
          <w:color w:val="000000"/>
          <w:sz w:val="20"/>
        </w:rPr>
        <w:t xml:space="preserve">, 636 F.3d at 10 (quoting </w:t>
      </w:r>
      <w:bookmarkStart w:id="2371" w:name="Bookmark_I622TVCP28T5140050000400"/>
      <w:bookmarkEnd w:id="2371"/>
      <w:r>
        <w:rPr>
          <w:rFonts w:ascii="Arial" w:eastAsia="Arial" w:hAnsi="Arial" w:cs="Arial"/>
          <w:color w:val="000000"/>
          <w:sz w:val="20"/>
          <w:u w:val="single"/>
        </w:rPr>
        <w:t>Aronov</w:t>
      </w:r>
      <w:r>
        <w:rPr>
          <w:rFonts w:ascii="Arial" w:eastAsia="Arial" w:hAnsi="Arial" w:cs="Arial"/>
          <w:color w:val="000000"/>
          <w:sz w:val="20"/>
        </w:rPr>
        <w:t xml:space="preserve">, 562 F.3d at 91). It is well established that a trial court retains jurisdiction to enforce its judgments. </w:t>
      </w:r>
      <w:r>
        <w:rPr>
          <w:rFonts w:ascii="Arial" w:eastAsia="Arial" w:hAnsi="Arial" w:cs="Arial"/>
          <w:color w:val="000000"/>
          <w:sz w:val="20"/>
          <w:u w:val="single"/>
        </w:rPr>
        <w:t xml:space="preserve">See, e.g., </w:t>
      </w:r>
      <w:bookmarkStart w:id="2372" w:name="Bookmark_I622TVCP28T5150020000400"/>
      <w:bookmarkEnd w:id="2372"/>
      <w:r>
        <w:rPr>
          <w:rFonts w:ascii="Arial" w:eastAsia="Arial" w:hAnsi="Arial" w:cs="Arial"/>
          <w:color w:val="000000"/>
          <w:sz w:val="20"/>
          <w:u w:val="single"/>
        </w:rPr>
        <w:t>Beckett v. Air Line Pilots Ass'n</w:t>
      </w:r>
      <w:r>
        <w:rPr>
          <w:rFonts w:ascii="Arial" w:eastAsia="Arial" w:hAnsi="Arial" w:cs="Arial"/>
          <w:color w:val="000000"/>
          <w:sz w:val="20"/>
        </w:rPr>
        <w:t>, 995 F.2d 280, 286, 301 U.S. App. D.C. 380 (D.C. Cir. 1993). The third prong of the judicial imprimatur inquiry, however, requires more.</w:t>
      </w:r>
    </w:p>
    <w:p w14:paraId="2E7ACAF0" w14:textId="77777777" w:rsidR="002B10A6" w:rsidRDefault="00000000">
      <w:pPr>
        <w:pStyle w:val="Normal14"/>
        <w:widowControl w:val="0"/>
        <w:spacing w:before="200" w:line="260" w:lineRule="atLeast"/>
        <w:jc w:val="both"/>
      </w:pPr>
      <w:bookmarkStart w:id="2373" w:name="Bookmark_para_43_3"/>
      <w:bookmarkStart w:id="2374" w:name="Bookmark_I622TVCP28T5150050000400"/>
      <w:bookmarkStart w:id="2375" w:name="Bookmark_I622TVCP2HM5TW0020000400"/>
      <w:bookmarkEnd w:id="2373"/>
      <w:bookmarkEnd w:id="2374"/>
      <w:bookmarkEnd w:id="2375"/>
      <w:r>
        <w:rPr>
          <w:rFonts w:ascii="Arial" w:eastAsia="Arial" w:hAnsi="Arial" w:cs="Arial"/>
          <w:color w:val="000000"/>
          <w:sz w:val="20"/>
        </w:rPr>
        <w:t xml:space="preserve">In </w:t>
      </w:r>
      <w:r>
        <w:rPr>
          <w:rFonts w:ascii="Arial" w:eastAsia="Arial" w:hAnsi="Arial" w:cs="Arial"/>
          <w:color w:val="000000"/>
          <w:sz w:val="20"/>
          <w:u w:val="single"/>
        </w:rPr>
        <w:t>Hutchinson</w:t>
      </w:r>
      <w:r>
        <w:rPr>
          <w:rFonts w:ascii="Arial" w:eastAsia="Arial" w:hAnsi="Arial" w:cs="Arial"/>
          <w:color w:val="000000"/>
          <w:sz w:val="20"/>
        </w:rPr>
        <w:t xml:space="preserve">, we considered whether an order approving a settlement agreement made the plaintiffs prevailing parties. </w:t>
      </w:r>
      <w:bookmarkStart w:id="2376" w:name="Bookmark_I622TVCP28T5150040000400"/>
      <w:bookmarkEnd w:id="2376"/>
      <w:r>
        <w:rPr>
          <w:rFonts w:ascii="Arial" w:eastAsia="Arial" w:hAnsi="Arial" w:cs="Arial"/>
          <w:color w:val="000000"/>
          <w:sz w:val="20"/>
        </w:rPr>
        <w:t xml:space="preserve">636 F.3d at 6. The order "expressly retained jurisdiction over the case," and it instructed that the "case not be closed and that judgment not enter pending compliance with the terms" of the underlying settlement agreement. </w:t>
      </w:r>
      <w:bookmarkStart w:id="2377" w:name="Bookmark_I622TVCP2HM5TW0040000400"/>
      <w:bookmarkStart w:id="2378" w:name="Bookmark_I622TVCP2HM5TW0010000400"/>
      <w:bookmarkEnd w:id="2377"/>
      <w:bookmarkEnd w:id="2378"/>
      <w:r>
        <w:rPr>
          <w:rFonts w:ascii="Arial" w:eastAsia="Arial" w:hAnsi="Arial" w:cs="Arial"/>
          <w:color w:val="000000"/>
          <w:sz w:val="20"/>
          <w:u w:val="single"/>
        </w:rPr>
        <w:t>Id.</w:t>
      </w:r>
      <w:r>
        <w:rPr>
          <w:rFonts w:ascii="Arial" w:eastAsia="Arial" w:hAnsi="Arial" w:cs="Arial"/>
          <w:color w:val="000000"/>
          <w:sz w:val="20"/>
        </w:rPr>
        <w:t xml:space="preserve"> at 10 (internal citation omitted). </w:t>
      </w:r>
      <w:bookmarkStart w:id="2379" w:name="Bookmark_I622TVCP2HM5TW0040000400_2"/>
      <w:bookmarkStart w:id="2380" w:name="Bookmark_I622TVCP2SF7NP0010000400"/>
      <w:bookmarkEnd w:id="2379"/>
      <w:bookmarkEnd w:id="2380"/>
      <w:r>
        <w:rPr>
          <w:rFonts w:ascii="Arial" w:eastAsia="Arial" w:hAnsi="Arial" w:cs="Arial"/>
          <w:color w:val="000000"/>
          <w:sz w:val="20"/>
        </w:rPr>
        <w:t xml:space="preserve">The terms of the underlying agreement also outlined the parameters of the court's enforcement authority, which included the use of "any appropriate equitable or remedial power" and required court approval for any revisions to the agreement. </w:t>
      </w:r>
      <w:bookmarkStart w:id="2381" w:name="Bookmark_I622TVCP2HM5TW0030000400"/>
      <w:bookmarkEnd w:id="2381"/>
      <w:r>
        <w:rPr>
          <w:rFonts w:ascii="Arial" w:eastAsia="Arial" w:hAnsi="Arial" w:cs="Arial"/>
          <w:color w:val="000000"/>
          <w:sz w:val="20"/>
          <w:u w:val="single"/>
        </w:rPr>
        <w:t>Id.</w:t>
      </w:r>
      <w:r>
        <w:rPr>
          <w:rFonts w:ascii="Arial" w:eastAsia="Arial" w:hAnsi="Arial" w:cs="Arial"/>
          <w:color w:val="000000"/>
          <w:sz w:val="20"/>
        </w:rPr>
        <w:t xml:space="preserve"> at 11 (internal citation omitted). </w:t>
      </w:r>
      <w:bookmarkStart w:id="2382" w:name="Bookmark_I622TVCP2SF7NP0010000400_2"/>
      <w:bookmarkEnd w:id="2382"/>
      <w:r>
        <w:rPr>
          <w:rFonts w:ascii="Arial" w:eastAsia="Arial" w:hAnsi="Arial" w:cs="Arial"/>
          <w:color w:val="000000"/>
          <w:sz w:val="20"/>
        </w:rPr>
        <w:t xml:space="preserve">We explained that the district court's explicit reservation of jurisdiction and the oversight provided by terms of the settlement agreement "distinguish[ed] the case at hand from the swath of cases in which a district court merely recognizes the fact of a settlement and dismisses the underlying action." </w:t>
      </w:r>
      <w:bookmarkStart w:id="2383" w:name="Bookmark_I622TVCP2HM5TW0050000400"/>
      <w:bookmarkEnd w:id="2383"/>
      <w:r>
        <w:rPr>
          <w:rFonts w:ascii="Arial" w:eastAsia="Arial" w:hAnsi="Arial" w:cs="Arial"/>
          <w:color w:val="000000"/>
          <w:sz w:val="20"/>
          <w:u w:val="single"/>
        </w:rPr>
        <w:t>Id.</w:t>
      </w:r>
      <w:r>
        <w:rPr>
          <w:rFonts w:ascii="Arial" w:eastAsia="Arial" w:hAnsi="Arial" w:cs="Arial"/>
          <w:color w:val="000000"/>
          <w:sz w:val="20"/>
        </w:rPr>
        <w:t xml:space="preserve"> at 10-11.</w:t>
      </w:r>
    </w:p>
    <w:p w14:paraId="37C82624" w14:textId="77777777" w:rsidR="002B10A6" w:rsidRDefault="00000000">
      <w:pPr>
        <w:pStyle w:val="Normal14"/>
        <w:widowControl w:val="0"/>
        <w:spacing w:before="200" w:line="260" w:lineRule="atLeast"/>
        <w:jc w:val="both"/>
      </w:pPr>
      <w:bookmarkStart w:id="2384" w:name="Bookmark_para_44_3"/>
      <w:bookmarkEnd w:id="2384"/>
      <w:r>
        <w:rPr>
          <w:rFonts w:ascii="Arial" w:eastAsia="Arial" w:hAnsi="Arial" w:cs="Arial"/>
          <w:color w:val="000000"/>
          <w:sz w:val="20"/>
        </w:rPr>
        <w:t>Here, the court entered an order "noting" [**22]  the plaintiffs' motion for judgment of dismissal, and, thereafter, entered judgment and closed the case even though defendants had not yet submitted any additional evidence of ADA compliance. The court did identify a mechanism for some judicial oversight, stating that Suárez-Torres and Medina-Rodriguez could "file a motion to reopen the case if the defendants fail[ed] to comply with the deadlines established at the [January 2018] status conference." In so informing the plaintiffs, the court did not commit to overseeing the execution of a settlement, suspend final judgment until compliance was achieved, or otherwise indicate that it would use equitable or remedial powers to enforce the terms of an agreement between the parties.</w:t>
      </w:r>
    </w:p>
    <w:p w14:paraId="146BFB76" w14:textId="77777777" w:rsidR="002B10A6" w:rsidRDefault="00000000">
      <w:pPr>
        <w:pStyle w:val="Normal14"/>
        <w:widowControl w:val="0"/>
        <w:spacing w:before="200" w:line="260" w:lineRule="atLeast"/>
        <w:jc w:val="both"/>
      </w:pPr>
      <w:bookmarkStart w:id="2385" w:name="Bookmark_para_45_3"/>
      <w:bookmarkStart w:id="2386" w:name="Bookmark_I2TY7SH7V9J0000VRRB0000R"/>
      <w:bookmarkStart w:id="2387" w:name="Bookmark_I622TVCP2SF7NP0030000400"/>
      <w:bookmarkStart w:id="2388" w:name="Bookmark_I622TVCP2SF7NP0050000400"/>
      <w:bookmarkEnd w:id="2385"/>
      <w:bookmarkEnd w:id="2386"/>
      <w:bookmarkEnd w:id="2387"/>
      <w:bookmarkEnd w:id="2388"/>
      <w:r>
        <w:rPr>
          <w:rFonts w:ascii="Arial" w:eastAsia="Arial" w:hAnsi="Arial" w:cs="Arial"/>
          <w:color w:val="000000"/>
          <w:sz w:val="20"/>
        </w:rPr>
        <w:t xml:space="preserve">Instead, the court identified the availability of a post-judgment remedy and indicated the ground upon which it would entertain a motion for such a remedy. That limited option for further relief stands in stark contrast to the settlement enforcement in </w:t>
      </w:r>
      <w:bookmarkStart w:id="2389" w:name="Bookmark_I622TVCP2SF7NP0020000400"/>
      <w:bookmarkEnd w:id="2389"/>
      <w:r>
        <w:rPr>
          <w:rFonts w:ascii="Arial" w:eastAsia="Arial" w:hAnsi="Arial" w:cs="Arial"/>
          <w:color w:val="000000"/>
          <w:sz w:val="20"/>
          <w:u w:val="single"/>
        </w:rPr>
        <w:t>Hutchinson</w:t>
      </w:r>
      <w:r>
        <w:rPr>
          <w:rFonts w:ascii="Arial" w:eastAsia="Arial" w:hAnsi="Arial" w:cs="Arial"/>
          <w:color w:val="000000"/>
          <w:sz w:val="20"/>
        </w:rPr>
        <w:t xml:space="preserve"> or the ongoing role of a court in the context of a consent decree. </w:t>
      </w:r>
      <w:r>
        <w:rPr>
          <w:rFonts w:ascii="Arial" w:eastAsia="Arial" w:hAnsi="Arial" w:cs="Arial"/>
          <w:color w:val="000000"/>
          <w:sz w:val="20"/>
          <w:u w:val="single"/>
        </w:rPr>
        <w:t xml:space="preserve">See, e.g., </w:t>
      </w:r>
      <w:bookmarkStart w:id="2390" w:name="Bookmark_I622TVCP2SF7NP0040000400"/>
      <w:bookmarkEnd w:id="2390"/>
      <w:r>
        <w:rPr>
          <w:rFonts w:ascii="Arial" w:eastAsia="Arial" w:hAnsi="Arial" w:cs="Arial"/>
          <w:color w:val="000000"/>
          <w:sz w:val="20"/>
          <w:u w:val="single"/>
        </w:rPr>
        <w:t>In re Pearson</w:t>
      </w:r>
      <w:r>
        <w:rPr>
          <w:rFonts w:ascii="Arial" w:eastAsia="Arial" w:hAnsi="Arial" w:cs="Arial"/>
          <w:color w:val="000000"/>
          <w:sz w:val="20"/>
        </w:rPr>
        <w:t>, 990 F.2d 653, 658 (1st Cir. 1993) ("A consent decree is not simply a contract entered into between private parties seeking to effectuate parochial concerns. [**23]  The court stands behind the decree, ready to interpret and enforce its provisions." (citations omitted)). Whereas a violation of settlement terms in the latter circumstances results in compliance  [*555]  proceedings in the enforcing court, Suárez-Torres and Medina-Rodriguez were entitled only to request that the court exercise its discretion to reopen the case if Panaderia España failed to keep its promise.</w:t>
      </w:r>
    </w:p>
    <w:p w14:paraId="0D9AA32E" w14:textId="77777777" w:rsidR="002B10A6" w:rsidRDefault="00000000">
      <w:pPr>
        <w:pStyle w:val="Normal14"/>
        <w:widowControl w:val="0"/>
        <w:spacing w:before="200" w:line="260" w:lineRule="atLeast"/>
        <w:jc w:val="both"/>
      </w:pPr>
      <w:bookmarkStart w:id="2391" w:name="Bookmark_para_46_2"/>
      <w:bookmarkEnd w:id="2391"/>
      <w:r>
        <w:rPr>
          <w:rFonts w:ascii="Arial" w:eastAsia="Arial" w:hAnsi="Arial" w:cs="Arial"/>
          <w:color w:val="000000"/>
          <w:sz w:val="20"/>
        </w:rPr>
        <w:t>In short, Panaderia España voluntarily agreed to make substantial changes in response to appellants' complaint, and appellants have failed to demonstrate the requisite judicial imprimatur on that outcome to make them prevailing parties.</w:t>
      </w:r>
    </w:p>
    <w:p w14:paraId="0072CFDE" w14:textId="77777777" w:rsidR="002B10A6" w:rsidRDefault="00000000">
      <w:pPr>
        <w:pStyle w:val="Normal14"/>
        <w:widowControl w:val="0"/>
        <w:spacing w:before="240" w:line="260" w:lineRule="atLeast"/>
      </w:pPr>
      <w:r>
        <w:br/>
      </w:r>
      <w:r>
        <w:rPr>
          <w:rFonts w:ascii="Arial" w:eastAsia="Arial" w:hAnsi="Arial" w:cs="Arial"/>
          <w:b/>
          <w:color w:val="000000"/>
          <w:sz w:val="20"/>
        </w:rPr>
        <w:t>C. Motion to Reopen</w:t>
      </w:r>
    </w:p>
    <w:p w14:paraId="4F9D14F2" w14:textId="77777777" w:rsidR="002B10A6" w:rsidRDefault="00000000">
      <w:pPr>
        <w:pStyle w:val="Normal14"/>
        <w:widowControl w:val="0"/>
        <w:spacing w:before="200" w:line="260" w:lineRule="atLeast"/>
        <w:jc w:val="both"/>
      </w:pPr>
      <w:bookmarkStart w:id="2392" w:name="Bookmark_para_47_2"/>
      <w:bookmarkStart w:id="2393" w:name="Bookmark_I622TVCR28T5160020000400"/>
      <w:bookmarkStart w:id="2394" w:name="Bookmark_LNHNREFclscc16_2"/>
      <w:bookmarkEnd w:id="2392"/>
      <w:bookmarkEnd w:id="2393"/>
      <w:bookmarkEnd w:id="2394"/>
      <w:r>
        <w:rPr>
          <w:rFonts w:ascii="Arial" w:eastAsia="Arial" w:hAnsi="Arial" w:cs="Arial"/>
          <w:color w:val="000000"/>
          <w:sz w:val="20"/>
        </w:rPr>
        <w:t xml:space="preserve">The finality of judgments is a basic tenet of our system of jurisprudence. </w:t>
      </w:r>
      <w:bookmarkStart w:id="2395" w:name="Bookmark_I622TVCR28T5160040000400"/>
      <w:bookmarkStart w:id="2396" w:name="Bookmark_I622TVCR28T5160010000400"/>
      <w:bookmarkEnd w:id="2395"/>
      <w:bookmarkEnd w:id="2396"/>
      <w:r>
        <w:rPr>
          <w:rFonts w:ascii="Arial" w:eastAsia="Arial" w:hAnsi="Arial" w:cs="Arial"/>
          <w:color w:val="000000"/>
          <w:sz w:val="20"/>
          <w:u w:val="single"/>
        </w:rPr>
        <w:t>United States v. Boch Oldsmobile, Inc.</w:t>
      </w:r>
      <w:r>
        <w:rPr>
          <w:rFonts w:ascii="Arial" w:eastAsia="Arial" w:hAnsi="Arial" w:cs="Arial"/>
          <w:color w:val="000000"/>
          <w:sz w:val="20"/>
        </w:rPr>
        <w:t xml:space="preserve">, 909 F.2d 657, 660 (1st Cir. 1990). The decision to grant or deny a motion to disturb a final judgment is, therefore, committed to the "sound discretion of the trial court." </w:t>
      </w:r>
      <w:r>
        <w:rPr>
          <w:rFonts w:ascii="Arial" w:eastAsia="Arial" w:hAnsi="Arial" w:cs="Arial"/>
          <w:color w:val="000000"/>
          <w:sz w:val="20"/>
          <w:u w:val="single"/>
        </w:rPr>
        <w:t>Id.</w:t>
      </w:r>
      <w:r>
        <w:rPr>
          <w:rFonts w:ascii="Arial" w:eastAsia="Arial" w:hAnsi="Arial" w:cs="Arial"/>
          <w:color w:val="000000"/>
          <w:sz w:val="20"/>
        </w:rPr>
        <w:t xml:space="preserve"> Accordingly, we review a district court's denial of a motion to reopen for abuse of discretion. </w:t>
      </w:r>
      <w:bookmarkStart w:id="2397" w:name="Bookmark_I622TVCR28T5160040000400_2"/>
      <w:bookmarkStart w:id="2398" w:name="Bookmark_I622TVCR28T5160030000400"/>
      <w:bookmarkEnd w:id="2397"/>
      <w:bookmarkEnd w:id="2398"/>
      <w:r>
        <w:rPr>
          <w:rFonts w:ascii="Arial" w:eastAsia="Arial" w:hAnsi="Arial" w:cs="Arial"/>
          <w:color w:val="000000"/>
          <w:sz w:val="20"/>
          <w:u w:val="single"/>
        </w:rPr>
        <w:t>Kinan v. Cohen</w:t>
      </w:r>
      <w:r>
        <w:rPr>
          <w:rFonts w:ascii="Arial" w:eastAsia="Arial" w:hAnsi="Arial" w:cs="Arial"/>
          <w:color w:val="000000"/>
          <w:sz w:val="20"/>
        </w:rPr>
        <w:t>, 268 F.3d 27, 32 (1st Cir. 2001).</w:t>
      </w:r>
    </w:p>
    <w:p w14:paraId="58396294" w14:textId="77777777" w:rsidR="002B10A6" w:rsidRDefault="00000000">
      <w:pPr>
        <w:pStyle w:val="Normal14"/>
        <w:widowControl w:val="0"/>
        <w:spacing w:before="200" w:line="260" w:lineRule="atLeast"/>
        <w:jc w:val="both"/>
      </w:pPr>
      <w:bookmarkStart w:id="2399" w:name="Bookmark_para_48_2"/>
      <w:bookmarkEnd w:id="2399"/>
      <w:r>
        <w:rPr>
          <w:rFonts w:ascii="Arial" w:eastAsia="Arial" w:hAnsi="Arial" w:cs="Arial"/>
          <w:color w:val="000000"/>
          <w:sz w:val="20"/>
        </w:rPr>
        <w:t>Appellants contend that the district court erred in denying their motion to reopen, which alleged that (1) a newly designated accessible parking spot unlawfully obstructed a pedestrian walkway, and (2) Panaderia España continued [**24]  to maintain a policy of leaving the accessible restroom locked to the public.</w:t>
      </w:r>
      <w:r>
        <w:rPr>
          <w:rFonts w:ascii="Arial" w:eastAsia="Arial" w:hAnsi="Arial" w:cs="Arial"/>
          <w:vertAlign w:val="superscript"/>
        </w:rPr>
        <w:footnoteReference w:customMarkFollows="1" w:id="105"/>
        <w:t>11</w:t>
      </w:r>
      <w:r>
        <w:rPr>
          <w:rFonts w:ascii="Arial" w:eastAsia="Arial" w:hAnsi="Arial" w:cs="Arial"/>
          <w:color w:val="000000"/>
          <w:sz w:val="20"/>
        </w:rPr>
        <w:t xml:space="preserve"> The district court denied the motion to reopen in a summary order, concluding that the allegations raised therein were "new and different" from those in the original action and, therefore, did not warrant reopening the case.</w:t>
      </w:r>
    </w:p>
    <w:p w14:paraId="2C87A4D4" w14:textId="77777777" w:rsidR="002B10A6" w:rsidRDefault="00000000">
      <w:pPr>
        <w:pStyle w:val="Normal14"/>
        <w:widowControl w:val="0"/>
        <w:spacing w:before="200" w:line="260" w:lineRule="atLeast"/>
        <w:jc w:val="both"/>
      </w:pPr>
      <w:bookmarkStart w:id="2401" w:name="Bookmark_para_49_1"/>
      <w:bookmarkEnd w:id="2401"/>
      <w:r>
        <w:rPr>
          <w:rFonts w:ascii="Arial" w:eastAsia="Arial" w:hAnsi="Arial" w:cs="Arial"/>
          <w:color w:val="000000"/>
          <w:sz w:val="20"/>
        </w:rPr>
        <w:t>With respect to the encroachment of the accessible parking spot on a public walkway, plaintiffs recognize that they did not raise this specific claim in their initial complaint. Indeed, they could not have included such an allegation because the issue arose only after Panaderia España attempted to remedy the lack of accessible parking. Appellants nevertheless contend that their encroachment-based claim is captured within the complaint because, for purposes of the ADA, "the totality of barriers at the public accommodation constitute[s] the factual underpinnings of a single legal injury, namely, the failure to remove architectural barriers in violation of the ADA."</w:t>
      </w:r>
    </w:p>
    <w:p w14:paraId="6ACB236B" w14:textId="77777777" w:rsidR="002B10A6" w:rsidRDefault="00000000">
      <w:pPr>
        <w:pStyle w:val="Normal14"/>
        <w:widowControl w:val="0"/>
        <w:spacing w:before="200" w:line="260" w:lineRule="atLeast"/>
        <w:jc w:val="both"/>
      </w:pPr>
      <w:bookmarkStart w:id="2402" w:name="Bookmark_para_50_1"/>
      <w:bookmarkStart w:id="2403" w:name="Bookmark_I622TVCR2D6NYY0010000400"/>
      <w:bookmarkStart w:id="2404" w:name="Bookmark_LNHNREFclscc17_2"/>
      <w:bookmarkEnd w:id="2402"/>
      <w:bookmarkEnd w:id="2403"/>
      <w:bookmarkEnd w:id="2404"/>
      <w:r>
        <w:rPr>
          <w:rFonts w:ascii="Arial" w:eastAsia="Arial" w:hAnsi="Arial" w:cs="Arial"/>
          <w:color w:val="000000"/>
          <w:sz w:val="20"/>
        </w:rPr>
        <w:t xml:space="preserve">Several circuits have held that an ADA plaintiff who has filed suit after encountering a barrier in a place of public accommodation may challenge all other barriers on that property related to her disability, including those of [**25]  which she was unaware when she initially filed her complaint. </w:t>
      </w:r>
      <w:r>
        <w:rPr>
          <w:rFonts w:ascii="Arial" w:eastAsia="Arial" w:hAnsi="Arial" w:cs="Arial"/>
          <w:color w:val="000000"/>
          <w:sz w:val="20"/>
          <w:u w:val="single"/>
        </w:rPr>
        <w:t xml:space="preserve">See </w:t>
      </w:r>
      <w:bookmarkStart w:id="2405" w:name="Bookmark_I622TVCR28T5160050000400"/>
      <w:bookmarkEnd w:id="2405"/>
      <w:r>
        <w:rPr>
          <w:rFonts w:ascii="Arial" w:eastAsia="Arial" w:hAnsi="Arial" w:cs="Arial"/>
          <w:color w:val="000000"/>
          <w:sz w:val="20"/>
          <w:u w:val="single"/>
        </w:rPr>
        <w:t>Doran v. 7-Eleven, Inc.</w:t>
      </w:r>
      <w:r>
        <w:rPr>
          <w:rFonts w:ascii="Arial" w:eastAsia="Arial" w:hAnsi="Arial" w:cs="Arial"/>
          <w:color w:val="000000"/>
          <w:sz w:val="20"/>
        </w:rPr>
        <w:t xml:space="preserve">, 524 F.3d 1034, 1044 (9th Cir. 2008) ("Even if a disabled plaintiff did not know about certain barriers when the plaintiff first filed suit, that plaintiff will have a 'personal stake in the outcome of the controversy' so long as his or her suit is limited to barriers related to that person's particular disability." (quoting </w:t>
      </w:r>
      <w:bookmarkStart w:id="2406" w:name="Bookmark_I622TVCR2D6NYY0020000400"/>
      <w:bookmarkEnd w:id="2406"/>
      <w:r>
        <w:rPr>
          <w:rFonts w:ascii="Arial" w:eastAsia="Arial" w:hAnsi="Arial" w:cs="Arial"/>
          <w:color w:val="000000"/>
          <w:sz w:val="20"/>
          <w:u w:val="single"/>
        </w:rPr>
        <w:t>Massachusetts v. EPA</w:t>
      </w:r>
      <w:r>
        <w:rPr>
          <w:rFonts w:ascii="Arial" w:eastAsia="Arial" w:hAnsi="Arial" w:cs="Arial"/>
          <w:color w:val="000000"/>
          <w:sz w:val="20"/>
        </w:rPr>
        <w:t xml:space="preserve">, 549 U.S. 497, 517, 127 S. Ct. 1438, 167 L. Ed. 2d 248 (2007)); </w:t>
      </w:r>
      <w:r>
        <w:rPr>
          <w:rFonts w:ascii="Arial" w:eastAsia="Arial" w:hAnsi="Arial" w:cs="Arial"/>
          <w:color w:val="000000"/>
          <w:sz w:val="20"/>
          <w:u w:val="single"/>
        </w:rPr>
        <w:t xml:space="preserve">see also </w:t>
      </w:r>
      <w:bookmarkStart w:id="2407" w:name="Bookmark_I622TVCR2D6NYY0040000400"/>
      <w:bookmarkEnd w:id="2407"/>
      <w:r>
        <w:rPr>
          <w:rFonts w:ascii="Arial" w:eastAsia="Arial" w:hAnsi="Arial" w:cs="Arial"/>
          <w:color w:val="000000"/>
          <w:sz w:val="20"/>
          <w:u w:val="single"/>
        </w:rPr>
        <w:t>Kreisler v. Second Ave. Diner Corp.</w:t>
      </w:r>
      <w:r>
        <w:rPr>
          <w:rFonts w:ascii="Arial" w:eastAsia="Arial" w:hAnsi="Arial" w:cs="Arial"/>
          <w:color w:val="000000"/>
          <w:sz w:val="20"/>
        </w:rPr>
        <w:t xml:space="preserve">, 731 F.3d 184, 188-89 (2d Cir. 2013) (per curiam); </w:t>
      </w:r>
      <w:bookmarkStart w:id="2408" w:name="Bookmark_I622TVCS2N1PPT0010000400"/>
      <w:bookmarkEnd w:id="2408"/>
      <w:r>
        <w:rPr>
          <w:rFonts w:ascii="Arial" w:eastAsia="Arial" w:hAnsi="Arial" w:cs="Arial"/>
          <w:color w:val="000000"/>
          <w:sz w:val="20"/>
          <w:u w:val="single"/>
        </w:rPr>
        <w:t>Chapman v. Pier 1 Imports (U.S.) Inc.</w:t>
      </w:r>
      <w:r>
        <w:rPr>
          <w:rFonts w:ascii="Arial" w:eastAsia="Arial" w:hAnsi="Arial" w:cs="Arial"/>
          <w:color w:val="000000"/>
          <w:sz w:val="20"/>
        </w:rPr>
        <w:t xml:space="preserve">, 631 F.3d 939, 950 (9th Cir. 2011) (en banc); </w:t>
      </w:r>
      <w:bookmarkStart w:id="2409" w:name="Bookmark_I622TVCS2N1PPT0030000400"/>
      <w:bookmarkEnd w:id="2409"/>
      <w:r>
        <w:rPr>
          <w:rFonts w:ascii="Arial" w:eastAsia="Arial" w:hAnsi="Arial" w:cs="Arial"/>
          <w:color w:val="000000"/>
          <w:sz w:val="20"/>
          <w:u w:val="single"/>
        </w:rPr>
        <w:t>Steger v. Franco, Inc.</w:t>
      </w:r>
      <w:r>
        <w:rPr>
          <w:rFonts w:ascii="Arial" w:eastAsia="Arial" w:hAnsi="Arial" w:cs="Arial"/>
          <w:color w:val="000000"/>
          <w:sz w:val="20"/>
        </w:rPr>
        <w:t>, 228 F.3d 889, 893-94 (8th Cir. 2000).</w:t>
      </w:r>
    </w:p>
    <w:p w14:paraId="0E1AA7E0" w14:textId="77777777" w:rsidR="002B10A6" w:rsidRDefault="00000000">
      <w:pPr>
        <w:pStyle w:val="Normal14"/>
        <w:widowControl w:val="0"/>
        <w:spacing w:before="200" w:line="260" w:lineRule="atLeast"/>
        <w:jc w:val="both"/>
      </w:pPr>
      <w:bookmarkStart w:id="2410" w:name="Bookmark_para_51_1"/>
      <w:bookmarkEnd w:id="2410"/>
      <w:r>
        <w:rPr>
          <w:rFonts w:ascii="Arial" w:eastAsia="Arial" w:hAnsi="Arial" w:cs="Arial"/>
          <w:color w:val="000000"/>
          <w:sz w:val="20"/>
        </w:rPr>
        <w:t>However, this case does not present that issue. It does not matter whether appellants could have pursued their encroachment claim if they had continued to litigate their case. The question before the district court was whether it should disturb final judgment based on a concededly new, although related, argument for noncompliance. We conclude that the district court  [*556]  did not abuse its broad discretion in answering that question in the negative.</w:t>
      </w:r>
    </w:p>
    <w:p w14:paraId="2FA6F459" w14:textId="77777777" w:rsidR="002B10A6" w:rsidRDefault="00000000">
      <w:pPr>
        <w:pStyle w:val="Normal14"/>
        <w:widowControl w:val="0"/>
        <w:spacing w:before="200" w:line="260" w:lineRule="atLeast"/>
        <w:jc w:val="both"/>
      </w:pPr>
      <w:bookmarkStart w:id="2411" w:name="Bookmark_para_52_1"/>
      <w:bookmarkEnd w:id="2411"/>
      <w:r>
        <w:rPr>
          <w:rFonts w:ascii="Arial" w:eastAsia="Arial" w:hAnsi="Arial" w:cs="Arial"/>
          <w:color w:val="000000"/>
          <w:sz w:val="20"/>
        </w:rPr>
        <w:t>The district court similarly did not abuse its discretion in declining to reopen the case based on appellants' allegations that Panaderia España continues to maintain a discriminatory policy of leaving the accessible restroom locked. This claim was plainly raised in the initial complaint. The record shows, however, that the agreement between [**26]  the parties resulting in dismissal was apparently limited to Panaderia España agreeing to remedy the identified structural violations, but not the restroom policy.</w:t>
      </w:r>
    </w:p>
    <w:p w14:paraId="32F8C81C" w14:textId="77777777" w:rsidR="002B10A6" w:rsidRDefault="00000000">
      <w:pPr>
        <w:pStyle w:val="Normal14"/>
        <w:widowControl w:val="0"/>
        <w:spacing w:before="200" w:line="260" w:lineRule="atLeast"/>
        <w:jc w:val="both"/>
      </w:pPr>
      <w:bookmarkStart w:id="2412" w:name="Bookmark_para_53_1"/>
      <w:bookmarkEnd w:id="2412"/>
      <w:r>
        <w:rPr>
          <w:rFonts w:ascii="Arial" w:eastAsia="Arial" w:hAnsi="Arial" w:cs="Arial"/>
          <w:color w:val="000000"/>
          <w:sz w:val="20"/>
        </w:rPr>
        <w:t xml:space="preserve">In their motion for a judgment of dismissal, appellants expressed their satisfaction with Panaderia España's agreement to complete the "required changes or adjustments to the </w:t>
      </w:r>
      <w:r>
        <w:rPr>
          <w:rFonts w:ascii="Arial" w:eastAsia="Arial" w:hAnsi="Arial" w:cs="Arial"/>
          <w:color w:val="000000"/>
          <w:sz w:val="20"/>
          <w:u w:val="single"/>
        </w:rPr>
        <w:t>design</w:t>
      </w:r>
      <w:r>
        <w:rPr>
          <w:rFonts w:ascii="Arial" w:eastAsia="Arial" w:hAnsi="Arial" w:cs="Arial"/>
          <w:color w:val="000000"/>
          <w:sz w:val="20"/>
        </w:rPr>
        <w:t xml:space="preserve"> of the locale," without mentioning an agreement regarding the accessible restroom policy. Similarly, in its motion certifying compliance with the 90-day deadline, Panaderia España stated only that its "</w:t>
      </w:r>
      <w:r>
        <w:rPr>
          <w:rFonts w:ascii="Arial" w:eastAsia="Arial" w:hAnsi="Arial" w:cs="Arial"/>
          <w:color w:val="000000"/>
          <w:sz w:val="20"/>
          <w:u w:val="single"/>
        </w:rPr>
        <w:t>facilities</w:t>
      </w:r>
      <w:r>
        <w:rPr>
          <w:rFonts w:ascii="Arial" w:eastAsia="Arial" w:hAnsi="Arial" w:cs="Arial"/>
          <w:color w:val="000000"/>
          <w:sz w:val="20"/>
        </w:rPr>
        <w:t xml:space="preserve"> comply with all ADA Standards." Hence, the district court reasonably concluded that Panaderia España remedied "any and all alleged and supposed </w:t>
      </w:r>
      <w:r>
        <w:rPr>
          <w:rFonts w:ascii="Arial" w:eastAsia="Arial" w:hAnsi="Arial" w:cs="Arial"/>
          <w:color w:val="000000"/>
          <w:sz w:val="20"/>
          <w:u w:val="single"/>
        </w:rPr>
        <w:t>structural</w:t>
      </w:r>
      <w:r>
        <w:rPr>
          <w:rFonts w:ascii="Arial" w:eastAsia="Arial" w:hAnsi="Arial" w:cs="Arial"/>
          <w:color w:val="000000"/>
          <w:sz w:val="20"/>
        </w:rPr>
        <w:t xml:space="preserve"> and </w:t>
      </w:r>
      <w:r>
        <w:rPr>
          <w:rFonts w:ascii="Arial" w:eastAsia="Arial" w:hAnsi="Arial" w:cs="Arial"/>
          <w:color w:val="000000"/>
          <w:sz w:val="20"/>
          <w:u w:val="single"/>
        </w:rPr>
        <w:t>design</w:t>
      </w:r>
      <w:r>
        <w:rPr>
          <w:rFonts w:ascii="Arial" w:eastAsia="Arial" w:hAnsi="Arial" w:cs="Arial"/>
          <w:color w:val="000000"/>
          <w:sz w:val="20"/>
        </w:rPr>
        <w:t xml:space="preserve"> deficiencies raised in the ADA complaint," that the restroom policy was outside of the scope of the parties' settlement, and, thus, that the allegation regarding the operation of the accessible restroom did not justify disturbing final judgment. Accordingly, the district court did not abuse its discretion in denying appellants' motion to reopen.</w:t>
      </w:r>
    </w:p>
    <w:p w14:paraId="0D21A27B" w14:textId="77777777" w:rsidR="002B10A6" w:rsidRDefault="00000000">
      <w:pPr>
        <w:pStyle w:val="Normal14"/>
        <w:widowControl w:val="0"/>
        <w:spacing w:before="200" w:line="260" w:lineRule="atLeast"/>
        <w:jc w:val="both"/>
      </w:pPr>
      <w:bookmarkStart w:id="2413" w:name="Bookmark_para_54_1"/>
      <w:bookmarkEnd w:id="2413"/>
      <w:r>
        <w:rPr>
          <w:rFonts w:ascii="Arial" w:eastAsia="Arial" w:hAnsi="Arial" w:cs="Arial"/>
          <w:color w:val="000000"/>
          <w:sz w:val="20"/>
          <w:u w:val="single"/>
        </w:rPr>
        <w:t>Affirmed</w:t>
      </w:r>
      <w:r>
        <w:rPr>
          <w:rFonts w:ascii="Arial" w:eastAsia="Arial" w:hAnsi="Arial" w:cs="Arial"/>
          <w:color w:val="000000"/>
          <w:sz w:val="20"/>
        </w:rPr>
        <w:t>.</w:t>
      </w:r>
    </w:p>
    <w:p w14:paraId="5E630706" w14:textId="77777777" w:rsidR="002B10A6" w:rsidRDefault="002B10A6">
      <w:pPr>
        <w:pStyle w:val="Normal14"/>
      </w:pPr>
    </w:p>
    <w:p w14:paraId="18114FD1" w14:textId="3FF06B8C" w:rsidR="002B10A6" w:rsidRDefault="00000000">
      <w:pPr>
        <w:pStyle w:val="Normal14"/>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88960" behindDoc="0" locked="0" layoutInCell="1" allowOverlap="1" wp14:anchorId="726D9104" wp14:editId="1985E009">
                <wp:simplePos x="0" y="0"/>
                <wp:positionH relativeFrom="column">
                  <wp:posOffset>0</wp:posOffset>
                </wp:positionH>
                <wp:positionV relativeFrom="paragraph">
                  <wp:posOffset>127000</wp:posOffset>
                </wp:positionV>
                <wp:extent cx="6502400" cy="0"/>
                <wp:effectExtent l="9525" t="12700" r="12700" b="6350"/>
                <wp:wrapNone/>
                <wp:docPr id="1510574377"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E15618" id="Line 31"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B2FC836" w14:textId="77777777" w:rsidR="002B10A6" w:rsidRDefault="002B10A6">
      <w:pPr>
        <w:pStyle w:val="Normal15"/>
        <w:sectPr w:rsidR="002B10A6">
          <w:headerReference w:type="even" r:id="rId96"/>
          <w:headerReference w:type="default" r:id="rId97"/>
          <w:footerReference w:type="even" r:id="rId98"/>
          <w:footerReference w:type="default" r:id="rId99"/>
          <w:headerReference w:type="first" r:id="rId100"/>
          <w:footerReference w:type="first" r:id="rId101"/>
          <w:pgSz w:w="12240" w:h="15840"/>
          <w:pgMar w:top="840" w:right="1000" w:bottom="840" w:left="1000" w:header="400" w:footer="400" w:gutter="0"/>
          <w:cols w:space="720"/>
          <w:titlePg/>
        </w:sectPr>
      </w:pPr>
    </w:p>
    <w:p w14:paraId="23209DCE" w14:textId="77777777" w:rsidR="002B10A6" w:rsidRDefault="002B10A6">
      <w:pPr>
        <w:pStyle w:val="Normal15"/>
      </w:pPr>
    </w:p>
    <w:p w14:paraId="3552A7C0" w14:textId="77777777" w:rsidR="002B10A6" w:rsidRDefault="00000000">
      <w:pPr>
        <w:pStyle w:val="Heading114"/>
        <w:keepNext w:val="0"/>
        <w:widowControl w:val="0"/>
        <w:spacing w:after="200" w:line="340" w:lineRule="atLeast"/>
        <w:jc w:val="center"/>
      </w:pPr>
      <w:r>
        <w:rPr>
          <w:rFonts w:eastAsia="Arial"/>
          <w:color w:val="000000"/>
          <w:sz w:val="28"/>
        </w:rPr>
        <w:t>Burnett v. Ocean Props.</w:t>
      </w:r>
    </w:p>
    <w:p w14:paraId="3EFA4844" w14:textId="77777777" w:rsidR="002B10A6" w:rsidRDefault="00000000">
      <w:pPr>
        <w:pStyle w:val="Normal15"/>
        <w:widowControl w:val="0"/>
        <w:spacing w:before="120" w:line="260" w:lineRule="atLeast"/>
        <w:jc w:val="center"/>
      </w:pPr>
      <w:r>
        <w:rPr>
          <w:rFonts w:ascii="Arial" w:eastAsia="Arial" w:hAnsi="Arial" w:cs="Arial"/>
          <w:color w:val="000000"/>
          <w:sz w:val="20"/>
        </w:rPr>
        <w:t>United States Court of Appeals for the First Circuit</w:t>
      </w:r>
    </w:p>
    <w:p w14:paraId="22B3388A" w14:textId="77777777" w:rsidR="002B10A6" w:rsidRDefault="00000000">
      <w:pPr>
        <w:pStyle w:val="Normal15"/>
        <w:widowControl w:val="0"/>
        <w:spacing w:before="120" w:line="260" w:lineRule="atLeast"/>
        <w:jc w:val="center"/>
      </w:pPr>
      <w:r>
        <w:rPr>
          <w:rFonts w:ascii="Arial" w:eastAsia="Arial" w:hAnsi="Arial" w:cs="Arial"/>
          <w:color w:val="000000"/>
          <w:sz w:val="20"/>
        </w:rPr>
        <w:t>February 2, 2021, Decided</w:t>
      </w:r>
    </w:p>
    <w:p w14:paraId="508CC5D2" w14:textId="77777777" w:rsidR="002B10A6" w:rsidRDefault="00000000">
      <w:pPr>
        <w:pStyle w:val="Normal15"/>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Nos. 19-2086, 19-2087</w:t>
      </w:r>
    </w:p>
    <w:p w14:paraId="438DF244" w14:textId="77777777" w:rsidR="002B10A6" w:rsidRDefault="002B10A6">
      <w:pPr>
        <w:pStyle w:val="Normal15"/>
        <w:widowControl w:val="0"/>
        <w:spacing w:line="240" w:lineRule="atLeast"/>
        <w:jc w:val="both"/>
      </w:pPr>
      <w:bookmarkStart w:id="2414" w:name="Bookmark_16"/>
      <w:bookmarkEnd w:id="2414"/>
    </w:p>
    <w:p w14:paraId="3793E08A" w14:textId="77777777" w:rsidR="002B10A6" w:rsidRDefault="00000000">
      <w:pPr>
        <w:pStyle w:val="Normal15"/>
        <w:widowControl w:val="0"/>
        <w:spacing w:before="200" w:line="240" w:lineRule="atLeast"/>
      </w:pPr>
      <w:bookmarkStart w:id="2415" w:name="Reporter_14"/>
      <w:bookmarkEnd w:id="2415"/>
      <w:r>
        <w:rPr>
          <w:rFonts w:ascii="Arial" w:eastAsia="Arial" w:hAnsi="Arial" w:cs="Arial"/>
          <w:b/>
          <w:color w:val="000000"/>
          <w:sz w:val="18"/>
        </w:rPr>
        <w:t>Reporter</w:t>
      </w:r>
    </w:p>
    <w:p w14:paraId="3F19CCB3" w14:textId="77777777" w:rsidR="002B10A6" w:rsidRDefault="00000000">
      <w:pPr>
        <w:pStyle w:val="Normal15"/>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987 F.3d 57 *; 2021 U.S. App. LEXIS 2815 **; 108 Fed. R. Serv. 3d (Callaghan) 1667; 2021 WL 347553</w:t>
      </w:r>
    </w:p>
    <w:p w14:paraId="5BCEBC34" w14:textId="77777777" w:rsidR="002B10A6" w:rsidRDefault="00000000">
      <w:pPr>
        <w:pStyle w:val="Normal15"/>
        <w:widowControl w:val="0"/>
        <w:spacing w:before="120" w:line="260" w:lineRule="atLeast"/>
      </w:pPr>
      <w:r>
        <w:rPr>
          <w:rFonts w:ascii="Arial" w:eastAsia="Arial" w:hAnsi="Arial" w:cs="Arial"/>
          <w:color w:val="000000"/>
          <w:sz w:val="20"/>
        </w:rPr>
        <w:t>RYAN D. BURNETT, Plaintiff, Appellee, v. OCEAN PROPERTIES, LTD.; AMERIPORT, LLC, Defendants, Appellants.</w:t>
      </w:r>
    </w:p>
    <w:p w14:paraId="2516F42E" w14:textId="77777777" w:rsidR="002B10A6" w:rsidRDefault="00000000">
      <w:pPr>
        <w:pStyle w:val="Normal15"/>
        <w:widowControl w:val="0"/>
        <w:spacing w:before="240" w:line="260" w:lineRule="atLeast"/>
        <w:jc w:val="both"/>
      </w:pPr>
      <w:bookmarkStart w:id="2416" w:name="Prior_History_14"/>
      <w:bookmarkEnd w:id="2416"/>
      <w:r>
        <w:rPr>
          <w:rFonts w:ascii="Arial" w:eastAsia="Arial" w:hAnsi="Arial" w:cs="Arial"/>
          <w:b/>
          <w:color w:val="000000"/>
          <w:sz w:val="20"/>
        </w:rPr>
        <w:t>Prior History:</w:t>
      </w:r>
      <w:r>
        <w:rPr>
          <w:rFonts w:ascii="Arial" w:eastAsia="Arial" w:hAnsi="Arial" w:cs="Arial"/>
          <w:color w:val="000000"/>
          <w:sz w:val="20"/>
        </w:rPr>
        <w:t> </w:t>
      </w:r>
      <w:bookmarkStart w:id="2417" w:name="Bookmark_para_1_14"/>
      <w:bookmarkEnd w:id="2417"/>
      <w:r>
        <w:rPr>
          <w:rFonts w:ascii="Arial" w:eastAsia="Arial" w:hAnsi="Arial" w:cs="Arial"/>
          <w:color w:val="000000"/>
          <w:sz w:val="20"/>
        </w:rPr>
        <w:t> [**1] APPEALS FROM THE UNITED STATES DISTRICT COURT FOR THE DISTRICT OF MAINE. Hon. John A. Woodcock, Jr., U.S. District Judge.</w:t>
      </w:r>
    </w:p>
    <w:p w14:paraId="7CA241A7" w14:textId="77777777" w:rsidR="002B10A6" w:rsidRDefault="00000000">
      <w:pPr>
        <w:pStyle w:val="Normal15"/>
        <w:widowControl w:val="0"/>
        <w:spacing w:before="120" w:line="260" w:lineRule="atLeast"/>
      </w:pPr>
      <w:r>
        <w:rPr>
          <w:rFonts w:ascii="Arial" w:eastAsia="Arial" w:hAnsi="Arial" w:cs="Arial"/>
          <w:color w:val="000000"/>
          <w:sz w:val="20"/>
        </w:rPr>
        <w:t>Burnett v. Ocean Props., 422 F. Supp. 3d 369, 2019 U.S. Dist. LEXIS 168532, 2019 WL 4794516 (D. Me., Sept. 30, 2019)</w:t>
      </w:r>
    </w:p>
    <w:p w14:paraId="77BDA5AA" w14:textId="77777777" w:rsidR="002B10A6" w:rsidRDefault="00000000">
      <w:pPr>
        <w:pStyle w:val="Normal15"/>
        <w:widowControl w:val="0"/>
        <w:spacing w:before="120" w:line="260" w:lineRule="atLeast"/>
      </w:pPr>
      <w:r>
        <w:rPr>
          <w:rFonts w:ascii="Arial" w:eastAsia="Arial" w:hAnsi="Arial" w:cs="Arial"/>
          <w:color w:val="000000"/>
          <w:sz w:val="20"/>
        </w:rPr>
        <w:t>Burnett v. Ocean Props., 422 F. Supp. 3d 400, 2019 U.S. Dist. LEXIS 168538, 2019 WL 4783104 (D. Me., Sept. 30, 2019)</w:t>
      </w:r>
    </w:p>
    <w:p w14:paraId="418970A8" w14:textId="77777777" w:rsidR="002B10A6" w:rsidRDefault="00000000">
      <w:pPr>
        <w:pStyle w:val="Normal15"/>
        <w:widowControl w:val="0"/>
        <w:spacing w:before="240" w:line="260" w:lineRule="atLeast"/>
      </w:pPr>
      <w:bookmarkStart w:id="2418" w:name="Counsel_14"/>
      <w:bookmarkEnd w:id="2418"/>
      <w:r>
        <w:rPr>
          <w:rFonts w:ascii="Arial" w:eastAsia="Arial" w:hAnsi="Arial" w:cs="Arial"/>
          <w:b/>
          <w:color w:val="000000"/>
          <w:sz w:val="20"/>
        </w:rPr>
        <w:t>Counsel:</w:t>
      </w:r>
      <w:r>
        <w:rPr>
          <w:rFonts w:ascii="Arial" w:eastAsia="Arial" w:hAnsi="Arial" w:cs="Arial"/>
          <w:color w:val="000000"/>
          <w:sz w:val="20"/>
        </w:rPr>
        <w:t> Timothy J. Bryant, Jonathan G. Mermin, and Preti Flaherty Beliveau &amp; Pachios LLP, were on brief for appellant Ocean Properties, Ltd.</w:t>
      </w:r>
    </w:p>
    <w:p w14:paraId="50B3A749" w14:textId="77777777" w:rsidR="002B10A6" w:rsidRDefault="00000000">
      <w:pPr>
        <w:pStyle w:val="Normal15"/>
        <w:widowControl w:val="0"/>
        <w:spacing w:before="120" w:line="260" w:lineRule="atLeast"/>
      </w:pPr>
      <w:r>
        <w:rPr>
          <w:rFonts w:ascii="Arial" w:eastAsia="Arial" w:hAnsi="Arial" w:cs="Arial"/>
          <w:color w:val="000000"/>
          <w:sz w:val="20"/>
        </w:rPr>
        <w:t>Elizabeth A. Germani, Robert P. Hayes, and Germani Martemucci &amp; Hill were on brief for appellant AmeriPort, LLC.</w:t>
      </w:r>
    </w:p>
    <w:p w14:paraId="17257596" w14:textId="77777777" w:rsidR="002B10A6" w:rsidRDefault="00000000">
      <w:pPr>
        <w:pStyle w:val="Normal15"/>
        <w:widowControl w:val="0"/>
        <w:spacing w:before="120" w:line="260" w:lineRule="atLeast"/>
      </w:pPr>
      <w:r>
        <w:rPr>
          <w:rFonts w:ascii="Arial" w:eastAsia="Arial" w:hAnsi="Arial" w:cs="Arial"/>
          <w:color w:val="000000"/>
          <w:sz w:val="20"/>
        </w:rPr>
        <w:t>Laura H. White, Danielle M. Quinlan, and White &amp; Quinlan, LLC, were on brief for appellee.</w:t>
      </w:r>
    </w:p>
    <w:p w14:paraId="131CBBB5" w14:textId="77777777" w:rsidR="002B10A6" w:rsidRDefault="00000000">
      <w:pPr>
        <w:pStyle w:val="Normal15"/>
        <w:widowControl w:val="0"/>
        <w:spacing w:before="120" w:line="260" w:lineRule="atLeast"/>
      </w:pPr>
      <w:r>
        <w:rPr>
          <w:rFonts w:ascii="Arial" w:eastAsia="Arial" w:hAnsi="Arial" w:cs="Arial"/>
          <w:color w:val="000000"/>
          <w:sz w:val="20"/>
        </w:rPr>
        <w:t>Melissa A. Hewey, Amy K. Olfene, Michael L. Buescher, and Drummond Woodsum were on brief for HospitalityMaine, amicus curiae.</w:t>
      </w:r>
    </w:p>
    <w:p w14:paraId="5059DBC8" w14:textId="77777777" w:rsidR="002B10A6" w:rsidRDefault="00000000">
      <w:pPr>
        <w:pStyle w:val="Normal15"/>
        <w:widowControl w:val="0"/>
        <w:spacing w:before="120" w:line="260" w:lineRule="atLeast"/>
      </w:pPr>
      <w:r>
        <w:rPr>
          <w:rFonts w:ascii="Arial" w:eastAsia="Arial" w:hAnsi="Arial" w:cs="Arial"/>
          <w:color w:val="000000"/>
          <w:sz w:val="20"/>
        </w:rPr>
        <w:t>Kristin L. Aiello was on brief for Disability Rights Maine, amicus curiae.</w:t>
      </w:r>
    </w:p>
    <w:p w14:paraId="22515702" w14:textId="77777777" w:rsidR="002B10A6" w:rsidRDefault="00000000">
      <w:pPr>
        <w:pStyle w:val="Normal15"/>
        <w:widowControl w:val="0"/>
        <w:spacing w:before="240" w:line="260" w:lineRule="atLeast"/>
      </w:pPr>
      <w:bookmarkStart w:id="2419" w:name="Judges_14"/>
      <w:bookmarkEnd w:id="2419"/>
      <w:r>
        <w:rPr>
          <w:rFonts w:ascii="Arial" w:eastAsia="Arial" w:hAnsi="Arial" w:cs="Arial"/>
          <w:b/>
          <w:color w:val="000000"/>
          <w:sz w:val="20"/>
        </w:rPr>
        <w:t>Judges:</w:t>
      </w:r>
      <w:r>
        <w:rPr>
          <w:rFonts w:ascii="Arial" w:eastAsia="Arial" w:hAnsi="Arial" w:cs="Arial"/>
          <w:color w:val="000000"/>
          <w:sz w:val="20"/>
        </w:rPr>
        <w:t> Before Howard, Chief Judge, Lynch and Thompson, Circuit Judges.</w:t>
      </w:r>
    </w:p>
    <w:p w14:paraId="2583A8EB" w14:textId="77777777" w:rsidR="002B10A6" w:rsidRDefault="00000000">
      <w:pPr>
        <w:pStyle w:val="Normal15"/>
        <w:widowControl w:val="0"/>
        <w:spacing w:before="240" w:line="260" w:lineRule="atLeast"/>
      </w:pPr>
      <w:bookmarkStart w:id="2420" w:name="Opinion_by_12"/>
      <w:bookmarkEnd w:id="2420"/>
      <w:r>
        <w:rPr>
          <w:rFonts w:ascii="Arial" w:eastAsia="Arial" w:hAnsi="Arial" w:cs="Arial"/>
          <w:b/>
          <w:color w:val="000000"/>
          <w:sz w:val="20"/>
        </w:rPr>
        <w:t>Opinion by:</w:t>
      </w:r>
      <w:r>
        <w:rPr>
          <w:rFonts w:ascii="Arial" w:eastAsia="Arial" w:hAnsi="Arial" w:cs="Arial"/>
          <w:color w:val="000000"/>
          <w:sz w:val="20"/>
        </w:rPr>
        <w:t> THOMPSON</w:t>
      </w:r>
    </w:p>
    <w:p w14:paraId="46F3F3E5" w14:textId="77777777" w:rsidR="002B10A6" w:rsidRDefault="00000000">
      <w:pPr>
        <w:pStyle w:val="Normal15"/>
        <w:keepNext/>
        <w:widowControl w:val="0"/>
        <w:spacing w:before="240" w:line="340" w:lineRule="atLeast"/>
      </w:pPr>
      <w:bookmarkStart w:id="2421" w:name="Opinion_14"/>
      <w:bookmarkEnd w:id="2421"/>
      <w:r>
        <w:rPr>
          <w:rFonts w:ascii="Arial" w:eastAsia="Arial" w:hAnsi="Arial" w:cs="Arial"/>
          <w:b/>
          <w:color w:val="000000"/>
          <w:sz w:val="28"/>
        </w:rPr>
        <w:t>Opinion</w:t>
      </w:r>
    </w:p>
    <w:p w14:paraId="17E07EB2" w14:textId="0B4D4E92" w:rsidR="002B10A6" w:rsidRDefault="002D6974">
      <w:pPr>
        <w:pStyle w:val="Normal15"/>
        <w:spacing w:line="60" w:lineRule="exact"/>
      </w:pPr>
      <w:r>
        <w:rPr>
          <w:noProof/>
        </w:rPr>
        <mc:AlternateContent>
          <mc:Choice Requires="wps">
            <w:drawing>
              <wp:anchor distT="0" distB="0" distL="114300" distR="114300" simplePos="0" relativeHeight="251689984" behindDoc="0" locked="0" layoutInCell="1" allowOverlap="1" wp14:anchorId="70612FE0" wp14:editId="5B73FA11">
                <wp:simplePos x="0" y="0"/>
                <wp:positionH relativeFrom="column">
                  <wp:posOffset>0</wp:posOffset>
                </wp:positionH>
                <wp:positionV relativeFrom="paragraph">
                  <wp:posOffset>25400</wp:posOffset>
                </wp:positionV>
                <wp:extent cx="3187700" cy="0"/>
                <wp:effectExtent l="19050" t="15875" r="12700" b="12700"/>
                <wp:wrapTopAndBottom/>
                <wp:docPr id="160037349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1EACAC" id="Line 3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A6938BA" w14:textId="77777777" w:rsidR="002B10A6" w:rsidRDefault="002B10A6">
      <w:pPr>
        <w:pStyle w:val="Normal15"/>
      </w:pPr>
    </w:p>
    <w:p w14:paraId="51B1E4AD" w14:textId="77777777" w:rsidR="002B10A6" w:rsidRDefault="00000000">
      <w:pPr>
        <w:pStyle w:val="Normal15"/>
        <w:widowControl w:val="0"/>
        <w:spacing w:before="200" w:line="260" w:lineRule="atLeast"/>
        <w:jc w:val="both"/>
      </w:pPr>
      <w:bookmarkStart w:id="2422" w:name="Bookmark_para_2_14"/>
      <w:bookmarkEnd w:id="2422"/>
      <w:r>
        <w:rPr>
          <w:rFonts w:ascii="Arial" w:eastAsia="Arial" w:hAnsi="Arial" w:cs="Arial"/>
          <w:color w:val="000000"/>
          <w:sz w:val="20"/>
        </w:rPr>
        <w:t xml:space="preserve"> [*60]  </w:t>
      </w:r>
      <w:r>
        <w:rPr>
          <w:rFonts w:ascii="Arial" w:eastAsia="Arial" w:hAnsi="Arial" w:cs="Arial"/>
          <w:b/>
          <w:color w:val="000000"/>
          <w:sz w:val="20"/>
        </w:rPr>
        <w:t xml:space="preserve">THOMPSON, </w:t>
      </w:r>
      <w:r>
        <w:rPr>
          <w:rFonts w:ascii="Arial" w:eastAsia="Arial" w:hAnsi="Arial" w:cs="Arial"/>
          <w:b/>
          <w:color w:val="000000"/>
          <w:sz w:val="20"/>
          <w:u w:val="single"/>
        </w:rPr>
        <w:t>Circuit Judge</w:t>
      </w:r>
      <w:r>
        <w:rPr>
          <w:rFonts w:ascii="Arial" w:eastAsia="Arial" w:hAnsi="Arial" w:cs="Arial"/>
          <w:color w:val="000000"/>
          <w:sz w:val="20"/>
        </w:rPr>
        <w:t>. Appellee Ryan D. Burnett, who relies on a wheelchair for mobility, sued Appellants AmeriPort, LLC, and Ocean Properties, Ltd., for failing to accommodate his disability at work, as required under the Americans with Disabilities Act ("ADA"), 42 U.S.C. § 12101, and Maine Human Rights Act ("MHRA"), Me. Stat. tit. 5, § 4571 (1971). He prevailed and a jury awarded Burnett compensatory and punitive damages for his troubles. Over Appellants' protestations, the district court upheld [*61]   [**2]  the verdicts and entered judgment in Burnett's favor but remitted the punitive damages award. Appellants are here challenging the verdicts, amended judgment, and order denying their post-trial motions. After careful consideration, we affirm.</w:t>
      </w:r>
    </w:p>
    <w:p w14:paraId="309EA806" w14:textId="77777777" w:rsidR="002B10A6" w:rsidRDefault="00000000">
      <w:pPr>
        <w:pStyle w:val="Normal15"/>
        <w:widowControl w:val="0"/>
        <w:spacing w:before="240" w:line="260" w:lineRule="atLeast"/>
      </w:pPr>
      <w:r>
        <w:br/>
      </w:r>
      <w:r>
        <w:rPr>
          <w:rFonts w:ascii="Arial" w:eastAsia="Arial" w:hAnsi="Arial" w:cs="Arial"/>
          <w:b/>
          <w:color w:val="000000"/>
          <w:sz w:val="20"/>
        </w:rPr>
        <w:t>BACKGROUND</w:t>
      </w:r>
      <w:r>
        <w:rPr>
          <w:rFonts w:ascii="Arial" w:eastAsia="Arial" w:hAnsi="Arial" w:cs="Arial"/>
          <w:vertAlign w:val="superscript"/>
        </w:rPr>
        <w:footnoteReference w:customMarkFollows="1" w:id="106"/>
        <w:t>1</w:t>
      </w:r>
    </w:p>
    <w:p w14:paraId="51A0CC97" w14:textId="77777777" w:rsidR="002B10A6" w:rsidRDefault="00000000">
      <w:pPr>
        <w:pStyle w:val="Normal15"/>
        <w:widowControl w:val="0"/>
        <w:spacing w:before="240" w:line="260" w:lineRule="atLeast"/>
      </w:pPr>
      <w:r>
        <w:br/>
      </w:r>
      <w:r>
        <w:rPr>
          <w:rFonts w:ascii="Arial" w:eastAsia="Arial" w:hAnsi="Arial" w:cs="Arial"/>
          <w:b/>
          <w:color w:val="000000"/>
          <w:sz w:val="20"/>
        </w:rPr>
        <w:t>The Parties</w:t>
      </w:r>
    </w:p>
    <w:p w14:paraId="20D5919A" w14:textId="77777777" w:rsidR="002B10A6" w:rsidRDefault="00000000">
      <w:pPr>
        <w:pStyle w:val="Normal15"/>
        <w:widowControl w:val="0"/>
        <w:spacing w:before="200" w:line="260" w:lineRule="atLeast"/>
        <w:jc w:val="both"/>
      </w:pPr>
      <w:bookmarkStart w:id="2426" w:name="Bookmark_para_3_14"/>
      <w:bookmarkEnd w:id="2426"/>
      <w:r>
        <w:rPr>
          <w:rFonts w:ascii="Arial" w:eastAsia="Arial" w:hAnsi="Arial" w:cs="Arial"/>
          <w:color w:val="000000"/>
          <w:sz w:val="20"/>
        </w:rPr>
        <w:t>Ryan D. Burnett ("Burnett") was injured in a dirt bike accident and rendered paraplegic over twenty-three years ago. Starting in 2009, Burnett worked as an associate at a call center in South Portland, Maine, taking room reservations for forty-five hotels and resorts in the United States and Canada, all marketed under the umbrella term, "Ocean Properties Hotels, Resorts &amp; Affiliates." Under 101 employees worked in the reservations department at the call center, whereas over 500 employees worked for the hotels and resorts under the Ocean Properties Hotels, Resorts &amp; Affiliates umbrella. AmeriPort, LLC ("AmeriPort"), was Burnett's employer, and it held itself out publicly as "Ocean Properties Reservations," consistent with the umbrella moniker. Ocean Properties, Ltd. ("Ocean Properties"), was an entity that, as we discuss below, was interrelated to AmeriPort.</w:t>
      </w:r>
    </w:p>
    <w:p w14:paraId="3C3F8521" w14:textId="77777777" w:rsidR="002B10A6" w:rsidRDefault="00000000">
      <w:pPr>
        <w:pStyle w:val="Normal15"/>
        <w:widowControl w:val="0"/>
        <w:spacing w:before="240" w:line="260" w:lineRule="atLeast"/>
      </w:pPr>
      <w:r>
        <w:br/>
      </w:r>
      <w:r>
        <w:rPr>
          <w:rFonts w:ascii="Arial" w:eastAsia="Arial" w:hAnsi="Arial" w:cs="Arial"/>
          <w:b/>
          <w:color w:val="000000"/>
          <w:sz w:val="20"/>
        </w:rPr>
        <w:t>Burnett's Request For An Accommodation</w:t>
      </w:r>
    </w:p>
    <w:p w14:paraId="6BE32810" w14:textId="77777777" w:rsidR="002B10A6" w:rsidRDefault="00000000">
      <w:pPr>
        <w:pStyle w:val="Normal15"/>
        <w:widowControl w:val="0"/>
        <w:spacing w:before="200" w:line="260" w:lineRule="atLeast"/>
        <w:jc w:val="both"/>
      </w:pPr>
      <w:bookmarkStart w:id="2427" w:name="Bookmark_para_4_14"/>
      <w:bookmarkEnd w:id="2427"/>
      <w:r>
        <w:rPr>
          <w:rFonts w:ascii="Arial" w:eastAsia="Arial" w:hAnsi="Arial" w:cs="Arial"/>
          <w:color w:val="000000"/>
          <w:sz w:val="20"/>
        </w:rPr>
        <w:t>The call center was [**3]  located in a golf clubhouse whose public entrance sported heavy, wooden doors that pulled outward and then automatically closed. Just beyond the entrance was a slight, downward slope that caused Burnett's wheelchair to roll backwards as the doors closed on him. As a result, Burnett needed to exert greater force as he struggled to enter.</w:t>
      </w:r>
    </w:p>
    <w:p w14:paraId="0484EF4B" w14:textId="77777777" w:rsidR="002B10A6" w:rsidRDefault="00000000">
      <w:pPr>
        <w:pStyle w:val="Normal15"/>
        <w:widowControl w:val="0"/>
        <w:spacing w:before="200" w:line="260" w:lineRule="atLeast"/>
        <w:jc w:val="both"/>
      </w:pPr>
      <w:bookmarkStart w:id="2428" w:name="Bookmark_para_5_14"/>
      <w:bookmarkEnd w:id="2428"/>
      <w:r>
        <w:rPr>
          <w:rFonts w:ascii="Arial" w:eastAsia="Arial" w:hAnsi="Arial" w:cs="Arial"/>
          <w:color w:val="000000"/>
          <w:sz w:val="20"/>
        </w:rPr>
        <w:t>On August 28, 2014, Burnett sent a message to Nick Robertshaw ("Robertshaw"), the acting office manager, requesting push-button, automatic doors at the public entrance, explaining that the "[d]oors are heavy and hard to hold open while I push myself [through] [without] them closing on me." Robertshaw did not respond to Burnett, but instead forwarded the message to his own supervisor, Lori Darsaoui ("Darsaoui"), and Darsaoui's supervisor that same day.</w:t>
      </w:r>
    </w:p>
    <w:p w14:paraId="7ADCBEEC" w14:textId="77777777" w:rsidR="002B10A6" w:rsidRDefault="00000000">
      <w:pPr>
        <w:pStyle w:val="Normal15"/>
        <w:widowControl w:val="0"/>
        <w:spacing w:before="200" w:line="260" w:lineRule="atLeast"/>
        <w:jc w:val="both"/>
      </w:pPr>
      <w:bookmarkStart w:id="2429" w:name="Bookmark_para_6_14"/>
      <w:bookmarkEnd w:id="2429"/>
      <w:r>
        <w:rPr>
          <w:rFonts w:ascii="Arial" w:eastAsia="Arial" w:hAnsi="Arial" w:cs="Arial"/>
          <w:color w:val="000000"/>
          <w:sz w:val="20"/>
        </w:rPr>
        <w:t>On September 10, 2014, Darsaoui e-mailed Mark Mooney ("Mooney"), who constructed the clubhouse and was responsible for ensuring the building was up to code, asking "if the set of large wooden doors used to enter the lobby of the clubhouse are ADA compliant." Hearing no response, Darsaoui e-mailed Mooney again on September 30, 2014: "I wanted to follow up with you and see if you had found out if the doors [**4]  here are ADA compliant[.] Please let me know as soon as you can." Mooney responded that same day with, "As constructed when the building was built, Yes." Darsaoui did not follow up on Mooney's e-mail and Burnett did not receive a response to his request.</w:t>
      </w:r>
    </w:p>
    <w:p w14:paraId="01956A29" w14:textId="77777777" w:rsidR="002B10A6" w:rsidRDefault="00000000">
      <w:pPr>
        <w:pStyle w:val="Normal15"/>
        <w:widowControl w:val="0"/>
        <w:spacing w:before="200" w:line="260" w:lineRule="atLeast"/>
        <w:jc w:val="both"/>
      </w:pPr>
      <w:bookmarkStart w:id="2430" w:name="Bookmark_para_7_14"/>
      <w:bookmarkEnd w:id="2430"/>
      <w:r>
        <w:rPr>
          <w:rFonts w:ascii="Arial" w:eastAsia="Arial" w:hAnsi="Arial" w:cs="Arial"/>
          <w:color w:val="000000"/>
          <w:sz w:val="20"/>
        </w:rPr>
        <w:t>One morning in October 2014, Burnett, while entering the clubhouse, injured his wrist (causing tingling in his hand) as he pulled open the heavy door and tried to quickly push himself inside. Burnett reported the incident to another supervisor who filed an incident report on his behalf, but again no one followed up with Burnett on his request for push-button, automatic doors.</w:t>
      </w:r>
    </w:p>
    <w:p w14:paraId="5C165546" w14:textId="77777777" w:rsidR="002B10A6" w:rsidRDefault="00000000">
      <w:pPr>
        <w:pStyle w:val="Normal15"/>
        <w:widowControl w:val="0"/>
        <w:spacing w:before="200" w:line="260" w:lineRule="atLeast"/>
        <w:jc w:val="both"/>
      </w:pPr>
      <w:bookmarkStart w:id="2431" w:name="Bookmark_para_8_14"/>
      <w:bookmarkEnd w:id="2431"/>
      <w:r>
        <w:rPr>
          <w:rFonts w:ascii="Arial" w:eastAsia="Arial" w:hAnsi="Arial" w:cs="Arial"/>
          <w:color w:val="000000"/>
          <w:sz w:val="20"/>
        </w:rPr>
        <w:t>In June 2015, Burnett filed a disability discrimination complaint with the Maine Human Rights Commission ("MHRC"). In a meeting with Burnett to discuss his  [*62]  MHRC complaint, Darsaoui told him she was not familiar with ADA compliance and, for whatever reason, no specific mention was made of Burnett's request for push-button, automatic doors. So even the filing of a complaint yielded Burnett no relief. On February 26, 2016, Burnett gave notice of his resignation, at which time the condition of the doors remained the same.</w:t>
      </w:r>
    </w:p>
    <w:p w14:paraId="5FD248FA" w14:textId="77777777" w:rsidR="002B10A6" w:rsidRDefault="00000000">
      <w:pPr>
        <w:pStyle w:val="Normal15"/>
        <w:widowControl w:val="0"/>
        <w:spacing w:before="240" w:line="260" w:lineRule="atLeast"/>
      </w:pPr>
      <w:r>
        <w:br/>
      </w:r>
      <w:r>
        <w:rPr>
          <w:rFonts w:ascii="Arial" w:eastAsia="Arial" w:hAnsi="Arial" w:cs="Arial"/>
          <w:b/>
          <w:color w:val="000000"/>
          <w:sz w:val="20"/>
        </w:rPr>
        <w:t>The Trial</w:t>
      </w:r>
    </w:p>
    <w:p w14:paraId="21468F5D" w14:textId="77777777" w:rsidR="002B10A6" w:rsidRDefault="00000000">
      <w:pPr>
        <w:pStyle w:val="Normal15"/>
        <w:widowControl w:val="0"/>
        <w:spacing w:before="200" w:line="260" w:lineRule="atLeast"/>
        <w:jc w:val="both"/>
      </w:pPr>
      <w:bookmarkStart w:id="2432" w:name="Bookmark_para_9_14"/>
      <w:bookmarkEnd w:id="2432"/>
      <w:r>
        <w:rPr>
          <w:rFonts w:ascii="Arial" w:eastAsia="Arial" w:hAnsi="Arial" w:cs="Arial"/>
          <w:color w:val="000000"/>
          <w:sz w:val="20"/>
        </w:rPr>
        <w:t>A three-day jury trial was held concerning [**5]  the only trial-worthy issue which survived pre-trial dispositive motions to Burnett's suit: whether Appellants violated the ADA and MHRA by failing to accommodate Burnett concerning the heavy wooden doors.</w:t>
      </w:r>
      <w:r>
        <w:rPr>
          <w:rFonts w:ascii="Arial" w:eastAsia="Arial" w:hAnsi="Arial" w:cs="Arial"/>
          <w:vertAlign w:val="superscript"/>
        </w:rPr>
        <w:footnoteReference w:customMarkFollows="1" w:id="107"/>
        <w:t>2</w:t>
      </w:r>
      <w:r>
        <w:rPr>
          <w:rFonts w:ascii="Arial" w:eastAsia="Arial" w:hAnsi="Arial" w:cs="Arial"/>
          <w:color w:val="000000"/>
          <w:sz w:val="20"/>
        </w:rPr>
        <w:t xml:space="preserve"> Burnett was the primary witness and he testified in support of his claim that Appellants never responded to his request for push-button, automatic doors, not "even as to why they could or could not or if they were or were not compliant." Burnett recalled feeling "tired, frustrated, [and] angry" that he never heard a response to his request; he believed Appellants did not wish to accommodate him. Another witness was Darsaoui, who was called by both Burnett and Appellants. The third and final witness was Burnett's girlfriend, who testified further about Burnett's emotional distress which sometimes caused conflict in their relationship. The jury heard testimony as narrated above in our background discussion. Additionally, Appellants stipulated that replacing the doors was not an undue hardship and that Burnett had a disability, was qualified to do his job, and worked for AmeriPort; the parties disputed whether Burnett also worked for Ocean Properties.</w:t>
      </w:r>
      <w:r>
        <w:rPr>
          <w:rFonts w:ascii="Arial" w:eastAsia="Arial" w:hAnsi="Arial" w:cs="Arial"/>
          <w:vertAlign w:val="superscript"/>
        </w:rPr>
        <w:footnoteReference w:customMarkFollows="1" w:id="108"/>
        <w:t>3</w:t>
      </w:r>
    </w:p>
    <w:p w14:paraId="2AF6B5E2" w14:textId="77777777" w:rsidR="002B10A6" w:rsidRDefault="00000000">
      <w:pPr>
        <w:pStyle w:val="Normal15"/>
        <w:widowControl w:val="0"/>
        <w:spacing w:before="200" w:line="260" w:lineRule="atLeast"/>
        <w:jc w:val="both"/>
      </w:pPr>
      <w:bookmarkStart w:id="2435" w:name="Bookmark_para_10_14"/>
      <w:bookmarkEnd w:id="2435"/>
      <w:r>
        <w:rPr>
          <w:rFonts w:ascii="Arial" w:eastAsia="Arial" w:hAnsi="Arial" w:cs="Arial"/>
          <w:color w:val="000000"/>
          <w:sz w:val="20"/>
        </w:rPr>
        <w:t xml:space="preserve">Appellants also sought to call Mooney [**6]  to testify that he tested the doors in December 2013 or January 2014 and found the doors ADA-compliant. However, Appellants conceded they did not disclose this information to Burnett until after the jury was selected and six days before trial; Appellants had previously disclosed only that the doors were tested when the building was constructed (as revealed in Mooney's e-mail to Darsaoui, which was timely provided to Burnett in discovery). Burnett claimed he was surprised and prejudiced by the late disclosure because he would have designated an expert and tested the doors himself. Siding with Burnett, the district court prohibited Appellants from inquiring about Mooney's 2013/2014 testing of the doors as a sanction for Appellants' failure to disclose or supplement during discovery. </w:t>
      </w:r>
      <w:r>
        <w:rPr>
          <w:rFonts w:ascii="Arial" w:eastAsia="Arial" w:hAnsi="Arial" w:cs="Arial"/>
          <w:color w:val="000000"/>
          <w:sz w:val="20"/>
          <w:u w:val="single"/>
        </w:rPr>
        <w:t>See</w:t>
      </w:r>
      <w:r>
        <w:rPr>
          <w:rFonts w:ascii="Arial" w:eastAsia="Arial" w:hAnsi="Arial" w:cs="Arial"/>
          <w:color w:val="000000"/>
          <w:sz w:val="20"/>
        </w:rPr>
        <w:t xml:space="preserve"> Fed. R. Civ. P. 26(a), (e), 37(c). Although the ruling did not prevent Appellants from otherwise calling Mooney as a witness, Appellants opted not to do so.</w:t>
      </w:r>
    </w:p>
    <w:p w14:paraId="55AC636F" w14:textId="77777777" w:rsidR="002B10A6" w:rsidRDefault="00000000">
      <w:pPr>
        <w:pStyle w:val="Normal15"/>
        <w:widowControl w:val="0"/>
        <w:spacing w:before="200" w:line="260" w:lineRule="atLeast"/>
        <w:jc w:val="both"/>
      </w:pPr>
      <w:bookmarkStart w:id="2436" w:name="Bookmark_para_11_14"/>
      <w:bookmarkEnd w:id="2436"/>
      <w:r>
        <w:rPr>
          <w:rFonts w:ascii="Arial" w:eastAsia="Arial" w:hAnsi="Arial" w:cs="Arial"/>
          <w:color w:val="000000"/>
          <w:sz w:val="20"/>
        </w:rPr>
        <w:t xml:space="preserve">Appellants moved for judgment as a matter of law at the close of Burnett's case in chief and again at the close of Appellants' case in chief, raising three total issues, which were that Burnett failed to show: (1) his requested accommodation was reasonable since he could perform [**7]  the essential functions of his job; (2) Appellants acted with malice or reckless indifference towards him to support an award for punitive damages; and (3) Ocean Properties was his single or joint employer. </w:t>
      </w:r>
      <w:r>
        <w:rPr>
          <w:rFonts w:ascii="Arial" w:eastAsia="Arial" w:hAnsi="Arial" w:cs="Arial"/>
          <w:color w:val="000000"/>
          <w:sz w:val="20"/>
          <w:u w:val="single"/>
        </w:rPr>
        <w:t>See</w:t>
      </w:r>
      <w:r>
        <w:rPr>
          <w:rFonts w:ascii="Arial" w:eastAsia="Arial" w:hAnsi="Arial" w:cs="Arial"/>
          <w:color w:val="000000"/>
          <w:sz w:val="20"/>
        </w:rPr>
        <w:t xml:space="preserve"> Fed. R. Civ. P. 50(a). The district court denied the motion on each ground. Then, during closing arguments, Burnett's counsel made two challenged comments, of which the first was objected to and the  [*63]  other was not: counsel (1) suggested that the jury "imagine" what life was like for Burnett having a disability in order to award him damages and then (2) suggested a ballpark damages figure.</w:t>
      </w:r>
    </w:p>
    <w:p w14:paraId="516F8C57" w14:textId="77777777" w:rsidR="002B10A6" w:rsidRDefault="00000000">
      <w:pPr>
        <w:pStyle w:val="Normal15"/>
        <w:widowControl w:val="0"/>
        <w:spacing w:before="240" w:line="260" w:lineRule="atLeast"/>
      </w:pPr>
      <w:r>
        <w:br/>
      </w:r>
      <w:r>
        <w:rPr>
          <w:rFonts w:ascii="Arial" w:eastAsia="Arial" w:hAnsi="Arial" w:cs="Arial"/>
          <w:b/>
          <w:color w:val="000000"/>
          <w:sz w:val="20"/>
        </w:rPr>
        <w:t>The Verdicts</w:t>
      </w:r>
    </w:p>
    <w:p w14:paraId="3F67B87A" w14:textId="77777777" w:rsidR="002B10A6" w:rsidRDefault="00000000">
      <w:pPr>
        <w:pStyle w:val="Normal15"/>
        <w:widowControl w:val="0"/>
        <w:spacing w:before="200" w:line="260" w:lineRule="atLeast"/>
        <w:jc w:val="both"/>
      </w:pPr>
      <w:bookmarkStart w:id="2437" w:name="Bookmark_para_12_13"/>
      <w:bookmarkEnd w:id="2437"/>
      <w:r>
        <w:rPr>
          <w:rFonts w:ascii="Arial" w:eastAsia="Arial" w:hAnsi="Arial" w:cs="Arial"/>
          <w:color w:val="000000"/>
          <w:sz w:val="20"/>
        </w:rPr>
        <w:t>The jury retired to deliberate with the following agreed-upon special verdict form:</w:t>
      </w:r>
    </w:p>
    <w:p w14:paraId="091CF61E" w14:textId="77777777" w:rsidR="002B10A6" w:rsidRDefault="00000000">
      <w:pPr>
        <w:pStyle w:val="Normal15"/>
        <w:widowControl w:val="0"/>
        <w:spacing w:line="260" w:lineRule="atLeast"/>
        <w:ind w:left="400"/>
        <w:jc w:val="both"/>
      </w:pPr>
      <w:bookmarkStart w:id="2438" w:name="Bookmark_para_13_13"/>
      <w:bookmarkEnd w:id="2438"/>
      <w:r>
        <w:rPr>
          <w:rFonts w:ascii="Arial" w:eastAsia="Arial" w:hAnsi="Arial" w:cs="Arial"/>
          <w:color w:val="000000"/>
          <w:sz w:val="20"/>
        </w:rPr>
        <w:t>(1) Has Ryan Burnett proven it is more likely than not that Ocean Properties and/or AmeriPort failed to reasonably accommodate his disability?</w:t>
      </w:r>
    </w:p>
    <w:p w14:paraId="371A8F8D" w14:textId="77777777" w:rsidR="002B10A6" w:rsidRDefault="00000000">
      <w:pPr>
        <w:pStyle w:val="Normal15"/>
        <w:widowControl w:val="0"/>
        <w:spacing w:line="260" w:lineRule="atLeast"/>
        <w:ind w:left="400"/>
        <w:jc w:val="both"/>
      </w:pPr>
      <w:bookmarkStart w:id="2439" w:name="Bookmark_para_14_13"/>
      <w:bookmarkEnd w:id="2439"/>
      <w:r>
        <w:rPr>
          <w:rFonts w:ascii="Arial" w:eastAsia="Arial" w:hAnsi="Arial" w:cs="Arial"/>
          <w:color w:val="000000"/>
          <w:sz w:val="20"/>
        </w:rPr>
        <w:t>(2) What damages, if any, has Mr. Burnett proven more likely than not that he sustained as a result of Ocean Properties and/or AmeriPort's failure to reasonably accommodate his disability?</w:t>
      </w:r>
    </w:p>
    <w:p w14:paraId="1101E5F9" w14:textId="77777777" w:rsidR="002B10A6" w:rsidRDefault="00000000">
      <w:pPr>
        <w:pStyle w:val="Normal15"/>
        <w:widowControl w:val="0"/>
        <w:spacing w:line="260" w:lineRule="atLeast"/>
        <w:ind w:left="400"/>
        <w:jc w:val="both"/>
      </w:pPr>
      <w:bookmarkStart w:id="2440" w:name="Bookmark_para_15_13"/>
      <w:bookmarkEnd w:id="2440"/>
      <w:r>
        <w:rPr>
          <w:rFonts w:ascii="Arial" w:eastAsia="Arial" w:hAnsi="Arial" w:cs="Arial"/>
          <w:color w:val="000000"/>
          <w:sz w:val="20"/>
        </w:rPr>
        <w:t>(3) Was Ocean Properties an employer or joint employer of Mr. Burnett?</w:t>
      </w:r>
    </w:p>
    <w:p w14:paraId="10E03B74" w14:textId="77777777" w:rsidR="002B10A6" w:rsidRDefault="00000000">
      <w:pPr>
        <w:pStyle w:val="Normal15"/>
        <w:widowControl w:val="0"/>
        <w:spacing w:line="260" w:lineRule="atLeast"/>
        <w:ind w:left="400"/>
        <w:jc w:val="both"/>
      </w:pPr>
      <w:bookmarkStart w:id="2441" w:name="Bookmark_para_16_11"/>
      <w:bookmarkEnd w:id="2441"/>
      <w:r>
        <w:rPr>
          <w:rFonts w:ascii="Arial" w:eastAsia="Arial" w:hAnsi="Arial" w:cs="Arial"/>
          <w:color w:val="000000"/>
          <w:sz w:val="20"/>
        </w:rPr>
        <w:t>(4) Were Ocean Properties and AmeriPort integrated employers of Ryan Burnett?</w:t>
      </w:r>
    </w:p>
    <w:p w14:paraId="05559B40" w14:textId="77777777" w:rsidR="002B10A6" w:rsidRDefault="00000000">
      <w:pPr>
        <w:pStyle w:val="Normal15"/>
        <w:widowControl w:val="0"/>
        <w:spacing w:before="200" w:line="260" w:lineRule="atLeast"/>
        <w:ind w:left="400"/>
        <w:jc w:val="both"/>
      </w:pPr>
      <w:bookmarkStart w:id="2442" w:name="Bookmark_para_17_11"/>
      <w:bookmarkEnd w:id="2442"/>
      <w:r>
        <w:rPr>
          <w:rFonts w:ascii="Arial" w:eastAsia="Arial" w:hAnsi="Arial" w:cs="Arial"/>
          <w:color w:val="000000"/>
          <w:sz w:val="20"/>
        </w:rPr>
        <w:t>(5) How many employees do you find Ryan Burnett's [**8]  employer had when he worked for the employer?</w:t>
      </w:r>
    </w:p>
    <w:p w14:paraId="40318C04" w14:textId="77777777" w:rsidR="002B10A6" w:rsidRDefault="00000000">
      <w:pPr>
        <w:pStyle w:val="Normal15"/>
        <w:widowControl w:val="0"/>
        <w:spacing w:line="260" w:lineRule="atLeast"/>
        <w:jc w:val="both"/>
      </w:pPr>
      <w:r>
        <w:rPr>
          <w:rFonts w:ascii="Arial" w:eastAsia="Arial" w:hAnsi="Arial" w:cs="Arial"/>
          <w:color w:val="000000"/>
          <w:sz w:val="20"/>
        </w:rPr>
        <w:t>In a chambers conference during deliberations, the district judge read to counsel a note from the jury that asked whether "both questions 3 and 4 could be answered yes." The district judge said he believed both questions could be answered affirmatively and counsel for Burnett and Appellants agreed. After informing counsel that he would respond to the jury's note with "yes, both questions 3 and 4 could be answered yes," the district judge asked if there were any objections, and counsel for Burnett and Appellants replied that there was no objection.</w:t>
      </w:r>
    </w:p>
    <w:p w14:paraId="47D53DE9" w14:textId="77777777" w:rsidR="002B10A6" w:rsidRDefault="00000000">
      <w:pPr>
        <w:pStyle w:val="Normal15"/>
        <w:widowControl w:val="0"/>
        <w:spacing w:before="200" w:line="260" w:lineRule="atLeast"/>
        <w:jc w:val="both"/>
      </w:pPr>
      <w:bookmarkStart w:id="2443" w:name="Bookmark_para_18_11"/>
      <w:bookmarkEnd w:id="2443"/>
      <w:r>
        <w:rPr>
          <w:rFonts w:ascii="Arial" w:eastAsia="Arial" w:hAnsi="Arial" w:cs="Arial"/>
          <w:color w:val="000000"/>
          <w:sz w:val="20"/>
        </w:rPr>
        <w:t>The jury returned a verdict that answered questions 1, 3, and 4 affirmatively, found Burnett's employer had more than 500 employees (question 5), and awarded Burnett $150,000 in compensatory damages (question 2). No challenges to the verdict were raised.</w:t>
      </w:r>
    </w:p>
    <w:p w14:paraId="5AB4DFEC" w14:textId="77777777" w:rsidR="002B10A6" w:rsidRDefault="00000000">
      <w:pPr>
        <w:pStyle w:val="Normal15"/>
        <w:widowControl w:val="0"/>
        <w:spacing w:before="200" w:line="260" w:lineRule="atLeast"/>
        <w:jc w:val="both"/>
      </w:pPr>
      <w:bookmarkStart w:id="2444" w:name="Bookmark_para_19_10"/>
      <w:bookmarkEnd w:id="2444"/>
      <w:r>
        <w:rPr>
          <w:rFonts w:ascii="Arial" w:eastAsia="Arial" w:hAnsi="Arial" w:cs="Arial"/>
          <w:color w:val="000000"/>
          <w:sz w:val="20"/>
        </w:rPr>
        <w:t>Having found Appellants liable, the jury deliberated a second time to determine whether to award punitive damages. The jury returned a second verdict that found that Burnett proved Appellants acted intentionally or with reckless indifference and awarded him $500,000 in total punitive damages ($200,000 under the ADA and $300,000 under the MHRA).</w:t>
      </w:r>
    </w:p>
    <w:p w14:paraId="67FF3720" w14:textId="77777777" w:rsidR="002B10A6" w:rsidRDefault="00000000">
      <w:pPr>
        <w:pStyle w:val="Normal15"/>
        <w:widowControl w:val="0"/>
        <w:spacing w:before="240" w:line="260" w:lineRule="atLeast"/>
      </w:pPr>
      <w:r>
        <w:br/>
      </w:r>
      <w:r>
        <w:rPr>
          <w:rFonts w:ascii="Arial" w:eastAsia="Arial" w:hAnsi="Arial" w:cs="Arial"/>
          <w:b/>
          <w:color w:val="000000"/>
          <w:sz w:val="20"/>
        </w:rPr>
        <w:t>Post-Trial</w:t>
      </w:r>
      <w:r>
        <w:rPr>
          <w:rFonts w:ascii="Arial" w:eastAsia="Arial" w:hAnsi="Arial" w:cs="Arial"/>
          <w:color w:val="000000"/>
          <w:sz w:val="20"/>
        </w:rPr>
        <w:t> [**9] </w:t>
      </w:r>
      <w:r>
        <w:rPr>
          <w:rFonts w:ascii="Arial" w:eastAsia="Arial" w:hAnsi="Arial" w:cs="Arial"/>
          <w:b/>
          <w:color w:val="000000"/>
          <w:sz w:val="20"/>
        </w:rPr>
        <w:t xml:space="preserve"> Motions</w:t>
      </w:r>
    </w:p>
    <w:p w14:paraId="44F2B106" w14:textId="77777777" w:rsidR="002B10A6" w:rsidRDefault="00000000">
      <w:pPr>
        <w:pStyle w:val="Normal15"/>
        <w:widowControl w:val="0"/>
        <w:spacing w:before="200" w:line="260" w:lineRule="atLeast"/>
        <w:jc w:val="both"/>
      </w:pPr>
      <w:bookmarkStart w:id="2445" w:name="Bookmark_para_20_10"/>
      <w:bookmarkEnd w:id="2445"/>
      <w:r>
        <w:rPr>
          <w:rFonts w:ascii="Arial" w:eastAsia="Arial" w:hAnsi="Arial" w:cs="Arial"/>
          <w:color w:val="000000"/>
          <w:sz w:val="20"/>
        </w:rPr>
        <w:t>After trial, Appellants renewed their motion for judgment as a matter of law raising the same grounds as before. They also moved for a new trial challenging the consistency of the first verdict regarding the employment relationship, the ruling excluding Mooney from testifying about the 2013/2014 testing of the doors, and Burnett's counsel's closing arguments. Lastly, they moved to remit the total award to $50,000, the statutory limit recoverable from an employer with fewer than 101 employees, based on their claim that there was no evidence AmeriPort had over 100 employees and that Ocean Properties had any employees.</w:t>
      </w:r>
      <w:r>
        <w:rPr>
          <w:rFonts w:ascii="Arial" w:eastAsia="Arial" w:hAnsi="Arial" w:cs="Arial"/>
          <w:vertAlign w:val="superscript"/>
        </w:rPr>
        <w:footnoteReference w:customMarkFollows="1" w:id="109"/>
        <w:t>4</w:t>
      </w:r>
      <w:r>
        <w:rPr>
          <w:rFonts w:ascii="Arial" w:eastAsia="Arial" w:hAnsi="Arial" w:cs="Arial"/>
          <w:color w:val="000000"/>
          <w:sz w:val="20"/>
        </w:rPr>
        <w:t xml:space="preserve"> </w:t>
      </w:r>
      <w:r>
        <w:rPr>
          <w:rFonts w:ascii="Arial" w:eastAsia="Arial" w:hAnsi="Arial" w:cs="Arial"/>
          <w:color w:val="000000"/>
          <w:sz w:val="20"/>
          <w:u w:val="single"/>
        </w:rPr>
        <w:t>See</w:t>
      </w:r>
      <w:r>
        <w:rPr>
          <w:rFonts w:ascii="Arial" w:eastAsia="Arial" w:hAnsi="Arial" w:cs="Arial"/>
          <w:color w:val="000000"/>
          <w:sz w:val="20"/>
        </w:rPr>
        <w:t xml:space="preserve"> 42 U.S.C. § 1981a(b)(3)(A); Me. Stat. tit. 5, § 4613(2)(B)(8)(e)(i) (2012).</w:t>
      </w:r>
    </w:p>
    <w:p w14:paraId="2D7E0A53" w14:textId="77777777" w:rsidR="002B10A6" w:rsidRDefault="00000000">
      <w:pPr>
        <w:pStyle w:val="Normal15"/>
        <w:widowControl w:val="0"/>
        <w:spacing w:before="200" w:line="260" w:lineRule="atLeast"/>
        <w:jc w:val="both"/>
      </w:pPr>
      <w:bookmarkStart w:id="2447" w:name="Bookmark_para_21_10"/>
      <w:bookmarkEnd w:id="2447"/>
      <w:r>
        <w:rPr>
          <w:rFonts w:ascii="Arial" w:eastAsia="Arial" w:hAnsi="Arial" w:cs="Arial"/>
          <w:color w:val="000000"/>
          <w:sz w:val="20"/>
        </w:rPr>
        <w:t xml:space="preserve">The district court denied each motion. It did amend the judgment to accept the parties' stipulation reducing the total  [*64]  award from $650,000 to $500,000 and then remitted the punitive damages award from $500,000 to $350,000 (specifically, $125,000 under the ADA and $225,000 under the MHRA). It declined to remit further because Ocean Properties didn't prove it had fewer than 500 employees, making the maximum statutory limits (of $300,000 under the ADA and $500,000 under the MHRA) for employers with over 500 employees applicable [**10]  instead. </w:t>
      </w:r>
      <w:r>
        <w:rPr>
          <w:rFonts w:ascii="Arial" w:eastAsia="Arial" w:hAnsi="Arial" w:cs="Arial"/>
          <w:color w:val="000000"/>
          <w:sz w:val="20"/>
          <w:u w:val="single"/>
        </w:rPr>
        <w:t>See</w:t>
      </w:r>
      <w:r>
        <w:rPr>
          <w:rFonts w:ascii="Arial" w:eastAsia="Arial" w:hAnsi="Arial" w:cs="Arial"/>
          <w:color w:val="000000"/>
          <w:sz w:val="20"/>
        </w:rPr>
        <w:t xml:space="preserve"> 42 U.S.C. § 1981a(b)(3)(D); Me. Stat. tit. 5, § 4613(2)(B)(8)(e)(iv) (2012). This appeal followed.</w:t>
      </w:r>
    </w:p>
    <w:p w14:paraId="575ECF25" w14:textId="77777777" w:rsidR="002B10A6" w:rsidRDefault="00000000">
      <w:pPr>
        <w:pStyle w:val="Normal15"/>
        <w:widowControl w:val="0"/>
        <w:spacing w:before="240" w:line="260" w:lineRule="atLeast"/>
      </w:pPr>
      <w:r>
        <w:br/>
      </w:r>
      <w:r>
        <w:rPr>
          <w:rFonts w:ascii="Arial" w:eastAsia="Arial" w:hAnsi="Arial" w:cs="Arial"/>
          <w:b/>
          <w:color w:val="000000"/>
          <w:sz w:val="20"/>
        </w:rPr>
        <w:t>OUR TAKE</w:t>
      </w:r>
    </w:p>
    <w:p w14:paraId="6B3D92BC" w14:textId="77777777" w:rsidR="002B10A6" w:rsidRDefault="00000000">
      <w:pPr>
        <w:pStyle w:val="Normal15"/>
        <w:widowControl w:val="0"/>
        <w:spacing w:before="200" w:line="260" w:lineRule="atLeast"/>
        <w:jc w:val="both"/>
      </w:pPr>
      <w:bookmarkStart w:id="2448" w:name="Bookmark_para_22_10"/>
      <w:bookmarkEnd w:id="2448"/>
      <w:r>
        <w:rPr>
          <w:rFonts w:ascii="Arial" w:eastAsia="Arial" w:hAnsi="Arial" w:cs="Arial"/>
          <w:color w:val="000000"/>
          <w:sz w:val="20"/>
        </w:rPr>
        <w:t>Before us, Appellants assert that the district court's denial of their motions was wrong and warrants vacatur of the verdicts and judgment in their favor, or a new trial, or, if all else fails, remittitur.</w:t>
      </w:r>
      <w:r>
        <w:rPr>
          <w:rFonts w:ascii="Arial" w:eastAsia="Arial" w:hAnsi="Arial" w:cs="Arial"/>
          <w:vertAlign w:val="superscript"/>
        </w:rPr>
        <w:footnoteReference w:customMarkFollows="1" w:id="110"/>
        <w:t>5</w:t>
      </w:r>
      <w:r>
        <w:rPr>
          <w:rFonts w:ascii="Arial" w:eastAsia="Arial" w:hAnsi="Arial" w:cs="Arial"/>
          <w:color w:val="000000"/>
          <w:sz w:val="20"/>
        </w:rPr>
        <w:t xml:space="preserve"> We take each motion in turn, detailing additional facts as needed.</w:t>
      </w:r>
    </w:p>
    <w:p w14:paraId="34331D66" w14:textId="77777777" w:rsidR="002B10A6" w:rsidRDefault="00000000">
      <w:pPr>
        <w:pStyle w:val="Normal15"/>
        <w:widowControl w:val="0"/>
        <w:spacing w:before="240" w:line="260" w:lineRule="atLeast"/>
      </w:pPr>
      <w:r>
        <w:br/>
      </w:r>
      <w:r>
        <w:rPr>
          <w:rFonts w:ascii="Arial" w:eastAsia="Arial" w:hAnsi="Arial" w:cs="Arial"/>
          <w:b/>
          <w:color w:val="000000"/>
          <w:sz w:val="20"/>
        </w:rPr>
        <w:t>Judgment As A Matter Of Law</w:t>
      </w:r>
    </w:p>
    <w:p w14:paraId="27FBA97F" w14:textId="77777777" w:rsidR="002B10A6" w:rsidRDefault="00000000">
      <w:pPr>
        <w:pStyle w:val="Normal15"/>
        <w:widowControl w:val="0"/>
        <w:spacing w:before="200" w:line="260" w:lineRule="atLeast"/>
        <w:jc w:val="both"/>
      </w:pPr>
      <w:bookmarkStart w:id="2453" w:name="Bookmark_para_23_10"/>
      <w:bookmarkStart w:id="2454" w:name="Bookmark_I61Y0BV82D6NR90010000400"/>
      <w:bookmarkEnd w:id="2453"/>
      <w:bookmarkEnd w:id="2454"/>
      <w:r>
        <w:rPr>
          <w:rFonts w:ascii="Arial" w:eastAsia="Arial" w:hAnsi="Arial" w:cs="Arial"/>
          <w:color w:val="000000"/>
          <w:sz w:val="20"/>
        </w:rPr>
        <w:t xml:space="preserve">Appellants repeat here the same arguments they made below in their post-trial motions for judgment as a matter of law, which essentially are that Burnett failed to prove his case under the ADA and MHRA. Because the ADA and its Maine equivalent, the MHRA, have similar language, we discuss the statutes together. </w:t>
      </w:r>
      <w:r>
        <w:rPr>
          <w:rFonts w:ascii="Arial" w:eastAsia="Arial" w:hAnsi="Arial" w:cs="Arial"/>
          <w:color w:val="000000"/>
          <w:sz w:val="20"/>
          <w:u w:val="single"/>
        </w:rPr>
        <w:t xml:space="preserve">See generally </w:t>
      </w:r>
      <w:bookmarkStart w:id="2455" w:name="Bookmark_I61Y0BV628T4GN0050000400"/>
      <w:bookmarkEnd w:id="2455"/>
      <w:r>
        <w:rPr>
          <w:rFonts w:ascii="Arial" w:eastAsia="Arial" w:hAnsi="Arial" w:cs="Arial"/>
          <w:color w:val="000000"/>
          <w:sz w:val="20"/>
          <w:u w:val="single"/>
        </w:rPr>
        <w:t>Patten v. Wal-Mart Stores E., Inc.</w:t>
      </w:r>
      <w:r>
        <w:rPr>
          <w:rFonts w:ascii="Arial" w:eastAsia="Arial" w:hAnsi="Arial" w:cs="Arial"/>
          <w:color w:val="000000"/>
          <w:sz w:val="20"/>
        </w:rPr>
        <w:t>, No. 00-213-PH, 2001 U.S. Dist. LEXIS 7415, 2001 WL 631258, at *6 (D. Me. June 7, 2001) (noting that the language of the ADA and MHRA "is sufficiently similar to allow case law interpreting the federal statute to be applied to parallel claims under the state statute").</w:t>
      </w:r>
    </w:p>
    <w:p w14:paraId="7CA24600" w14:textId="77777777" w:rsidR="002B10A6" w:rsidRDefault="00000000">
      <w:pPr>
        <w:pStyle w:val="Normal15"/>
        <w:widowControl w:val="0"/>
        <w:spacing w:before="240" w:line="260" w:lineRule="atLeast"/>
      </w:pPr>
      <w:r>
        <w:br/>
      </w:r>
      <w:r>
        <w:rPr>
          <w:rFonts w:ascii="Arial" w:eastAsia="Arial" w:hAnsi="Arial" w:cs="Arial"/>
          <w:b/>
          <w:color w:val="000000"/>
          <w:sz w:val="20"/>
        </w:rPr>
        <w:t>Standard of Review</w:t>
      </w:r>
    </w:p>
    <w:p w14:paraId="7864582C" w14:textId="77777777" w:rsidR="002B10A6" w:rsidRDefault="00000000">
      <w:pPr>
        <w:pStyle w:val="Normal15"/>
        <w:widowControl w:val="0"/>
        <w:spacing w:before="200" w:line="260" w:lineRule="atLeast"/>
        <w:jc w:val="both"/>
      </w:pPr>
      <w:bookmarkStart w:id="2456" w:name="Bookmark_para_24_10"/>
      <w:bookmarkStart w:id="2457" w:name="Bookmark_I61Y0BV82D6NR90030000400"/>
      <w:bookmarkStart w:id="2458" w:name="Bookmark_I61Y0BV82D6NR90050000400"/>
      <w:bookmarkStart w:id="2459" w:name="Bookmark_LNHNREFclscc2_13"/>
      <w:bookmarkEnd w:id="2456"/>
      <w:bookmarkEnd w:id="2457"/>
      <w:bookmarkEnd w:id="2458"/>
      <w:bookmarkEnd w:id="2459"/>
      <w:r>
        <w:rPr>
          <w:rFonts w:ascii="Arial" w:eastAsia="Arial" w:hAnsi="Arial" w:cs="Arial"/>
          <w:color w:val="000000"/>
          <w:sz w:val="20"/>
        </w:rPr>
        <w:t xml:space="preserve">We review </w:t>
      </w:r>
      <w:r>
        <w:rPr>
          <w:rFonts w:ascii="Arial" w:eastAsia="Arial" w:hAnsi="Arial" w:cs="Arial"/>
          <w:color w:val="000000"/>
          <w:sz w:val="20"/>
          <w:u w:val="single"/>
        </w:rPr>
        <w:t>de novo</w:t>
      </w:r>
      <w:r>
        <w:rPr>
          <w:rFonts w:ascii="Arial" w:eastAsia="Arial" w:hAnsi="Arial" w:cs="Arial"/>
          <w:color w:val="000000"/>
          <w:sz w:val="20"/>
        </w:rPr>
        <w:t xml:space="preserve"> a district court's denial of a motion for judgment as a matter of law. </w:t>
      </w:r>
      <w:bookmarkStart w:id="2460" w:name="Bookmark_I61Y0BV82D6NR90020000400"/>
      <w:bookmarkEnd w:id="2460"/>
      <w:r>
        <w:rPr>
          <w:rFonts w:ascii="Arial" w:eastAsia="Arial" w:hAnsi="Arial" w:cs="Arial"/>
          <w:color w:val="000000"/>
          <w:sz w:val="20"/>
          <w:u w:val="single"/>
        </w:rPr>
        <w:t>Suero-Algarín v. CMT Hosp. HIMA San Pablo Caguas</w:t>
      </w:r>
      <w:r>
        <w:rPr>
          <w:rFonts w:ascii="Arial" w:eastAsia="Arial" w:hAnsi="Arial" w:cs="Arial"/>
          <w:color w:val="000000"/>
          <w:sz w:val="20"/>
        </w:rPr>
        <w:t xml:space="preserve">, 957 F.3d 30, 37 (1st Cir. 2020). "Although we review the record as a whole, we construe facts in the light most favorable to the jury verdict, draw any inferences in favor of the non-movant [**11]  [Burnett], and abstain from evaluating the credibility of the witnesses or the weight of the evidence." </w:t>
      </w:r>
      <w:r>
        <w:rPr>
          <w:rFonts w:ascii="Arial" w:eastAsia="Arial" w:hAnsi="Arial" w:cs="Arial"/>
          <w:color w:val="000000"/>
          <w:sz w:val="20"/>
          <w:u w:val="single"/>
        </w:rPr>
        <w:t>Id.</w:t>
      </w:r>
      <w:r>
        <w:rPr>
          <w:rFonts w:ascii="Arial" w:eastAsia="Arial" w:hAnsi="Arial" w:cs="Arial"/>
          <w:color w:val="000000"/>
          <w:sz w:val="20"/>
        </w:rPr>
        <w:t xml:space="preserve"> We must affirm "unless the evidence . . . could lead a reasonable person to only one conclusion, namely, that [Appellants were] entitled to judgment." </w:t>
      </w:r>
      <w:r>
        <w:rPr>
          <w:rFonts w:ascii="Arial" w:eastAsia="Arial" w:hAnsi="Arial" w:cs="Arial"/>
          <w:color w:val="000000"/>
          <w:sz w:val="20"/>
          <w:u w:val="single"/>
        </w:rPr>
        <w:t>Id.</w:t>
      </w:r>
      <w:r>
        <w:rPr>
          <w:rFonts w:ascii="Arial" w:eastAsia="Arial" w:hAnsi="Arial" w:cs="Arial"/>
          <w:color w:val="000000"/>
          <w:sz w:val="20"/>
        </w:rPr>
        <w:t xml:space="preserve"> (first alteration in original) (quoting </w:t>
      </w:r>
      <w:bookmarkStart w:id="2461" w:name="Bookmark_I61Y0BV82D6NR90040000400"/>
      <w:bookmarkEnd w:id="2461"/>
      <w:r>
        <w:rPr>
          <w:rFonts w:ascii="Arial" w:eastAsia="Arial" w:hAnsi="Arial" w:cs="Arial"/>
          <w:color w:val="000000"/>
          <w:sz w:val="20"/>
          <w:u w:val="single"/>
        </w:rPr>
        <w:t>Full Spectrum Software, Inc. v. Forte Automation Sys., Inc.</w:t>
      </w:r>
      <w:r>
        <w:rPr>
          <w:rFonts w:ascii="Arial" w:eastAsia="Arial" w:hAnsi="Arial" w:cs="Arial"/>
          <w:color w:val="000000"/>
          <w:sz w:val="20"/>
        </w:rPr>
        <w:t>, 858 F.3d 666, 671 (1st Cir. 2017)).</w:t>
      </w:r>
      <w:r>
        <w:rPr>
          <w:rFonts w:ascii="Arial" w:eastAsia="Arial" w:hAnsi="Arial" w:cs="Arial"/>
          <w:vertAlign w:val="superscript"/>
        </w:rPr>
        <w:footnoteReference w:customMarkFollows="1" w:id="111"/>
        <w:t>6</w:t>
      </w:r>
    </w:p>
    <w:p w14:paraId="3C9778A9" w14:textId="77777777" w:rsidR="002B10A6" w:rsidRDefault="00000000">
      <w:pPr>
        <w:pStyle w:val="Normal15"/>
        <w:widowControl w:val="0"/>
        <w:spacing w:before="240" w:line="260" w:lineRule="atLeast"/>
      </w:pPr>
      <w:r>
        <w:br/>
      </w:r>
      <w:r>
        <w:rPr>
          <w:rFonts w:ascii="Arial" w:eastAsia="Arial" w:hAnsi="Arial" w:cs="Arial"/>
          <w:b/>
          <w:color w:val="000000"/>
          <w:sz w:val="20"/>
        </w:rPr>
        <w:t>Discussion</w:t>
      </w:r>
    </w:p>
    <w:p w14:paraId="19FCBBCC" w14:textId="77777777" w:rsidR="002B10A6" w:rsidRDefault="00000000">
      <w:pPr>
        <w:pStyle w:val="Normal15"/>
        <w:widowControl w:val="0"/>
        <w:spacing w:before="240" w:line="260" w:lineRule="atLeast"/>
      </w:pPr>
      <w:r>
        <w:br/>
      </w:r>
      <w:r>
        <w:rPr>
          <w:rFonts w:ascii="Arial" w:eastAsia="Arial" w:hAnsi="Arial" w:cs="Arial"/>
          <w:b/>
          <w:color w:val="000000"/>
          <w:sz w:val="20"/>
        </w:rPr>
        <w:t>1. Employment Relationship</w:t>
      </w:r>
    </w:p>
    <w:p w14:paraId="0FBD30C4" w14:textId="77777777" w:rsidR="002B10A6" w:rsidRDefault="00000000">
      <w:pPr>
        <w:pStyle w:val="Normal15"/>
        <w:widowControl w:val="0"/>
        <w:spacing w:before="200" w:line="260" w:lineRule="atLeast"/>
        <w:jc w:val="both"/>
      </w:pPr>
      <w:bookmarkStart w:id="2464" w:name="Bookmark_para_25_10"/>
      <w:bookmarkEnd w:id="2464"/>
      <w:r>
        <w:rPr>
          <w:rFonts w:ascii="Arial" w:eastAsia="Arial" w:hAnsi="Arial" w:cs="Arial"/>
          <w:color w:val="000000"/>
          <w:sz w:val="20"/>
        </w:rPr>
        <w:t>As mentioned, Appellants stipulated at trial that Burnett worked for Appellant, AmeriPort, but the battle below and before  [*65]  us is whether he also worked for Ocean Properties. On that front, Appellants argue that contrary to Burnett's assertions, there was insufficient evidence at trial that Ocean Properties and AmeriPort were so interrelated to both be liable as Burnett's single integrated employer.</w:t>
      </w:r>
    </w:p>
    <w:p w14:paraId="680496C2" w14:textId="77777777" w:rsidR="002B10A6" w:rsidRDefault="00000000">
      <w:pPr>
        <w:pStyle w:val="Normal15"/>
        <w:widowControl w:val="0"/>
        <w:spacing w:before="200" w:line="260" w:lineRule="atLeast"/>
        <w:jc w:val="both"/>
      </w:pPr>
      <w:bookmarkStart w:id="2465" w:name="Bookmark_para_26_10"/>
      <w:bookmarkStart w:id="2466" w:name="Bookmark_I61Y0BV828T4H10020000400"/>
      <w:bookmarkStart w:id="2467" w:name="Bookmark_I1YTM453R570000PTMW00002"/>
      <w:bookmarkStart w:id="2468" w:name="Bookmark_I61Y0BV828T4H10040000400"/>
      <w:bookmarkStart w:id="2469" w:name="Bookmark_I61Y0BV92N1RG50020000400"/>
      <w:bookmarkEnd w:id="2465"/>
      <w:bookmarkEnd w:id="2466"/>
      <w:bookmarkEnd w:id="2467"/>
      <w:bookmarkEnd w:id="2468"/>
      <w:bookmarkEnd w:id="2469"/>
      <w:r>
        <w:rPr>
          <w:rFonts w:ascii="Arial" w:eastAsia="Arial" w:hAnsi="Arial" w:cs="Arial"/>
          <w:color w:val="000000"/>
          <w:sz w:val="20"/>
        </w:rPr>
        <w:t xml:space="preserve">Therefore, before addressing Appellants' liability challenges, we first decide who might properly be on the hook. </w:t>
      </w:r>
      <w:bookmarkStart w:id="2470" w:name="Bookmark_LNHNREFclscc4_13"/>
      <w:bookmarkEnd w:id="2470"/>
      <w:r>
        <w:rPr>
          <w:rFonts w:ascii="Arial" w:eastAsia="Arial" w:hAnsi="Arial" w:cs="Arial"/>
          <w:color w:val="000000"/>
          <w:sz w:val="20"/>
        </w:rPr>
        <w:t xml:space="preserve">Appellants can be considered Burnett's single integrated employer if they are "two nominally separate companies" that are "so interrelated that they constitute a single employer subject to liability." </w:t>
      </w:r>
      <w:r>
        <w:rPr>
          <w:rFonts w:ascii="Arial" w:eastAsia="Arial" w:hAnsi="Arial" w:cs="Arial"/>
          <w:color w:val="000000"/>
          <w:sz w:val="20"/>
          <w:u w:val="single"/>
        </w:rPr>
        <w:t xml:space="preserve">See </w:t>
      </w:r>
      <w:bookmarkStart w:id="2471" w:name="Bookmark_I61Y0BV828T4H10010000400"/>
      <w:bookmarkEnd w:id="2471"/>
      <w:r>
        <w:rPr>
          <w:rFonts w:ascii="Arial" w:eastAsia="Arial" w:hAnsi="Arial" w:cs="Arial"/>
          <w:color w:val="000000"/>
          <w:sz w:val="20"/>
          <w:u w:val="single"/>
        </w:rPr>
        <w:t>Torres-Negron v. Merck &amp; Co.</w:t>
      </w:r>
      <w:r>
        <w:rPr>
          <w:rFonts w:ascii="Arial" w:eastAsia="Arial" w:hAnsi="Arial" w:cs="Arial"/>
          <w:color w:val="000000"/>
          <w:sz w:val="20"/>
        </w:rPr>
        <w:t xml:space="preserve">, 488 F.3d 34, 40-41 (1st Cir. 2007) (applying single employer test to determine liability under Title VII and the ADA). </w:t>
      </w:r>
      <w:bookmarkStart w:id="2472" w:name="Bookmark_I61Y0BV92SF8B00030000400"/>
      <w:bookmarkEnd w:id="2472"/>
      <w:r>
        <w:rPr>
          <w:rFonts w:ascii="Arial" w:eastAsia="Arial" w:hAnsi="Arial" w:cs="Arial"/>
          <w:color w:val="000000"/>
          <w:sz w:val="20"/>
        </w:rPr>
        <w:t>We consider the following four factors [**12] </w:t>
      </w:r>
      <w:r>
        <w:rPr>
          <w:rFonts w:ascii="Arial" w:eastAsia="Arial" w:hAnsi="Arial" w:cs="Arial"/>
          <w:vertAlign w:val="superscript"/>
        </w:rPr>
        <w:footnoteReference w:customMarkFollows="1" w:id="112"/>
        <w:t>7</w:t>
      </w:r>
      <w:r>
        <w:rPr>
          <w:rFonts w:ascii="Arial" w:eastAsia="Arial" w:hAnsi="Arial" w:cs="Arial"/>
          <w:color w:val="000000"/>
          <w:sz w:val="20"/>
        </w:rPr>
        <w:t xml:space="preserve"> to determine whether two or more entities count as a single employer under the ADA in the "widely recognized" integrated-enterprise test: (i) "centralized control over labor relations"; (ii) "interrelation between operations"; (iii) "common management"; and (iv) "common ownership."</w:t>
      </w:r>
      <w:r>
        <w:rPr>
          <w:rFonts w:ascii="Arial" w:eastAsia="Arial" w:hAnsi="Arial" w:cs="Arial"/>
          <w:vertAlign w:val="superscript"/>
        </w:rPr>
        <w:footnoteReference w:customMarkFollows="1" w:id="113"/>
        <w:t>8</w:t>
      </w:r>
      <w:r>
        <w:rPr>
          <w:rFonts w:ascii="Arial" w:eastAsia="Arial" w:hAnsi="Arial" w:cs="Arial"/>
          <w:color w:val="000000"/>
          <w:sz w:val="20"/>
        </w:rPr>
        <w:t xml:space="preserve"> </w:t>
      </w:r>
      <w:bookmarkStart w:id="2486" w:name="Bookmark_I61Y0BV828T4H10030000400"/>
      <w:bookmarkEnd w:id="2486"/>
      <w:r>
        <w:rPr>
          <w:rFonts w:ascii="Arial" w:eastAsia="Arial" w:hAnsi="Arial" w:cs="Arial"/>
          <w:color w:val="000000"/>
          <w:sz w:val="20"/>
          <w:u w:val="single"/>
        </w:rPr>
        <w:t>Id.</w:t>
      </w:r>
      <w:r>
        <w:rPr>
          <w:rFonts w:ascii="Arial" w:eastAsia="Arial" w:hAnsi="Arial" w:cs="Arial"/>
          <w:color w:val="000000"/>
          <w:sz w:val="20"/>
        </w:rPr>
        <w:t xml:space="preserve"> at 42 &amp; n.8 (citing </w:t>
      </w:r>
      <w:bookmarkStart w:id="2487" w:name="Bookmark_I61Y0BV828T4H10050000400"/>
      <w:bookmarkEnd w:id="2487"/>
      <w:r>
        <w:rPr>
          <w:rFonts w:ascii="Arial" w:eastAsia="Arial" w:hAnsi="Arial" w:cs="Arial"/>
          <w:color w:val="000000"/>
          <w:sz w:val="20"/>
          <w:u w:val="single"/>
        </w:rPr>
        <w:t>Romano v. U-Haul Int'l</w:t>
      </w:r>
      <w:r>
        <w:rPr>
          <w:rFonts w:ascii="Arial" w:eastAsia="Arial" w:hAnsi="Arial" w:cs="Arial"/>
          <w:color w:val="000000"/>
          <w:sz w:val="20"/>
        </w:rPr>
        <w:t xml:space="preserve">, 233 F.3d 655, 662 (1st Cir. 2000)). </w:t>
      </w:r>
      <w:bookmarkStart w:id="2488" w:name="Bookmark_I61Y0BV92SF8B00050000400"/>
      <w:bookmarkEnd w:id="2488"/>
      <w:r>
        <w:rPr>
          <w:rFonts w:ascii="Arial" w:eastAsia="Arial" w:hAnsi="Arial" w:cs="Arial"/>
          <w:color w:val="000000"/>
          <w:sz w:val="20"/>
        </w:rPr>
        <w:t xml:space="preserve">Not all four factors are necessary to establish a single employer relationship. </w:t>
      </w:r>
      <w:bookmarkStart w:id="2489" w:name="Bookmark_I61Y0BV92SF8B00050000400_2"/>
      <w:bookmarkStart w:id="2490" w:name="Bookmark_I61Y0BV92SF8B00030000400_2"/>
      <w:bookmarkStart w:id="2491" w:name="Bookmark_I61Y0BV92SF8B00020000400"/>
      <w:bookmarkEnd w:id="2489"/>
      <w:bookmarkEnd w:id="2490"/>
      <w:bookmarkEnd w:id="2491"/>
      <w:r>
        <w:rPr>
          <w:rFonts w:ascii="Arial" w:eastAsia="Arial" w:hAnsi="Arial" w:cs="Arial"/>
          <w:color w:val="000000"/>
          <w:sz w:val="20"/>
          <w:u w:val="single"/>
        </w:rPr>
        <w:t>Id.</w:t>
      </w:r>
      <w:r>
        <w:rPr>
          <w:rFonts w:ascii="Arial" w:eastAsia="Arial" w:hAnsi="Arial" w:cs="Arial"/>
          <w:color w:val="000000"/>
          <w:sz w:val="20"/>
        </w:rPr>
        <w:t xml:space="preserve"> at 42. "Rather, the test should be applied flexibly, placing special emphasis on the control of employment decisions." </w:t>
      </w:r>
      <w:r>
        <w:rPr>
          <w:rFonts w:ascii="Arial" w:eastAsia="Arial" w:hAnsi="Arial" w:cs="Arial"/>
          <w:color w:val="000000"/>
          <w:sz w:val="20"/>
          <w:u w:val="single"/>
        </w:rPr>
        <w:t>Id.</w:t>
      </w:r>
      <w:r>
        <w:rPr>
          <w:rFonts w:ascii="Arial" w:eastAsia="Arial" w:hAnsi="Arial" w:cs="Arial"/>
          <w:color w:val="000000"/>
          <w:sz w:val="20"/>
        </w:rPr>
        <w:t xml:space="preserve"> (citing </w:t>
      </w:r>
      <w:bookmarkStart w:id="2492" w:name="Bookmark_I61Y0BV92SF8B00040000400"/>
      <w:bookmarkEnd w:id="2492"/>
      <w:r>
        <w:rPr>
          <w:rFonts w:ascii="Arial" w:eastAsia="Arial" w:hAnsi="Arial" w:cs="Arial"/>
          <w:color w:val="000000"/>
          <w:sz w:val="20"/>
          <w:u w:val="single"/>
        </w:rPr>
        <w:t>Romano</w:t>
      </w:r>
      <w:r>
        <w:rPr>
          <w:rFonts w:ascii="Arial" w:eastAsia="Arial" w:hAnsi="Arial" w:cs="Arial"/>
          <w:color w:val="000000"/>
          <w:sz w:val="20"/>
        </w:rPr>
        <w:t>, 233 F.3d at 666 (where we stated that "[w]e choose to follow the more flexible approach . . . which focuses on employment decisions, but only to the extent that the parent exerts an amount of participation [that] is sufficient and necessary to the total employment process, even absent total control or ultimate authority over hiring decisions") (internal quotation marks omitted))). We evaluate these four factors one by one.</w:t>
      </w:r>
    </w:p>
    <w:p w14:paraId="13187C3A" w14:textId="77777777" w:rsidR="002B10A6" w:rsidRDefault="00000000">
      <w:pPr>
        <w:pStyle w:val="Normal15"/>
        <w:widowControl w:val="0"/>
        <w:spacing w:before="200" w:line="260" w:lineRule="atLeast"/>
        <w:jc w:val="both"/>
      </w:pPr>
      <w:bookmarkStart w:id="2493" w:name="Bookmark_para_27_10"/>
      <w:bookmarkStart w:id="2494" w:name="Bookmark_I61Y0BVB2D6NRS0010000400"/>
      <w:bookmarkEnd w:id="2493"/>
      <w:bookmarkEnd w:id="2494"/>
      <w:r>
        <w:rPr>
          <w:rFonts w:ascii="Arial" w:eastAsia="Arial" w:hAnsi="Arial" w:cs="Arial"/>
          <w:color w:val="000000"/>
          <w:sz w:val="20"/>
        </w:rPr>
        <w:t xml:space="preserve">There is ample evidence of centralized control over labor relations, which examines control of employment decisions. </w:t>
      </w:r>
      <w:bookmarkStart w:id="2495" w:name="Bookmark_I61Y0BV92N1RGB0050000400"/>
      <w:bookmarkEnd w:id="2495"/>
      <w:r>
        <w:rPr>
          <w:rFonts w:ascii="Arial" w:eastAsia="Arial" w:hAnsi="Arial" w:cs="Arial"/>
          <w:color w:val="000000"/>
          <w:sz w:val="20"/>
          <w:u w:val="single"/>
        </w:rPr>
        <w:t>Romano</w:t>
      </w:r>
      <w:r>
        <w:rPr>
          <w:rFonts w:ascii="Arial" w:eastAsia="Arial" w:hAnsi="Arial" w:cs="Arial"/>
          <w:color w:val="000000"/>
          <w:sz w:val="20"/>
        </w:rPr>
        <w:t xml:space="preserve">, 233 F.3d at 666. Burnett believed he worked for Ocean Properties. </w:t>
      </w:r>
      <w:bookmarkStart w:id="2496" w:name="Bookmark_I61Y0BVB2D6NRS0030000400"/>
      <w:bookmarkEnd w:id="2496"/>
      <w:r>
        <w:rPr>
          <w:rFonts w:ascii="Arial" w:eastAsia="Arial" w:hAnsi="Arial" w:cs="Arial"/>
          <w:color w:val="000000"/>
          <w:sz w:val="20"/>
        </w:rPr>
        <w:t xml:space="preserve">He signed a probationary form indicating his acceptance "as a term of hire a 90-day probationary [**13]  period with Ocean Properties" and a hiring statement indicating he was "an employee of Ocean Properties, Ltd., or affiliated companies." He was issued a list of employment policies that displayed "Ocean Properties Reservations Center Training Manual" on the bottom, left-hand corner and a certificate from "Ocean Properties, Ltd." for completing mandatory harassment training. Although Darsaoui testified that Burnett was hired to work for AmeriPort and that his probationary form was filled out incorrectly, </w:t>
      </w:r>
      <w:bookmarkStart w:id="2497" w:name="Bookmark_LNHNREFclscc5_13"/>
      <w:bookmarkEnd w:id="2497"/>
      <w:r>
        <w:rPr>
          <w:rFonts w:ascii="Arial" w:eastAsia="Arial" w:hAnsi="Arial" w:cs="Arial"/>
          <w:color w:val="000000"/>
          <w:sz w:val="20"/>
        </w:rPr>
        <w:t xml:space="preserve">we view the evidence in the light most favorable to the verdict and draw reasonable inferences in favor of Burnett. </w:t>
      </w:r>
      <w:r>
        <w:rPr>
          <w:rFonts w:ascii="Arial" w:eastAsia="Arial" w:hAnsi="Arial" w:cs="Arial"/>
          <w:color w:val="000000"/>
          <w:sz w:val="20"/>
          <w:u w:val="single"/>
        </w:rPr>
        <w:t xml:space="preserve">See </w:t>
      </w:r>
      <w:bookmarkStart w:id="2498" w:name="Bookmark_I61Y0BVB2D6NRS0020000400"/>
      <w:bookmarkEnd w:id="2498"/>
      <w:r>
        <w:rPr>
          <w:rFonts w:ascii="Arial" w:eastAsia="Arial" w:hAnsi="Arial" w:cs="Arial"/>
          <w:color w:val="000000"/>
          <w:sz w:val="20"/>
          <w:u w:val="single"/>
        </w:rPr>
        <w:t>Suero-Algarín</w:t>
      </w:r>
      <w:r>
        <w:rPr>
          <w:rFonts w:ascii="Arial" w:eastAsia="Arial" w:hAnsi="Arial" w:cs="Arial"/>
          <w:color w:val="000000"/>
          <w:sz w:val="20"/>
        </w:rPr>
        <w:t>,  [*66]  957 F.3d at 37. Notwithstanding the evidence suggesting Burnett was hired and trained by Ocean Properties, other evidence shows his performance evaluation was conducted by AmeriPort and his supervision was managed by Darsaoui, AmeriPort's payroll administrator who was also in charge of human resources, scheduling, discipline, hiring, and firing at the clubhouse. But Darsaoui also hired reservation agents to work for Ocean Properties at the clubhouse.</w:t>
      </w:r>
    </w:p>
    <w:p w14:paraId="2D627831" w14:textId="77777777" w:rsidR="002B10A6" w:rsidRDefault="00000000">
      <w:pPr>
        <w:pStyle w:val="Normal15"/>
        <w:widowControl w:val="0"/>
        <w:spacing w:before="200" w:line="260" w:lineRule="atLeast"/>
        <w:jc w:val="both"/>
      </w:pPr>
      <w:bookmarkStart w:id="2499" w:name="Bookmark_para_28_10"/>
      <w:bookmarkEnd w:id="2499"/>
      <w:r>
        <w:rPr>
          <w:rFonts w:ascii="Arial" w:eastAsia="Arial" w:hAnsi="Arial" w:cs="Arial"/>
          <w:color w:val="000000"/>
          <w:sz w:val="20"/>
        </w:rPr>
        <w:t xml:space="preserve">As for employment compensation, there is evidence that Burnett received wages and benefits from both AmeriPort and Ocean Properties. [**14]  </w:t>
      </w:r>
      <w:bookmarkStart w:id="2500" w:name="Bookmark_I61Y0BVB2D6NRS0050000400"/>
      <w:bookmarkEnd w:id="2500"/>
      <w:r>
        <w:rPr>
          <w:rFonts w:ascii="Arial" w:eastAsia="Arial" w:hAnsi="Arial" w:cs="Arial"/>
          <w:color w:val="000000"/>
          <w:sz w:val="20"/>
        </w:rPr>
        <w:t>He discussed "benefits" and "time off" with Darsaoui, he was on AmeriPort's payroll ledger, and his W-2 indicated his employer was AmeriPort, yet his paystubs listed his employer as "AmeriPort, LLC d/b/a [doing business as] Ocean PR Trust." Further, Burnett received a paycheck and stub from "OPL Central Reservations"</w:t>
      </w:r>
      <w:r>
        <w:rPr>
          <w:rFonts w:ascii="Arial" w:eastAsia="Arial" w:hAnsi="Arial" w:cs="Arial"/>
          <w:vertAlign w:val="superscript"/>
        </w:rPr>
        <w:footnoteReference w:customMarkFollows="1" w:id="114"/>
        <w:t>9</w:t>
      </w:r>
      <w:r>
        <w:rPr>
          <w:rFonts w:ascii="Arial" w:eastAsia="Arial" w:hAnsi="Arial" w:cs="Arial"/>
          <w:color w:val="000000"/>
          <w:sz w:val="20"/>
        </w:rPr>
        <w:t xml:space="preserve"> and participated in a 401(k) plan through Ocean Properties. We find this compilation of facts is evidence of centralized control of labor relations. </w:t>
      </w:r>
      <w:r>
        <w:rPr>
          <w:rFonts w:ascii="Arial" w:eastAsia="Arial" w:hAnsi="Arial" w:cs="Arial"/>
          <w:color w:val="000000"/>
          <w:sz w:val="20"/>
          <w:u w:val="single"/>
        </w:rPr>
        <w:t xml:space="preserve">Compare </w:t>
      </w:r>
      <w:bookmarkStart w:id="2502" w:name="Bookmark_I61Y0BVB2D6NRS0040000400"/>
      <w:bookmarkEnd w:id="2502"/>
      <w:r>
        <w:rPr>
          <w:rFonts w:ascii="Arial" w:eastAsia="Arial" w:hAnsi="Arial" w:cs="Arial"/>
          <w:color w:val="000000"/>
          <w:sz w:val="20"/>
          <w:u w:val="single"/>
        </w:rPr>
        <w:t>Torres-Negron</w:t>
      </w:r>
      <w:r>
        <w:rPr>
          <w:rFonts w:ascii="Arial" w:eastAsia="Arial" w:hAnsi="Arial" w:cs="Arial"/>
          <w:color w:val="000000"/>
          <w:sz w:val="20"/>
        </w:rPr>
        <w:t xml:space="preserve">, 488 F.3d at 43 (finding evidence of centralized control of labor relations where one entity paid plaintiff, provided her benefits, and had the power to terminate her, while the other entity exercised almost exclusive control over her day-to-day employment and had substantial influence over the decision to terminate her), </w:t>
      </w:r>
      <w:r>
        <w:rPr>
          <w:rFonts w:ascii="Arial" w:eastAsia="Arial" w:hAnsi="Arial" w:cs="Arial"/>
          <w:color w:val="000000"/>
          <w:sz w:val="20"/>
          <w:u w:val="single"/>
        </w:rPr>
        <w:t xml:space="preserve">with </w:t>
      </w:r>
      <w:bookmarkStart w:id="2503" w:name="Bookmark_I61Y0BVB2SF8B90010000400"/>
      <w:bookmarkEnd w:id="2503"/>
      <w:r>
        <w:rPr>
          <w:rFonts w:ascii="Arial" w:eastAsia="Arial" w:hAnsi="Arial" w:cs="Arial"/>
          <w:color w:val="000000"/>
          <w:sz w:val="20"/>
          <w:u w:val="single"/>
        </w:rPr>
        <w:t>Engelhardt v. S.P. Richards Co., Inc.</w:t>
      </w:r>
      <w:r>
        <w:rPr>
          <w:rFonts w:ascii="Arial" w:eastAsia="Arial" w:hAnsi="Arial" w:cs="Arial"/>
          <w:color w:val="000000"/>
          <w:sz w:val="20"/>
        </w:rPr>
        <w:t>, 472 F.3d 1, 7 (1st Cir. 2006) (finding no evidence of centralized control of labor relations in wrongful termination claim under the Family and Medical Leave Act where one entity "made its own, independent decisions with respect to labor relations" and did not defer to the other entity "in making hiring, firing, assignment, scheduling, or compensation decisions"). Accordingly, the first factor evinces a single integrated employer relationship. [**15] </w:t>
      </w:r>
    </w:p>
    <w:p w14:paraId="35A9AF57" w14:textId="77777777" w:rsidR="002B10A6" w:rsidRDefault="00000000">
      <w:pPr>
        <w:pStyle w:val="Normal15"/>
        <w:widowControl w:val="0"/>
        <w:spacing w:before="200" w:line="260" w:lineRule="atLeast"/>
        <w:jc w:val="both"/>
      </w:pPr>
      <w:bookmarkStart w:id="2504" w:name="Bookmark_para_29_10"/>
      <w:bookmarkStart w:id="2505" w:name="Bookmark_I61Y0BVB2SF8B90040000400"/>
      <w:bookmarkStart w:id="2506" w:name="Bookmark_I61Y0BVB2D6NRT0010000400"/>
      <w:bookmarkEnd w:id="2504"/>
      <w:bookmarkEnd w:id="2505"/>
      <w:bookmarkEnd w:id="2506"/>
      <w:r>
        <w:rPr>
          <w:rFonts w:ascii="Arial" w:eastAsia="Arial" w:hAnsi="Arial" w:cs="Arial"/>
          <w:color w:val="000000"/>
          <w:sz w:val="20"/>
        </w:rPr>
        <w:t xml:space="preserve">The second factor -- the interrelation between operations -- evaluates whether Appellants "shared employees, services, records, office space, and equipment, commingled finances, and handling by the parent of subsidiary tasks such as payroll, books, and tax returns." </w:t>
      </w:r>
      <w:bookmarkStart w:id="2507" w:name="Bookmark_LNHNREFclscc6_12"/>
      <w:bookmarkStart w:id="2508" w:name="Bookmark_I61Y0BVB2SF8B90030000400"/>
      <w:bookmarkEnd w:id="2507"/>
      <w:bookmarkEnd w:id="2508"/>
      <w:r>
        <w:rPr>
          <w:rFonts w:ascii="Arial" w:eastAsia="Arial" w:hAnsi="Arial" w:cs="Arial"/>
          <w:color w:val="000000"/>
          <w:sz w:val="20"/>
          <w:u w:val="single"/>
        </w:rPr>
        <w:t>Romano</w:t>
      </w:r>
      <w:r>
        <w:rPr>
          <w:rFonts w:ascii="Arial" w:eastAsia="Arial" w:hAnsi="Arial" w:cs="Arial"/>
          <w:color w:val="000000"/>
          <w:sz w:val="20"/>
        </w:rPr>
        <w:t xml:space="preserve">, 233 F.3d at 667 &amp; n.7. Additional considerations under the interrelation of operations factor may include whether one entity "exerts considerable influence" over the other entity's "advertising and other decisions," as well as whether the former entity is directly involved in the latter entity's daily sales, marketing, and advertising decisions. </w:t>
      </w:r>
      <w:bookmarkStart w:id="2509" w:name="Bookmark_I61Y0BVB2SF8B90050000400"/>
      <w:bookmarkEnd w:id="2509"/>
      <w:r>
        <w:rPr>
          <w:rFonts w:ascii="Arial" w:eastAsia="Arial" w:hAnsi="Arial" w:cs="Arial"/>
          <w:color w:val="000000"/>
          <w:sz w:val="20"/>
          <w:u w:val="single"/>
        </w:rPr>
        <w:t>Id.</w:t>
      </w:r>
      <w:r>
        <w:rPr>
          <w:rFonts w:ascii="Arial" w:eastAsia="Arial" w:hAnsi="Arial" w:cs="Arial"/>
          <w:color w:val="000000"/>
          <w:sz w:val="20"/>
        </w:rPr>
        <w:t xml:space="preserve"> at 666-67.</w:t>
      </w:r>
    </w:p>
    <w:p w14:paraId="49B877A5" w14:textId="77777777" w:rsidR="002B10A6" w:rsidRDefault="00000000">
      <w:pPr>
        <w:pStyle w:val="Normal15"/>
        <w:widowControl w:val="0"/>
        <w:spacing w:before="200" w:line="260" w:lineRule="atLeast"/>
        <w:jc w:val="both"/>
      </w:pPr>
      <w:bookmarkStart w:id="2510" w:name="Bookmark_para_30_9"/>
      <w:bookmarkEnd w:id="2510"/>
      <w:r>
        <w:rPr>
          <w:rFonts w:ascii="Arial" w:eastAsia="Arial" w:hAnsi="Arial" w:cs="Arial"/>
          <w:color w:val="000000"/>
          <w:sz w:val="20"/>
        </w:rPr>
        <w:t xml:space="preserve">There is significant evidence of interrelation between operations at Ocean Properties and AmeriPort. First, as discussed, there is evidence of shared personnel -- namely, Darsaoui. Second, Appellants shared use of e-mail addresses. Despite being AmeriPort employees, Darsaoui and Burnett had Ocean Properties e-mail addresses. Third, Appellants shared documents and logos. Darsaoui admitted that AmeriPort used Ocean Properties's employee handbook and department policies. Moreover, an Ocean Properties advertisement Darsaoui co-authored and Burnett's training certificate signed by Darsaoui displayed [**16]  the Ocean Properties logo, the same logo Burnett had seen used "multiple times around the office for different certificates or poster boards." To Burnett's knowledge, AmeriPort did not have a separate logo. The fact that Darsaoui contributed to the advertisement also evinces that  [*67]  AmeriPort was involved in Ocean Properties's advertising decisions. Fourth, Appellants shared office space. Darsaoui's office was in the clubhouse overlooking the call center where Burnett and the Ocean Properties reservation agents she hired would work. Fifth, Appellants shared a corporate office, Portsmouth Corporate Financial Services ("PCFSI"), in Portsmouth, New Hampshire. The payroll information Darsaoui processed for AmeriPort was submitted to PCFSI, where a copy of Burnett's probationary hire form was kept. Moreover, Burnett's Ocean Properties hiring statement listed PCFSI for all legal and corporate matters. </w:t>
      </w:r>
      <w:bookmarkStart w:id="2511" w:name="Bookmark_I61Y0BVB2D6NRT0030000400"/>
      <w:bookmarkEnd w:id="2511"/>
      <w:r>
        <w:rPr>
          <w:rFonts w:ascii="Arial" w:eastAsia="Arial" w:hAnsi="Arial" w:cs="Arial"/>
          <w:color w:val="000000"/>
          <w:sz w:val="20"/>
        </w:rPr>
        <w:t xml:space="preserve">There was evidence that AmeriPort and "OPL Central Reservations" had the same corporate office address. Overall, this is strong evidence of interrelation between operations. </w:t>
      </w:r>
      <w:bookmarkStart w:id="2512" w:name="Bookmark_I61Y0BVB2D6NRT0050000400"/>
      <w:bookmarkEnd w:id="2512"/>
      <w:r>
        <w:rPr>
          <w:rFonts w:ascii="Arial" w:eastAsia="Arial" w:hAnsi="Arial" w:cs="Arial"/>
          <w:color w:val="000000"/>
          <w:sz w:val="20"/>
          <w:u w:val="single"/>
        </w:rPr>
        <w:t xml:space="preserve">See, e.g., </w:t>
      </w:r>
      <w:bookmarkStart w:id="2513" w:name="Bookmark_I61Y0BVB2D6NRT0020000400"/>
      <w:bookmarkEnd w:id="2513"/>
      <w:r>
        <w:rPr>
          <w:rFonts w:ascii="Arial" w:eastAsia="Arial" w:hAnsi="Arial" w:cs="Arial"/>
          <w:color w:val="000000"/>
          <w:sz w:val="20"/>
          <w:u w:val="single"/>
        </w:rPr>
        <w:t>Knowlton v. Teltrust Phones, Inc.</w:t>
      </w:r>
      <w:r>
        <w:rPr>
          <w:rFonts w:ascii="Arial" w:eastAsia="Arial" w:hAnsi="Arial" w:cs="Arial"/>
          <w:color w:val="000000"/>
          <w:sz w:val="20"/>
        </w:rPr>
        <w:t xml:space="preserve">, 189 F.3d 1177, 1184 n.7 (10th Cir. 1999) ("Interrelation of operations is clear because the three entities shared a building, phone system, reception [**17]  area, office equipment, accounting department, personnel manager, personnel handbook, and payroll accounts."). </w:t>
      </w:r>
      <w:bookmarkStart w:id="2514" w:name="Bookmark_I61Y0BVB2D6NRT0050000400_2"/>
      <w:bookmarkEnd w:id="2514"/>
      <w:r>
        <w:rPr>
          <w:rFonts w:ascii="Arial" w:eastAsia="Arial" w:hAnsi="Arial" w:cs="Arial"/>
          <w:color w:val="000000"/>
          <w:sz w:val="20"/>
        </w:rPr>
        <w:t xml:space="preserve">Further, Appellants performed substantially the same function and had the same purpose -- booking reservations and providing guest services for the same hotels and resorts. </w:t>
      </w:r>
      <w:r>
        <w:rPr>
          <w:rFonts w:ascii="Arial" w:eastAsia="Arial" w:hAnsi="Arial" w:cs="Arial"/>
          <w:color w:val="000000"/>
          <w:sz w:val="20"/>
          <w:u w:val="single"/>
        </w:rPr>
        <w:t xml:space="preserve">See </w:t>
      </w:r>
      <w:bookmarkStart w:id="2515" w:name="Bookmark_I61Y0BVB2D6NRT0040000400"/>
      <w:bookmarkEnd w:id="2515"/>
      <w:r>
        <w:rPr>
          <w:rFonts w:ascii="Arial" w:eastAsia="Arial" w:hAnsi="Arial" w:cs="Arial"/>
          <w:color w:val="000000"/>
          <w:sz w:val="20"/>
          <w:u w:val="single"/>
        </w:rPr>
        <w:t>Torres-Negron</w:t>
      </w:r>
      <w:r>
        <w:rPr>
          <w:rFonts w:ascii="Arial" w:eastAsia="Arial" w:hAnsi="Arial" w:cs="Arial"/>
          <w:color w:val="000000"/>
          <w:sz w:val="20"/>
        </w:rPr>
        <w:t>, 488 F.3d at 42 (finding that two subsidiaries of the same parent company "perform[ed] substantially the same function" for purposes of the interrelation between operations factor).</w:t>
      </w:r>
    </w:p>
    <w:p w14:paraId="44D2C304" w14:textId="77777777" w:rsidR="002B10A6" w:rsidRDefault="00000000">
      <w:pPr>
        <w:pStyle w:val="Normal15"/>
        <w:widowControl w:val="0"/>
        <w:spacing w:before="200" w:line="260" w:lineRule="atLeast"/>
        <w:jc w:val="both"/>
      </w:pPr>
      <w:bookmarkStart w:id="2516" w:name="Bookmark_para_31_9"/>
      <w:bookmarkStart w:id="2517" w:name="Bookmark_I61Y0BVB2SF8BC0020000400"/>
      <w:bookmarkEnd w:id="2516"/>
      <w:bookmarkEnd w:id="2517"/>
      <w:r>
        <w:rPr>
          <w:rFonts w:ascii="Arial" w:eastAsia="Arial" w:hAnsi="Arial" w:cs="Arial"/>
          <w:color w:val="000000"/>
          <w:sz w:val="20"/>
        </w:rPr>
        <w:t xml:space="preserve">Thus, the second factor -- review of the interrelation between the operations of AmeriPort and Ocean Properties -- also evinces a single integrated employer relationship. </w:t>
      </w:r>
      <w:r>
        <w:rPr>
          <w:rFonts w:ascii="Arial" w:eastAsia="Arial" w:hAnsi="Arial" w:cs="Arial"/>
          <w:color w:val="000000"/>
          <w:sz w:val="20"/>
          <w:u w:val="single"/>
        </w:rPr>
        <w:t xml:space="preserve">But see </w:t>
      </w:r>
      <w:bookmarkStart w:id="2518" w:name="Bookmark_I61Y0BVB2SF8BC0010000400"/>
      <w:bookmarkEnd w:id="2518"/>
      <w:r>
        <w:rPr>
          <w:rFonts w:ascii="Arial" w:eastAsia="Arial" w:hAnsi="Arial" w:cs="Arial"/>
          <w:color w:val="000000"/>
          <w:sz w:val="20"/>
          <w:u w:val="single"/>
        </w:rPr>
        <w:t>Engelhardt</w:t>
      </w:r>
      <w:r>
        <w:rPr>
          <w:rFonts w:ascii="Arial" w:eastAsia="Arial" w:hAnsi="Arial" w:cs="Arial"/>
          <w:color w:val="000000"/>
          <w:sz w:val="20"/>
        </w:rPr>
        <w:t>, 472 F.3d at 6-7 (finding no evidence of interrelation between operations where two entities had separate headquarters, human resources, records, and record-keeping departments, separate worksites with distinct functions, and separate business purposes).</w:t>
      </w:r>
    </w:p>
    <w:p w14:paraId="649054A1" w14:textId="77777777" w:rsidR="002B10A6" w:rsidRDefault="00000000">
      <w:pPr>
        <w:pStyle w:val="Normal15"/>
        <w:widowControl w:val="0"/>
        <w:spacing w:before="200" w:line="260" w:lineRule="atLeast"/>
        <w:jc w:val="both"/>
      </w:pPr>
      <w:bookmarkStart w:id="2519" w:name="Bookmark_para_32_9"/>
      <w:bookmarkStart w:id="2520" w:name="Bookmark_I61Y0BVB2SF8BC0040000400"/>
      <w:bookmarkStart w:id="2521" w:name="Bookmark_I61Y0BVC2SF8BG0010000400"/>
      <w:bookmarkStart w:id="2522" w:name="Bookmark_LNHNREFclscc7_12"/>
      <w:bookmarkEnd w:id="2519"/>
      <w:bookmarkEnd w:id="2520"/>
      <w:bookmarkEnd w:id="2521"/>
      <w:bookmarkEnd w:id="2522"/>
      <w:r>
        <w:rPr>
          <w:rFonts w:ascii="Arial" w:eastAsia="Arial" w:hAnsi="Arial" w:cs="Arial"/>
          <w:color w:val="000000"/>
          <w:sz w:val="20"/>
        </w:rPr>
        <w:t xml:space="preserve">Darsaoui doing work for both AmeriPort and Ocean Properties is also evidence of the third factor -- common management -- which examines "whether the same individuals manage or supervise the different entities or whether the entities have common officers and boards of directors." </w:t>
      </w:r>
      <w:bookmarkStart w:id="2523" w:name="Bookmark_I61Y0BVB2SF8BC0030000400"/>
      <w:bookmarkEnd w:id="2523"/>
      <w:r>
        <w:rPr>
          <w:rFonts w:ascii="Arial" w:eastAsia="Arial" w:hAnsi="Arial" w:cs="Arial"/>
          <w:color w:val="000000"/>
          <w:sz w:val="20"/>
          <w:u w:val="single"/>
        </w:rPr>
        <w:t>Davis v. Ricketts</w:t>
      </w:r>
      <w:r>
        <w:rPr>
          <w:rFonts w:ascii="Arial" w:eastAsia="Arial" w:hAnsi="Arial" w:cs="Arial"/>
          <w:color w:val="000000"/>
          <w:sz w:val="20"/>
        </w:rPr>
        <w:t xml:space="preserve">, 765 F.3d 823, 828 (8th Cir. 2014) (citation omitted) (applying the integrated-enterprise [**18]  test in a Title VII claim). </w:t>
      </w:r>
      <w:r>
        <w:rPr>
          <w:rFonts w:ascii="Arial" w:eastAsia="Arial" w:hAnsi="Arial" w:cs="Arial"/>
          <w:color w:val="000000"/>
          <w:sz w:val="20"/>
          <w:u w:val="single"/>
        </w:rPr>
        <w:t xml:space="preserve">But see </w:t>
      </w:r>
      <w:bookmarkStart w:id="2524" w:name="Bookmark_I61Y0BVB2SF8BC0050000400"/>
      <w:bookmarkEnd w:id="2524"/>
      <w:r>
        <w:rPr>
          <w:rFonts w:ascii="Arial" w:eastAsia="Arial" w:hAnsi="Arial" w:cs="Arial"/>
          <w:color w:val="000000"/>
          <w:sz w:val="20"/>
          <w:u w:val="single"/>
        </w:rPr>
        <w:t>Engelhardt</w:t>
      </w:r>
      <w:r>
        <w:rPr>
          <w:rFonts w:ascii="Arial" w:eastAsia="Arial" w:hAnsi="Arial" w:cs="Arial"/>
          <w:color w:val="000000"/>
          <w:sz w:val="20"/>
        </w:rPr>
        <w:t>, 472 F.3d at 6 (finding no evidence of common management where there was no common manager between two entities and no manager of one entity answered to an employee of the other entity).</w:t>
      </w:r>
    </w:p>
    <w:p w14:paraId="100B9F13" w14:textId="77777777" w:rsidR="002B10A6" w:rsidRDefault="00000000">
      <w:pPr>
        <w:pStyle w:val="Normal15"/>
        <w:widowControl w:val="0"/>
        <w:spacing w:before="200" w:line="260" w:lineRule="atLeast"/>
        <w:jc w:val="both"/>
      </w:pPr>
      <w:bookmarkStart w:id="2525" w:name="Bookmark_para_33_8"/>
      <w:bookmarkStart w:id="2526" w:name="Bookmark_I61Y0BVC2SF8BG0030000400"/>
      <w:bookmarkStart w:id="2527" w:name="Bookmark_I61Y0BVC2SF8BG0050000400"/>
      <w:bookmarkEnd w:id="2525"/>
      <w:bookmarkEnd w:id="2526"/>
      <w:bookmarkEnd w:id="2527"/>
      <w:r>
        <w:rPr>
          <w:rFonts w:ascii="Arial" w:eastAsia="Arial" w:hAnsi="Arial" w:cs="Arial"/>
          <w:color w:val="000000"/>
          <w:sz w:val="20"/>
        </w:rPr>
        <w:t xml:space="preserve">Although there is little to no evidence of the fourth factor -- </w:t>
      </w:r>
      <w:bookmarkStart w:id="2528" w:name="Bookmark_LNHNREFclscc8_11"/>
      <w:bookmarkEnd w:id="2528"/>
      <w:r>
        <w:rPr>
          <w:rFonts w:ascii="Arial" w:eastAsia="Arial" w:hAnsi="Arial" w:cs="Arial"/>
          <w:color w:val="000000"/>
          <w:sz w:val="20"/>
        </w:rPr>
        <w:t xml:space="preserve">common ownership -- which looks at "whether one company owns the majority or all shares of the other and if the entities share common officers or directors," </w:t>
      </w:r>
      <w:bookmarkStart w:id="2529" w:name="Bookmark_I61Y0BVC2SF8BG0020000400"/>
      <w:bookmarkEnd w:id="2529"/>
      <w:r>
        <w:rPr>
          <w:rFonts w:ascii="Arial" w:eastAsia="Arial" w:hAnsi="Arial" w:cs="Arial"/>
          <w:color w:val="000000"/>
          <w:sz w:val="20"/>
          <w:u w:val="single"/>
        </w:rPr>
        <w:t>Davis</w:t>
      </w:r>
      <w:r>
        <w:rPr>
          <w:rFonts w:ascii="Arial" w:eastAsia="Arial" w:hAnsi="Arial" w:cs="Arial"/>
          <w:color w:val="000000"/>
          <w:sz w:val="20"/>
        </w:rPr>
        <w:t xml:space="preserve">, 765 F.3d at 828-29 (citation omitted), recall, as we discussed previously, that satisfying all four factors of the test is not necessary for Appellants to be viewed as a single integrated employer. </w:t>
      </w:r>
      <w:r>
        <w:rPr>
          <w:rFonts w:ascii="Arial" w:eastAsia="Arial" w:hAnsi="Arial" w:cs="Arial"/>
          <w:color w:val="000000"/>
          <w:sz w:val="20"/>
          <w:u w:val="single"/>
        </w:rPr>
        <w:t xml:space="preserve">See </w:t>
      </w:r>
      <w:bookmarkStart w:id="2530" w:name="Bookmark_I61Y0BVC2SF8BG0040000400"/>
      <w:bookmarkEnd w:id="2530"/>
      <w:r>
        <w:rPr>
          <w:rFonts w:ascii="Arial" w:eastAsia="Arial" w:hAnsi="Arial" w:cs="Arial"/>
          <w:color w:val="000000"/>
          <w:sz w:val="20"/>
          <w:u w:val="single"/>
        </w:rPr>
        <w:t>Torres-Negron</w:t>
      </w:r>
      <w:r>
        <w:rPr>
          <w:rFonts w:ascii="Arial" w:eastAsia="Arial" w:hAnsi="Arial" w:cs="Arial"/>
          <w:color w:val="000000"/>
          <w:sz w:val="20"/>
        </w:rPr>
        <w:t>, 488 F.3d at 42. And, given the significant evidence submitted at trial as to the other factors which support the jury's finding, Appellants' challenge here fails.</w:t>
      </w:r>
    </w:p>
    <w:p w14:paraId="28E255AC" w14:textId="77777777" w:rsidR="002B10A6" w:rsidRDefault="00000000">
      <w:pPr>
        <w:pStyle w:val="Normal15"/>
        <w:widowControl w:val="0"/>
        <w:spacing w:before="200" w:line="260" w:lineRule="atLeast"/>
        <w:jc w:val="both"/>
      </w:pPr>
      <w:bookmarkStart w:id="2531" w:name="Bookmark_para_34_7"/>
      <w:bookmarkStart w:id="2532" w:name="Bookmark_I61Y0BVC2D6NRY0020000400"/>
      <w:bookmarkEnd w:id="2531"/>
      <w:bookmarkEnd w:id="2532"/>
      <w:r>
        <w:rPr>
          <w:rFonts w:ascii="Arial" w:eastAsia="Arial" w:hAnsi="Arial" w:cs="Arial"/>
          <w:color w:val="000000"/>
          <w:sz w:val="20"/>
        </w:rPr>
        <w:t xml:space="preserve">Appellants also argue that there was insufficient evidence at trial that AmeriPort and Ocean Properties were Burnett's joint employers. </w:t>
      </w:r>
      <w:bookmarkStart w:id="2533" w:name="Bookmark_I61Y0BVC2D6NRY0040000400"/>
      <w:bookmarkEnd w:id="2533"/>
      <w:r>
        <w:rPr>
          <w:rFonts w:ascii="Arial" w:eastAsia="Arial" w:hAnsi="Arial" w:cs="Arial"/>
          <w:color w:val="000000"/>
          <w:sz w:val="20"/>
        </w:rPr>
        <w:t>However, having found there was sufficient evidence that Appellants were Burnett's single integrated employer, we have no reason to consider whether Appellants were also Burnett's joint employers.</w:t>
      </w:r>
      <w:r>
        <w:rPr>
          <w:rFonts w:ascii="Arial" w:eastAsia="Arial" w:hAnsi="Arial" w:cs="Arial"/>
          <w:vertAlign w:val="superscript"/>
        </w:rPr>
        <w:footnoteReference w:customMarkFollows="1" w:id="115"/>
        <w:t>10</w:t>
      </w:r>
      <w:r>
        <w:rPr>
          <w:rFonts w:ascii="Arial" w:eastAsia="Arial" w:hAnsi="Arial" w:cs="Arial"/>
          <w:color w:val="000000"/>
          <w:sz w:val="20"/>
        </w:rPr>
        <w:t xml:space="preserve"> </w:t>
      </w:r>
      <w:r>
        <w:rPr>
          <w:rFonts w:ascii="Arial" w:eastAsia="Arial" w:hAnsi="Arial" w:cs="Arial"/>
          <w:color w:val="000000"/>
          <w:sz w:val="20"/>
          <w:u w:val="single"/>
        </w:rPr>
        <w:t xml:space="preserve">See, e.g., </w:t>
      </w:r>
      <w:bookmarkStart w:id="2535" w:name="Bookmark_I61Y0BVC2D6NRY0010000400"/>
      <w:bookmarkEnd w:id="2535"/>
      <w:r>
        <w:rPr>
          <w:rFonts w:ascii="Arial" w:eastAsia="Arial" w:hAnsi="Arial" w:cs="Arial"/>
          <w:color w:val="000000"/>
          <w:sz w:val="20"/>
          <w:u w:val="single"/>
        </w:rPr>
        <w:t>Burton v.  [*68]  Freescale Semiconductor, Inc.</w:t>
      </w:r>
      <w:r>
        <w:rPr>
          <w:rFonts w:ascii="Arial" w:eastAsia="Arial" w:hAnsi="Arial" w:cs="Arial"/>
          <w:color w:val="000000"/>
          <w:sz w:val="20"/>
        </w:rPr>
        <w:t xml:space="preserve">, 798 F.3d 222, 229 n.4 (5th Cir. 2015) (finding "no occasion to consider" single employer status after holding that two entities were [**19]  joint employers). </w:t>
      </w:r>
      <w:bookmarkStart w:id="2536" w:name="Bookmark_LNHNREFclscc9_11"/>
      <w:bookmarkEnd w:id="2536"/>
      <w:r>
        <w:rPr>
          <w:rFonts w:ascii="Arial" w:eastAsia="Arial" w:hAnsi="Arial" w:cs="Arial"/>
          <w:color w:val="000000"/>
          <w:sz w:val="20"/>
        </w:rPr>
        <w:t xml:space="preserve">The single and joint employer theories are alternative theories of an employment relationship. </w:t>
      </w:r>
      <w:bookmarkStart w:id="2537" w:name="Bookmark_I61Y0BVC2D6NRY0040000400_2"/>
      <w:bookmarkEnd w:id="2537"/>
      <w:r>
        <w:rPr>
          <w:rFonts w:ascii="Arial" w:eastAsia="Arial" w:hAnsi="Arial" w:cs="Arial"/>
          <w:color w:val="000000"/>
          <w:sz w:val="20"/>
          <w:u w:val="single"/>
        </w:rPr>
        <w:t xml:space="preserve">See </w:t>
      </w:r>
      <w:bookmarkStart w:id="2538" w:name="Bookmark_I61Y0BVC2D6NRY0030000400"/>
      <w:bookmarkEnd w:id="2538"/>
      <w:r>
        <w:rPr>
          <w:rFonts w:ascii="Arial" w:eastAsia="Arial" w:hAnsi="Arial" w:cs="Arial"/>
          <w:color w:val="000000"/>
          <w:sz w:val="20"/>
          <w:u w:val="single"/>
        </w:rPr>
        <w:t>Engelhardt</w:t>
      </w:r>
      <w:r>
        <w:rPr>
          <w:rFonts w:ascii="Arial" w:eastAsia="Arial" w:hAnsi="Arial" w:cs="Arial"/>
          <w:color w:val="000000"/>
          <w:sz w:val="20"/>
        </w:rPr>
        <w:t xml:space="preserve">, 472 F.3d at 4 n.2 (noting that whether a single or joint employer relationship exists depends on "whether the plaintiff seeks to impose liability on [his] legal employer or another entity"); </w:t>
      </w:r>
      <w:bookmarkStart w:id="2539" w:name="Bookmark_I61Y0BVC2D6NRY0050000400"/>
      <w:bookmarkEnd w:id="2539"/>
      <w:r>
        <w:rPr>
          <w:rFonts w:ascii="Arial" w:eastAsia="Arial" w:hAnsi="Arial" w:cs="Arial"/>
          <w:color w:val="000000"/>
          <w:sz w:val="20"/>
          <w:u w:val="single"/>
        </w:rPr>
        <w:t>Rivas v. Federacion de Asociaciones Pecuarias de P.R.</w:t>
      </w:r>
      <w:r>
        <w:rPr>
          <w:rFonts w:ascii="Arial" w:eastAsia="Arial" w:hAnsi="Arial" w:cs="Arial"/>
          <w:color w:val="000000"/>
          <w:sz w:val="20"/>
        </w:rPr>
        <w:t xml:space="preserve">, 929 F.2d 814, 820 n.17 (1st Cir. 1991) ("[T]he 'joint employer' concept recognizes that the business entities involved are in fact separate but that they </w:t>
      </w:r>
      <w:r>
        <w:rPr>
          <w:rFonts w:ascii="Arial" w:eastAsia="Arial" w:hAnsi="Arial" w:cs="Arial"/>
          <w:color w:val="000000"/>
          <w:sz w:val="20"/>
          <w:u w:val="single"/>
        </w:rPr>
        <w:t>share</w:t>
      </w:r>
      <w:r>
        <w:rPr>
          <w:rFonts w:ascii="Arial" w:eastAsia="Arial" w:hAnsi="Arial" w:cs="Arial"/>
          <w:color w:val="000000"/>
          <w:sz w:val="20"/>
        </w:rPr>
        <w:t xml:space="preserve"> or co-determine those conditions of employment." (quoting </w:t>
      </w:r>
      <w:bookmarkStart w:id="2540" w:name="Bookmark_I61Y0BVC28T4HM0020000400"/>
      <w:bookmarkEnd w:id="2540"/>
      <w:r>
        <w:rPr>
          <w:rFonts w:ascii="Arial" w:eastAsia="Arial" w:hAnsi="Arial" w:cs="Arial"/>
          <w:color w:val="000000"/>
          <w:sz w:val="20"/>
          <w:u w:val="single"/>
        </w:rPr>
        <w:t>N.L.R.B. v. Browning-Ferris Indus. of Pa., Inc.</w:t>
      </w:r>
      <w:r>
        <w:rPr>
          <w:rFonts w:ascii="Arial" w:eastAsia="Arial" w:hAnsi="Arial" w:cs="Arial"/>
          <w:color w:val="000000"/>
          <w:sz w:val="20"/>
        </w:rPr>
        <w:t>, 691 F.2d 1117, 1123 (3d Cir. 1982))).</w:t>
      </w:r>
    </w:p>
    <w:p w14:paraId="0DFD830D" w14:textId="77777777" w:rsidR="002B10A6" w:rsidRDefault="00000000">
      <w:pPr>
        <w:pStyle w:val="Normal15"/>
        <w:widowControl w:val="0"/>
        <w:spacing w:before="240" w:line="260" w:lineRule="atLeast"/>
      </w:pPr>
      <w:r>
        <w:br/>
      </w:r>
      <w:r>
        <w:rPr>
          <w:rFonts w:ascii="Arial" w:eastAsia="Arial" w:hAnsi="Arial" w:cs="Arial"/>
          <w:b/>
          <w:color w:val="000000"/>
          <w:sz w:val="20"/>
        </w:rPr>
        <w:t>2. Reasonable Accommodation</w:t>
      </w:r>
    </w:p>
    <w:p w14:paraId="51993BD9" w14:textId="77777777" w:rsidR="002B10A6" w:rsidRDefault="00000000">
      <w:pPr>
        <w:pStyle w:val="Normal15"/>
        <w:widowControl w:val="0"/>
        <w:spacing w:before="200" w:line="260" w:lineRule="atLeast"/>
        <w:jc w:val="both"/>
      </w:pPr>
      <w:bookmarkStart w:id="2541" w:name="Bookmark_para_35_7"/>
      <w:bookmarkEnd w:id="2541"/>
      <w:r>
        <w:rPr>
          <w:rFonts w:ascii="Arial" w:eastAsia="Arial" w:hAnsi="Arial" w:cs="Arial"/>
          <w:color w:val="000000"/>
          <w:sz w:val="20"/>
        </w:rPr>
        <w:t xml:space="preserve">Appellants contend that since the evidence showed Burnett was actually performing the duties of an associate -- indeed excelling at his job -- he did not need an accommodation and his requested accommodation was unreasonable. </w:t>
      </w:r>
      <w:bookmarkStart w:id="2542" w:name="Bookmark_I61Y0BVC28T4HM0050000400"/>
      <w:bookmarkEnd w:id="2542"/>
      <w:r>
        <w:rPr>
          <w:rFonts w:ascii="Arial" w:eastAsia="Arial" w:hAnsi="Arial" w:cs="Arial"/>
          <w:color w:val="000000"/>
          <w:sz w:val="20"/>
        </w:rPr>
        <w:t>Burnett, who Appellants stipulated has a disability, has the right to a reasonable accommodation that would enable him to perform his job, unless Appellants can show that such accommodation would impose an undue hardship.</w:t>
      </w:r>
      <w:r>
        <w:rPr>
          <w:rFonts w:ascii="Arial" w:eastAsia="Arial" w:hAnsi="Arial" w:cs="Arial"/>
          <w:vertAlign w:val="superscript"/>
        </w:rPr>
        <w:footnoteReference w:customMarkFollows="1" w:id="116"/>
        <w:t>11</w:t>
      </w:r>
      <w:r>
        <w:rPr>
          <w:rFonts w:ascii="Arial" w:eastAsia="Arial" w:hAnsi="Arial" w:cs="Arial"/>
          <w:color w:val="000000"/>
          <w:sz w:val="20"/>
        </w:rPr>
        <w:t xml:space="preserve"> </w:t>
      </w:r>
      <w:r>
        <w:rPr>
          <w:rFonts w:ascii="Arial" w:eastAsia="Arial" w:hAnsi="Arial" w:cs="Arial"/>
          <w:color w:val="000000"/>
          <w:sz w:val="20"/>
          <w:u w:val="single"/>
        </w:rPr>
        <w:t>See</w:t>
      </w:r>
      <w:r>
        <w:rPr>
          <w:rFonts w:ascii="Arial" w:eastAsia="Arial" w:hAnsi="Arial" w:cs="Arial"/>
          <w:color w:val="000000"/>
          <w:sz w:val="20"/>
        </w:rPr>
        <w:t xml:space="preserve"> 42 U.S.C. § 12112(b)(5); Me. Stat. tit. 5, § 4553(2)(E). </w:t>
      </w:r>
      <w:bookmarkStart w:id="2545" w:name="Bookmark_LNHNREFclscc10_10"/>
      <w:bookmarkEnd w:id="2545"/>
      <w:r>
        <w:rPr>
          <w:rFonts w:ascii="Arial" w:eastAsia="Arial" w:hAnsi="Arial" w:cs="Arial"/>
          <w:color w:val="000000"/>
          <w:sz w:val="20"/>
        </w:rPr>
        <w:t xml:space="preserve">To perform his job, Burnett must be able to perform the "essential function" or "fundamental job dut[y]" of the associate position. </w:t>
      </w:r>
      <w:bookmarkStart w:id="2546" w:name="Bookmark_I61Y0BVD2N1RGS0040000400"/>
      <w:bookmarkEnd w:id="2546"/>
      <w:r>
        <w:rPr>
          <w:rFonts w:ascii="Arial" w:eastAsia="Arial" w:hAnsi="Arial" w:cs="Arial"/>
          <w:color w:val="000000"/>
          <w:sz w:val="20"/>
          <w:u w:val="single"/>
        </w:rPr>
        <w:t xml:space="preserve">See </w:t>
      </w:r>
      <w:bookmarkStart w:id="2547" w:name="Bookmark_I61Y0BVC28T4HM0040000400"/>
      <w:bookmarkEnd w:id="2547"/>
      <w:r>
        <w:rPr>
          <w:rFonts w:ascii="Arial" w:eastAsia="Arial" w:hAnsi="Arial" w:cs="Arial"/>
          <w:color w:val="000000"/>
          <w:sz w:val="20"/>
          <w:u w:val="single"/>
        </w:rPr>
        <w:t>Ward v. Mass. Health Research Inst., Inc.</w:t>
      </w:r>
      <w:r>
        <w:rPr>
          <w:rFonts w:ascii="Arial" w:eastAsia="Arial" w:hAnsi="Arial" w:cs="Arial"/>
          <w:color w:val="000000"/>
          <w:sz w:val="20"/>
        </w:rPr>
        <w:t xml:space="preserve">, 209 F.3d 29, 34 (1st Cir. 2000) (alteration in original) (quoting </w:t>
      </w:r>
      <w:bookmarkStart w:id="2548" w:name="Bookmark_I61Y0BVD2N1RGS0010000400"/>
      <w:bookmarkEnd w:id="2548"/>
      <w:r>
        <w:rPr>
          <w:rFonts w:ascii="Arial" w:eastAsia="Arial" w:hAnsi="Arial" w:cs="Arial"/>
          <w:color w:val="000000"/>
          <w:sz w:val="20"/>
          <w:u w:val="single"/>
        </w:rPr>
        <w:t>Laurin v. Providence Hosp.</w:t>
      </w:r>
      <w:r>
        <w:rPr>
          <w:rFonts w:ascii="Arial" w:eastAsia="Arial" w:hAnsi="Arial" w:cs="Arial"/>
          <w:color w:val="000000"/>
          <w:sz w:val="20"/>
        </w:rPr>
        <w:t xml:space="preserve">, 150 F.3d 52, 56-57 (1st Cir. 1998)); </w:t>
      </w:r>
      <w:r>
        <w:rPr>
          <w:rFonts w:ascii="Arial" w:eastAsia="Arial" w:hAnsi="Arial" w:cs="Arial"/>
          <w:color w:val="000000"/>
          <w:sz w:val="20"/>
          <w:u w:val="single"/>
        </w:rPr>
        <w:t>see also</w:t>
      </w:r>
      <w:r>
        <w:rPr>
          <w:rFonts w:ascii="Arial" w:eastAsia="Arial" w:hAnsi="Arial" w:cs="Arial"/>
          <w:color w:val="000000"/>
          <w:sz w:val="20"/>
        </w:rPr>
        <w:t xml:space="preserve"> 42 U.S.C. § 12111(8); Me. Stat. tit. 5, § 4553(8-D). </w:t>
      </w:r>
      <w:bookmarkStart w:id="2549" w:name="Bookmark_I61Y0BVD2N1RGS0040000400_2"/>
      <w:bookmarkEnd w:id="2549"/>
      <w:r>
        <w:rPr>
          <w:rFonts w:ascii="Arial" w:eastAsia="Arial" w:hAnsi="Arial" w:cs="Arial"/>
          <w:color w:val="000000"/>
          <w:sz w:val="20"/>
        </w:rPr>
        <w:t xml:space="preserve">An "essential function" [**20]  can encompass more than the "technical skills and experience" the position requires. </w:t>
      </w:r>
      <w:bookmarkStart w:id="2550" w:name="Bookmark_I61Y0BVD2N1RGS0030000400"/>
      <w:bookmarkEnd w:id="2550"/>
      <w:r>
        <w:rPr>
          <w:rFonts w:ascii="Arial" w:eastAsia="Arial" w:hAnsi="Arial" w:cs="Arial"/>
          <w:color w:val="000000"/>
          <w:sz w:val="20"/>
          <w:u w:val="single"/>
        </w:rPr>
        <w:t>Ward</w:t>
      </w:r>
      <w:r>
        <w:rPr>
          <w:rFonts w:ascii="Arial" w:eastAsia="Arial" w:hAnsi="Arial" w:cs="Arial"/>
          <w:color w:val="000000"/>
          <w:sz w:val="20"/>
        </w:rPr>
        <w:t xml:space="preserve">, 209 F.3d at 34 (quoting </w:t>
      </w:r>
      <w:bookmarkStart w:id="2551" w:name="Bookmark_I61Y0BVD2N1RGS0050000400"/>
      <w:bookmarkEnd w:id="2551"/>
      <w:r>
        <w:rPr>
          <w:rFonts w:ascii="Arial" w:eastAsia="Arial" w:hAnsi="Arial" w:cs="Arial"/>
          <w:color w:val="000000"/>
          <w:sz w:val="20"/>
          <w:u w:val="single"/>
        </w:rPr>
        <w:t>Laurin</w:t>
      </w:r>
      <w:r>
        <w:rPr>
          <w:rFonts w:ascii="Arial" w:eastAsia="Arial" w:hAnsi="Arial" w:cs="Arial"/>
          <w:color w:val="000000"/>
          <w:sz w:val="20"/>
        </w:rPr>
        <w:t xml:space="preserve">, 150 F.3d at 57, 59 n.6); </w:t>
      </w:r>
      <w:r>
        <w:rPr>
          <w:rFonts w:ascii="Arial" w:eastAsia="Arial" w:hAnsi="Arial" w:cs="Arial"/>
          <w:color w:val="000000"/>
          <w:sz w:val="20"/>
          <w:u w:val="single"/>
        </w:rPr>
        <w:t xml:space="preserve">see also </w:t>
      </w:r>
      <w:bookmarkStart w:id="2552" w:name="Bookmark_I61Y0BVD2SF8BP0020000400"/>
      <w:bookmarkEnd w:id="2552"/>
      <w:r>
        <w:rPr>
          <w:rFonts w:ascii="Arial" w:eastAsia="Arial" w:hAnsi="Arial" w:cs="Arial"/>
          <w:color w:val="000000"/>
          <w:sz w:val="20"/>
          <w:u w:val="single"/>
        </w:rPr>
        <w:t>Grenier v. Cyanamid Plastics, Inc.</w:t>
      </w:r>
      <w:r>
        <w:rPr>
          <w:rFonts w:ascii="Arial" w:eastAsia="Arial" w:hAnsi="Arial" w:cs="Arial"/>
          <w:color w:val="000000"/>
          <w:sz w:val="20"/>
        </w:rPr>
        <w:t>, 70 F.3d 667, 674 (1st Cir. 1995) (citing cases illustrating "essential functions" beyond the "job-related functions").</w:t>
      </w:r>
      <w:r>
        <w:rPr>
          <w:rFonts w:ascii="Arial" w:eastAsia="Arial" w:hAnsi="Arial" w:cs="Arial"/>
          <w:vertAlign w:val="superscript"/>
        </w:rPr>
        <w:footnoteReference w:customMarkFollows="1" w:id="117"/>
        <w:t>12</w:t>
      </w:r>
    </w:p>
    <w:p w14:paraId="7E99E186" w14:textId="77777777" w:rsidR="002B10A6" w:rsidRDefault="00000000">
      <w:pPr>
        <w:pStyle w:val="Normal15"/>
        <w:widowControl w:val="0"/>
        <w:spacing w:before="200" w:line="260" w:lineRule="atLeast"/>
        <w:jc w:val="both"/>
      </w:pPr>
      <w:bookmarkStart w:id="2557" w:name="Bookmark_para_36_7"/>
      <w:bookmarkEnd w:id="2557"/>
      <w:r>
        <w:rPr>
          <w:rFonts w:ascii="Arial" w:eastAsia="Arial" w:hAnsi="Arial" w:cs="Arial"/>
          <w:color w:val="000000"/>
          <w:sz w:val="20"/>
        </w:rPr>
        <w:t xml:space="preserve">There was sufficient evidence that Burnett needed an accommodation and that his requested accommodation was reasonable. </w:t>
      </w:r>
      <w:bookmarkStart w:id="2558" w:name="Bookmark_I61Y0BVD2N1RGX0020000400"/>
      <w:bookmarkEnd w:id="2558"/>
      <w:r>
        <w:rPr>
          <w:rFonts w:ascii="Arial" w:eastAsia="Arial" w:hAnsi="Arial" w:cs="Arial"/>
          <w:color w:val="000000"/>
          <w:sz w:val="20"/>
        </w:rPr>
        <w:t xml:space="preserve">Burnett testified that, daily, he  [*69]  experienced difficulty entering the clubhouse and once injured his wrist when doing so. The fact that Burnett was able to enter the clubhouse (at the risk of bodily injury) despite this difficulty and to perform the duties of an associate once inside does not necessarily mean he did not require an accommodation or that his requested accommodation was unreasonable, as Appellants claim. </w:t>
      </w:r>
      <w:bookmarkStart w:id="2559" w:name="Bookmark_I61Y0BVD2N1RGX0040000400"/>
      <w:bookmarkStart w:id="2560" w:name="Bookmark_LNHNREFclscc13_7"/>
      <w:bookmarkEnd w:id="2559"/>
      <w:bookmarkEnd w:id="2560"/>
      <w:r>
        <w:rPr>
          <w:rFonts w:ascii="Arial" w:eastAsia="Arial" w:hAnsi="Arial" w:cs="Arial"/>
          <w:color w:val="000000"/>
          <w:sz w:val="20"/>
        </w:rPr>
        <w:t xml:space="preserve">A "'reasonable accommodation' may include . . . making existing facilities used by employees readily accessible to and usable by individuals with disabilities." 42 U.S.C. § 12111(9)(A); </w:t>
      </w:r>
      <w:r>
        <w:rPr>
          <w:rFonts w:ascii="Arial" w:eastAsia="Arial" w:hAnsi="Arial" w:cs="Arial"/>
          <w:color w:val="000000"/>
          <w:sz w:val="20"/>
          <w:u w:val="single"/>
        </w:rPr>
        <w:t>see also</w:t>
      </w:r>
      <w:r>
        <w:rPr>
          <w:rFonts w:ascii="Arial" w:eastAsia="Arial" w:hAnsi="Arial" w:cs="Arial"/>
          <w:color w:val="000000"/>
          <w:sz w:val="20"/>
        </w:rPr>
        <w:t xml:space="preserve"> Me. Stat. tit. 5, § 4553(9-A)(A). Moreover, the Supreme Court clarified in </w:t>
      </w:r>
      <w:r>
        <w:rPr>
          <w:rFonts w:ascii="Arial" w:eastAsia="Arial" w:hAnsi="Arial" w:cs="Arial"/>
          <w:color w:val="000000"/>
          <w:sz w:val="20"/>
          <w:u w:val="single"/>
        </w:rPr>
        <w:t>U.S. Airways, Inc. v. Barnett</w:t>
      </w:r>
      <w:r>
        <w:rPr>
          <w:rFonts w:ascii="Arial" w:eastAsia="Arial" w:hAnsi="Arial" w:cs="Arial"/>
          <w:color w:val="000000"/>
          <w:sz w:val="20"/>
        </w:rPr>
        <w:t xml:space="preserve"> that "[t]he [ADA] requires preferences in the form of 'reasonable accommodations' that are needed for those with disabilities to obtain the </w:t>
      </w:r>
      <w:r>
        <w:rPr>
          <w:rFonts w:ascii="Arial" w:eastAsia="Arial" w:hAnsi="Arial" w:cs="Arial"/>
          <w:color w:val="000000"/>
          <w:sz w:val="20"/>
          <w:u w:val="single"/>
        </w:rPr>
        <w:t>same</w:t>
      </w:r>
      <w:r>
        <w:rPr>
          <w:rFonts w:ascii="Arial" w:eastAsia="Arial" w:hAnsi="Arial" w:cs="Arial"/>
          <w:color w:val="000000"/>
          <w:sz w:val="20"/>
        </w:rPr>
        <w:t xml:space="preserve"> workplace opportunities that those without [**21]  disabilities automatically enjoy." </w:t>
      </w:r>
      <w:bookmarkStart w:id="2561" w:name="Bookmark_I61Y0BVD2N1RGX0010000400"/>
      <w:bookmarkEnd w:id="2561"/>
      <w:r>
        <w:rPr>
          <w:rFonts w:ascii="Arial" w:eastAsia="Arial" w:hAnsi="Arial" w:cs="Arial"/>
          <w:color w:val="000000"/>
          <w:sz w:val="20"/>
        </w:rPr>
        <w:t xml:space="preserve">535 U.S. 391, 397, 122 S. Ct. 1516, 152 L. Ed. 2d 589 (2002). </w:t>
      </w:r>
      <w:bookmarkStart w:id="2562" w:name="Bookmark_I61Y0BVD2N1RGX0040000400_2"/>
      <w:bookmarkEnd w:id="2562"/>
      <w:r>
        <w:rPr>
          <w:rFonts w:ascii="Arial" w:eastAsia="Arial" w:hAnsi="Arial" w:cs="Arial"/>
          <w:color w:val="000000"/>
          <w:sz w:val="20"/>
        </w:rPr>
        <w:t xml:space="preserve">Viewing the evidence in the light most favorable to the verdict, </w:t>
      </w:r>
      <w:r>
        <w:rPr>
          <w:rFonts w:ascii="Arial" w:eastAsia="Arial" w:hAnsi="Arial" w:cs="Arial"/>
          <w:color w:val="000000"/>
          <w:sz w:val="20"/>
          <w:u w:val="single"/>
        </w:rPr>
        <w:t xml:space="preserve">see </w:t>
      </w:r>
      <w:bookmarkStart w:id="2563" w:name="Bookmark_I61Y0BVD2N1RGX0030000400"/>
      <w:bookmarkEnd w:id="2563"/>
      <w:r>
        <w:rPr>
          <w:rFonts w:ascii="Arial" w:eastAsia="Arial" w:hAnsi="Arial" w:cs="Arial"/>
          <w:color w:val="000000"/>
          <w:sz w:val="20"/>
          <w:u w:val="single"/>
        </w:rPr>
        <w:t>Suero-Algarín</w:t>
      </w:r>
      <w:r>
        <w:rPr>
          <w:rFonts w:ascii="Arial" w:eastAsia="Arial" w:hAnsi="Arial" w:cs="Arial"/>
          <w:color w:val="000000"/>
          <w:sz w:val="20"/>
        </w:rPr>
        <w:t>, 957 F.3d at 37, the evidence presented shows that the existing doors were not "readily accessible to and usable by" Burnett and that an accommodation was necessary for Burnett to reach a level playing field as an employee without a disability.</w:t>
      </w:r>
      <w:r>
        <w:rPr>
          <w:rFonts w:ascii="Arial" w:eastAsia="Arial" w:hAnsi="Arial" w:cs="Arial"/>
          <w:vertAlign w:val="superscript"/>
        </w:rPr>
        <w:footnoteReference w:customMarkFollows="1" w:id="118"/>
        <w:t>13</w:t>
      </w:r>
      <w:r>
        <w:rPr>
          <w:rFonts w:ascii="Arial" w:eastAsia="Arial" w:hAnsi="Arial" w:cs="Arial"/>
          <w:color w:val="000000"/>
          <w:sz w:val="20"/>
        </w:rPr>
        <w:t xml:space="preserve"> Based on this evidence, a reasonable jury could conclude that Appellants did in fact fail to reasonably accommodate Burnett's disability.</w:t>
      </w:r>
    </w:p>
    <w:p w14:paraId="706DCEE2" w14:textId="77777777" w:rsidR="002B10A6" w:rsidRDefault="00000000">
      <w:pPr>
        <w:pStyle w:val="Normal15"/>
        <w:widowControl w:val="0"/>
        <w:spacing w:before="240" w:line="260" w:lineRule="atLeast"/>
      </w:pPr>
      <w:r>
        <w:br/>
      </w:r>
      <w:r>
        <w:rPr>
          <w:rFonts w:ascii="Arial" w:eastAsia="Arial" w:hAnsi="Arial" w:cs="Arial"/>
          <w:b/>
          <w:color w:val="000000"/>
          <w:sz w:val="20"/>
        </w:rPr>
        <w:t>3. Malice/Reckless Indifference</w:t>
      </w:r>
    </w:p>
    <w:p w14:paraId="3FA6A206" w14:textId="77777777" w:rsidR="002B10A6" w:rsidRDefault="00000000">
      <w:pPr>
        <w:pStyle w:val="Normal15"/>
        <w:widowControl w:val="0"/>
        <w:spacing w:before="200" w:line="260" w:lineRule="atLeast"/>
        <w:jc w:val="both"/>
      </w:pPr>
      <w:bookmarkStart w:id="2570" w:name="Bookmark_para_37_6"/>
      <w:bookmarkStart w:id="2571" w:name="Bookmark_I61Y0BVF2D6NSC0050000400"/>
      <w:bookmarkStart w:id="2572" w:name="Bookmark_I61Y0BVF2SF8C10010000400"/>
      <w:bookmarkEnd w:id="2570"/>
      <w:bookmarkEnd w:id="2571"/>
      <w:bookmarkEnd w:id="2572"/>
      <w:r>
        <w:rPr>
          <w:rFonts w:ascii="Arial" w:eastAsia="Arial" w:hAnsi="Arial" w:cs="Arial"/>
          <w:color w:val="000000"/>
          <w:sz w:val="20"/>
        </w:rPr>
        <w:t xml:space="preserve">Appellants claim Burnett shouldn't have been awarded punitive damages because there was insufficient evidence that they acted with malice or reckless indifference towards him. </w:t>
      </w:r>
      <w:bookmarkStart w:id="2573" w:name="Bookmark_LNHNREFclscc14_7"/>
      <w:bookmarkEnd w:id="2573"/>
      <w:r>
        <w:rPr>
          <w:rFonts w:ascii="Arial" w:eastAsia="Arial" w:hAnsi="Arial" w:cs="Arial"/>
          <w:color w:val="000000"/>
          <w:sz w:val="20"/>
        </w:rPr>
        <w:t xml:space="preserve">Burnett is entitled to punitive damages if he can show Appellants "engaged in a discriminatory practice . . . with malice or with reckless indifference to [his] . . . rights." 42 U.S.C. § 1981a(b)(1); </w:t>
      </w:r>
      <w:r>
        <w:rPr>
          <w:rFonts w:ascii="Arial" w:eastAsia="Arial" w:hAnsi="Arial" w:cs="Arial"/>
          <w:color w:val="000000"/>
          <w:sz w:val="20"/>
          <w:u w:val="single"/>
        </w:rPr>
        <w:t>see also</w:t>
      </w:r>
      <w:r>
        <w:rPr>
          <w:rFonts w:ascii="Arial" w:eastAsia="Arial" w:hAnsi="Arial" w:cs="Arial"/>
          <w:color w:val="000000"/>
          <w:sz w:val="20"/>
        </w:rPr>
        <w:t xml:space="preserve"> Me. Stat. tit. 5, § 4613(2)(B)(8)(c). </w:t>
      </w:r>
      <w:bookmarkStart w:id="2574" w:name="Bookmark_I61Y0BVG2D6NSN0020000400"/>
      <w:bookmarkEnd w:id="2574"/>
      <w:r>
        <w:rPr>
          <w:rFonts w:ascii="Arial" w:eastAsia="Arial" w:hAnsi="Arial" w:cs="Arial"/>
          <w:color w:val="000000"/>
          <w:sz w:val="20"/>
        </w:rPr>
        <w:t xml:space="preserve">"[M]alice and reckless indifference concern, not the employer's awareness that it is discriminating, but the employer's knowledge that it is acting in violation of federal law." </w:t>
      </w:r>
      <w:bookmarkStart w:id="2575" w:name="Bookmark_I61Y0BVF2D6NSC0040000400"/>
      <w:bookmarkEnd w:id="2575"/>
      <w:r>
        <w:rPr>
          <w:rFonts w:ascii="Arial" w:eastAsia="Arial" w:hAnsi="Arial" w:cs="Arial"/>
          <w:color w:val="000000"/>
          <w:sz w:val="20"/>
          <w:u w:val="single"/>
        </w:rPr>
        <w:t>McDonough v. City of Quincy</w:t>
      </w:r>
      <w:r>
        <w:rPr>
          <w:rFonts w:ascii="Arial" w:eastAsia="Arial" w:hAnsi="Arial" w:cs="Arial"/>
          <w:color w:val="000000"/>
          <w:sz w:val="20"/>
        </w:rPr>
        <w:t xml:space="preserve">, 452 F.3d 8, 24 (1st Cir. 2006); </w:t>
      </w:r>
      <w:r>
        <w:rPr>
          <w:rFonts w:ascii="Arial" w:eastAsia="Arial" w:hAnsi="Arial" w:cs="Arial"/>
          <w:color w:val="000000"/>
          <w:sz w:val="20"/>
          <w:u w:val="single"/>
        </w:rPr>
        <w:t xml:space="preserve">see also </w:t>
      </w:r>
      <w:bookmarkStart w:id="2576" w:name="Bookmark_I61Y0BVF2D6NSD0010000400"/>
      <w:bookmarkEnd w:id="2576"/>
      <w:r>
        <w:rPr>
          <w:rFonts w:ascii="Arial" w:eastAsia="Arial" w:hAnsi="Arial" w:cs="Arial"/>
          <w:color w:val="000000"/>
          <w:sz w:val="20"/>
          <w:u w:val="single"/>
        </w:rPr>
        <w:t>Kolstad v. Am. Dental Ass'n</w:t>
      </w:r>
      <w:r>
        <w:rPr>
          <w:rFonts w:ascii="Arial" w:eastAsia="Arial" w:hAnsi="Arial" w:cs="Arial"/>
          <w:color w:val="000000"/>
          <w:sz w:val="20"/>
        </w:rPr>
        <w:t xml:space="preserve">, 527 U.S. 526, 536, 119 S. Ct. 2118, 144 L. Ed. 2d 494 (1999) ("[A]n employer must at least discriminate in the face of a perceived risk that its actions will violate federal law [**22]  to be liable in punitive damages."); </w:t>
      </w:r>
      <w:bookmarkStart w:id="2577" w:name="Bookmark_I61Y0BVF2D6NSD0030000400"/>
      <w:bookmarkEnd w:id="2577"/>
      <w:r>
        <w:rPr>
          <w:rFonts w:ascii="Arial" w:eastAsia="Arial" w:hAnsi="Arial" w:cs="Arial"/>
          <w:color w:val="000000"/>
          <w:sz w:val="20"/>
          <w:u w:val="single"/>
        </w:rPr>
        <w:t>Kopenga v. Davric Me. Corp.</w:t>
      </w:r>
      <w:r>
        <w:rPr>
          <w:rFonts w:ascii="Arial" w:eastAsia="Arial" w:hAnsi="Arial" w:cs="Arial"/>
          <w:color w:val="000000"/>
          <w:sz w:val="20"/>
        </w:rPr>
        <w:t xml:space="preserve">, 1999 ME 65, 727 A.2d 906, 910 (Me. 1999) (noting that the MHRA's "language is borrowed directly from federal law"). Burnett must prove his entitlement to punitive damages by a preponderance of the evidence under the ADA, </w:t>
      </w:r>
      <w:r>
        <w:rPr>
          <w:rFonts w:ascii="Arial" w:eastAsia="Arial" w:hAnsi="Arial" w:cs="Arial"/>
          <w:color w:val="000000"/>
          <w:sz w:val="20"/>
          <w:u w:val="single"/>
        </w:rPr>
        <w:t xml:space="preserve">see generally </w:t>
      </w:r>
      <w:bookmarkStart w:id="2578" w:name="Bookmark_I61Y0BVF2D6NSD0050000400"/>
      <w:bookmarkEnd w:id="2578"/>
      <w:r>
        <w:rPr>
          <w:rFonts w:ascii="Arial" w:eastAsia="Arial" w:hAnsi="Arial" w:cs="Arial"/>
          <w:color w:val="000000"/>
          <w:sz w:val="20"/>
          <w:u w:val="single"/>
        </w:rPr>
        <w:t>Jacques v. Clean-Up Grp., Inc.</w:t>
      </w:r>
      <w:r>
        <w:rPr>
          <w:rFonts w:ascii="Arial" w:eastAsia="Arial" w:hAnsi="Arial" w:cs="Arial"/>
          <w:color w:val="000000"/>
          <w:sz w:val="20"/>
        </w:rPr>
        <w:t xml:space="preserve">, 96 F.3d 506, 511 (1st Cir. 1996) (noting that a plaintiff must prove by a preponderance of the evidence the prima facie elements of disability discrimination under the ADA), and by the higher clear-and-convincing-evidence standard under the MHRA, </w:t>
      </w:r>
      <w:bookmarkStart w:id="2579" w:name="Bookmark_I61Y0BVF2SF8C10020000400"/>
      <w:bookmarkEnd w:id="2579"/>
      <w:r>
        <w:rPr>
          <w:rFonts w:ascii="Arial" w:eastAsia="Arial" w:hAnsi="Arial" w:cs="Arial"/>
          <w:color w:val="000000"/>
          <w:sz w:val="20"/>
          <w:u w:val="single"/>
        </w:rPr>
        <w:t>Haverly-Johndro v. Bath &amp; Body Works, LLC</w:t>
      </w:r>
      <w:r>
        <w:rPr>
          <w:rFonts w:ascii="Arial" w:eastAsia="Arial" w:hAnsi="Arial" w:cs="Arial"/>
          <w:color w:val="000000"/>
          <w:sz w:val="20"/>
        </w:rPr>
        <w:t xml:space="preserve">, No. 1:13-CV-00108-JDL, 2014 U.S. Dist. LEXIS 88416, 2014 WL 2944007, at *7 (D. Me. June 30, 2014) (citing </w:t>
      </w:r>
      <w:bookmarkStart w:id="2580" w:name="Bookmark_I61Y0BVF2SF8C10040000400"/>
      <w:bookmarkEnd w:id="2580"/>
      <w:r>
        <w:rPr>
          <w:rFonts w:ascii="Arial" w:eastAsia="Arial" w:hAnsi="Arial" w:cs="Arial"/>
          <w:color w:val="000000"/>
          <w:sz w:val="20"/>
          <w:u w:val="single"/>
        </w:rPr>
        <w:t>Batchelder v. Realty Res. Hosp., LLC</w:t>
      </w:r>
      <w:r>
        <w:rPr>
          <w:rFonts w:ascii="Arial" w:eastAsia="Arial" w:hAnsi="Arial" w:cs="Arial"/>
          <w:color w:val="000000"/>
          <w:sz w:val="20"/>
        </w:rPr>
        <w:t xml:space="preserve">, 2007 ME 17, 914 A.2d 1116, 1124 (Me. 2007)). </w:t>
      </w:r>
      <w:bookmarkStart w:id="2581" w:name="Bookmark_I61Y0BVG2D6NSN0020000400_2"/>
      <w:bookmarkEnd w:id="2581"/>
      <w:r>
        <w:rPr>
          <w:rFonts w:ascii="Arial" w:eastAsia="Arial" w:hAnsi="Arial" w:cs="Arial"/>
          <w:color w:val="000000"/>
          <w:sz w:val="20"/>
        </w:rPr>
        <w:t xml:space="preserve">Appellants bear the burden of proving they acted in good faith to comply with the law. </w:t>
      </w:r>
      <w:r>
        <w:rPr>
          <w:rFonts w:ascii="Arial" w:eastAsia="Arial" w:hAnsi="Arial" w:cs="Arial"/>
          <w:color w:val="000000"/>
          <w:sz w:val="20"/>
          <w:u w:val="single"/>
        </w:rPr>
        <w:t xml:space="preserve">See generally </w:t>
      </w:r>
      <w:bookmarkStart w:id="2582" w:name="Bookmark_I61Y0BVG2D6NSN0010000400"/>
      <w:bookmarkEnd w:id="2582"/>
      <w:r>
        <w:rPr>
          <w:rFonts w:ascii="Arial" w:eastAsia="Arial" w:hAnsi="Arial" w:cs="Arial"/>
          <w:color w:val="000000"/>
          <w:sz w:val="20"/>
          <w:u w:val="single"/>
        </w:rPr>
        <w:t>Rodriguez-Torres v.  [*70]  Caribbean Forms Mfr., Inc.</w:t>
      </w:r>
      <w:r>
        <w:rPr>
          <w:rFonts w:ascii="Arial" w:eastAsia="Arial" w:hAnsi="Arial" w:cs="Arial"/>
          <w:color w:val="000000"/>
          <w:sz w:val="20"/>
        </w:rPr>
        <w:t xml:space="preserve">, 399 F.3d 52, 64 (1st Cir. 2005) (citing </w:t>
      </w:r>
      <w:bookmarkStart w:id="2583" w:name="Bookmark_I61Y0BVG2D6NSN0030000400"/>
      <w:bookmarkEnd w:id="2583"/>
      <w:r>
        <w:rPr>
          <w:rFonts w:ascii="Arial" w:eastAsia="Arial" w:hAnsi="Arial" w:cs="Arial"/>
          <w:color w:val="000000"/>
          <w:sz w:val="20"/>
          <w:u w:val="single"/>
        </w:rPr>
        <w:t>Romano</w:t>
      </w:r>
      <w:r>
        <w:rPr>
          <w:rFonts w:ascii="Arial" w:eastAsia="Arial" w:hAnsi="Arial" w:cs="Arial"/>
          <w:color w:val="000000"/>
          <w:sz w:val="20"/>
        </w:rPr>
        <w:t>, 233 F.3d at 670).</w:t>
      </w:r>
    </w:p>
    <w:p w14:paraId="76A285A3" w14:textId="77777777" w:rsidR="002B10A6" w:rsidRDefault="00000000">
      <w:pPr>
        <w:pStyle w:val="Normal15"/>
        <w:widowControl w:val="0"/>
        <w:spacing w:before="200" w:line="260" w:lineRule="atLeast"/>
        <w:jc w:val="both"/>
      </w:pPr>
      <w:bookmarkStart w:id="2584" w:name="Bookmark_para_38_5"/>
      <w:bookmarkEnd w:id="2584"/>
      <w:r>
        <w:rPr>
          <w:rFonts w:ascii="Arial" w:eastAsia="Arial" w:hAnsi="Arial" w:cs="Arial"/>
          <w:color w:val="000000"/>
          <w:sz w:val="20"/>
        </w:rPr>
        <w:t xml:space="preserve">There is sufficient evidence that Appellants acted with reckless indifference towards Burnett's rights. </w:t>
      </w:r>
      <w:bookmarkStart w:id="2585" w:name="Bookmark_I61Y0BVG28T4JC0010000400"/>
      <w:bookmarkEnd w:id="2585"/>
      <w:r>
        <w:rPr>
          <w:rFonts w:ascii="Arial" w:eastAsia="Arial" w:hAnsi="Arial" w:cs="Arial"/>
          <w:color w:val="000000"/>
          <w:sz w:val="20"/>
        </w:rPr>
        <w:t xml:space="preserve">Appellants failed to follow up with Burnett three times regarding his accommodation request: (1) after Burnett sent Robertshaw a request for an accommodation in August 2014; (2) after Burnett reported his wrist injury in October 2014; and (3) after Burnett filed an MHRC complaint in June 2015 and met with Darsaoui thereafter to discuss it. The last two incidents served as reminders to Appellants of Burnett's pending request. </w:t>
      </w:r>
      <w:bookmarkStart w:id="2586" w:name="Bookmark_I61Y0BVG28T4JC0030000400"/>
      <w:bookmarkEnd w:id="2586"/>
      <w:r>
        <w:rPr>
          <w:rFonts w:ascii="Arial" w:eastAsia="Arial" w:hAnsi="Arial" w:cs="Arial"/>
          <w:color w:val="000000"/>
          <w:sz w:val="20"/>
        </w:rPr>
        <w:t xml:space="preserve">And as a result of Appellants' failure [**23]  to respond to his request, Burnett experienced difficulty with the doors every day for months until he resigned. Based on this evidence, a reasonable jury could conclude that Appellants acted "in the face of a perceived risk that its actions will violate federal law." </w:t>
      </w:r>
      <w:bookmarkStart w:id="2587" w:name="Bookmark_I61Y0BVG2D6NSN0050000400"/>
      <w:bookmarkEnd w:id="2587"/>
      <w:r>
        <w:rPr>
          <w:rFonts w:ascii="Arial" w:eastAsia="Arial" w:hAnsi="Arial" w:cs="Arial"/>
          <w:color w:val="000000"/>
          <w:sz w:val="20"/>
          <w:u w:val="single"/>
        </w:rPr>
        <w:t>Kolstad</w:t>
      </w:r>
      <w:r>
        <w:rPr>
          <w:rFonts w:ascii="Arial" w:eastAsia="Arial" w:hAnsi="Arial" w:cs="Arial"/>
          <w:color w:val="000000"/>
          <w:sz w:val="20"/>
        </w:rPr>
        <w:t xml:space="preserve">, 527 U.S. at 536. </w:t>
      </w:r>
      <w:bookmarkStart w:id="2588" w:name="Bookmark_I61Y0BVG28T4JC0030000400_2"/>
      <w:bookmarkEnd w:id="2588"/>
      <w:r>
        <w:rPr>
          <w:rFonts w:ascii="Arial" w:eastAsia="Arial" w:hAnsi="Arial" w:cs="Arial"/>
          <w:color w:val="000000"/>
          <w:sz w:val="20"/>
          <w:u w:val="single"/>
        </w:rPr>
        <w:t xml:space="preserve">See generally </w:t>
      </w:r>
      <w:bookmarkStart w:id="2589" w:name="Bookmark_I61Y0BVG28T4JC0020000400"/>
      <w:bookmarkEnd w:id="2589"/>
      <w:r>
        <w:rPr>
          <w:rFonts w:ascii="Arial" w:eastAsia="Arial" w:hAnsi="Arial" w:cs="Arial"/>
          <w:color w:val="000000"/>
          <w:sz w:val="20"/>
          <w:u w:val="single"/>
        </w:rPr>
        <w:t>Arrieta-Colon v. Wal-Mart P.R., Inc.</w:t>
      </w:r>
      <w:r>
        <w:rPr>
          <w:rFonts w:ascii="Arial" w:eastAsia="Arial" w:hAnsi="Arial" w:cs="Arial"/>
          <w:color w:val="000000"/>
          <w:sz w:val="20"/>
        </w:rPr>
        <w:t xml:space="preserve">, 434 F.3d 75, 89-90 (1st Cir. 2006) (holding that award of punitive damages was warranted in ADA claim based on hostile work environment where evidence showed that former employee reported harassment by his co-workers to several supervisors, all of whom failed to take any action, showing reckless indifference to employee's rights); </w:t>
      </w:r>
      <w:bookmarkStart w:id="2590" w:name="Bookmark_I61Y0BVG28T4JC0040000400"/>
      <w:bookmarkEnd w:id="2590"/>
      <w:r>
        <w:rPr>
          <w:rFonts w:ascii="Arial" w:eastAsia="Arial" w:hAnsi="Arial" w:cs="Arial"/>
          <w:color w:val="000000"/>
          <w:sz w:val="20"/>
          <w:u w:val="single"/>
        </w:rPr>
        <w:t>Marrero v. Goya of P.R., Inc.</w:t>
      </w:r>
      <w:r>
        <w:rPr>
          <w:rFonts w:ascii="Arial" w:eastAsia="Arial" w:hAnsi="Arial" w:cs="Arial"/>
          <w:color w:val="000000"/>
          <w:sz w:val="20"/>
        </w:rPr>
        <w:t xml:space="preserve">, 304 F.3d 7, 29-30 (1st Cir. 2002) (concluding that evidence that supervisors failed to act on employee's reports of sexual harassment and that employer failed to take action until after employee filed EEOC complaint supported jury's finding of reckless indifference); </w:t>
      </w:r>
      <w:bookmarkStart w:id="2591" w:name="Bookmark_I61Y0BVH2D6NSV0010000400"/>
      <w:bookmarkEnd w:id="2591"/>
      <w:r>
        <w:rPr>
          <w:rFonts w:ascii="Arial" w:eastAsia="Arial" w:hAnsi="Arial" w:cs="Arial"/>
          <w:color w:val="000000"/>
          <w:sz w:val="20"/>
          <w:u w:val="single"/>
        </w:rPr>
        <w:t>Bubar v. NorDx</w:t>
      </w:r>
      <w:r>
        <w:rPr>
          <w:rFonts w:ascii="Arial" w:eastAsia="Arial" w:hAnsi="Arial" w:cs="Arial"/>
          <w:color w:val="000000"/>
          <w:sz w:val="20"/>
        </w:rPr>
        <w:t xml:space="preserve">, No. 2:16-cv-00201-JHR, 2018 U.S. Dist. LEXIS 18148, 2018 WL 715329, at *9 (D. Me. Feb. 4, 2018), </w:t>
      </w:r>
      <w:r>
        <w:rPr>
          <w:rFonts w:ascii="Arial" w:eastAsia="Arial" w:hAnsi="Arial" w:cs="Arial"/>
          <w:color w:val="000000"/>
          <w:sz w:val="20"/>
          <w:u w:val="single"/>
        </w:rPr>
        <w:t>appeal dismissed</w:t>
      </w:r>
      <w:r>
        <w:rPr>
          <w:rFonts w:ascii="Arial" w:eastAsia="Arial" w:hAnsi="Arial" w:cs="Arial"/>
          <w:color w:val="000000"/>
          <w:sz w:val="20"/>
        </w:rPr>
        <w:t>, No. 18-1201, 2018 WL 4215609 (1st Cir. Sept. 4, 2018) (declining to strike jury's punitive damages award under Maine law given evidence of employer's repeated failure to respond to employee's complaints of harassment and rejecting employer's good-faith compliance defense absent evidence it implemented its written anti-discrimination policies).</w:t>
      </w:r>
    </w:p>
    <w:p w14:paraId="53EDA6AA" w14:textId="77777777" w:rsidR="002B10A6" w:rsidRDefault="00000000">
      <w:pPr>
        <w:pStyle w:val="Normal15"/>
        <w:widowControl w:val="0"/>
        <w:spacing w:before="200" w:line="260" w:lineRule="atLeast"/>
        <w:jc w:val="both"/>
      </w:pPr>
      <w:bookmarkStart w:id="2592" w:name="Bookmark_para_39_5"/>
      <w:bookmarkStart w:id="2593" w:name="Bookmark_I61Y0BVH2D6NSV0040000400"/>
      <w:bookmarkEnd w:id="2592"/>
      <w:bookmarkEnd w:id="2593"/>
      <w:r>
        <w:rPr>
          <w:rFonts w:ascii="Arial" w:eastAsia="Arial" w:hAnsi="Arial" w:cs="Arial"/>
          <w:color w:val="000000"/>
          <w:sz w:val="20"/>
        </w:rPr>
        <w:t>Appellants rely on testimony by Burnett [**24]  (as he believed) and Darsaoui that Darsaoui did not act with malice or reckless indifference, but other evidence points to the contrary. The record shows that Appellants never responded to Burnett's request for an accommodation. Although Darsaoui testified that her "normal practice" was to follow up with an employee "verbally" and recalled "discussions going on regarding the doors," she admitted she could not "recall having a specific conversation" with Burnett about his request.</w:t>
      </w:r>
      <w:r>
        <w:rPr>
          <w:rFonts w:ascii="Arial" w:eastAsia="Arial" w:hAnsi="Arial" w:cs="Arial"/>
          <w:vertAlign w:val="superscript"/>
        </w:rPr>
        <w:footnoteReference w:customMarkFollows="1" w:id="119"/>
        <w:t>14</w:t>
      </w:r>
      <w:r>
        <w:rPr>
          <w:rFonts w:ascii="Arial" w:eastAsia="Arial" w:hAnsi="Arial" w:cs="Arial"/>
          <w:color w:val="000000"/>
          <w:sz w:val="20"/>
        </w:rPr>
        <w:t xml:space="preserve"> When viewing the evidence in the light most favorable to the verdict and drawing inferences in Burnett's favor, </w:t>
      </w:r>
      <w:r>
        <w:rPr>
          <w:rFonts w:ascii="Arial" w:eastAsia="Arial" w:hAnsi="Arial" w:cs="Arial"/>
          <w:color w:val="000000"/>
          <w:sz w:val="20"/>
          <w:u w:val="single"/>
        </w:rPr>
        <w:t xml:space="preserve">see </w:t>
      </w:r>
      <w:bookmarkStart w:id="2595" w:name="Bookmark_I61Y0BVH2D6NSV0030000400"/>
      <w:bookmarkEnd w:id="2595"/>
      <w:r>
        <w:rPr>
          <w:rFonts w:ascii="Arial" w:eastAsia="Arial" w:hAnsi="Arial" w:cs="Arial"/>
          <w:color w:val="000000"/>
          <w:sz w:val="20"/>
          <w:u w:val="single"/>
        </w:rPr>
        <w:t>Suero-Algarín</w:t>
      </w:r>
      <w:r>
        <w:rPr>
          <w:rFonts w:ascii="Arial" w:eastAsia="Arial" w:hAnsi="Arial" w:cs="Arial"/>
          <w:color w:val="000000"/>
          <w:sz w:val="20"/>
        </w:rPr>
        <w:t>, 957 F.3d at 37, a reasonable jury could conclude that Appellants did in fact fail to follow up with Burnett on his request, thereby acting with reckless indifference.</w:t>
      </w:r>
    </w:p>
    <w:p w14:paraId="5F1FA9B0" w14:textId="77777777" w:rsidR="002B10A6" w:rsidRDefault="00000000">
      <w:pPr>
        <w:pStyle w:val="Normal15"/>
        <w:widowControl w:val="0"/>
        <w:spacing w:before="200" w:line="260" w:lineRule="atLeast"/>
        <w:jc w:val="both"/>
      </w:pPr>
      <w:bookmarkStart w:id="2596" w:name="Bookmark_para_40_5"/>
      <w:bookmarkStart w:id="2597" w:name="Bookmark_I61Y0BVH2HM6DB0010000400"/>
      <w:bookmarkEnd w:id="2596"/>
      <w:bookmarkEnd w:id="2597"/>
      <w:r>
        <w:rPr>
          <w:rFonts w:ascii="Arial" w:eastAsia="Arial" w:hAnsi="Arial" w:cs="Arial"/>
          <w:color w:val="000000"/>
          <w:sz w:val="20"/>
        </w:rPr>
        <w:t xml:space="preserve">Appellants insist that they acted in good faith. As evidence of their "good faith efforts" to comply with the law, Appellants point to their anti-discrimination policy, Darsaoui's admission that she was aware of her obligation to address every request for an accommodation, her "consult[ation] with others to determine the extent to which the company should investigate the requested accommodation," her communication with Mooney regarding whether [**25]  the doors were ADA-compliant, and her understanding, based on Mooney's response,  [*71]  that the doors were in fact ADA-compliant. </w:t>
      </w:r>
      <w:bookmarkStart w:id="2598" w:name="Bookmark_LNHNREFclscc15_5"/>
      <w:bookmarkEnd w:id="2598"/>
      <w:r>
        <w:rPr>
          <w:rFonts w:ascii="Arial" w:eastAsia="Arial" w:hAnsi="Arial" w:cs="Arial"/>
          <w:color w:val="000000"/>
          <w:sz w:val="20"/>
        </w:rPr>
        <w:t xml:space="preserve">A showing of good faith to comply with the law, however, requires more than "lip service." </w:t>
      </w:r>
      <w:bookmarkStart w:id="2599" w:name="Bookmark_I61Y0BVH2D6NSV0050000400"/>
      <w:bookmarkEnd w:id="2599"/>
      <w:r>
        <w:rPr>
          <w:rFonts w:ascii="Arial" w:eastAsia="Arial" w:hAnsi="Arial" w:cs="Arial"/>
          <w:color w:val="000000"/>
          <w:sz w:val="20"/>
          <w:u w:val="single"/>
        </w:rPr>
        <w:t>Arrieta-Colon</w:t>
      </w:r>
      <w:r>
        <w:rPr>
          <w:rFonts w:ascii="Arial" w:eastAsia="Arial" w:hAnsi="Arial" w:cs="Arial"/>
          <w:color w:val="000000"/>
          <w:sz w:val="20"/>
        </w:rPr>
        <w:t>, 434 F.3d at 89-90 (rejecting employer's claim that "any evidence of a good-faith effort could shield it from liability" and instead "requir[ing] a finding of a good-faith effort to comply with the law").</w:t>
      </w:r>
    </w:p>
    <w:p w14:paraId="5CBDAE49" w14:textId="77777777" w:rsidR="002B10A6" w:rsidRDefault="00000000">
      <w:pPr>
        <w:pStyle w:val="Normal15"/>
        <w:widowControl w:val="0"/>
        <w:spacing w:before="200" w:line="260" w:lineRule="atLeast"/>
        <w:jc w:val="both"/>
      </w:pPr>
      <w:bookmarkStart w:id="2600" w:name="Bookmark_para_41_5"/>
      <w:bookmarkStart w:id="2601" w:name="Bookmark_I61Y0BVH2HM6DB0030000400"/>
      <w:bookmarkEnd w:id="2600"/>
      <w:bookmarkEnd w:id="2601"/>
      <w:r>
        <w:rPr>
          <w:rFonts w:ascii="Arial" w:eastAsia="Arial" w:hAnsi="Arial" w:cs="Arial"/>
          <w:color w:val="000000"/>
          <w:sz w:val="20"/>
        </w:rPr>
        <w:t xml:space="preserve">These examples are unavailing. </w:t>
      </w:r>
      <w:bookmarkStart w:id="2602" w:name="Bookmark_I61Y0BVH2HM6DB0050000400"/>
      <w:bookmarkEnd w:id="2602"/>
      <w:r>
        <w:rPr>
          <w:rFonts w:ascii="Arial" w:eastAsia="Arial" w:hAnsi="Arial" w:cs="Arial"/>
          <w:color w:val="000000"/>
          <w:sz w:val="20"/>
        </w:rPr>
        <w:t>First, Burnett's employee handbook included an equal employment opportunity statement</w:t>
      </w:r>
      <w:r>
        <w:rPr>
          <w:rFonts w:ascii="Arial" w:eastAsia="Arial" w:hAnsi="Arial" w:cs="Arial"/>
          <w:vertAlign w:val="superscript"/>
        </w:rPr>
        <w:footnoteReference w:customMarkFollows="1" w:id="120"/>
        <w:t>15</w:t>
      </w:r>
      <w:r>
        <w:rPr>
          <w:rFonts w:ascii="Arial" w:eastAsia="Arial" w:hAnsi="Arial" w:cs="Arial"/>
          <w:color w:val="000000"/>
          <w:sz w:val="20"/>
        </w:rPr>
        <w:t xml:space="preserve"> and an open-door policy.</w:t>
      </w:r>
      <w:r>
        <w:rPr>
          <w:rFonts w:ascii="Arial" w:eastAsia="Arial" w:hAnsi="Arial" w:cs="Arial"/>
          <w:vertAlign w:val="superscript"/>
        </w:rPr>
        <w:footnoteReference w:customMarkFollows="1" w:id="121"/>
        <w:t>16</w:t>
      </w:r>
      <w:r>
        <w:rPr>
          <w:rFonts w:ascii="Arial" w:eastAsia="Arial" w:hAnsi="Arial" w:cs="Arial"/>
          <w:color w:val="000000"/>
          <w:sz w:val="20"/>
        </w:rPr>
        <w:t xml:space="preserve"> Burnett followed the open-door policy by contacting (acting office manager) Robertshaw to request an accommodation, but to no avail from Robertshaw or any corporate superiors. </w:t>
      </w:r>
      <w:bookmarkStart w:id="2605" w:name="Bookmark_LNHNREFclscc16_3"/>
      <w:bookmarkEnd w:id="2605"/>
      <w:r>
        <w:rPr>
          <w:rFonts w:ascii="Arial" w:eastAsia="Arial" w:hAnsi="Arial" w:cs="Arial"/>
          <w:color w:val="000000"/>
          <w:sz w:val="20"/>
        </w:rPr>
        <w:t xml:space="preserve">As such, a written policy, without more, "is insufficient to insulate an employer from punitive damages liability." </w:t>
      </w:r>
      <w:bookmarkStart w:id="2606" w:name="Bookmark_I61Y0BVH2HM6DB0020000400"/>
      <w:bookmarkEnd w:id="2606"/>
      <w:r>
        <w:rPr>
          <w:rFonts w:ascii="Arial" w:eastAsia="Arial" w:hAnsi="Arial" w:cs="Arial"/>
          <w:color w:val="000000"/>
          <w:sz w:val="20"/>
          <w:u w:val="single"/>
        </w:rPr>
        <w:t>Romano</w:t>
      </w:r>
      <w:r>
        <w:rPr>
          <w:rFonts w:ascii="Arial" w:eastAsia="Arial" w:hAnsi="Arial" w:cs="Arial"/>
          <w:color w:val="000000"/>
          <w:sz w:val="20"/>
        </w:rPr>
        <w:t xml:space="preserve">, 233 F.3d at 670 (rejecting employer's good-faith defense absent evidence that employees were periodically trained on anti-discrimination policies, that supervisors were trained to prevent discrimination, or that anti-discrimination policies were successfully followed). </w:t>
      </w:r>
      <w:bookmarkStart w:id="2607" w:name="Bookmark_I61Y0BVH2HM6DB0050000400_2"/>
      <w:bookmarkEnd w:id="2607"/>
      <w:r>
        <w:rPr>
          <w:rFonts w:ascii="Arial" w:eastAsia="Arial" w:hAnsi="Arial" w:cs="Arial"/>
          <w:color w:val="000000"/>
          <w:sz w:val="20"/>
        </w:rPr>
        <w:t xml:space="preserve">Second, Darsaoui's admission of her obligation to take seriously a request for an accommodation could lead a reasonable [**26]  jury to conclude that Appellants knew their failure to respond to Burnett's request was a violation of the law. </w:t>
      </w:r>
      <w:r>
        <w:rPr>
          <w:rFonts w:ascii="Arial" w:eastAsia="Arial" w:hAnsi="Arial" w:cs="Arial"/>
          <w:color w:val="000000"/>
          <w:sz w:val="20"/>
          <w:u w:val="single"/>
        </w:rPr>
        <w:t xml:space="preserve">See </w:t>
      </w:r>
      <w:bookmarkStart w:id="2608" w:name="Bookmark_I61Y0BVH2HM6DB0040000400"/>
      <w:bookmarkEnd w:id="2608"/>
      <w:r>
        <w:rPr>
          <w:rFonts w:ascii="Arial" w:eastAsia="Arial" w:hAnsi="Arial" w:cs="Arial"/>
          <w:color w:val="000000"/>
          <w:sz w:val="20"/>
          <w:u w:val="single"/>
        </w:rPr>
        <w:t>Rodriguez-Torres</w:t>
      </w:r>
      <w:r>
        <w:rPr>
          <w:rFonts w:ascii="Arial" w:eastAsia="Arial" w:hAnsi="Arial" w:cs="Arial"/>
          <w:color w:val="000000"/>
          <w:sz w:val="20"/>
        </w:rPr>
        <w:t xml:space="preserve">, 399 F.3d at 64-65 (concluding that supervisor's testimony that he was aware of signs posted throughout the facility regarding discrimination laws and employees' rights could lead a reasonable jury to conclude he understood that firing an employee on the basis of gender violated federal law); </w:t>
      </w:r>
      <w:r>
        <w:rPr>
          <w:rFonts w:ascii="Arial" w:eastAsia="Arial" w:hAnsi="Arial" w:cs="Arial"/>
          <w:color w:val="000000"/>
          <w:sz w:val="20"/>
          <w:u w:val="single"/>
        </w:rPr>
        <w:t xml:space="preserve">see also </w:t>
      </w:r>
      <w:bookmarkStart w:id="2609" w:name="Bookmark_I61Y0BVH2N1RHJ0010000400"/>
      <w:bookmarkEnd w:id="2609"/>
      <w:r>
        <w:rPr>
          <w:rFonts w:ascii="Arial" w:eastAsia="Arial" w:hAnsi="Arial" w:cs="Arial"/>
          <w:color w:val="000000"/>
          <w:sz w:val="20"/>
          <w:u w:val="single"/>
        </w:rPr>
        <w:t>E.E.O.C. v. Fed. Express Corp.</w:t>
      </w:r>
      <w:r>
        <w:rPr>
          <w:rFonts w:ascii="Arial" w:eastAsia="Arial" w:hAnsi="Arial" w:cs="Arial"/>
          <w:color w:val="000000"/>
          <w:sz w:val="20"/>
        </w:rPr>
        <w:t>, 513 F.3d 360, 375-76 (4th Cir. 2008) (holding that evidence that senior employees knew of disabled employee's requested accommodation and were put on notice of his filing of a disability discrimination charge with the EEOC, yet didn't take any steps to ensure his supervisor consulted the company's human resources manual on the ADA and its reasonable accommodations requirement or was adequately prepared to implement the company's ADA compliance policy, was sufficient to support jury's finding that the employer failed to engage in good-faith efforts to implement its ADA-compliance policy requiring reasonable accommodations for disabled employees, thus justifying a punitive damages award). Finally, after confirming with Mooney that the doors were ADA-compliant "when the building was built," Darsaoui did not inquire further into [**27]  the date the building was built and whether the doors remained compliant at the time of Burnett's request. Ultimately, Burnett's pleas simply went unanswered. In sum, there was adequate evidence that Appellants acted with reckless indifference to support the award for punitive damages.</w:t>
      </w:r>
      <w:r>
        <w:rPr>
          <w:rFonts w:ascii="Arial" w:eastAsia="Arial" w:hAnsi="Arial" w:cs="Arial"/>
          <w:vertAlign w:val="superscript"/>
        </w:rPr>
        <w:footnoteReference w:customMarkFollows="1" w:id="122"/>
        <w:t>17</w:t>
      </w:r>
    </w:p>
    <w:p w14:paraId="73D40F31" w14:textId="77777777" w:rsidR="002B10A6" w:rsidRDefault="00000000">
      <w:pPr>
        <w:pStyle w:val="Normal15"/>
        <w:widowControl w:val="0"/>
        <w:spacing w:before="200" w:line="260" w:lineRule="atLeast"/>
        <w:jc w:val="both"/>
      </w:pPr>
      <w:bookmarkStart w:id="2616" w:name="Bookmark_para_42_5"/>
      <w:bookmarkEnd w:id="2616"/>
      <w:r>
        <w:rPr>
          <w:rFonts w:ascii="Arial" w:eastAsia="Arial" w:hAnsi="Arial" w:cs="Arial"/>
          <w:color w:val="000000"/>
          <w:sz w:val="20"/>
        </w:rPr>
        <w:t> [*72]  In conclusion, all three of Appellants' judgment-as-a-matter-of-law claims must fail.</w:t>
      </w:r>
    </w:p>
    <w:p w14:paraId="2957C17D" w14:textId="77777777" w:rsidR="002B10A6" w:rsidRDefault="00000000">
      <w:pPr>
        <w:pStyle w:val="Normal15"/>
        <w:widowControl w:val="0"/>
        <w:spacing w:before="240" w:line="260" w:lineRule="atLeast"/>
      </w:pPr>
      <w:r>
        <w:br/>
      </w:r>
      <w:r>
        <w:rPr>
          <w:rFonts w:ascii="Arial" w:eastAsia="Arial" w:hAnsi="Arial" w:cs="Arial"/>
          <w:b/>
          <w:color w:val="000000"/>
          <w:sz w:val="20"/>
        </w:rPr>
        <w:t>New Trial</w:t>
      </w:r>
    </w:p>
    <w:p w14:paraId="26A6A776" w14:textId="77777777" w:rsidR="002B10A6" w:rsidRDefault="00000000">
      <w:pPr>
        <w:pStyle w:val="Normal15"/>
        <w:widowControl w:val="0"/>
        <w:spacing w:before="200" w:line="260" w:lineRule="atLeast"/>
        <w:jc w:val="both"/>
      </w:pPr>
      <w:bookmarkStart w:id="2617" w:name="Bookmark_para_43_4"/>
      <w:bookmarkEnd w:id="2617"/>
      <w:r>
        <w:rPr>
          <w:rFonts w:ascii="Arial" w:eastAsia="Arial" w:hAnsi="Arial" w:cs="Arial"/>
          <w:color w:val="000000"/>
          <w:sz w:val="20"/>
        </w:rPr>
        <w:t>On appeal, Appellants repeat three of the four claims of error they raised below and, to refresh, these are: (1) the first verdict regarding the employment relationship was inconsistent; (2) they were prejudiced by the district court's ruling excluding Mooney from testifying about the 2013/2014 testing of the doors; and (3) they were prejudiced by two improper comments made by Burnett's counsel during closing arguments. Burnett tells us the district court's rulings were correct. We discuss each alleged claim of error in turn.</w:t>
      </w:r>
    </w:p>
    <w:p w14:paraId="6273258B" w14:textId="77777777" w:rsidR="002B10A6" w:rsidRDefault="00000000">
      <w:pPr>
        <w:pStyle w:val="Normal15"/>
        <w:widowControl w:val="0"/>
        <w:spacing w:before="240" w:line="260" w:lineRule="atLeast"/>
      </w:pPr>
      <w:r>
        <w:br/>
      </w:r>
      <w:r>
        <w:rPr>
          <w:rFonts w:ascii="Arial" w:eastAsia="Arial" w:hAnsi="Arial" w:cs="Arial"/>
          <w:b/>
          <w:color w:val="000000"/>
          <w:sz w:val="20"/>
        </w:rPr>
        <w:t>Standard of Review</w:t>
      </w:r>
    </w:p>
    <w:p w14:paraId="767430DE" w14:textId="77777777" w:rsidR="002B10A6" w:rsidRDefault="00000000">
      <w:pPr>
        <w:pStyle w:val="Normal15"/>
        <w:widowControl w:val="0"/>
        <w:spacing w:before="200" w:line="260" w:lineRule="atLeast"/>
        <w:jc w:val="both"/>
      </w:pPr>
      <w:bookmarkStart w:id="2618" w:name="Bookmark_para_44_4"/>
      <w:bookmarkStart w:id="2619" w:name="Bookmark_I61Y0BVJ28T4JM0030000400"/>
      <w:bookmarkStart w:id="2620" w:name="Bookmark_I61Y0BVJ28T4JM0050000400"/>
      <w:bookmarkStart w:id="2621" w:name="Bookmark_LNHNREFclscc17_3"/>
      <w:bookmarkEnd w:id="2618"/>
      <w:bookmarkEnd w:id="2619"/>
      <w:bookmarkEnd w:id="2620"/>
      <w:bookmarkEnd w:id="2621"/>
      <w:r>
        <w:rPr>
          <w:rFonts w:ascii="Arial" w:eastAsia="Arial" w:hAnsi="Arial" w:cs="Arial"/>
          <w:color w:val="000000"/>
          <w:sz w:val="20"/>
        </w:rPr>
        <w:t xml:space="preserve">A district court may grant a new trial "only if the verdict is against the law, against the weight of the credible evidence, or tantamount to a miscarriage of justice." </w:t>
      </w:r>
      <w:bookmarkStart w:id="2622" w:name="Bookmark_I61Y0BVJ28T4JM0020000400"/>
      <w:bookmarkEnd w:id="2622"/>
      <w:r>
        <w:rPr>
          <w:rFonts w:ascii="Arial" w:eastAsia="Arial" w:hAnsi="Arial" w:cs="Arial"/>
          <w:color w:val="000000"/>
          <w:sz w:val="20"/>
          <w:u w:val="single"/>
        </w:rPr>
        <w:t>Sánchez v. Foley</w:t>
      </w:r>
      <w:r>
        <w:rPr>
          <w:rFonts w:ascii="Arial" w:eastAsia="Arial" w:hAnsi="Arial" w:cs="Arial"/>
          <w:color w:val="000000"/>
          <w:sz w:val="20"/>
        </w:rPr>
        <w:t xml:space="preserve">, 972 F.3d 1, 16 (1st Cir. 2020) (internal quotation marks and citation omitted); </w:t>
      </w:r>
      <w:r>
        <w:rPr>
          <w:rFonts w:ascii="Arial" w:eastAsia="Arial" w:hAnsi="Arial" w:cs="Arial"/>
          <w:color w:val="000000"/>
          <w:sz w:val="20"/>
          <w:u w:val="single"/>
        </w:rPr>
        <w:t>see also</w:t>
      </w:r>
      <w:r>
        <w:rPr>
          <w:rFonts w:ascii="Arial" w:eastAsia="Arial" w:hAnsi="Arial" w:cs="Arial"/>
          <w:color w:val="000000"/>
          <w:sz w:val="20"/>
        </w:rPr>
        <w:t xml:space="preserve"> Fed. R. Civ. P. 59(a). </w:t>
      </w:r>
      <w:bookmarkStart w:id="2623" w:name="Bookmark_I61Y0BVJ2HM6DJ0020000400"/>
      <w:bookmarkEnd w:id="2623"/>
      <w:r>
        <w:rPr>
          <w:rFonts w:ascii="Arial" w:eastAsia="Arial" w:hAnsi="Arial" w:cs="Arial"/>
          <w:color w:val="000000"/>
          <w:sz w:val="20"/>
        </w:rPr>
        <w:t xml:space="preserve">We review the denial of such a motion [**28]  for abuse of discretion. </w:t>
      </w:r>
      <w:bookmarkStart w:id="2624" w:name="Bookmark_I61Y0BVJ2HM6DJ0040000400"/>
      <w:bookmarkEnd w:id="2624"/>
      <w:r>
        <w:rPr>
          <w:rFonts w:ascii="Arial" w:eastAsia="Arial" w:hAnsi="Arial" w:cs="Arial"/>
          <w:color w:val="000000"/>
          <w:sz w:val="20"/>
          <w:u w:val="single"/>
        </w:rPr>
        <w:t xml:space="preserve">See </w:t>
      </w:r>
      <w:bookmarkStart w:id="2625" w:name="Bookmark_I61Y0BVJ28T4JM0040000400"/>
      <w:bookmarkEnd w:id="2625"/>
      <w:r>
        <w:rPr>
          <w:rFonts w:ascii="Arial" w:eastAsia="Arial" w:hAnsi="Arial" w:cs="Arial"/>
          <w:color w:val="000000"/>
          <w:sz w:val="20"/>
          <w:u w:val="single"/>
        </w:rPr>
        <w:t>Rodríguez v. Señor Frog's de la Isla, Inc.</w:t>
      </w:r>
      <w:r>
        <w:rPr>
          <w:rFonts w:ascii="Arial" w:eastAsia="Arial" w:hAnsi="Arial" w:cs="Arial"/>
          <w:color w:val="000000"/>
          <w:sz w:val="20"/>
        </w:rPr>
        <w:t xml:space="preserve">, 642 F.3d 28, 37 (1st Cir. 2011). </w:t>
      </w:r>
      <w:bookmarkStart w:id="2626" w:name="Bookmark_I61Y0BVJ2HM6DJ0040000400_2"/>
      <w:bookmarkStart w:id="2627" w:name="Bookmark_I61Y0BVJ2HM6DJ0020000400_2"/>
      <w:bookmarkStart w:id="2628" w:name="Bookmark_I61Y0BVJ2N1RHV0010000400"/>
      <w:bookmarkEnd w:id="2626"/>
      <w:bookmarkEnd w:id="2627"/>
      <w:bookmarkEnd w:id="2628"/>
      <w:r>
        <w:rPr>
          <w:rFonts w:ascii="Arial" w:eastAsia="Arial" w:hAnsi="Arial" w:cs="Arial"/>
          <w:color w:val="000000"/>
          <w:sz w:val="20"/>
        </w:rPr>
        <w:t xml:space="preserve">In contrast, we review unpreserved claims for plain error, meaning Appellants must show "(1) error which (2) is so clear that a trial judge should act even without an objection and which (3) affects the [appellants'] substantial rights." </w:t>
      </w:r>
      <w:bookmarkStart w:id="2629" w:name="Bookmark_I61Y0BVJ2HM6DJ0010000400"/>
      <w:bookmarkEnd w:id="2629"/>
      <w:r>
        <w:rPr>
          <w:rFonts w:ascii="Arial" w:eastAsia="Arial" w:hAnsi="Arial" w:cs="Arial"/>
          <w:color w:val="000000"/>
          <w:sz w:val="20"/>
          <w:u w:val="single"/>
        </w:rPr>
        <w:t>Bielunas</w:t>
      </w:r>
      <w:r>
        <w:rPr>
          <w:rFonts w:ascii="Arial" w:eastAsia="Arial" w:hAnsi="Arial" w:cs="Arial"/>
          <w:color w:val="000000"/>
          <w:sz w:val="20"/>
        </w:rPr>
        <w:t xml:space="preserve">, 621 F.3d at 78. </w:t>
      </w:r>
      <w:bookmarkStart w:id="2630" w:name="Bookmark_I61Y0BVJ2N1RHV0010000400_2"/>
      <w:bookmarkEnd w:id="2630"/>
      <w:r>
        <w:rPr>
          <w:rFonts w:ascii="Arial" w:eastAsia="Arial" w:hAnsi="Arial" w:cs="Arial"/>
          <w:color w:val="000000"/>
          <w:sz w:val="20"/>
        </w:rPr>
        <w:t xml:space="preserve">The third prong requires a "reasonable probability that, but for the alleged error, the verdict would have been different." </w:t>
      </w:r>
      <w:bookmarkStart w:id="2631" w:name="Bookmark_I61Y0BVJ2HM6DJ0030000400"/>
      <w:bookmarkEnd w:id="2631"/>
      <w:r>
        <w:rPr>
          <w:rFonts w:ascii="Arial" w:eastAsia="Arial" w:hAnsi="Arial" w:cs="Arial"/>
          <w:color w:val="000000"/>
          <w:sz w:val="20"/>
          <w:u w:val="single"/>
        </w:rPr>
        <w:t>Teixeira v. Town of Coventry ex rel. Przybyla</w:t>
      </w:r>
      <w:r>
        <w:rPr>
          <w:rFonts w:ascii="Arial" w:eastAsia="Arial" w:hAnsi="Arial" w:cs="Arial"/>
          <w:color w:val="000000"/>
          <w:sz w:val="20"/>
        </w:rPr>
        <w:t xml:space="preserve">, 882 F.3d 13, 19 (1st Cir. 2018). </w:t>
      </w:r>
      <w:bookmarkStart w:id="2632" w:name="Bookmark_I61Y0BVJ2N1RHV0010000400_3"/>
      <w:bookmarkEnd w:id="2632"/>
      <w:r>
        <w:rPr>
          <w:rFonts w:ascii="Arial" w:eastAsia="Arial" w:hAnsi="Arial" w:cs="Arial"/>
          <w:color w:val="000000"/>
          <w:sz w:val="20"/>
        </w:rPr>
        <w:t xml:space="preserve">We apply the plain error doctrine "stringently" in civil cases and "will reverse only if the error [also (4)] 'seriously affected the fairness, integrity or public reputation of the judicial proceedings.'" </w:t>
      </w:r>
      <w:bookmarkStart w:id="2633" w:name="Bookmark_I61Y0BVJ2HM6DJ0050000400"/>
      <w:bookmarkEnd w:id="2633"/>
      <w:r>
        <w:rPr>
          <w:rFonts w:ascii="Arial" w:eastAsia="Arial" w:hAnsi="Arial" w:cs="Arial"/>
          <w:color w:val="000000"/>
          <w:sz w:val="20"/>
          <w:u w:val="single"/>
        </w:rPr>
        <w:t>Gaydar v. Sociedad Instituto Gineco-Quirurgico y Planificacion</w:t>
      </w:r>
      <w:r>
        <w:rPr>
          <w:rFonts w:ascii="Arial" w:eastAsia="Arial" w:hAnsi="Arial" w:cs="Arial"/>
          <w:color w:val="000000"/>
          <w:sz w:val="20"/>
        </w:rPr>
        <w:t xml:space="preserve">, 345 F.3d 15, 22-23 (1st Cir. 2003) (quoting </w:t>
      </w:r>
      <w:bookmarkStart w:id="2634" w:name="Bookmark_I61Y0BVJ2N1RHV0020000400"/>
      <w:bookmarkEnd w:id="2634"/>
      <w:r>
        <w:rPr>
          <w:rFonts w:ascii="Arial" w:eastAsia="Arial" w:hAnsi="Arial" w:cs="Arial"/>
          <w:color w:val="000000"/>
          <w:sz w:val="20"/>
          <w:u w:val="single"/>
        </w:rPr>
        <w:t>Smith v. Kmart Corp.</w:t>
      </w:r>
      <w:r>
        <w:rPr>
          <w:rFonts w:ascii="Arial" w:eastAsia="Arial" w:hAnsi="Arial" w:cs="Arial"/>
          <w:color w:val="000000"/>
          <w:sz w:val="20"/>
        </w:rPr>
        <w:t>, 177 F.3d 19, 26 (1st Cir. 1999)).</w:t>
      </w:r>
    </w:p>
    <w:p w14:paraId="628399A6" w14:textId="77777777" w:rsidR="002B10A6" w:rsidRDefault="00000000">
      <w:pPr>
        <w:pStyle w:val="Normal15"/>
        <w:widowControl w:val="0"/>
        <w:spacing w:before="240" w:line="260" w:lineRule="atLeast"/>
      </w:pPr>
      <w:r>
        <w:br/>
      </w:r>
      <w:r>
        <w:rPr>
          <w:rFonts w:ascii="Arial" w:eastAsia="Arial" w:hAnsi="Arial" w:cs="Arial"/>
          <w:b/>
          <w:color w:val="000000"/>
          <w:sz w:val="20"/>
        </w:rPr>
        <w:t>Discussion</w:t>
      </w:r>
    </w:p>
    <w:p w14:paraId="6DAA6FCF" w14:textId="77777777" w:rsidR="002B10A6" w:rsidRDefault="00000000">
      <w:pPr>
        <w:pStyle w:val="Normal15"/>
        <w:widowControl w:val="0"/>
        <w:spacing w:before="240" w:line="260" w:lineRule="atLeast"/>
      </w:pPr>
      <w:r>
        <w:br/>
      </w:r>
      <w:r>
        <w:rPr>
          <w:rFonts w:ascii="Arial" w:eastAsia="Arial" w:hAnsi="Arial" w:cs="Arial"/>
          <w:b/>
          <w:color w:val="000000"/>
          <w:sz w:val="20"/>
        </w:rPr>
        <w:t>1. Inconsistent Verdict</w:t>
      </w:r>
    </w:p>
    <w:p w14:paraId="3E9057BA" w14:textId="77777777" w:rsidR="002B10A6" w:rsidRDefault="00000000">
      <w:pPr>
        <w:pStyle w:val="Normal15"/>
        <w:widowControl w:val="0"/>
        <w:spacing w:before="200" w:line="260" w:lineRule="atLeast"/>
        <w:jc w:val="both"/>
      </w:pPr>
      <w:bookmarkStart w:id="2635" w:name="Bookmark_para_45_4"/>
      <w:bookmarkStart w:id="2636" w:name="Bookmark_I61Y0BVJ2N1RHV0050000400"/>
      <w:bookmarkStart w:id="2637" w:name="Bookmark_I61Y0BVK2N1RHX0040000400"/>
      <w:bookmarkEnd w:id="2635"/>
      <w:bookmarkEnd w:id="2636"/>
      <w:bookmarkEnd w:id="2637"/>
      <w:r>
        <w:rPr>
          <w:rFonts w:ascii="Arial" w:eastAsia="Arial" w:hAnsi="Arial" w:cs="Arial"/>
          <w:color w:val="000000"/>
          <w:sz w:val="20"/>
        </w:rPr>
        <w:t>Appellants' first claim of error is that the verdict that Ocean Properties and AmeriPort were Burnett's single integrated employer and joint employers was inconsistent because Ocean Properties could only be liable under a single-integrated-employer theory or joint-employer theory, but not both.</w:t>
      </w:r>
      <w:r>
        <w:rPr>
          <w:rFonts w:ascii="Arial" w:eastAsia="Arial" w:hAnsi="Arial" w:cs="Arial"/>
          <w:vertAlign w:val="superscript"/>
        </w:rPr>
        <w:footnoteReference w:customMarkFollows="1" w:id="123"/>
        <w:t>18</w:t>
      </w:r>
      <w:r>
        <w:rPr>
          <w:rFonts w:ascii="Arial" w:eastAsia="Arial" w:hAnsi="Arial" w:cs="Arial"/>
          <w:color w:val="000000"/>
          <w:sz w:val="20"/>
        </w:rPr>
        <w:t xml:space="preserve"> </w:t>
      </w:r>
      <w:bookmarkStart w:id="2640" w:name="Bookmark_LNHNREFclscc18_0"/>
      <w:bookmarkEnd w:id="2640"/>
      <w:r>
        <w:rPr>
          <w:rFonts w:ascii="Arial" w:eastAsia="Arial" w:hAnsi="Arial" w:cs="Arial"/>
          <w:color w:val="000000"/>
          <w:sz w:val="20"/>
        </w:rPr>
        <w:t xml:space="preserve">"This Circuit follows the iron-clad rule that a party 'waives [the issue of] inconsistency if it fails to object after the verdict is read and before the jury is dismissed.'" </w:t>
      </w:r>
      <w:bookmarkStart w:id="2641" w:name="Bookmark_I61Y0BVJ2N1RHV0040000400"/>
      <w:bookmarkEnd w:id="2641"/>
      <w:r>
        <w:rPr>
          <w:rFonts w:ascii="Arial" w:eastAsia="Arial" w:hAnsi="Arial" w:cs="Arial"/>
          <w:color w:val="000000"/>
          <w:sz w:val="20"/>
          <w:u w:val="single"/>
        </w:rPr>
        <w:t>Wennik v. Polygram Grp. Distrib., Inc.</w:t>
      </w:r>
      <w:r>
        <w:rPr>
          <w:rFonts w:ascii="Arial" w:eastAsia="Arial" w:hAnsi="Arial" w:cs="Arial"/>
          <w:color w:val="000000"/>
          <w:sz w:val="20"/>
        </w:rPr>
        <w:t xml:space="preserve">, 304 F.3d 123, 130 (1st Cir. 2002) (alteration in original) (quoting </w:t>
      </w:r>
      <w:bookmarkStart w:id="2642" w:name="Bookmark_I61Y0BVK2N1RHX0010000400"/>
      <w:bookmarkEnd w:id="2642"/>
      <w:r>
        <w:rPr>
          <w:rFonts w:ascii="Arial" w:eastAsia="Arial" w:hAnsi="Arial" w:cs="Arial"/>
          <w:color w:val="000000"/>
          <w:sz w:val="20"/>
          <w:u w:val="single"/>
        </w:rPr>
        <w:t>Toucet v. Mar. Overseas Corp.</w:t>
      </w:r>
      <w:r>
        <w:rPr>
          <w:rFonts w:ascii="Arial" w:eastAsia="Arial" w:hAnsi="Arial" w:cs="Arial"/>
          <w:color w:val="000000"/>
          <w:sz w:val="20"/>
        </w:rPr>
        <w:t xml:space="preserve">, 991 F.2d 5, 8  [*73]  (1st Cir. 1993)). "This is because the 'only efficient time to [**29]  cure the problem is after the jury announces its results and before it is excused, and it is the responsibility of counsel to make timely objection.'" </w:t>
      </w:r>
      <w:bookmarkStart w:id="2643" w:name="Bookmark_I61Y0BVK2N1RHX0030000400"/>
      <w:bookmarkEnd w:id="2643"/>
      <w:r>
        <w:rPr>
          <w:rFonts w:ascii="Arial" w:eastAsia="Arial" w:hAnsi="Arial" w:cs="Arial"/>
          <w:color w:val="000000"/>
          <w:sz w:val="20"/>
          <w:u w:val="single"/>
        </w:rPr>
        <w:t>Toucet</w:t>
      </w:r>
      <w:r>
        <w:rPr>
          <w:rFonts w:ascii="Arial" w:eastAsia="Arial" w:hAnsi="Arial" w:cs="Arial"/>
          <w:color w:val="000000"/>
          <w:sz w:val="20"/>
        </w:rPr>
        <w:t xml:space="preserve">, 991 F.2d at 8 (quoting </w:t>
      </w:r>
      <w:bookmarkStart w:id="2644" w:name="Bookmark_I61Y0BVK2N1RHX0050000400"/>
      <w:bookmarkEnd w:id="2644"/>
      <w:r>
        <w:rPr>
          <w:rFonts w:ascii="Arial" w:eastAsia="Arial" w:hAnsi="Arial" w:cs="Arial"/>
          <w:color w:val="000000"/>
          <w:sz w:val="20"/>
          <w:u w:val="single"/>
        </w:rPr>
        <w:t>Austin v. Lincoln Equip. Assocs.</w:t>
      </w:r>
      <w:r>
        <w:rPr>
          <w:rFonts w:ascii="Arial" w:eastAsia="Arial" w:hAnsi="Arial" w:cs="Arial"/>
          <w:color w:val="000000"/>
          <w:sz w:val="20"/>
        </w:rPr>
        <w:t>, 888 F.2d 934, 939 (1st Cir. 1989)).</w:t>
      </w:r>
    </w:p>
    <w:p w14:paraId="42825A67" w14:textId="77777777" w:rsidR="002B10A6" w:rsidRDefault="00000000">
      <w:pPr>
        <w:pStyle w:val="Normal15"/>
        <w:widowControl w:val="0"/>
        <w:spacing w:before="200" w:line="260" w:lineRule="atLeast"/>
        <w:jc w:val="both"/>
      </w:pPr>
      <w:bookmarkStart w:id="2645" w:name="Bookmark_para_47_3"/>
      <w:bookmarkStart w:id="2646" w:name="Bookmark_I61Y0BVK2N1RHY0030000400"/>
      <w:bookmarkEnd w:id="2645"/>
      <w:bookmarkEnd w:id="2646"/>
      <w:r>
        <w:rPr>
          <w:rFonts w:ascii="Arial" w:eastAsia="Arial" w:hAnsi="Arial" w:cs="Arial"/>
          <w:color w:val="000000"/>
          <w:sz w:val="20"/>
        </w:rPr>
        <w:t xml:space="preserve">When the jury returned with affirmative answers to questions 3 and 4 on the special verdict form, Appellants had "both an opportunity and an obligation" to raise their claim that the verdict was allegedly inconsistent yet failed to do so. </w:t>
      </w:r>
      <w:r>
        <w:rPr>
          <w:rFonts w:ascii="Arial" w:eastAsia="Arial" w:hAnsi="Arial" w:cs="Arial"/>
          <w:color w:val="000000"/>
          <w:sz w:val="20"/>
          <w:u w:val="single"/>
        </w:rPr>
        <w:t xml:space="preserve">See </w:t>
      </w:r>
      <w:bookmarkStart w:id="2647" w:name="Bookmark_I61Y0BVK2N1RHY0020000400"/>
      <w:bookmarkEnd w:id="2647"/>
      <w:r>
        <w:rPr>
          <w:rFonts w:ascii="Arial" w:eastAsia="Arial" w:hAnsi="Arial" w:cs="Arial"/>
          <w:color w:val="000000"/>
          <w:sz w:val="20"/>
          <w:u w:val="single"/>
        </w:rPr>
        <w:t>Trainor v. HEI Hosp., LLC</w:t>
      </w:r>
      <w:r>
        <w:rPr>
          <w:rFonts w:ascii="Arial" w:eastAsia="Arial" w:hAnsi="Arial" w:cs="Arial"/>
          <w:color w:val="000000"/>
          <w:sz w:val="20"/>
        </w:rPr>
        <w:t xml:space="preserve">, 699 F.3d 19, 33-34 (1st Cir. 2012) (deeming inconsistent verdict claim waived where party failed to object when jury returned verdict); </w:t>
      </w:r>
      <w:bookmarkStart w:id="2648" w:name="Bookmark_I61Y0BVK2N1RHY0040000400"/>
      <w:bookmarkEnd w:id="2648"/>
      <w:r>
        <w:rPr>
          <w:rFonts w:ascii="Arial" w:eastAsia="Arial" w:hAnsi="Arial" w:cs="Arial"/>
          <w:color w:val="000000"/>
          <w:sz w:val="20"/>
          <w:u w:val="single"/>
        </w:rPr>
        <w:t>Torres-Arroyo v. Rullan</w:t>
      </w:r>
      <w:r>
        <w:rPr>
          <w:rFonts w:ascii="Arial" w:eastAsia="Arial" w:hAnsi="Arial" w:cs="Arial"/>
          <w:color w:val="000000"/>
          <w:sz w:val="20"/>
        </w:rPr>
        <w:t xml:space="preserve">, 436 F.3d 1, 6 (1st Cir. 2006) (deeming inconsistent verdict claim waived where party failed to object after jury announced verdict but before jury was discharged). </w:t>
      </w:r>
      <w:bookmarkStart w:id="2649" w:name="Bookmark_I61Y0BVM2SF8CX0020000400"/>
      <w:bookmarkEnd w:id="2649"/>
      <w:r>
        <w:rPr>
          <w:rFonts w:ascii="Arial" w:eastAsia="Arial" w:hAnsi="Arial" w:cs="Arial"/>
          <w:color w:val="000000"/>
          <w:sz w:val="20"/>
        </w:rPr>
        <w:t xml:space="preserve">Ocean Properties does not dispute that it did not [**30]  raise this argument before the jury was discharged. Therefore, Ocean Properties has waived its right to challenge the alleged inconsistency of the verdict. </w:t>
      </w:r>
      <w:bookmarkStart w:id="2650" w:name="Bookmark_I61Y0BVM2SF8CX0020000400_2"/>
      <w:bookmarkEnd w:id="2650"/>
      <w:r>
        <w:rPr>
          <w:rFonts w:ascii="Arial" w:eastAsia="Arial" w:hAnsi="Arial" w:cs="Arial"/>
          <w:color w:val="000000"/>
          <w:sz w:val="20"/>
          <w:u w:val="single"/>
        </w:rPr>
        <w:t xml:space="preserve">See </w:t>
      </w:r>
      <w:bookmarkStart w:id="2651" w:name="Bookmark_I61Y0BVM2SF8CX0010000400"/>
      <w:bookmarkEnd w:id="2651"/>
      <w:r>
        <w:rPr>
          <w:rFonts w:ascii="Arial" w:eastAsia="Arial" w:hAnsi="Arial" w:cs="Arial"/>
          <w:color w:val="000000"/>
          <w:sz w:val="20"/>
          <w:u w:val="single"/>
        </w:rPr>
        <w:t>Uphoff Figueroa v. Alejandro</w:t>
      </w:r>
      <w:r>
        <w:rPr>
          <w:rFonts w:ascii="Arial" w:eastAsia="Arial" w:hAnsi="Arial" w:cs="Arial"/>
          <w:color w:val="000000"/>
          <w:sz w:val="20"/>
        </w:rPr>
        <w:t>, 597 F.3d 423, 435 n.15 (1st Cir. 2010) (deeming inconsistent verdict claim waived where appellant "does not dispute that he did not object before the jury was discharged").</w:t>
      </w:r>
    </w:p>
    <w:p w14:paraId="1DD30779" w14:textId="77777777" w:rsidR="002B10A6" w:rsidRDefault="00000000">
      <w:pPr>
        <w:pStyle w:val="Normal15"/>
        <w:widowControl w:val="0"/>
        <w:spacing w:before="200" w:line="260" w:lineRule="atLeast"/>
        <w:jc w:val="both"/>
      </w:pPr>
      <w:bookmarkStart w:id="2652" w:name="Bookmark_para_48_3"/>
      <w:bookmarkStart w:id="2653" w:name="Bookmark_I61Y0BVM2SF8CX0040000400"/>
      <w:bookmarkEnd w:id="2652"/>
      <w:bookmarkEnd w:id="2653"/>
      <w:r>
        <w:rPr>
          <w:rFonts w:ascii="Arial" w:eastAsia="Arial" w:hAnsi="Arial" w:cs="Arial"/>
          <w:color w:val="000000"/>
          <w:sz w:val="20"/>
        </w:rPr>
        <w:t xml:space="preserve">Indeed, Ocean Properties engaged in a second waiver when it did not object to the district judge's proposed response to the jurors' note regarding jury interrogatory questions 3 and 4. </w:t>
      </w:r>
      <w:r>
        <w:rPr>
          <w:rFonts w:ascii="Arial" w:eastAsia="Arial" w:hAnsi="Arial" w:cs="Arial"/>
          <w:color w:val="000000"/>
          <w:sz w:val="20"/>
          <w:u w:val="single"/>
        </w:rPr>
        <w:t xml:space="preserve">See </w:t>
      </w:r>
      <w:bookmarkStart w:id="2654" w:name="Bookmark_I61Y0BVM2SF8CX0030000400"/>
      <w:bookmarkEnd w:id="2654"/>
      <w:r>
        <w:rPr>
          <w:rFonts w:ascii="Arial" w:eastAsia="Arial" w:hAnsi="Arial" w:cs="Arial"/>
          <w:color w:val="000000"/>
          <w:sz w:val="20"/>
          <w:u w:val="single"/>
        </w:rPr>
        <w:t>Toucet</w:t>
      </w:r>
      <w:r>
        <w:rPr>
          <w:rFonts w:ascii="Arial" w:eastAsia="Arial" w:hAnsi="Arial" w:cs="Arial"/>
          <w:color w:val="000000"/>
          <w:sz w:val="20"/>
        </w:rPr>
        <w:t xml:space="preserve">, 991 F.2d at 9 (noting that appellant had "ample opportunity to 'portend possible verdict inconsistency'" and "should have been alerted by the use of the special verdict form alone" (quoting </w:t>
      </w:r>
      <w:bookmarkStart w:id="2655" w:name="Bookmark_I61Y0BVM2SF8CX0050000400"/>
      <w:bookmarkEnd w:id="2655"/>
      <w:r>
        <w:rPr>
          <w:rFonts w:ascii="Arial" w:eastAsia="Arial" w:hAnsi="Arial" w:cs="Arial"/>
          <w:color w:val="000000"/>
          <w:sz w:val="20"/>
          <w:u w:val="single"/>
        </w:rPr>
        <w:t>Austin</w:t>
      </w:r>
      <w:r>
        <w:rPr>
          <w:rFonts w:ascii="Arial" w:eastAsia="Arial" w:hAnsi="Arial" w:cs="Arial"/>
          <w:color w:val="000000"/>
          <w:sz w:val="20"/>
        </w:rPr>
        <w:t>, 888 F.2d at 939)). If Ocean Properties thought there was any inconsistency, it should have spoken up then.</w:t>
      </w:r>
      <w:r>
        <w:rPr>
          <w:rFonts w:ascii="Arial" w:eastAsia="Arial" w:hAnsi="Arial" w:cs="Arial"/>
          <w:vertAlign w:val="superscript"/>
        </w:rPr>
        <w:footnoteReference w:customMarkFollows="1" w:id="124"/>
        <w:t>19</w:t>
      </w:r>
    </w:p>
    <w:p w14:paraId="43D26F92" w14:textId="77777777" w:rsidR="002B10A6" w:rsidRDefault="00000000">
      <w:pPr>
        <w:pStyle w:val="Normal15"/>
        <w:widowControl w:val="0"/>
        <w:spacing w:before="240" w:line="260" w:lineRule="atLeast"/>
      </w:pPr>
      <w:r>
        <w:br/>
      </w:r>
      <w:r>
        <w:rPr>
          <w:rFonts w:ascii="Arial" w:eastAsia="Arial" w:hAnsi="Arial" w:cs="Arial"/>
          <w:b/>
          <w:color w:val="000000"/>
          <w:sz w:val="20"/>
        </w:rPr>
        <w:t>2. Mooney's Testimony</w:t>
      </w:r>
    </w:p>
    <w:p w14:paraId="7B0EF9DE" w14:textId="77777777" w:rsidR="002B10A6" w:rsidRDefault="00000000">
      <w:pPr>
        <w:pStyle w:val="Normal15"/>
        <w:widowControl w:val="0"/>
        <w:spacing w:before="200" w:line="260" w:lineRule="atLeast"/>
        <w:jc w:val="both"/>
      </w:pPr>
      <w:bookmarkStart w:id="2659" w:name="Bookmark_para_49_2"/>
      <w:bookmarkStart w:id="2660" w:name="Bookmark_I1YTM4542JY0000PTMW00006"/>
      <w:bookmarkStart w:id="2661" w:name="Bookmark_I61Y0BVM2SF8CY0050000400"/>
      <w:bookmarkEnd w:id="2659"/>
      <w:bookmarkEnd w:id="2660"/>
      <w:bookmarkEnd w:id="2661"/>
      <w:r>
        <w:rPr>
          <w:rFonts w:ascii="Arial" w:eastAsia="Arial" w:hAnsi="Arial" w:cs="Arial"/>
          <w:color w:val="000000"/>
          <w:sz w:val="20"/>
        </w:rPr>
        <w:t xml:space="preserve">Appellants' second claim of error is the district court's ruling excluding Mooney from testifying about the 2013/2014 testing of the doors because Mooney had already been listed as a trial witness in discovery and his testimony was essential to Appellants' defense that they reasonably accommodated Burnett because the doors were ADA-compliant. </w:t>
      </w:r>
      <w:bookmarkStart w:id="2662" w:name="Bookmark_LNHNREFclscc19_0"/>
      <w:bookmarkEnd w:id="2662"/>
      <w:r>
        <w:rPr>
          <w:rFonts w:ascii="Arial" w:eastAsia="Arial" w:hAnsi="Arial" w:cs="Arial"/>
          <w:color w:val="000000"/>
          <w:sz w:val="20"/>
        </w:rPr>
        <w:t>"If a party fails to provide information or identify a witness as required [**31]  by Rule 26(a) or (e), the party is not allowed to use that information or witness to supply evidence . . . at a trial, unless the failure . . . is harmless."</w:t>
      </w:r>
      <w:r>
        <w:rPr>
          <w:rFonts w:ascii="Arial" w:eastAsia="Arial" w:hAnsi="Arial" w:cs="Arial"/>
          <w:vertAlign w:val="superscript"/>
        </w:rPr>
        <w:footnoteReference w:customMarkFollows="1" w:id="125"/>
        <w:t>20</w:t>
      </w:r>
      <w:r>
        <w:rPr>
          <w:rFonts w:ascii="Arial" w:eastAsia="Arial" w:hAnsi="Arial" w:cs="Arial"/>
          <w:color w:val="000000"/>
          <w:sz w:val="20"/>
        </w:rPr>
        <w:t xml:space="preserve"> Fed. R. Civ. P. 37(c)(1).  [*74]  When reviewing a district court's decision to exclude evidence as a Rule 37 sanction, we consider various factors, through an abuse of discretion lens, </w:t>
      </w:r>
      <w:r>
        <w:rPr>
          <w:rFonts w:ascii="Arial" w:eastAsia="Arial" w:hAnsi="Arial" w:cs="Arial"/>
          <w:color w:val="000000"/>
          <w:sz w:val="20"/>
          <w:u w:val="single"/>
        </w:rPr>
        <w:t xml:space="preserve">see </w:t>
      </w:r>
      <w:bookmarkStart w:id="2665" w:name="Bookmark_I61Y0BVM2SF8CY0040000400"/>
      <w:bookmarkEnd w:id="2665"/>
      <w:r>
        <w:rPr>
          <w:rFonts w:ascii="Arial" w:eastAsia="Arial" w:hAnsi="Arial" w:cs="Arial"/>
          <w:color w:val="000000"/>
          <w:sz w:val="20"/>
          <w:u w:val="single"/>
        </w:rPr>
        <w:t>Lawes v. CSA Architects and Eng'rs LLP</w:t>
      </w:r>
      <w:r>
        <w:rPr>
          <w:rFonts w:ascii="Arial" w:eastAsia="Arial" w:hAnsi="Arial" w:cs="Arial"/>
          <w:color w:val="000000"/>
          <w:sz w:val="20"/>
        </w:rPr>
        <w:t>, 963 F.3d 72, 90 (1st Cir. 2020), including "the sanctioned party's justification for the late disclosure; the opponent-party's ability to overcome its adverse effects (</w:t>
      </w:r>
      <w:r>
        <w:rPr>
          <w:rFonts w:ascii="Arial" w:eastAsia="Arial" w:hAnsi="Arial" w:cs="Arial"/>
          <w:color w:val="000000"/>
          <w:sz w:val="20"/>
          <w:u w:val="single"/>
        </w:rPr>
        <w:t>i.e.</w:t>
      </w:r>
      <w:r>
        <w:rPr>
          <w:rFonts w:ascii="Arial" w:eastAsia="Arial" w:hAnsi="Arial" w:cs="Arial"/>
          <w:color w:val="000000"/>
          <w:sz w:val="20"/>
        </w:rPr>
        <w:t xml:space="preserve">, harmlessness); the history of the litigation; the late disclosure's impact on the district court's docket; and the sanctioned party's need for the precluded evidence." </w:t>
      </w:r>
      <w:bookmarkStart w:id="2666" w:name="Bookmark_I61Y0BVN2HM6DX0010000400"/>
      <w:bookmarkEnd w:id="2666"/>
      <w:r>
        <w:rPr>
          <w:rFonts w:ascii="Arial" w:eastAsia="Arial" w:hAnsi="Arial" w:cs="Arial"/>
          <w:color w:val="000000"/>
          <w:sz w:val="20"/>
          <w:u w:val="single"/>
        </w:rPr>
        <w:t>Harriman v. Hancock Cnty.</w:t>
      </w:r>
      <w:r>
        <w:rPr>
          <w:rFonts w:ascii="Arial" w:eastAsia="Arial" w:hAnsi="Arial" w:cs="Arial"/>
          <w:color w:val="000000"/>
          <w:sz w:val="20"/>
        </w:rPr>
        <w:t xml:space="preserve">, 627 F.3d 22, 30 (1st Cir. 2010) (citing </w:t>
      </w:r>
      <w:bookmarkStart w:id="2667" w:name="Bookmark_I61Y0BVN2HM6DX0030000400"/>
      <w:bookmarkEnd w:id="2667"/>
      <w:r>
        <w:rPr>
          <w:rFonts w:ascii="Arial" w:eastAsia="Arial" w:hAnsi="Arial" w:cs="Arial"/>
          <w:color w:val="000000"/>
          <w:sz w:val="20"/>
          <w:u w:val="single"/>
        </w:rPr>
        <w:t>Esposito v. Home Depot U.S.A., Inc.</w:t>
      </w:r>
      <w:r>
        <w:rPr>
          <w:rFonts w:ascii="Arial" w:eastAsia="Arial" w:hAnsi="Arial" w:cs="Arial"/>
          <w:color w:val="000000"/>
          <w:sz w:val="20"/>
        </w:rPr>
        <w:t xml:space="preserve">, 590 F.3d 72, 76 (1st Cir. 2009)) (applying the </w:t>
      </w:r>
      <w:r>
        <w:rPr>
          <w:rFonts w:ascii="Arial" w:eastAsia="Arial" w:hAnsi="Arial" w:cs="Arial"/>
          <w:color w:val="000000"/>
          <w:sz w:val="20"/>
          <w:u w:val="single"/>
        </w:rPr>
        <w:t>Esposito</w:t>
      </w:r>
      <w:r>
        <w:rPr>
          <w:rFonts w:ascii="Arial" w:eastAsia="Arial" w:hAnsi="Arial" w:cs="Arial"/>
          <w:color w:val="000000"/>
          <w:sz w:val="20"/>
        </w:rPr>
        <w:t xml:space="preserve"> factors to non-expert, Rule 26(a) disclosure requirements).</w:t>
      </w:r>
    </w:p>
    <w:p w14:paraId="0894C4F2" w14:textId="77777777" w:rsidR="002B10A6" w:rsidRDefault="00000000">
      <w:pPr>
        <w:pStyle w:val="Normal15"/>
        <w:widowControl w:val="0"/>
        <w:spacing w:before="200" w:line="260" w:lineRule="atLeast"/>
        <w:jc w:val="both"/>
      </w:pPr>
      <w:bookmarkStart w:id="2668" w:name="Bookmark_para_50_2"/>
      <w:bookmarkEnd w:id="2668"/>
      <w:r>
        <w:rPr>
          <w:rFonts w:ascii="Arial" w:eastAsia="Arial" w:hAnsi="Arial" w:cs="Arial"/>
          <w:color w:val="000000"/>
          <w:sz w:val="20"/>
        </w:rPr>
        <w:t xml:space="preserve">At the outset, Appellants' initial disclosures didn't include all discoverable information Mooney had, as required by Rule 26(a). </w:t>
      </w:r>
      <w:bookmarkStart w:id="2669" w:name="Bookmark_I1YTM45498P0000PTMW00009"/>
      <w:bookmarkStart w:id="2670" w:name="Bookmark_I61Y0BVN2D6NTJ0010000400"/>
      <w:bookmarkEnd w:id="2669"/>
      <w:bookmarkEnd w:id="2670"/>
      <w:r>
        <w:rPr>
          <w:rFonts w:ascii="Arial" w:eastAsia="Arial" w:hAnsi="Arial" w:cs="Arial"/>
          <w:color w:val="000000"/>
          <w:sz w:val="20"/>
        </w:rPr>
        <w:t xml:space="preserve">Appellants had disclosed that the doors were tested and deemed ADA-compliant when the building was built (recall that this was Mooney's response to Darsaoui's e-mail, and that e-mail was timely disclosed to Burnett). However, Appellants waited until the eve of trial to disclose that Mooney tested the doors in 2013/2014; in fact, Appellants conceded below that they should have disclosed this [**32]  information sooner. </w:t>
      </w:r>
      <w:bookmarkStart w:id="2671" w:name="Bookmark_I61Y0BVN2D6NTJ0030000400"/>
      <w:bookmarkEnd w:id="2671"/>
      <w:r>
        <w:rPr>
          <w:rFonts w:ascii="Arial" w:eastAsia="Arial" w:hAnsi="Arial" w:cs="Arial"/>
          <w:color w:val="000000"/>
          <w:sz w:val="20"/>
        </w:rPr>
        <w:t xml:space="preserve">As such, the </w:t>
      </w:r>
      <w:bookmarkStart w:id="2672" w:name="Bookmark_I61Y0BVN2D6NTJ0030000400_2"/>
      <w:bookmarkStart w:id="2673" w:name="Bookmark_I61Y0BVN2D6NTJ0010000400_2"/>
      <w:bookmarkStart w:id="2674" w:name="Bookmark_I61Y0BVN2HM6DX0050000400"/>
      <w:bookmarkEnd w:id="2672"/>
      <w:bookmarkEnd w:id="2673"/>
      <w:bookmarkEnd w:id="2674"/>
      <w:r>
        <w:rPr>
          <w:rFonts w:ascii="Arial" w:eastAsia="Arial" w:hAnsi="Arial" w:cs="Arial"/>
          <w:color w:val="000000"/>
          <w:sz w:val="20"/>
          <w:u w:val="single"/>
        </w:rPr>
        <w:t>Esposito</w:t>
      </w:r>
      <w:r>
        <w:rPr>
          <w:rFonts w:ascii="Arial" w:eastAsia="Arial" w:hAnsi="Arial" w:cs="Arial"/>
          <w:color w:val="000000"/>
          <w:sz w:val="20"/>
        </w:rPr>
        <w:t xml:space="preserve"> factors mainly cut against Appellants. According to Appellants, the excluded testimony was instrumental to their defense to establish that they "reasonably accommodated Burnett's disability by supplying him with handicapped accessible doors," but "[r]eversals based on a sanctioned party's need for precluded evidence are rare, and seldom based on that factor alone." </w:t>
      </w:r>
      <w:bookmarkStart w:id="2675" w:name="Bookmark_I61Y0BVN2D6NTJ0020000400"/>
      <w:bookmarkEnd w:id="2675"/>
      <w:r>
        <w:rPr>
          <w:rFonts w:ascii="Arial" w:eastAsia="Arial" w:hAnsi="Arial" w:cs="Arial"/>
          <w:color w:val="000000"/>
          <w:sz w:val="20"/>
          <w:u w:val="single"/>
        </w:rPr>
        <w:t>Harriman</w:t>
      </w:r>
      <w:r>
        <w:rPr>
          <w:rFonts w:ascii="Arial" w:eastAsia="Arial" w:hAnsi="Arial" w:cs="Arial"/>
          <w:color w:val="000000"/>
          <w:sz w:val="20"/>
        </w:rPr>
        <w:t>, 627 F.3d at 32 (noting that reversal was warranted in one case where "the parties agreed that preclusion was tantamount to dismissal").</w:t>
      </w:r>
    </w:p>
    <w:p w14:paraId="4E541ECD" w14:textId="77777777" w:rsidR="002B10A6" w:rsidRDefault="00000000">
      <w:pPr>
        <w:pStyle w:val="Normal15"/>
        <w:widowControl w:val="0"/>
        <w:spacing w:before="200" w:line="260" w:lineRule="atLeast"/>
        <w:jc w:val="both"/>
      </w:pPr>
      <w:bookmarkStart w:id="2676" w:name="Bookmark_para_51_2"/>
      <w:bookmarkEnd w:id="2676"/>
      <w:r>
        <w:rPr>
          <w:rFonts w:ascii="Arial" w:eastAsia="Arial" w:hAnsi="Arial" w:cs="Arial"/>
          <w:color w:val="000000"/>
          <w:sz w:val="20"/>
        </w:rPr>
        <w:t>Citing Federal Rule of Civil Procedure 26(e), Appellants argue that Burnett was not harmed by the late disclosure because Mooney was listed as a trial witness by both parties and Burnett already knew the doors were tested. But, again, Appellants had only disclosed to Burnett that the doors were tested and found compliant at the time the building was built, not once again in 2013/2014.</w:t>
      </w:r>
    </w:p>
    <w:p w14:paraId="0C2E82BB" w14:textId="77777777" w:rsidR="002B10A6" w:rsidRDefault="00000000">
      <w:pPr>
        <w:pStyle w:val="Normal15"/>
        <w:widowControl w:val="0"/>
        <w:spacing w:before="200" w:line="260" w:lineRule="atLeast"/>
        <w:jc w:val="both"/>
      </w:pPr>
      <w:bookmarkStart w:id="2677" w:name="Bookmark_para_52_2"/>
      <w:bookmarkStart w:id="2678" w:name="Bookmark_I61Y0BVN2D6NTJ0050000400"/>
      <w:bookmarkEnd w:id="2677"/>
      <w:bookmarkEnd w:id="2678"/>
      <w:r>
        <w:rPr>
          <w:rFonts w:ascii="Arial" w:eastAsia="Arial" w:hAnsi="Arial" w:cs="Arial"/>
          <w:color w:val="000000"/>
          <w:sz w:val="20"/>
        </w:rPr>
        <w:t xml:space="preserve">Appellants now minimize their discovery violation as a "shortcoming . . . attributable solely to [Burnett's] decision not to depose Mooney or further pursue during discovery information related to Mooney's work." This attempt to blame Burnett is unsuccessful because the Federal Rules required Appellants to timely disclose [**33]  the information and Appellants' failure to do so prevented Burnett from fully preparing his case (i.e., designating an expert and testing the doors). </w:t>
      </w:r>
      <w:r>
        <w:rPr>
          <w:rFonts w:ascii="Arial" w:eastAsia="Arial" w:hAnsi="Arial" w:cs="Arial"/>
          <w:color w:val="000000"/>
          <w:sz w:val="20"/>
          <w:u w:val="single"/>
        </w:rPr>
        <w:t xml:space="preserve">See </w:t>
      </w:r>
      <w:bookmarkStart w:id="2679" w:name="Bookmark_I61Y0BVN2D6NTJ0040000400"/>
      <w:bookmarkEnd w:id="2679"/>
      <w:r>
        <w:rPr>
          <w:rFonts w:ascii="Arial" w:eastAsia="Arial" w:hAnsi="Arial" w:cs="Arial"/>
          <w:color w:val="000000"/>
          <w:sz w:val="20"/>
          <w:u w:val="single"/>
        </w:rPr>
        <w:t>Esposito</w:t>
      </w:r>
      <w:r>
        <w:rPr>
          <w:rFonts w:ascii="Arial" w:eastAsia="Arial" w:hAnsi="Arial" w:cs="Arial"/>
          <w:color w:val="000000"/>
          <w:sz w:val="20"/>
        </w:rPr>
        <w:t>, 590 F.3d at 78 (noting that "the rules require formal disclosure for a reason: without it, parties . . . may be hindered in their ability to prepare effectively for trial"). Moreover, because Appellants had not disclosed Mooney's recent testing of the doors, Burnett could not have been reasonably expected to depose Mooney or pursue discovery concerning Mooney's work. Appellants further claim they were prejudiced because they had informed the jury during opening statements that Mooney was going to testify about the 2013/2014 testing of the doors, but it was Appellants' voluntary opening statement revealing surprising information which prompted Burnett's objection and  [*75]  which triggered the district court's discretionary ruling. Having placed themselves in this foreseeable position, Appellants cannot now complain of the consequences. Lastly, Appellants were at liberty to still call Mooney as a witness as long as they did not question him about his 2013/2014 testing of the doors.</w:t>
      </w:r>
    </w:p>
    <w:p w14:paraId="6F59F4C1" w14:textId="77777777" w:rsidR="002B10A6" w:rsidRDefault="00000000">
      <w:pPr>
        <w:pStyle w:val="Normal15"/>
        <w:widowControl w:val="0"/>
        <w:spacing w:before="200" w:line="260" w:lineRule="atLeast"/>
        <w:jc w:val="both"/>
      </w:pPr>
      <w:bookmarkStart w:id="2680" w:name="Bookmark_para_53_2"/>
      <w:bookmarkStart w:id="2681" w:name="Bookmark_I61Y0BVN2HM6F00020000400"/>
      <w:bookmarkEnd w:id="2680"/>
      <w:bookmarkEnd w:id="2681"/>
      <w:r>
        <w:rPr>
          <w:rFonts w:ascii="Arial" w:eastAsia="Arial" w:hAnsi="Arial" w:cs="Arial"/>
          <w:color w:val="000000"/>
          <w:sz w:val="20"/>
        </w:rPr>
        <w:t xml:space="preserve">In sum, the district court's decision to exclude the testimony was not an [**34]  abuse of discretion, particularly when this was the "baseline" sanction and the district court did not impose additional sanctions. </w:t>
      </w:r>
      <w:bookmarkStart w:id="2682" w:name="Bookmark_I61Y0BVN2HM6F00010000400"/>
      <w:bookmarkEnd w:id="2682"/>
      <w:r>
        <w:rPr>
          <w:rFonts w:ascii="Arial" w:eastAsia="Arial" w:hAnsi="Arial" w:cs="Arial"/>
          <w:color w:val="000000"/>
          <w:sz w:val="20"/>
          <w:u w:val="single"/>
        </w:rPr>
        <w:t>Santiago-Diaz v. Laboratorio Clinico y de Referencia del Este</w:t>
      </w:r>
      <w:r>
        <w:rPr>
          <w:rFonts w:ascii="Arial" w:eastAsia="Arial" w:hAnsi="Arial" w:cs="Arial"/>
          <w:color w:val="000000"/>
          <w:sz w:val="20"/>
        </w:rPr>
        <w:t>, 456 F.3d 272, 276 (1st Cir. 2006).</w:t>
      </w:r>
    </w:p>
    <w:p w14:paraId="690F927C" w14:textId="77777777" w:rsidR="002B10A6" w:rsidRDefault="00000000">
      <w:pPr>
        <w:pStyle w:val="Normal15"/>
        <w:widowControl w:val="0"/>
        <w:spacing w:before="240" w:line="260" w:lineRule="atLeast"/>
      </w:pPr>
      <w:r>
        <w:br/>
      </w:r>
      <w:r>
        <w:rPr>
          <w:rFonts w:ascii="Arial" w:eastAsia="Arial" w:hAnsi="Arial" w:cs="Arial"/>
          <w:b/>
          <w:color w:val="000000"/>
          <w:sz w:val="20"/>
        </w:rPr>
        <w:t>3. Closing Arguments</w:t>
      </w:r>
    </w:p>
    <w:p w14:paraId="1573A15A" w14:textId="77777777" w:rsidR="002B10A6" w:rsidRDefault="00000000">
      <w:pPr>
        <w:pStyle w:val="Normal15"/>
        <w:widowControl w:val="0"/>
        <w:spacing w:before="200" w:line="260" w:lineRule="atLeast"/>
        <w:jc w:val="both"/>
      </w:pPr>
      <w:bookmarkStart w:id="2683" w:name="Bookmark_para_54_2"/>
      <w:bookmarkEnd w:id="2683"/>
      <w:r>
        <w:rPr>
          <w:rFonts w:ascii="Arial" w:eastAsia="Arial" w:hAnsi="Arial" w:cs="Arial"/>
          <w:color w:val="000000"/>
          <w:sz w:val="20"/>
        </w:rPr>
        <w:t>The third claim of error alleged by Appellants, as best we can discern, is that the district court failed to grant a new trial based on two comments made by Burnett's counsel during closing arguments. According to Appellants, the verdict was so contrary to the weight of the evidence, there is little doubt the comments poisoned the jury. We discuss each challenged comment in order.</w:t>
      </w:r>
    </w:p>
    <w:p w14:paraId="1001A84E" w14:textId="77777777" w:rsidR="002B10A6" w:rsidRDefault="00000000">
      <w:pPr>
        <w:pStyle w:val="Normal15"/>
        <w:widowControl w:val="0"/>
        <w:spacing w:before="240" w:line="260" w:lineRule="atLeast"/>
      </w:pPr>
      <w:r>
        <w:br/>
      </w:r>
      <w:r>
        <w:rPr>
          <w:rFonts w:ascii="Arial" w:eastAsia="Arial" w:hAnsi="Arial" w:cs="Arial"/>
          <w:b/>
          <w:color w:val="000000"/>
          <w:sz w:val="20"/>
        </w:rPr>
        <w:t>a. Golden Rule</w:t>
      </w:r>
    </w:p>
    <w:p w14:paraId="2AA26B10" w14:textId="77777777" w:rsidR="002B10A6" w:rsidRDefault="00000000">
      <w:pPr>
        <w:pStyle w:val="Normal15"/>
        <w:widowControl w:val="0"/>
        <w:spacing w:before="200" w:line="260" w:lineRule="atLeast"/>
        <w:jc w:val="both"/>
      </w:pPr>
      <w:bookmarkStart w:id="2684" w:name="Bookmark_para_55_1"/>
      <w:bookmarkEnd w:id="2684"/>
      <w:r>
        <w:rPr>
          <w:rFonts w:ascii="Arial" w:eastAsia="Arial" w:hAnsi="Arial" w:cs="Arial"/>
          <w:color w:val="000000"/>
          <w:sz w:val="20"/>
        </w:rPr>
        <w:t>The first challenged comment is:</w:t>
      </w:r>
    </w:p>
    <w:p w14:paraId="33F21D87" w14:textId="77777777" w:rsidR="002B10A6" w:rsidRDefault="00000000">
      <w:pPr>
        <w:pStyle w:val="Normal15"/>
        <w:widowControl w:val="0"/>
        <w:spacing w:line="260" w:lineRule="atLeast"/>
        <w:ind w:left="400"/>
        <w:jc w:val="both"/>
      </w:pPr>
      <w:bookmarkStart w:id="2685" w:name="Bookmark_para_56_1"/>
      <w:bookmarkEnd w:id="2685"/>
      <w:r>
        <w:rPr>
          <w:rFonts w:ascii="Arial" w:eastAsia="Arial" w:hAnsi="Arial" w:cs="Arial"/>
          <w:color w:val="000000"/>
          <w:sz w:val="20"/>
        </w:rPr>
        <w:t>For that period of two years, he dreaded it not just the days he would go, but can you imagine -- I mean sometimes we all dread going to work, you know, after a weekend or something, but for him it was that much worse because it just was a reminder every workday that he's disabled, people are looking at me, I feel ashamed, ignored and like I don't matter, and that's exactly why we're asking you to award damages . . . .</w:t>
      </w:r>
      <w:r>
        <w:rPr>
          <w:rFonts w:ascii="Arial" w:eastAsia="Arial" w:hAnsi="Arial" w:cs="Arial"/>
          <w:vertAlign w:val="superscript"/>
        </w:rPr>
        <w:footnoteReference w:customMarkFollows="1" w:id="126"/>
        <w:t>21</w:t>
      </w:r>
    </w:p>
    <w:p w14:paraId="6A63A047" w14:textId="77777777" w:rsidR="002B10A6" w:rsidRDefault="00000000">
      <w:pPr>
        <w:pStyle w:val="Normal15"/>
        <w:widowControl w:val="0"/>
        <w:spacing w:line="260" w:lineRule="atLeast"/>
        <w:jc w:val="both"/>
      </w:pPr>
      <w:r>
        <w:rPr>
          <w:rFonts w:ascii="Arial" w:eastAsia="Arial" w:hAnsi="Arial" w:cs="Arial"/>
          <w:color w:val="000000"/>
          <w:sz w:val="20"/>
        </w:rPr>
        <w:t>As mentioned, Appellants preserved this challenge at trial by interrupting counsel to lodge a "Golden Rule" (defined momentarily) objection, which the district court overruled.</w:t>
      </w:r>
    </w:p>
    <w:p w14:paraId="0B08B4A3" w14:textId="77777777" w:rsidR="002B10A6" w:rsidRDefault="00000000">
      <w:pPr>
        <w:pStyle w:val="Normal15"/>
        <w:widowControl w:val="0"/>
        <w:spacing w:before="200" w:line="260" w:lineRule="atLeast"/>
        <w:jc w:val="both"/>
      </w:pPr>
      <w:bookmarkStart w:id="2687" w:name="Bookmark_para_57_1"/>
      <w:bookmarkStart w:id="2688" w:name="Bookmark_I61Y0BVN2HM6F00040000400"/>
      <w:bookmarkEnd w:id="2687"/>
      <w:bookmarkEnd w:id="2688"/>
      <w:r>
        <w:rPr>
          <w:rFonts w:ascii="Arial" w:eastAsia="Arial" w:hAnsi="Arial" w:cs="Arial"/>
          <w:color w:val="000000"/>
          <w:sz w:val="20"/>
        </w:rPr>
        <w:t xml:space="preserve">Appellants now argue [**35]  that this comment violated the Golden Rule and was so prejudicial that it amounted to reversible error. </w:t>
      </w:r>
      <w:bookmarkStart w:id="2689" w:name="Bookmark_LNHNREFclscc20_0"/>
      <w:bookmarkEnd w:id="2689"/>
      <w:r>
        <w:rPr>
          <w:rFonts w:ascii="Arial" w:eastAsia="Arial" w:hAnsi="Arial" w:cs="Arial"/>
          <w:color w:val="000000"/>
          <w:sz w:val="20"/>
        </w:rPr>
        <w:t xml:space="preserve">The "Golden Rule" prohibits attorneys from suggesting that jurors place themselves in the shoes of the plaintiff. </w:t>
      </w:r>
      <w:bookmarkStart w:id="2690" w:name="Bookmark_I61Y0BVP2N1RJ80010000400"/>
      <w:bookmarkEnd w:id="2690"/>
      <w:r>
        <w:rPr>
          <w:rFonts w:ascii="Arial" w:eastAsia="Arial" w:hAnsi="Arial" w:cs="Arial"/>
          <w:color w:val="000000"/>
          <w:sz w:val="20"/>
          <w:u w:val="single"/>
        </w:rPr>
        <w:t xml:space="preserve">See </w:t>
      </w:r>
      <w:bookmarkStart w:id="2691" w:name="Bookmark_I61Y0BVN2HM6F00030000400"/>
      <w:bookmarkEnd w:id="2691"/>
      <w:r>
        <w:rPr>
          <w:rFonts w:ascii="Arial" w:eastAsia="Arial" w:hAnsi="Arial" w:cs="Arial"/>
          <w:color w:val="000000"/>
          <w:sz w:val="20"/>
          <w:u w:val="single"/>
        </w:rPr>
        <w:t>Granfield v. CSX Transp., Inc.</w:t>
      </w:r>
      <w:r>
        <w:rPr>
          <w:rFonts w:ascii="Arial" w:eastAsia="Arial" w:hAnsi="Arial" w:cs="Arial"/>
          <w:color w:val="000000"/>
          <w:sz w:val="20"/>
        </w:rPr>
        <w:t xml:space="preserve">, 597 F.3d 474, 491 (1st Cir. 2010). </w:t>
      </w:r>
      <w:bookmarkStart w:id="2692" w:name="Bookmark_I61Y0BVP2N1RJ80010000400_2"/>
      <w:bookmarkEnd w:id="2692"/>
      <w:r>
        <w:rPr>
          <w:rFonts w:ascii="Arial" w:eastAsia="Arial" w:hAnsi="Arial" w:cs="Arial"/>
          <w:color w:val="000000"/>
          <w:sz w:val="20"/>
        </w:rPr>
        <w:t xml:space="preserve">Drawing from the maxim to "do unto others as you would have them do unto you," the Golden Rule prohibits jurors from treating plaintiffs the way jurors would want to be treated. </w:t>
      </w:r>
      <w:bookmarkStart w:id="2693" w:name="Bookmark_I61Y0BVP2N1RJ80030000400"/>
      <w:bookmarkEnd w:id="2693"/>
      <w:r>
        <w:rPr>
          <w:rFonts w:ascii="Arial" w:eastAsia="Arial" w:hAnsi="Arial" w:cs="Arial"/>
          <w:color w:val="000000"/>
          <w:sz w:val="20"/>
        </w:rPr>
        <w:t xml:space="preserve">This practice "has been 'universally condemned because it encourages the jury to depart from neutrality and to decide the case on the basis of personal interest and bias rather than on evidence.'" </w:t>
      </w:r>
      <w:r>
        <w:rPr>
          <w:rFonts w:ascii="Arial" w:eastAsia="Arial" w:hAnsi="Arial" w:cs="Arial"/>
          <w:color w:val="000000"/>
          <w:sz w:val="20"/>
          <w:u w:val="single"/>
        </w:rPr>
        <w:t>Id.</w:t>
      </w:r>
      <w:r>
        <w:rPr>
          <w:rFonts w:ascii="Arial" w:eastAsia="Arial" w:hAnsi="Arial" w:cs="Arial"/>
          <w:color w:val="000000"/>
          <w:sz w:val="20"/>
        </w:rPr>
        <w:t xml:space="preserve"> (quoting </w:t>
      </w:r>
      <w:bookmarkStart w:id="2694" w:name="Bookmark_I61Y0BVN2HM6F00050000400"/>
      <w:bookmarkEnd w:id="2694"/>
      <w:r>
        <w:rPr>
          <w:rFonts w:ascii="Arial" w:eastAsia="Arial" w:hAnsi="Arial" w:cs="Arial"/>
          <w:color w:val="000000"/>
          <w:sz w:val="20"/>
          <w:u w:val="single"/>
        </w:rPr>
        <w:t>Forrestal v. Magendantz</w:t>
      </w:r>
      <w:r>
        <w:rPr>
          <w:rFonts w:ascii="Arial" w:eastAsia="Arial" w:hAnsi="Arial" w:cs="Arial"/>
          <w:color w:val="000000"/>
          <w:sz w:val="20"/>
        </w:rPr>
        <w:t xml:space="preserve">, 848 F.2d 303, 309 (1st Cir. 1988)). </w:t>
      </w:r>
      <w:bookmarkStart w:id="2695" w:name="Bookmark_I61Y0BVP2N1RJ80030000400_2"/>
      <w:bookmarkStart w:id="2696" w:name="Bookmark_I61Y0BVP2N1RJ80050000400"/>
      <w:bookmarkEnd w:id="2695"/>
      <w:bookmarkEnd w:id="2696"/>
      <w:r>
        <w:rPr>
          <w:rFonts w:ascii="Arial" w:eastAsia="Arial" w:hAnsi="Arial" w:cs="Arial"/>
          <w:color w:val="000000"/>
          <w:sz w:val="20"/>
        </w:rPr>
        <w:t xml:space="preserve">Though prohibited, Golden Rule arguments are not </w:t>
      </w:r>
      <w:r>
        <w:rPr>
          <w:rFonts w:ascii="Arial" w:eastAsia="Arial" w:hAnsi="Arial" w:cs="Arial"/>
          <w:color w:val="000000"/>
          <w:sz w:val="20"/>
          <w:u w:val="single"/>
        </w:rPr>
        <w:t>per se</w:t>
      </w:r>
      <w:r>
        <w:rPr>
          <w:rFonts w:ascii="Arial" w:eastAsia="Arial" w:hAnsi="Arial" w:cs="Arial"/>
          <w:color w:val="000000"/>
          <w:sz w:val="20"/>
        </w:rPr>
        <w:t xml:space="preserve"> reversible error. </w:t>
      </w:r>
      <w:bookmarkStart w:id="2697" w:name="Bookmark_I61Y0BVP2SF8D50040000400"/>
      <w:bookmarkEnd w:id="2697"/>
      <w:r>
        <w:rPr>
          <w:rFonts w:ascii="Arial" w:eastAsia="Arial" w:hAnsi="Arial" w:cs="Arial"/>
          <w:color w:val="000000"/>
          <w:sz w:val="20"/>
          <w:u w:val="single"/>
        </w:rPr>
        <w:t xml:space="preserve">See </w:t>
      </w:r>
      <w:bookmarkStart w:id="2698" w:name="Bookmark_I61Y0BVP2N1RJ80020000400"/>
      <w:bookmarkEnd w:id="2698"/>
      <w:r>
        <w:rPr>
          <w:rFonts w:ascii="Arial" w:eastAsia="Arial" w:hAnsi="Arial" w:cs="Arial"/>
          <w:color w:val="000000"/>
          <w:sz w:val="20"/>
          <w:u w:val="single"/>
        </w:rPr>
        <w:t>id.</w:t>
      </w:r>
      <w:r>
        <w:rPr>
          <w:rFonts w:ascii="Arial" w:eastAsia="Arial" w:hAnsi="Arial" w:cs="Arial"/>
          <w:color w:val="000000"/>
          <w:sz w:val="20"/>
        </w:rPr>
        <w:t xml:space="preserve"> at 491. </w:t>
      </w:r>
      <w:bookmarkStart w:id="2699" w:name="Bookmark_I61Y0BVP2SF8D50040000400_2"/>
      <w:bookmarkStart w:id="2700" w:name="Bookmark_I61Y0BVP2N1RJ80050000400_2"/>
      <w:bookmarkEnd w:id="2699"/>
      <w:bookmarkEnd w:id="2700"/>
      <w:r>
        <w:rPr>
          <w:rFonts w:ascii="Arial" w:eastAsia="Arial" w:hAnsi="Arial" w:cs="Arial"/>
          <w:color w:val="000000"/>
          <w:sz w:val="20"/>
        </w:rPr>
        <w:t xml:space="preserve">We consider "the totality of the circumstances, which '[f]irst and foremost [recognizes] the deference due the district court's judgment,'" </w:t>
      </w:r>
      <w:bookmarkStart w:id="2701" w:name="Bookmark_I61Y0BVP2N1RJ80040000400"/>
      <w:bookmarkEnd w:id="2701"/>
      <w:r>
        <w:rPr>
          <w:rFonts w:ascii="Arial" w:eastAsia="Arial" w:hAnsi="Arial" w:cs="Arial"/>
          <w:color w:val="000000"/>
          <w:sz w:val="20"/>
          <w:u w:val="single"/>
        </w:rPr>
        <w:t>id.</w:t>
      </w:r>
      <w:r>
        <w:rPr>
          <w:rFonts w:ascii="Arial" w:eastAsia="Arial" w:hAnsi="Arial" w:cs="Arial"/>
          <w:color w:val="000000"/>
          <w:sz w:val="20"/>
        </w:rPr>
        <w:t xml:space="preserve"> at 490-91, 492 (alterations in original) (quoting </w:t>
      </w:r>
      <w:bookmarkStart w:id="2702" w:name="Bookmark_I61Y0BVP2SF8D50010000400"/>
      <w:bookmarkEnd w:id="2702"/>
      <w:r>
        <w:rPr>
          <w:rFonts w:ascii="Arial" w:eastAsia="Arial" w:hAnsi="Arial" w:cs="Arial"/>
          <w:color w:val="000000"/>
          <w:sz w:val="20"/>
          <w:u w:val="single"/>
        </w:rPr>
        <w:t>Forrestal</w:t>
      </w:r>
      <w:r>
        <w:rPr>
          <w:rFonts w:ascii="Arial" w:eastAsia="Arial" w:hAnsi="Arial" w:cs="Arial"/>
          <w:color w:val="000000"/>
          <w:sz w:val="20"/>
        </w:rPr>
        <w:t xml:space="preserve">, 848 F.2d at 309), to assess the effect of counsel's comment. </w:t>
      </w:r>
      <w:bookmarkStart w:id="2703" w:name="Bookmark_I61Y0BVP2D6NTM0010000400"/>
      <w:bookmarkEnd w:id="2703"/>
      <w:r>
        <w:rPr>
          <w:rFonts w:ascii="Arial" w:eastAsia="Arial" w:hAnsi="Arial" w:cs="Arial"/>
          <w:color w:val="000000"/>
          <w:sz w:val="20"/>
        </w:rPr>
        <w:t xml:space="preserve">Other factors we consider in our totality-of-the-circumstances analysis include: "(1) the nature of the comment[]; (2) [its] frequency; (3) [its] possible relevance to the real issues before the jury; (4) the manner in which the parties and the court treated the comment[]; (5) the strength [**36]  of the case; and (6) the verdict itself." </w:t>
      </w:r>
      <w:bookmarkStart w:id="2704" w:name="Bookmark_I61Y0BVP2SF8D50030000400"/>
      <w:bookmarkEnd w:id="2704"/>
      <w:r>
        <w:rPr>
          <w:rFonts w:ascii="Arial" w:eastAsia="Arial" w:hAnsi="Arial" w:cs="Arial"/>
          <w:color w:val="000000"/>
          <w:sz w:val="20"/>
          <w:u w:val="single"/>
        </w:rPr>
        <w:t>Id.</w:t>
      </w:r>
      <w:r>
        <w:rPr>
          <w:rFonts w:ascii="Arial" w:eastAsia="Arial" w:hAnsi="Arial" w:cs="Arial"/>
          <w:color w:val="000000"/>
          <w:sz w:val="20"/>
        </w:rPr>
        <w:t xml:space="preserve"> at 490. </w:t>
      </w:r>
      <w:bookmarkStart w:id="2705" w:name="Bookmark_I61Y0BVP2D6NTM0010000400_2"/>
      <w:bookmarkEnd w:id="2705"/>
      <w:r>
        <w:rPr>
          <w:rFonts w:ascii="Arial" w:eastAsia="Arial" w:hAnsi="Arial" w:cs="Arial"/>
          <w:color w:val="000000"/>
          <w:sz w:val="20"/>
        </w:rPr>
        <w:t xml:space="preserve">As a reminder, we review for abuse of discretion. </w:t>
      </w:r>
      <w:r>
        <w:rPr>
          <w:rFonts w:ascii="Arial" w:eastAsia="Arial" w:hAnsi="Arial" w:cs="Arial"/>
          <w:color w:val="000000"/>
          <w:sz w:val="20"/>
          <w:u w:val="single"/>
        </w:rPr>
        <w:t xml:space="preserve">See </w:t>
      </w:r>
      <w:bookmarkStart w:id="2706" w:name="Bookmark_I61Y0BVP2SF8D50050000400"/>
      <w:bookmarkEnd w:id="2706"/>
      <w:r>
        <w:rPr>
          <w:rFonts w:ascii="Arial" w:eastAsia="Arial" w:hAnsi="Arial" w:cs="Arial"/>
          <w:color w:val="000000"/>
          <w:sz w:val="20"/>
          <w:u w:val="single"/>
        </w:rPr>
        <w:t>Rodriguez</w:t>
      </w:r>
      <w:r>
        <w:rPr>
          <w:rFonts w:ascii="Arial" w:eastAsia="Arial" w:hAnsi="Arial" w:cs="Arial"/>
          <w:color w:val="000000"/>
          <w:sz w:val="20"/>
        </w:rPr>
        <w:t>, 642 F.3d at 37.</w:t>
      </w:r>
    </w:p>
    <w:p w14:paraId="680699D1" w14:textId="77777777" w:rsidR="002B10A6" w:rsidRDefault="00000000">
      <w:pPr>
        <w:pStyle w:val="Normal15"/>
        <w:widowControl w:val="0"/>
        <w:spacing w:before="200" w:line="260" w:lineRule="atLeast"/>
        <w:jc w:val="both"/>
      </w:pPr>
      <w:bookmarkStart w:id="2707" w:name="Bookmark_para_58_1"/>
      <w:bookmarkEnd w:id="2707"/>
      <w:r>
        <w:rPr>
          <w:rFonts w:ascii="Arial" w:eastAsia="Arial" w:hAnsi="Arial" w:cs="Arial"/>
          <w:color w:val="000000"/>
          <w:sz w:val="20"/>
        </w:rPr>
        <w:t xml:space="preserve"> [*76]  </w:t>
      </w:r>
      <w:bookmarkStart w:id="2708" w:name="Bookmark_I61Y0BVP2D6NTM0030000400"/>
      <w:bookmarkEnd w:id="2708"/>
      <w:r>
        <w:rPr>
          <w:rFonts w:ascii="Arial" w:eastAsia="Arial" w:hAnsi="Arial" w:cs="Arial"/>
          <w:color w:val="000000"/>
          <w:sz w:val="20"/>
        </w:rPr>
        <w:t xml:space="preserve">We agree with Appellants that counsel's comment was an inappropriate violation of the Golden Rule. </w:t>
      </w:r>
      <w:bookmarkStart w:id="2709" w:name="Bookmark_LNHNREFclscc21"/>
      <w:bookmarkEnd w:id="2709"/>
      <w:r>
        <w:rPr>
          <w:rFonts w:ascii="Arial" w:eastAsia="Arial" w:hAnsi="Arial" w:cs="Arial"/>
          <w:color w:val="000000"/>
          <w:sz w:val="20"/>
        </w:rPr>
        <w:t xml:space="preserve">"There can be little doubt that suggesting to the jury that it put itself in the shoes of a plaintiff to determine damages is improper argument." </w:t>
      </w:r>
      <w:bookmarkStart w:id="2710" w:name="Bookmark_I61Y0BVP2D6NTM0020000400"/>
      <w:bookmarkEnd w:id="2710"/>
      <w:r>
        <w:rPr>
          <w:rFonts w:ascii="Arial" w:eastAsia="Arial" w:hAnsi="Arial" w:cs="Arial"/>
          <w:color w:val="000000"/>
          <w:sz w:val="20"/>
          <w:u w:val="single"/>
        </w:rPr>
        <w:t>Forrestal</w:t>
      </w:r>
      <w:r>
        <w:rPr>
          <w:rFonts w:ascii="Arial" w:eastAsia="Arial" w:hAnsi="Arial" w:cs="Arial"/>
          <w:color w:val="000000"/>
          <w:sz w:val="20"/>
        </w:rPr>
        <w:t xml:space="preserve">, 848 F.2d at 309 (directing jurors to place themselves in the shoes of plaintiff or his parents and ask themselves "if [plaintiff] were my child, what amount of money would I accept for my child to have [plaintiff's] injuries and afflictions" violated the Golden Rule); </w:t>
      </w:r>
      <w:r>
        <w:rPr>
          <w:rFonts w:ascii="Arial" w:eastAsia="Arial" w:hAnsi="Arial" w:cs="Arial"/>
          <w:color w:val="000000"/>
          <w:sz w:val="20"/>
          <w:u w:val="single"/>
        </w:rPr>
        <w:t xml:space="preserve">see also </w:t>
      </w:r>
      <w:bookmarkStart w:id="2711" w:name="Bookmark_I61Y0BVP2D6NTM0040000400"/>
      <w:bookmarkEnd w:id="2711"/>
      <w:r>
        <w:rPr>
          <w:rFonts w:ascii="Arial" w:eastAsia="Arial" w:hAnsi="Arial" w:cs="Arial"/>
          <w:color w:val="000000"/>
          <w:sz w:val="20"/>
          <w:u w:val="single"/>
        </w:rPr>
        <w:t>Granfield</w:t>
      </w:r>
      <w:r>
        <w:rPr>
          <w:rFonts w:ascii="Arial" w:eastAsia="Arial" w:hAnsi="Arial" w:cs="Arial"/>
          <w:color w:val="000000"/>
          <w:sz w:val="20"/>
        </w:rPr>
        <w:t>, 597 F.3d at 491 (asking jurors to walk in plaintiff's shoes "for just a couple of hours while you're thinking about his case" violated the Golden Rule).</w:t>
      </w:r>
    </w:p>
    <w:p w14:paraId="6047E780" w14:textId="77777777" w:rsidR="002B10A6" w:rsidRDefault="00000000">
      <w:pPr>
        <w:pStyle w:val="Normal15"/>
        <w:widowControl w:val="0"/>
        <w:spacing w:before="200" w:line="260" w:lineRule="atLeast"/>
        <w:jc w:val="both"/>
      </w:pPr>
      <w:bookmarkStart w:id="2712" w:name="Bookmark_para_59_1"/>
      <w:bookmarkStart w:id="2713" w:name="Bookmark_I61Y0BVP2D6NTN0020000400"/>
      <w:bookmarkEnd w:id="2712"/>
      <w:bookmarkEnd w:id="2713"/>
      <w:r>
        <w:rPr>
          <w:rFonts w:ascii="Arial" w:eastAsia="Arial" w:hAnsi="Arial" w:cs="Arial"/>
          <w:color w:val="000000"/>
          <w:sz w:val="20"/>
        </w:rPr>
        <w:t xml:space="preserve">Nevertheless, the totality of the circumstances does not warrant reversal. Although the nature of the comment spoke to a relevant trial issue, i.e., Burnett's pain and suffering damage claim, we note that the improper comment was brief, and counsel did not again violate the Golden Rule after Appellants' objection. </w:t>
      </w:r>
      <w:bookmarkStart w:id="2714" w:name="Bookmark_I61Y0BVP2D6NTN0040000400"/>
      <w:bookmarkEnd w:id="2714"/>
      <w:r>
        <w:rPr>
          <w:rFonts w:ascii="Arial" w:eastAsia="Arial" w:hAnsi="Arial" w:cs="Arial"/>
          <w:color w:val="000000"/>
          <w:sz w:val="20"/>
          <w:u w:val="single"/>
        </w:rPr>
        <w:t xml:space="preserve">See </w:t>
      </w:r>
      <w:bookmarkStart w:id="2715" w:name="Bookmark_I61Y0BVP2D6NTN0010000400"/>
      <w:bookmarkEnd w:id="2715"/>
      <w:r>
        <w:rPr>
          <w:rFonts w:ascii="Arial" w:eastAsia="Arial" w:hAnsi="Arial" w:cs="Arial"/>
          <w:color w:val="000000"/>
          <w:sz w:val="20"/>
          <w:u w:val="single"/>
        </w:rPr>
        <w:t>Granfield</w:t>
      </w:r>
      <w:r>
        <w:rPr>
          <w:rFonts w:ascii="Arial" w:eastAsia="Arial" w:hAnsi="Arial" w:cs="Arial"/>
          <w:color w:val="000000"/>
          <w:sz w:val="20"/>
        </w:rPr>
        <w:t xml:space="preserve">, 597 F.3d at 490-91. </w:t>
      </w:r>
      <w:bookmarkStart w:id="2716" w:name="Bookmark_I61Y0BVP2D6NTN0040000400_2"/>
      <w:bookmarkStart w:id="2717" w:name="Bookmark_I61Y0BVP2HM6F20010000400"/>
      <w:bookmarkEnd w:id="2716"/>
      <w:bookmarkEnd w:id="2717"/>
      <w:r>
        <w:rPr>
          <w:rFonts w:ascii="Arial" w:eastAsia="Arial" w:hAnsi="Arial" w:cs="Arial"/>
          <w:color w:val="000000"/>
          <w:sz w:val="20"/>
        </w:rPr>
        <w:t xml:space="preserve">Additionally, the district court's standard instructions that arguments by counsel are not evidence mitigated any prejudicial effect. [**37]  </w:t>
      </w:r>
      <w:r>
        <w:rPr>
          <w:rFonts w:ascii="Arial" w:eastAsia="Arial" w:hAnsi="Arial" w:cs="Arial"/>
          <w:color w:val="000000"/>
          <w:sz w:val="20"/>
          <w:u w:val="single"/>
        </w:rPr>
        <w:t xml:space="preserve">See </w:t>
      </w:r>
      <w:bookmarkStart w:id="2718" w:name="Bookmark_I61Y0BVP2D6NTN0030000400"/>
      <w:bookmarkEnd w:id="2718"/>
      <w:r>
        <w:rPr>
          <w:rFonts w:ascii="Arial" w:eastAsia="Arial" w:hAnsi="Arial" w:cs="Arial"/>
          <w:color w:val="000000"/>
          <w:sz w:val="20"/>
          <w:u w:val="single"/>
        </w:rPr>
        <w:t>id.</w:t>
      </w:r>
      <w:r>
        <w:rPr>
          <w:rFonts w:ascii="Arial" w:eastAsia="Arial" w:hAnsi="Arial" w:cs="Arial"/>
          <w:color w:val="000000"/>
          <w:sz w:val="20"/>
        </w:rPr>
        <w:t xml:space="preserve"> at 491. </w:t>
      </w:r>
      <w:bookmarkStart w:id="2719" w:name="Bookmark_I61Y0BVP2HM6F20010000400_2"/>
      <w:bookmarkStart w:id="2720" w:name="Bookmark_I61Y0BVP2HM6F20050000400"/>
      <w:bookmarkStart w:id="2721" w:name="Bookmark_LNHNREFclscc22"/>
      <w:bookmarkEnd w:id="2719"/>
      <w:bookmarkEnd w:id="2720"/>
      <w:bookmarkEnd w:id="2721"/>
      <w:r>
        <w:rPr>
          <w:rFonts w:ascii="Arial" w:eastAsia="Arial" w:hAnsi="Arial" w:cs="Arial"/>
          <w:color w:val="000000"/>
          <w:sz w:val="20"/>
        </w:rPr>
        <w:t xml:space="preserve">We have noted that these standard instructions can "dispel any prejudice from improper remarks." </w:t>
      </w:r>
      <w:bookmarkStart w:id="2722" w:name="Bookmark_I61Y0BVP2D6NTN0050000400"/>
      <w:bookmarkEnd w:id="2722"/>
      <w:r>
        <w:rPr>
          <w:rFonts w:ascii="Arial" w:eastAsia="Arial" w:hAnsi="Arial" w:cs="Arial"/>
          <w:color w:val="000000"/>
          <w:sz w:val="20"/>
          <w:u w:val="single"/>
        </w:rPr>
        <w:t>United States v. Ayala-Garcia</w:t>
      </w:r>
      <w:r>
        <w:rPr>
          <w:rFonts w:ascii="Arial" w:eastAsia="Arial" w:hAnsi="Arial" w:cs="Arial"/>
          <w:color w:val="000000"/>
          <w:sz w:val="20"/>
        </w:rPr>
        <w:t xml:space="preserve">, 574 F.3d 5, 21 (1st Cir. 2009); </w:t>
      </w:r>
      <w:r>
        <w:rPr>
          <w:rFonts w:ascii="Arial" w:eastAsia="Arial" w:hAnsi="Arial" w:cs="Arial"/>
          <w:color w:val="000000"/>
          <w:sz w:val="20"/>
          <w:u w:val="single"/>
        </w:rPr>
        <w:t xml:space="preserve">see also </w:t>
      </w:r>
      <w:bookmarkStart w:id="2723" w:name="Bookmark_I61Y0BVP2HM6F20020000400"/>
      <w:bookmarkEnd w:id="2723"/>
      <w:r>
        <w:rPr>
          <w:rFonts w:ascii="Arial" w:eastAsia="Arial" w:hAnsi="Arial" w:cs="Arial"/>
          <w:color w:val="000000"/>
          <w:sz w:val="20"/>
          <w:u w:val="single"/>
        </w:rPr>
        <w:t>Granfield</w:t>
      </w:r>
      <w:r>
        <w:rPr>
          <w:rFonts w:ascii="Arial" w:eastAsia="Arial" w:hAnsi="Arial" w:cs="Arial"/>
          <w:color w:val="000000"/>
          <w:sz w:val="20"/>
        </w:rPr>
        <w:t xml:space="preserve">, 597 F.3d at 491 (holding that the district court's instructions "adequately dealt with" counsel's closing arguments that violated the Golden Rule). </w:t>
      </w:r>
      <w:bookmarkStart w:id="2724" w:name="Bookmark_I61Y0BVP2HM6F20050000400_2"/>
      <w:bookmarkEnd w:id="2724"/>
      <w:r>
        <w:rPr>
          <w:rFonts w:ascii="Arial" w:eastAsia="Arial" w:hAnsi="Arial" w:cs="Arial"/>
          <w:color w:val="000000"/>
          <w:sz w:val="20"/>
        </w:rPr>
        <w:t xml:space="preserve">Lastly, we consider the strength of the case and the verdict itself. </w:t>
      </w:r>
      <w:r>
        <w:rPr>
          <w:rFonts w:ascii="Arial" w:eastAsia="Arial" w:hAnsi="Arial" w:cs="Arial"/>
          <w:color w:val="000000"/>
          <w:sz w:val="20"/>
          <w:u w:val="single"/>
        </w:rPr>
        <w:t xml:space="preserve">See </w:t>
      </w:r>
      <w:bookmarkStart w:id="2725" w:name="Bookmark_I61Y0BVP2HM6F20040000400"/>
      <w:bookmarkEnd w:id="2725"/>
      <w:r>
        <w:rPr>
          <w:rFonts w:ascii="Arial" w:eastAsia="Arial" w:hAnsi="Arial" w:cs="Arial"/>
          <w:color w:val="000000"/>
          <w:sz w:val="20"/>
          <w:u w:val="single"/>
        </w:rPr>
        <w:t>Granfield</w:t>
      </w:r>
      <w:r>
        <w:rPr>
          <w:rFonts w:ascii="Arial" w:eastAsia="Arial" w:hAnsi="Arial" w:cs="Arial"/>
          <w:color w:val="000000"/>
          <w:sz w:val="20"/>
        </w:rPr>
        <w:t xml:space="preserve">, 597 F.3d at 490. Since Burnett was the primary witness, the jury, having returned a verdict in his favor, must have found him credible. As the district judge noted, the jury "really, really liked Mr. Burnett . . . . </w:t>
      </w:r>
      <w:bookmarkStart w:id="2726" w:name="Bookmark_I61Y0BVP2HM6F30020000400"/>
      <w:bookmarkEnd w:id="2726"/>
      <w:r>
        <w:rPr>
          <w:rFonts w:ascii="Arial" w:eastAsia="Arial" w:hAnsi="Arial" w:cs="Arial"/>
          <w:color w:val="000000"/>
          <w:sz w:val="20"/>
        </w:rPr>
        <w:t xml:space="preserve">He was self-effacing. He was not trying to gild the [lily]." Therefore, we can't say that counsel's comment swayed the verdict. </w:t>
      </w:r>
      <w:r>
        <w:rPr>
          <w:rFonts w:ascii="Arial" w:eastAsia="Arial" w:hAnsi="Arial" w:cs="Arial"/>
          <w:color w:val="000000"/>
          <w:sz w:val="20"/>
          <w:u w:val="single"/>
        </w:rPr>
        <w:t xml:space="preserve">See </w:t>
      </w:r>
      <w:bookmarkStart w:id="2727" w:name="Bookmark_I61Y0BVP2HM6F30010000400"/>
      <w:bookmarkEnd w:id="2727"/>
      <w:r>
        <w:rPr>
          <w:rFonts w:ascii="Arial" w:eastAsia="Arial" w:hAnsi="Arial" w:cs="Arial"/>
          <w:color w:val="000000"/>
          <w:sz w:val="20"/>
          <w:u w:val="single"/>
        </w:rPr>
        <w:t>Forrestal</w:t>
      </w:r>
      <w:r>
        <w:rPr>
          <w:rFonts w:ascii="Arial" w:eastAsia="Arial" w:hAnsi="Arial" w:cs="Arial"/>
          <w:color w:val="000000"/>
          <w:sz w:val="20"/>
        </w:rPr>
        <w:t>, 848 F.3d at 310 ("[S]ince the jury here obviously believed [plaintiff's expert witness], this was not a close case. [The expert's] testimony practically compelled a verdict in favor of plaintiff."). To sum up, counsel's comment was improper, but when viewed from the totality of the circumstances vantage, it did not warrant reversal; therefore, the district court did not abuse its discretion.</w:t>
      </w:r>
    </w:p>
    <w:p w14:paraId="41890E04" w14:textId="77777777" w:rsidR="002B10A6" w:rsidRDefault="00000000">
      <w:pPr>
        <w:pStyle w:val="Normal15"/>
        <w:widowControl w:val="0"/>
        <w:spacing w:before="240" w:line="260" w:lineRule="atLeast"/>
      </w:pPr>
      <w:r>
        <w:br/>
      </w:r>
      <w:r>
        <w:rPr>
          <w:rFonts w:ascii="Arial" w:eastAsia="Arial" w:hAnsi="Arial" w:cs="Arial"/>
          <w:b/>
          <w:color w:val="000000"/>
          <w:sz w:val="20"/>
        </w:rPr>
        <w:t>b. Suggested Damages</w:t>
      </w:r>
    </w:p>
    <w:p w14:paraId="41EB743D" w14:textId="77777777" w:rsidR="002B10A6" w:rsidRDefault="00000000">
      <w:pPr>
        <w:pStyle w:val="Normal15"/>
        <w:widowControl w:val="0"/>
        <w:spacing w:before="200" w:line="260" w:lineRule="atLeast"/>
        <w:jc w:val="both"/>
      </w:pPr>
      <w:bookmarkStart w:id="2728" w:name="Bookmark_para_60_1"/>
      <w:bookmarkEnd w:id="2728"/>
      <w:r>
        <w:rPr>
          <w:rFonts w:ascii="Arial" w:eastAsia="Arial" w:hAnsi="Arial" w:cs="Arial"/>
          <w:color w:val="000000"/>
          <w:sz w:val="20"/>
        </w:rPr>
        <w:t>The second challenged comment is:</w:t>
      </w:r>
    </w:p>
    <w:p w14:paraId="00D71843" w14:textId="77777777" w:rsidR="002B10A6" w:rsidRDefault="00000000">
      <w:pPr>
        <w:pStyle w:val="Normal15"/>
        <w:widowControl w:val="0"/>
        <w:spacing w:before="200" w:line="260" w:lineRule="atLeast"/>
        <w:ind w:left="400"/>
        <w:jc w:val="both"/>
      </w:pPr>
      <w:bookmarkStart w:id="2729" w:name="Bookmark_para_61_1"/>
      <w:bookmarkEnd w:id="2729"/>
      <w:r>
        <w:rPr>
          <w:rFonts w:ascii="Arial" w:eastAsia="Arial" w:hAnsi="Arial" w:cs="Arial"/>
          <w:color w:val="000000"/>
          <w:sz w:val="20"/>
        </w:rPr>
        <w:t xml:space="preserve">Maybe it was just someone overlooked something, but how it felt to Ryan is why we're here and the number that you put [**38]  on that, there's nothing specific that I can tell you, which I do recognize makes your job difficult, but what I can say is that we think it's significant. </w:t>
      </w:r>
      <w:r>
        <w:rPr>
          <w:rFonts w:ascii="Arial" w:eastAsia="Arial" w:hAnsi="Arial" w:cs="Arial"/>
          <w:color w:val="000000"/>
          <w:sz w:val="20"/>
          <w:u w:val="single"/>
        </w:rPr>
        <w:t>Do we think it's, you know, 20,000, 50,000</w:t>
      </w:r>
      <w:r>
        <w:rPr>
          <w:rFonts w:ascii="Arial" w:eastAsia="Arial" w:hAnsi="Arial" w:cs="Arial"/>
          <w:color w:val="000000"/>
          <w:sz w:val="20"/>
        </w:rPr>
        <w:t>? I don't know. I think it's more significant, but it's for you to decide exactly what number you would put on this period of time in his life, this [sic] two years, little over two years that he suffered this way every day unnecessarily, again because there's a law that says you can't do this and they broke that law. (Emphasis added.)</w:t>
      </w:r>
    </w:p>
    <w:p w14:paraId="56CA7C7C" w14:textId="77777777" w:rsidR="002B10A6" w:rsidRDefault="00000000">
      <w:pPr>
        <w:pStyle w:val="Normal15"/>
        <w:widowControl w:val="0"/>
        <w:spacing w:before="200" w:line="260" w:lineRule="atLeast"/>
        <w:jc w:val="both"/>
      </w:pPr>
      <w:r>
        <w:rPr>
          <w:rFonts w:ascii="Arial" w:eastAsia="Arial" w:hAnsi="Arial" w:cs="Arial"/>
          <w:color w:val="000000"/>
          <w:sz w:val="20"/>
        </w:rPr>
        <w:t>Appellants concede they did not preserve this challenge at trial. Instead, here's what happened below: The district court spontaneously raised the issue of suggested damages at sidebar at the conclusion of closing arguments. It admonished Burnett's counsel and offered to give a curative instruction, which Appellants turned down to avoid, as they put it, "calling attention to it." Appellants, who had failed to make a contemporaneous objection to counsel's comment, moved for a mistrial but instead of requesting a ruling, they asked the district court to reserve ruling until the jury reached a verdict. Appellants decided that [*77]  if the jury returned a verdict of [**39]  $20,000 or $50,000 in compensatory damages, they would argue the jury was unduly influenced by counsel's comment. Before the jury retired to deliberate, the district court instructed them that their verdict must be based on the evidence and the law, which echoed its earlier standard final instructions that arguments by attorneys are not evidence, as well as its preliminary instructions that closing arguments are not evidence. When the jury returned a verdict for $150,000, Appellants renewed their motion for a mistrial, which was denied.</w:t>
      </w:r>
    </w:p>
    <w:p w14:paraId="31167917" w14:textId="77777777" w:rsidR="002B10A6" w:rsidRDefault="00000000">
      <w:pPr>
        <w:pStyle w:val="Normal15"/>
        <w:widowControl w:val="0"/>
        <w:spacing w:before="200" w:line="260" w:lineRule="atLeast"/>
        <w:jc w:val="both"/>
      </w:pPr>
      <w:bookmarkStart w:id="2730" w:name="Bookmark_para_62_1"/>
      <w:bookmarkStart w:id="2731" w:name="Bookmark_I61Y0BVP2HM6F30040000400"/>
      <w:bookmarkStart w:id="2732" w:name="Bookmark_I61Y0BVP28T4K90030000400"/>
      <w:bookmarkStart w:id="2733" w:name="Bookmark_I61Y0BVR2D6NTS0020000400"/>
      <w:bookmarkEnd w:id="2730"/>
      <w:bookmarkEnd w:id="2731"/>
      <w:bookmarkEnd w:id="2732"/>
      <w:bookmarkEnd w:id="2733"/>
      <w:r>
        <w:rPr>
          <w:rFonts w:ascii="Arial" w:eastAsia="Arial" w:hAnsi="Arial" w:cs="Arial"/>
          <w:color w:val="000000"/>
          <w:sz w:val="20"/>
        </w:rPr>
        <w:t>On appeal, Appellants argue that this comment amounted to plain error.</w:t>
      </w:r>
      <w:r>
        <w:rPr>
          <w:rFonts w:ascii="Arial" w:eastAsia="Arial" w:hAnsi="Arial" w:cs="Arial"/>
          <w:vertAlign w:val="superscript"/>
        </w:rPr>
        <w:footnoteReference w:customMarkFollows="1" w:id="127"/>
        <w:t>22</w:t>
      </w:r>
      <w:r>
        <w:rPr>
          <w:rFonts w:ascii="Arial" w:eastAsia="Arial" w:hAnsi="Arial" w:cs="Arial"/>
          <w:color w:val="000000"/>
          <w:sz w:val="20"/>
        </w:rPr>
        <w:t xml:space="preserve"> Unlike in many state courts and in other federal circuits, </w:t>
      </w:r>
      <w:bookmarkStart w:id="2737" w:name="Bookmark_LNHNREFclscc23"/>
      <w:bookmarkEnd w:id="2737"/>
      <w:r>
        <w:rPr>
          <w:rFonts w:ascii="Arial" w:eastAsia="Arial" w:hAnsi="Arial" w:cs="Arial"/>
          <w:color w:val="000000"/>
          <w:sz w:val="20"/>
        </w:rPr>
        <w:t>attorneys in the First Circuit are not permitted to suggest to the jury how much to award in damages.</w:t>
      </w:r>
      <w:r>
        <w:rPr>
          <w:rFonts w:ascii="Arial" w:eastAsia="Arial" w:hAnsi="Arial" w:cs="Arial"/>
          <w:vertAlign w:val="superscript"/>
        </w:rPr>
        <w:footnoteReference w:customMarkFollows="1" w:id="128"/>
        <w:t>23</w:t>
      </w:r>
      <w:r>
        <w:rPr>
          <w:rFonts w:ascii="Arial" w:eastAsia="Arial" w:hAnsi="Arial" w:cs="Arial"/>
          <w:color w:val="000000"/>
          <w:sz w:val="20"/>
        </w:rPr>
        <w:t xml:space="preserve"> Therefore, it's clear that Appellants have demonstrated that Burnett plainly erred. </w:t>
      </w:r>
      <w:bookmarkStart w:id="2741" w:name="Bookmark_I1YTM454F0W0000PTMW0000C"/>
      <w:bookmarkStart w:id="2742" w:name="Bookmark_I61Y0BVP28T4K90010000400"/>
      <w:bookmarkEnd w:id="2741"/>
      <w:bookmarkEnd w:id="2742"/>
      <w:r>
        <w:rPr>
          <w:rFonts w:ascii="Arial" w:eastAsia="Arial" w:hAnsi="Arial" w:cs="Arial"/>
          <w:color w:val="000000"/>
          <w:sz w:val="20"/>
          <w:u w:val="single"/>
        </w:rPr>
        <w:t xml:space="preserve">See </w:t>
      </w:r>
      <w:bookmarkStart w:id="2743" w:name="Bookmark_I61Y0BVP2HM6F30030000400"/>
      <w:bookmarkEnd w:id="2743"/>
      <w:r>
        <w:rPr>
          <w:rFonts w:ascii="Arial" w:eastAsia="Arial" w:hAnsi="Arial" w:cs="Arial"/>
          <w:color w:val="000000"/>
          <w:sz w:val="20"/>
          <w:u w:val="single"/>
        </w:rPr>
        <w:t>Bielunas</w:t>
      </w:r>
      <w:r>
        <w:rPr>
          <w:rFonts w:ascii="Arial" w:eastAsia="Arial" w:hAnsi="Arial" w:cs="Arial"/>
          <w:color w:val="000000"/>
          <w:sz w:val="20"/>
        </w:rPr>
        <w:t xml:space="preserve">, 621 F.3d at 78. This case turns on whether Appellants can satisfy the third and fourth prongs, which, as a reminder, are (3) whether the error affects Appellants' substantial rights (this requires a reasonable probability that, if it wasn't for the alleged error, the verdict would have been different), and (4) whether it seriously affected the fairness, [**40]  integrity, or public reputation of the trial. </w:t>
      </w:r>
      <w:bookmarkStart w:id="2744" w:name="Bookmark_I61Y0BVP28T4K90010000400_2"/>
      <w:bookmarkEnd w:id="2744"/>
      <w:r>
        <w:rPr>
          <w:rFonts w:ascii="Arial" w:eastAsia="Arial" w:hAnsi="Arial" w:cs="Arial"/>
          <w:color w:val="000000"/>
          <w:sz w:val="20"/>
          <w:u w:val="single"/>
        </w:rPr>
        <w:t xml:space="preserve">See </w:t>
      </w:r>
      <w:bookmarkStart w:id="2745" w:name="Bookmark_I61Y0BVP2HM6F30050000400"/>
      <w:bookmarkEnd w:id="2745"/>
      <w:r>
        <w:rPr>
          <w:rFonts w:ascii="Arial" w:eastAsia="Arial" w:hAnsi="Arial" w:cs="Arial"/>
          <w:color w:val="000000"/>
          <w:sz w:val="20"/>
          <w:u w:val="single"/>
        </w:rPr>
        <w:t>id.</w:t>
      </w:r>
    </w:p>
    <w:p w14:paraId="463036B4" w14:textId="77777777" w:rsidR="002B10A6" w:rsidRDefault="00000000">
      <w:pPr>
        <w:pStyle w:val="Normal15"/>
        <w:widowControl w:val="0"/>
        <w:spacing w:before="200" w:line="260" w:lineRule="atLeast"/>
        <w:jc w:val="both"/>
      </w:pPr>
      <w:bookmarkStart w:id="2746" w:name="Bookmark_para_63_1"/>
      <w:bookmarkStart w:id="2747" w:name="Bookmark_I61Y0BVR2D6NTT0010000400"/>
      <w:bookmarkEnd w:id="2746"/>
      <w:bookmarkEnd w:id="2747"/>
      <w:r>
        <w:rPr>
          <w:rFonts w:ascii="Arial" w:eastAsia="Arial" w:hAnsi="Arial" w:cs="Arial"/>
          <w:color w:val="000000"/>
          <w:sz w:val="20"/>
        </w:rPr>
        <w:t xml:space="preserve">Appellants have failed to show there is a reasonable probability the jury would have returned a different damage award if counsel had not suggested any ballpark figure. </w:t>
      </w:r>
      <w:bookmarkStart w:id="2748" w:name="Bookmark_I61Y0BVR2D6NTT0030000400"/>
      <w:bookmarkEnd w:id="2748"/>
      <w:r>
        <w:rPr>
          <w:rFonts w:ascii="Arial" w:eastAsia="Arial" w:hAnsi="Arial" w:cs="Arial"/>
          <w:color w:val="000000"/>
          <w:sz w:val="20"/>
        </w:rPr>
        <w:t xml:space="preserve">As a result, Appellants have not shown prejudice. </w:t>
      </w:r>
      <w:r>
        <w:rPr>
          <w:rFonts w:ascii="Arial" w:eastAsia="Arial" w:hAnsi="Arial" w:cs="Arial"/>
          <w:color w:val="000000"/>
          <w:sz w:val="20"/>
          <w:u w:val="single"/>
        </w:rPr>
        <w:t xml:space="preserve">See </w:t>
      </w:r>
      <w:bookmarkStart w:id="2749" w:name="Bookmark_I61Y0BVR2D6NTS0050000400"/>
      <w:bookmarkEnd w:id="2749"/>
      <w:r>
        <w:rPr>
          <w:rFonts w:ascii="Arial" w:eastAsia="Arial" w:hAnsi="Arial" w:cs="Arial"/>
          <w:color w:val="000000"/>
          <w:sz w:val="20"/>
          <w:u w:val="single"/>
        </w:rPr>
        <w:t>id.</w:t>
      </w:r>
      <w:r>
        <w:rPr>
          <w:rFonts w:ascii="Arial" w:eastAsia="Arial" w:hAnsi="Arial" w:cs="Arial"/>
          <w:color w:val="000000"/>
          <w:sz w:val="20"/>
        </w:rPr>
        <w:t xml:space="preserve"> at 79 (</w:t>
      </w:r>
      <w:bookmarkStart w:id="2750" w:name="Bookmark_LNHNREFclscc24"/>
      <w:bookmarkEnd w:id="2750"/>
      <w:r>
        <w:rPr>
          <w:rFonts w:ascii="Arial" w:eastAsia="Arial" w:hAnsi="Arial" w:cs="Arial"/>
          <w:color w:val="000000"/>
          <w:sz w:val="20"/>
        </w:rPr>
        <w:t xml:space="preserve">"[P]lain error requires . . . </w:t>
      </w:r>
      <w:bookmarkStart w:id="2751" w:name="Bookmark_I61Y0BVR2D6NTT0030000400_2"/>
      <w:bookmarkEnd w:id="2751"/>
      <w:r>
        <w:rPr>
          <w:rFonts w:ascii="Arial" w:eastAsia="Arial" w:hAnsi="Arial" w:cs="Arial"/>
          <w:color w:val="000000"/>
          <w:sz w:val="20"/>
        </w:rPr>
        <w:t xml:space="preserve">[that] the mistake must also be prejudicial in a sense that there is a reasonable probability (not just a theoretical possibility) that it affected the result, and the result must be unjust, too." (citing </w:t>
      </w:r>
      <w:bookmarkStart w:id="2752" w:name="Bookmark_I61Y0BVR2D6NTT0020000400"/>
      <w:bookmarkEnd w:id="2752"/>
      <w:r>
        <w:rPr>
          <w:rFonts w:ascii="Arial" w:eastAsia="Arial" w:hAnsi="Arial" w:cs="Arial"/>
          <w:color w:val="000000"/>
          <w:sz w:val="20"/>
          <w:u w:val="single"/>
        </w:rPr>
        <w:t>United States v. Marcus</w:t>
      </w:r>
      <w:r>
        <w:rPr>
          <w:rFonts w:ascii="Arial" w:eastAsia="Arial" w:hAnsi="Arial" w:cs="Arial"/>
          <w:color w:val="000000"/>
          <w:sz w:val="20"/>
        </w:rPr>
        <w:t xml:space="preserve">, 560 U.S. 258, 130 S. Ct. 2159, 176 L. Ed. 2d 1012 (2010); </w:t>
      </w:r>
      <w:bookmarkStart w:id="2753" w:name="Bookmark_I61Y0BVR2D6NTT0040000400"/>
      <w:bookmarkEnd w:id="2753"/>
      <w:r>
        <w:rPr>
          <w:rFonts w:ascii="Arial" w:eastAsia="Arial" w:hAnsi="Arial" w:cs="Arial"/>
          <w:color w:val="000000"/>
          <w:sz w:val="20"/>
          <w:u w:val="single"/>
        </w:rPr>
        <w:t>United States v. Padilla</w:t>
      </w:r>
      <w:r>
        <w:rPr>
          <w:rFonts w:ascii="Arial" w:eastAsia="Arial" w:hAnsi="Arial" w:cs="Arial"/>
          <w:color w:val="000000"/>
          <w:sz w:val="20"/>
        </w:rPr>
        <w:t xml:space="preserve">, 415 F.3d 211, 225 (1st Cir. 2005) (Boudin, C.J., concurring) (en banc))). Appellants point out that the awarded damages "are precisely three times" or "significantly more than" what counsel suggested. Though mathematically correct, this point does not advance Appellants' argument that counsel's remarks prejudiced the jury. We might reach a different conclusion -- though we do not decide this -- if the jury had returned an award closer to $20,000 or $50,000 -- a point not lost on Appellants based on their wait-and-see strategy below. </w:t>
      </w:r>
      <w:r>
        <w:rPr>
          <w:rFonts w:ascii="Arial" w:eastAsia="Arial" w:hAnsi="Arial" w:cs="Arial"/>
          <w:color w:val="000000"/>
          <w:sz w:val="20"/>
          <w:u w:val="single"/>
        </w:rPr>
        <w:t>See id.</w:t>
      </w:r>
      <w:r>
        <w:rPr>
          <w:rFonts w:ascii="Arial" w:eastAsia="Arial" w:hAnsi="Arial" w:cs="Arial"/>
          <w:color w:val="000000"/>
          <w:sz w:val="20"/>
        </w:rPr>
        <w:t xml:space="preserve"> ("That the jury found Bielunas 15% comparatively negligent as opposed to the 5% his lawyer had argued for suggests that the jury did not blindly adopt counsel's analysis."). [**41] </w:t>
      </w:r>
    </w:p>
    <w:p w14:paraId="42AF7EF1" w14:textId="77777777" w:rsidR="002B10A6" w:rsidRDefault="00000000">
      <w:pPr>
        <w:pStyle w:val="Normal15"/>
        <w:widowControl w:val="0"/>
        <w:spacing w:before="200" w:line="260" w:lineRule="atLeast"/>
        <w:jc w:val="both"/>
      </w:pPr>
      <w:bookmarkStart w:id="2754" w:name="Bookmark_para_64_1"/>
      <w:bookmarkEnd w:id="2754"/>
      <w:r>
        <w:rPr>
          <w:rFonts w:ascii="Arial" w:eastAsia="Arial" w:hAnsi="Arial" w:cs="Arial"/>
          <w:color w:val="000000"/>
          <w:sz w:val="20"/>
        </w:rPr>
        <w:t>Even if Appellants had satisfied the third prong, Appellants have failed to show the error also seriously affected the fairness, integrity, or public reputation of the trial. At no point during closing arguments  [*78]  themselves did Appellants object on this basis, even when prompted by the district court at sidebar. What's more, Appellants declined the district court's offer for a curative instruction, even after Burnett's counsel acknowledged her mistake, apologized, and suggested the jury be given a throw-plaintiff's-counsel-under-the-bus-admonishment instruction. Against this backdrop, we cannot find that counsel's comment so swayed the jury as to unfairly prejudice Appellants, nor can we discern prejudice based on the weight of the credible evidence before the jury because, as already discussed, the evidence supported the verdict.</w:t>
      </w:r>
    </w:p>
    <w:p w14:paraId="61A5BE70" w14:textId="77777777" w:rsidR="002B10A6" w:rsidRDefault="00000000">
      <w:pPr>
        <w:pStyle w:val="Normal15"/>
        <w:widowControl w:val="0"/>
        <w:spacing w:before="200" w:line="260" w:lineRule="atLeast"/>
        <w:jc w:val="both"/>
      </w:pPr>
      <w:bookmarkStart w:id="2755" w:name="Bookmark_para_65_1"/>
      <w:bookmarkStart w:id="2756" w:name="Bookmark_I61Y0BVR2HM6F80020000400"/>
      <w:bookmarkEnd w:id="2755"/>
      <w:bookmarkEnd w:id="2756"/>
      <w:r>
        <w:rPr>
          <w:rFonts w:ascii="Arial" w:eastAsia="Arial" w:hAnsi="Arial" w:cs="Arial"/>
          <w:color w:val="000000"/>
          <w:sz w:val="20"/>
        </w:rPr>
        <w:t xml:space="preserve">Moreover, the district court's standard instructions, which were reiterated to the jury right before deliberations, helped mitigate any prejudice to Appellants. </w:t>
      </w:r>
      <w:bookmarkStart w:id="2757" w:name="Bookmark_I1YTM4544PG0000PTMW00007"/>
      <w:bookmarkStart w:id="2758" w:name="Bookmark_I61Y0BVR2HM6F80040000400"/>
      <w:bookmarkEnd w:id="2757"/>
      <w:bookmarkEnd w:id="2758"/>
      <w:r>
        <w:rPr>
          <w:rFonts w:ascii="Arial" w:eastAsia="Arial" w:hAnsi="Arial" w:cs="Arial"/>
          <w:color w:val="000000"/>
          <w:sz w:val="20"/>
          <w:u w:val="single"/>
        </w:rPr>
        <w:t xml:space="preserve">See </w:t>
      </w:r>
      <w:bookmarkStart w:id="2759" w:name="Bookmark_I61Y0BVR2HM6F80010000400"/>
      <w:bookmarkEnd w:id="2759"/>
      <w:r>
        <w:rPr>
          <w:rFonts w:ascii="Arial" w:eastAsia="Arial" w:hAnsi="Arial" w:cs="Arial"/>
          <w:color w:val="000000"/>
          <w:sz w:val="20"/>
          <w:u w:val="single"/>
        </w:rPr>
        <w:t>id.</w:t>
      </w:r>
      <w:r>
        <w:rPr>
          <w:rFonts w:ascii="Arial" w:eastAsia="Arial" w:hAnsi="Arial" w:cs="Arial"/>
          <w:color w:val="000000"/>
          <w:sz w:val="20"/>
        </w:rPr>
        <w:t xml:space="preserve"> at 79-80. We highlight that Burnett's counsel's comment pales in comparison to counsel's comments in </w:t>
      </w:r>
      <w:bookmarkStart w:id="2760" w:name="Bookmark_I61Y0BVR2HM6F80040000400_2"/>
      <w:bookmarkStart w:id="2761" w:name="Bookmark_I61Y0BVR2HM6F80020000400_2"/>
      <w:bookmarkEnd w:id="2760"/>
      <w:bookmarkEnd w:id="2761"/>
      <w:r>
        <w:rPr>
          <w:rFonts w:ascii="Arial" w:eastAsia="Arial" w:hAnsi="Arial" w:cs="Arial"/>
          <w:color w:val="000000"/>
          <w:sz w:val="20"/>
          <w:u w:val="single"/>
        </w:rPr>
        <w:t xml:space="preserve">Bielunas. </w:t>
      </w:r>
      <w:bookmarkStart w:id="2762" w:name="Bookmark_I61Y0BVR2N1RJG0010000400"/>
      <w:bookmarkEnd w:id="2762"/>
      <w:r>
        <w:rPr>
          <w:rFonts w:ascii="Arial" w:eastAsia="Arial" w:hAnsi="Arial" w:cs="Arial"/>
          <w:color w:val="000000"/>
          <w:sz w:val="20"/>
          <w:u w:val="single"/>
        </w:rPr>
        <w:t xml:space="preserve">See </w:t>
      </w:r>
      <w:bookmarkStart w:id="2763" w:name="Bookmark_I61Y0BVR2N1RJG0010000400_2"/>
      <w:bookmarkStart w:id="2764" w:name="Bookmark_I61Y0BVR2HM6F80030000400"/>
      <w:bookmarkEnd w:id="2763"/>
      <w:bookmarkEnd w:id="2764"/>
      <w:r>
        <w:rPr>
          <w:rFonts w:ascii="Arial" w:eastAsia="Arial" w:hAnsi="Arial" w:cs="Arial"/>
          <w:color w:val="000000"/>
          <w:sz w:val="20"/>
          <w:u w:val="single"/>
        </w:rPr>
        <w:t>id.</w:t>
      </w:r>
      <w:r>
        <w:rPr>
          <w:rFonts w:ascii="Arial" w:eastAsia="Arial" w:hAnsi="Arial" w:cs="Arial"/>
          <w:color w:val="000000"/>
          <w:sz w:val="20"/>
        </w:rPr>
        <w:t xml:space="preserve"> at 77. </w:t>
      </w:r>
      <w:bookmarkStart w:id="2765" w:name="Bookmark_I61Y0BVR2N1RJG0010000400_3"/>
      <w:bookmarkEnd w:id="2765"/>
      <w:r>
        <w:rPr>
          <w:rFonts w:ascii="Arial" w:eastAsia="Arial" w:hAnsi="Arial" w:cs="Arial"/>
          <w:color w:val="000000"/>
          <w:sz w:val="20"/>
        </w:rPr>
        <w:t xml:space="preserve">There, counsel suggested a total damages figure in opening statements, then increased [**42]  this total figure in closing arguments, and gave itemized figures per year (of his client's life expectancy) and category (past and future "pain and suffering," "mental anguish," and "disability and inconvenience"). </w:t>
      </w:r>
      <w:bookmarkStart w:id="2766" w:name="Bookmark_I61Y0BVR2N1RJG0030000400"/>
      <w:bookmarkStart w:id="2767" w:name="Bookmark_I61Y0BVR2HM6F80050000400"/>
      <w:bookmarkEnd w:id="2766"/>
      <w:bookmarkEnd w:id="2767"/>
      <w:r>
        <w:rPr>
          <w:rFonts w:ascii="Arial" w:eastAsia="Arial" w:hAnsi="Arial" w:cs="Arial"/>
          <w:color w:val="000000"/>
          <w:sz w:val="20"/>
          <w:u w:val="single"/>
        </w:rPr>
        <w:t>Id.</w:t>
      </w:r>
      <w:r>
        <w:rPr>
          <w:rFonts w:ascii="Arial" w:eastAsia="Arial" w:hAnsi="Arial" w:cs="Arial"/>
          <w:color w:val="000000"/>
          <w:sz w:val="20"/>
        </w:rPr>
        <w:t xml:space="preserve"> at 77, 78 n.4. </w:t>
      </w:r>
      <w:bookmarkStart w:id="2768" w:name="Bookmark_I61Y0BVR2N1RJG0030000400_2"/>
      <w:bookmarkEnd w:id="2768"/>
      <w:r>
        <w:rPr>
          <w:rFonts w:ascii="Arial" w:eastAsia="Arial" w:hAnsi="Arial" w:cs="Arial"/>
          <w:color w:val="000000"/>
          <w:sz w:val="20"/>
        </w:rPr>
        <w:t xml:space="preserve">Still, we held that counsel's comments did not amount to plain error given that the appellant did not object or request a curative instruction and the district court informed the jury twice that arguments by lawyers were not considered evidence. </w:t>
      </w:r>
      <w:bookmarkStart w:id="2769" w:name="Bookmark_I61Y0BVR2N1RJG0020000400"/>
      <w:bookmarkEnd w:id="2769"/>
      <w:r>
        <w:rPr>
          <w:rFonts w:ascii="Arial" w:eastAsia="Arial" w:hAnsi="Arial" w:cs="Arial"/>
          <w:color w:val="000000"/>
          <w:sz w:val="20"/>
          <w:u w:val="single"/>
        </w:rPr>
        <w:t>Id.</w:t>
      </w:r>
      <w:r>
        <w:rPr>
          <w:rFonts w:ascii="Arial" w:eastAsia="Arial" w:hAnsi="Arial" w:cs="Arial"/>
          <w:color w:val="000000"/>
          <w:sz w:val="20"/>
        </w:rPr>
        <w:t xml:space="preserve"> at 79-80. Lastly, as we discuss below, Appellants do not demonstrate the award was unjust. Accordingly, Appellants failed to satisfy the fourth and final prong, and therefore their claim does not pass the plain error test.</w:t>
      </w:r>
      <w:r>
        <w:rPr>
          <w:rFonts w:ascii="Arial" w:eastAsia="Arial" w:hAnsi="Arial" w:cs="Arial"/>
          <w:vertAlign w:val="superscript"/>
        </w:rPr>
        <w:footnoteReference w:customMarkFollows="1" w:id="129"/>
        <w:t>24</w:t>
      </w:r>
    </w:p>
    <w:p w14:paraId="2E87B531" w14:textId="77777777" w:rsidR="002B10A6" w:rsidRDefault="00000000">
      <w:pPr>
        <w:pStyle w:val="Normal15"/>
        <w:widowControl w:val="0"/>
        <w:spacing w:before="200" w:line="260" w:lineRule="atLeast"/>
        <w:jc w:val="both"/>
      </w:pPr>
      <w:bookmarkStart w:id="2773" w:name="Bookmark_para_66_1"/>
      <w:bookmarkEnd w:id="2773"/>
      <w:r>
        <w:rPr>
          <w:rFonts w:ascii="Arial" w:eastAsia="Arial" w:hAnsi="Arial" w:cs="Arial"/>
          <w:color w:val="000000"/>
          <w:sz w:val="20"/>
        </w:rPr>
        <w:t>In conclusion, Appellants' new-trial claims also fail.</w:t>
      </w:r>
    </w:p>
    <w:p w14:paraId="273EDEDC" w14:textId="77777777" w:rsidR="002B10A6" w:rsidRDefault="00000000">
      <w:pPr>
        <w:pStyle w:val="Normal15"/>
        <w:widowControl w:val="0"/>
        <w:spacing w:before="240" w:line="260" w:lineRule="atLeast"/>
      </w:pPr>
      <w:r>
        <w:br/>
      </w:r>
      <w:r>
        <w:rPr>
          <w:rFonts w:ascii="Arial" w:eastAsia="Arial" w:hAnsi="Arial" w:cs="Arial"/>
          <w:b/>
          <w:color w:val="000000"/>
          <w:sz w:val="20"/>
        </w:rPr>
        <w:t>Remittitur</w:t>
      </w:r>
    </w:p>
    <w:p w14:paraId="31F87165" w14:textId="77777777" w:rsidR="002B10A6" w:rsidRDefault="00000000">
      <w:pPr>
        <w:pStyle w:val="Normal15"/>
        <w:widowControl w:val="0"/>
        <w:spacing w:before="200" w:line="260" w:lineRule="atLeast"/>
        <w:jc w:val="both"/>
      </w:pPr>
      <w:bookmarkStart w:id="2774" w:name="Bookmark_para_67_1"/>
      <w:bookmarkEnd w:id="2774"/>
      <w:r>
        <w:rPr>
          <w:rFonts w:ascii="Arial" w:eastAsia="Arial" w:hAnsi="Arial" w:cs="Arial"/>
          <w:color w:val="000000"/>
          <w:sz w:val="20"/>
        </w:rPr>
        <w:t xml:space="preserve">As a parting shot, Appellants reiterate their claim for remittitur on appeal, which is that there was no evidence that Ocean Properties had any employees or that AmeriPort had more than 100 employees, and therefore the district court was required to reduce the total award to $50,000, consistent with the corresponding statutory limit. </w:t>
      </w:r>
      <w:r>
        <w:rPr>
          <w:rFonts w:ascii="Arial" w:eastAsia="Arial" w:hAnsi="Arial" w:cs="Arial"/>
          <w:color w:val="000000"/>
          <w:sz w:val="20"/>
          <w:u w:val="single"/>
        </w:rPr>
        <w:t>See</w:t>
      </w:r>
      <w:r>
        <w:rPr>
          <w:rFonts w:ascii="Arial" w:eastAsia="Arial" w:hAnsi="Arial" w:cs="Arial"/>
          <w:color w:val="000000"/>
          <w:sz w:val="20"/>
        </w:rPr>
        <w:t xml:space="preserve"> 42 U.S.C. § 1981a(b)(3)(A); Me. Stat. tit. 5, § 4613(2)(B)(8)(e)(i). Appellants ask us to remand with instructions for the district court to reduce the total award [**43]  to $50,000.</w:t>
      </w:r>
    </w:p>
    <w:p w14:paraId="2322F082" w14:textId="77777777" w:rsidR="002B10A6" w:rsidRDefault="00000000">
      <w:pPr>
        <w:pStyle w:val="Normal15"/>
        <w:widowControl w:val="0"/>
        <w:spacing w:before="240" w:line="260" w:lineRule="atLeast"/>
      </w:pPr>
      <w:r>
        <w:br/>
      </w:r>
      <w:r>
        <w:rPr>
          <w:rFonts w:ascii="Arial" w:eastAsia="Arial" w:hAnsi="Arial" w:cs="Arial"/>
          <w:b/>
          <w:color w:val="000000"/>
          <w:sz w:val="20"/>
        </w:rPr>
        <w:t>Standard of Review</w:t>
      </w:r>
    </w:p>
    <w:p w14:paraId="0E716347" w14:textId="77777777" w:rsidR="002B10A6" w:rsidRDefault="00000000">
      <w:pPr>
        <w:pStyle w:val="Normal15"/>
        <w:widowControl w:val="0"/>
        <w:spacing w:before="200" w:line="260" w:lineRule="atLeast"/>
        <w:jc w:val="both"/>
      </w:pPr>
      <w:bookmarkStart w:id="2775" w:name="Bookmark_para_68_1"/>
      <w:bookmarkStart w:id="2776" w:name="Bookmark_I61Y0BVS2SF8DC0020000400"/>
      <w:bookmarkStart w:id="2777" w:name="Bookmark_I61Y0BVS2SF8DC0040000400"/>
      <w:bookmarkStart w:id="2778" w:name="Bookmark_LNHNREFclscc25"/>
      <w:bookmarkEnd w:id="2775"/>
      <w:bookmarkEnd w:id="2776"/>
      <w:bookmarkEnd w:id="2777"/>
      <w:bookmarkEnd w:id="2778"/>
      <w:r>
        <w:rPr>
          <w:rFonts w:ascii="Arial" w:eastAsia="Arial" w:hAnsi="Arial" w:cs="Arial"/>
          <w:color w:val="000000"/>
          <w:sz w:val="20"/>
        </w:rPr>
        <w:t xml:space="preserve">We review the denial of a motion for remittitur for abuse of discretion. </w:t>
      </w:r>
      <w:bookmarkStart w:id="2779" w:name="Bookmark_I61Y0BVS2HM6F90030000400"/>
      <w:bookmarkStart w:id="2780" w:name="Bookmark_I61Y0BVS2SF8DC0010000400"/>
      <w:bookmarkEnd w:id="2779"/>
      <w:bookmarkEnd w:id="2780"/>
      <w:r>
        <w:rPr>
          <w:rFonts w:ascii="Arial" w:eastAsia="Arial" w:hAnsi="Arial" w:cs="Arial"/>
          <w:color w:val="000000"/>
          <w:sz w:val="20"/>
          <w:u w:val="single"/>
        </w:rPr>
        <w:t>Sánchez</w:t>
      </w:r>
      <w:r>
        <w:rPr>
          <w:rFonts w:ascii="Arial" w:eastAsia="Arial" w:hAnsi="Arial" w:cs="Arial"/>
          <w:color w:val="000000"/>
          <w:sz w:val="20"/>
        </w:rPr>
        <w:t xml:space="preserve">, 972 F.3d at 17. </w:t>
      </w:r>
      <w:bookmarkStart w:id="2781" w:name="Bookmark_I61Y0BVS2HM6FD0020000400"/>
      <w:bookmarkEnd w:id="2781"/>
      <w:r>
        <w:rPr>
          <w:rFonts w:ascii="Arial" w:eastAsia="Arial" w:hAnsi="Arial" w:cs="Arial"/>
          <w:color w:val="000000"/>
          <w:sz w:val="20"/>
        </w:rPr>
        <w:t xml:space="preserve">Given the district court's "greater familiarity with local community standards and with the witnesses' demeanor at the trial,'" we afford its decision "'broad discretion." </w:t>
      </w:r>
      <w:bookmarkStart w:id="2782" w:name="Bookmark_I61Y0BVS2SF8DC0030000400"/>
      <w:bookmarkEnd w:id="2782"/>
      <w:r>
        <w:rPr>
          <w:rFonts w:ascii="Arial" w:eastAsia="Arial" w:hAnsi="Arial" w:cs="Arial"/>
          <w:color w:val="000000"/>
          <w:sz w:val="20"/>
          <w:u w:val="single"/>
        </w:rPr>
        <w:t>Aponte-Rivera v. DHL Sols. (USA), Inc.</w:t>
      </w:r>
      <w:r>
        <w:rPr>
          <w:rFonts w:ascii="Arial" w:eastAsia="Arial" w:hAnsi="Arial" w:cs="Arial"/>
          <w:color w:val="000000"/>
          <w:sz w:val="20"/>
        </w:rPr>
        <w:t xml:space="preserve">, 650 F.3d 803, 810 (1st Cir. 2011) (quoting </w:t>
      </w:r>
      <w:bookmarkStart w:id="2783" w:name="Bookmark_I61Y0BVS2SF8DC0050000400"/>
      <w:bookmarkEnd w:id="2783"/>
      <w:r>
        <w:rPr>
          <w:rFonts w:ascii="Arial" w:eastAsia="Arial" w:hAnsi="Arial" w:cs="Arial"/>
          <w:color w:val="000000"/>
          <w:sz w:val="20"/>
          <w:u w:val="single"/>
        </w:rPr>
        <w:t>Rodriguez-Garcia v. Miranda-Marin</w:t>
      </w:r>
      <w:r>
        <w:rPr>
          <w:rFonts w:ascii="Arial" w:eastAsia="Arial" w:hAnsi="Arial" w:cs="Arial"/>
          <w:color w:val="000000"/>
          <w:sz w:val="20"/>
        </w:rPr>
        <w:t xml:space="preserve">, 610 F.3d 756, 773 (1st Cir. 2010)). </w:t>
      </w:r>
      <w:bookmarkStart w:id="2784" w:name="Bookmark_I61Y0BVS2HM6FD0020000400_2"/>
      <w:bookmarkStart w:id="2785" w:name="Bookmark_I61Y0BVS2HM6F90030000400_2"/>
      <w:bookmarkStart w:id="2786" w:name="Bookmark_LNHNREFclscc26"/>
      <w:bookmarkEnd w:id="2784"/>
      <w:bookmarkEnd w:id="2785"/>
      <w:bookmarkEnd w:id="2786"/>
      <w:r>
        <w:rPr>
          <w:rFonts w:ascii="Arial" w:eastAsia="Arial" w:hAnsi="Arial" w:cs="Arial"/>
          <w:color w:val="000000"/>
          <w:sz w:val="20"/>
        </w:rPr>
        <w:t xml:space="preserve">"Where the trial court already has invoked its discretion in granting a remittitur, the scope of review is even narrower than usual." </w:t>
      </w:r>
      <w:bookmarkStart w:id="2787" w:name="Bookmark_I61Y0BVS2HM6F90020000400"/>
      <w:bookmarkEnd w:id="2787"/>
      <w:r>
        <w:rPr>
          <w:rFonts w:ascii="Arial" w:eastAsia="Arial" w:hAnsi="Arial" w:cs="Arial"/>
          <w:color w:val="000000"/>
          <w:sz w:val="20"/>
          <w:u w:val="single"/>
        </w:rPr>
        <w:t>Id.</w:t>
      </w:r>
      <w:r>
        <w:rPr>
          <w:rFonts w:ascii="Arial" w:eastAsia="Arial" w:hAnsi="Arial" w:cs="Arial"/>
          <w:color w:val="000000"/>
          <w:sz w:val="20"/>
        </w:rPr>
        <w:t xml:space="preserve"> at 810-11 (quoting </w:t>
      </w:r>
      <w:bookmarkStart w:id="2788" w:name="Bookmark_I61Y0BVS2HM6F90040000400"/>
      <w:bookmarkEnd w:id="2788"/>
      <w:r>
        <w:rPr>
          <w:rFonts w:ascii="Arial" w:eastAsia="Arial" w:hAnsi="Arial" w:cs="Arial"/>
          <w:color w:val="000000"/>
          <w:sz w:val="20"/>
          <w:u w:val="single"/>
        </w:rPr>
        <w:t>Sanchez v. P.R. Oil Co.</w:t>
      </w:r>
      <w:r>
        <w:rPr>
          <w:rFonts w:ascii="Arial" w:eastAsia="Arial" w:hAnsi="Arial" w:cs="Arial"/>
          <w:color w:val="000000"/>
          <w:sz w:val="20"/>
        </w:rPr>
        <w:t xml:space="preserve">, 37 F.3d 712, 724 (1st Cir. 1994)). Appellants "must show, therefore, that the reduced figure  [*79]  remains so extravagant as to shock the appellate conscience." </w:t>
      </w:r>
      <w:bookmarkStart w:id="2789" w:name="Bookmark_I61Y0BVS2HM6FD0010000400"/>
      <w:bookmarkEnd w:id="2789"/>
      <w:r>
        <w:rPr>
          <w:rFonts w:ascii="Arial" w:eastAsia="Arial" w:hAnsi="Arial" w:cs="Arial"/>
          <w:color w:val="000000"/>
          <w:sz w:val="20"/>
          <w:u w:val="single"/>
        </w:rPr>
        <w:t>P.R. Oil Co.</w:t>
      </w:r>
      <w:r>
        <w:rPr>
          <w:rFonts w:ascii="Arial" w:eastAsia="Arial" w:hAnsi="Arial" w:cs="Arial"/>
          <w:color w:val="000000"/>
          <w:sz w:val="20"/>
        </w:rPr>
        <w:t xml:space="preserve">, 37 F.3d at 724 (citing </w:t>
      </w:r>
      <w:bookmarkStart w:id="2790" w:name="Bookmark_I61Y0BVS2HM6FD0030000400"/>
      <w:bookmarkEnd w:id="2790"/>
      <w:r>
        <w:rPr>
          <w:rFonts w:ascii="Arial" w:eastAsia="Arial" w:hAnsi="Arial" w:cs="Arial"/>
          <w:color w:val="000000"/>
          <w:sz w:val="20"/>
          <w:u w:val="single"/>
        </w:rPr>
        <w:t>Ruiz v. Gonzalez Caraballo</w:t>
      </w:r>
      <w:r>
        <w:rPr>
          <w:rFonts w:ascii="Arial" w:eastAsia="Arial" w:hAnsi="Arial" w:cs="Arial"/>
          <w:color w:val="000000"/>
          <w:sz w:val="20"/>
        </w:rPr>
        <w:t>, 929 F.2d 31, 35 (1st Cir. 1991)).</w:t>
      </w:r>
    </w:p>
    <w:p w14:paraId="2EFA492D" w14:textId="77777777" w:rsidR="002B10A6" w:rsidRDefault="00000000">
      <w:pPr>
        <w:pStyle w:val="Normal15"/>
        <w:widowControl w:val="0"/>
        <w:spacing w:before="240" w:line="260" w:lineRule="atLeast"/>
      </w:pPr>
      <w:r>
        <w:br/>
      </w:r>
      <w:r>
        <w:rPr>
          <w:rFonts w:ascii="Arial" w:eastAsia="Arial" w:hAnsi="Arial" w:cs="Arial"/>
          <w:b/>
          <w:color w:val="000000"/>
          <w:sz w:val="20"/>
        </w:rPr>
        <w:t>Discussion</w:t>
      </w:r>
    </w:p>
    <w:p w14:paraId="52D60788" w14:textId="77777777" w:rsidR="002B10A6" w:rsidRDefault="00000000">
      <w:pPr>
        <w:pStyle w:val="Normal15"/>
        <w:widowControl w:val="0"/>
        <w:spacing w:before="200" w:line="260" w:lineRule="atLeast"/>
        <w:jc w:val="both"/>
      </w:pPr>
      <w:bookmarkStart w:id="2791" w:name="Bookmark_para_69_0"/>
      <w:bookmarkEnd w:id="2791"/>
      <w:r>
        <w:rPr>
          <w:rFonts w:ascii="Arial" w:eastAsia="Arial" w:hAnsi="Arial" w:cs="Arial"/>
          <w:color w:val="000000"/>
          <w:sz w:val="20"/>
        </w:rPr>
        <w:t xml:space="preserve">Appellants have failed to show the reduced damages award shocks the conscience. To the contrary, Appellants make no attempt to argue that the total award was unconscionable; instead, they argue that the award should be reduced because the evidence didn't support the jury's finding that Burnett's employer had over 500 employees (question 5 on the special verdict form). Appellants repeat their argument that "at trial there was absolutely no evidence of an employer-employee relationship between [Appellants] and the alleged employees of those hotels, and no evidence of any ownership interest over those hotels." To refresh, [**44]  Appellants are referring to the forty-five hotels and resorts marketed as "Ocean Properties Hotels, Resorts &amp; Affiliates." This argument is related to Appellants' judgment-as-a-matter-of-law argument that there was no interrelationship between Ocean Properties and AmeriPort (which, as we already discussed, </w:t>
      </w:r>
      <w:r>
        <w:rPr>
          <w:rFonts w:ascii="Arial" w:eastAsia="Arial" w:hAnsi="Arial" w:cs="Arial"/>
          <w:color w:val="000000"/>
          <w:sz w:val="20"/>
          <w:u w:val="single"/>
        </w:rPr>
        <w:t>see supra</w:t>
      </w:r>
      <w:r>
        <w:rPr>
          <w:rFonts w:ascii="Arial" w:eastAsia="Arial" w:hAnsi="Arial" w:cs="Arial"/>
          <w:color w:val="000000"/>
          <w:sz w:val="20"/>
        </w:rPr>
        <w:t xml:space="preserve"> pp. 12-21, was contradicted by the evidence), though slightly different (here, Appellants are challenging the interrelationship to the Ocean Properties Hotels, Resorts &amp; Affiliates consortium). However, this argument is also contradicted by the record, which shows that all forty-five hotels and resorts were marketed on the same website, ophotels.com, and a number of them used the same Ocean Properties employee handbook, and that Darsaoui (who, as discussed, was an AmeriPort employee who also did work for Ocean Properties) processed payroll for two additional entities in the consortium, one of which was located in the same building as the clubhouse. All of this evidence supports the jury's finding that Burnett's employer had more than 500 employees. Accordingly, we find no abuse of discretion.</w:t>
      </w:r>
    </w:p>
    <w:p w14:paraId="77EBD17B" w14:textId="77777777" w:rsidR="002B10A6" w:rsidRDefault="00000000">
      <w:pPr>
        <w:pStyle w:val="Normal15"/>
        <w:widowControl w:val="0"/>
        <w:spacing w:before="200" w:line="260" w:lineRule="atLeast"/>
        <w:jc w:val="both"/>
      </w:pPr>
      <w:bookmarkStart w:id="2792" w:name="Bookmark_para_70_0"/>
      <w:bookmarkStart w:id="2793" w:name="Bookmark_I61Y0BVT2HM6FF0010000400"/>
      <w:bookmarkEnd w:id="2792"/>
      <w:bookmarkEnd w:id="2793"/>
      <w:r>
        <w:rPr>
          <w:rFonts w:ascii="Arial" w:eastAsia="Arial" w:hAnsi="Arial" w:cs="Arial"/>
          <w:color w:val="000000"/>
          <w:sz w:val="20"/>
        </w:rPr>
        <w:t xml:space="preserve">But wait, Appellants point to a case they claim should be dispositive here. </w:t>
      </w:r>
      <w:bookmarkStart w:id="2794" w:name="Bookmark_LNHNREFclscc27"/>
      <w:bookmarkEnd w:id="2794"/>
      <w:r>
        <w:rPr>
          <w:rFonts w:ascii="Arial" w:eastAsia="Arial" w:hAnsi="Arial" w:cs="Arial"/>
          <w:color w:val="000000"/>
          <w:sz w:val="20"/>
        </w:rPr>
        <w:t xml:space="preserve">In </w:t>
      </w:r>
      <w:r>
        <w:rPr>
          <w:rFonts w:ascii="Arial" w:eastAsia="Arial" w:hAnsi="Arial" w:cs="Arial"/>
          <w:color w:val="000000"/>
          <w:sz w:val="20"/>
          <w:u w:val="single"/>
        </w:rPr>
        <w:t>Escribano-Reyes [**45]  v. Professional Hepa Certificate Corp.</w:t>
      </w:r>
      <w:r>
        <w:rPr>
          <w:rFonts w:ascii="Arial" w:eastAsia="Arial" w:hAnsi="Arial" w:cs="Arial"/>
          <w:color w:val="000000"/>
          <w:sz w:val="20"/>
        </w:rPr>
        <w:t xml:space="preserve">, a summary judgment case, we stated that "[t]he employment relationship is most readily demonstrated by [an] individual's appearance on the employer's payroll," </w:t>
      </w:r>
      <w:bookmarkStart w:id="2795" w:name="Bookmark_I61Y0BVS2HM6FD0050000400"/>
      <w:bookmarkEnd w:id="2795"/>
      <w:r>
        <w:rPr>
          <w:rFonts w:ascii="Arial" w:eastAsia="Arial" w:hAnsi="Arial" w:cs="Arial"/>
          <w:color w:val="000000"/>
          <w:sz w:val="20"/>
        </w:rPr>
        <w:t xml:space="preserve">817 F.3d 380, 388 (1st Cir. 2016) (second alteration in original) (quoting </w:t>
      </w:r>
      <w:bookmarkStart w:id="2796" w:name="Bookmark_I61Y0BVT2HM6FF0020000400"/>
      <w:bookmarkEnd w:id="2796"/>
      <w:r>
        <w:rPr>
          <w:rFonts w:ascii="Arial" w:eastAsia="Arial" w:hAnsi="Arial" w:cs="Arial"/>
          <w:color w:val="000000"/>
          <w:sz w:val="20"/>
          <w:u w:val="single"/>
        </w:rPr>
        <w:t>Walters v. Metro. Educ. Enters., Inc.</w:t>
      </w:r>
      <w:r>
        <w:rPr>
          <w:rFonts w:ascii="Arial" w:eastAsia="Arial" w:hAnsi="Arial" w:cs="Arial"/>
          <w:color w:val="000000"/>
          <w:sz w:val="20"/>
        </w:rPr>
        <w:t xml:space="preserve">, 519 U.S. 202, 206, 117 S. Ct. 660, 136 L. Ed. 2d 644 (1997)), and given this pronouncement, Appellants say the district court should have applied the common law agency test to determine who counts as an "employee" within the meaning of the ADA. But Appellants overlook the remainder of our discussion because a couple of sentences after the quoted passage, we clarified that "[p]ayroll records are not dispositive" and "the ultimate touchstone" is the existence of an "employment relationship[]." </w:t>
      </w:r>
      <w:bookmarkStart w:id="2797" w:name="Bookmark_I61Y0BVT2HM6FF0040000400"/>
      <w:bookmarkEnd w:id="2797"/>
      <w:r>
        <w:rPr>
          <w:rFonts w:ascii="Arial" w:eastAsia="Arial" w:hAnsi="Arial" w:cs="Arial"/>
          <w:color w:val="000000"/>
          <w:sz w:val="20"/>
          <w:u w:val="single"/>
        </w:rPr>
        <w:t>Id.</w:t>
      </w:r>
      <w:r>
        <w:rPr>
          <w:rFonts w:ascii="Arial" w:eastAsia="Arial" w:hAnsi="Arial" w:cs="Arial"/>
          <w:color w:val="000000"/>
          <w:sz w:val="20"/>
        </w:rPr>
        <w:t xml:space="preserve"> at 388-89 (citations omitted). In a footnote, Appellants also claim that "[b]ecause Burnett failed to produce competent evidence that OPL [Ocean Properties] employed anyone other than, allegedly, him, Burnett's claim against that entity failed as a matter of law." These arguments, which are iterations of Appellants' judgment-as-a-matter-of-law arguments made below, are misplaced and unsupported by the record.</w:t>
      </w:r>
      <w:r>
        <w:rPr>
          <w:rFonts w:ascii="Arial" w:eastAsia="Arial" w:hAnsi="Arial" w:cs="Arial"/>
          <w:vertAlign w:val="superscript"/>
        </w:rPr>
        <w:footnoteReference w:customMarkFollows="1" w:id="130"/>
        <w:t>25</w:t>
      </w:r>
    </w:p>
    <w:p w14:paraId="2CD05D29" w14:textId="77777777" w:rsidR="002B10A6" w:rsidRDefault="00000000">
      <w:pPr>
        <w:pStyle w:val="Normal15"/>
        <w:widowControl w:val="0"/>
        <w:spacing w:before="200" w:line="260" w:lineRule="atLeast"/>
        <w:jc w:val="both"/>
      </w:pPr>
      <w:bookmarkStart w:id="2799" w:name="Bookmark_para_71_0"/>
      <w:bookmarkEnd w:id="2799"/>
      <w:r>
        <w:rPr>
          <w:rFonts w:ascii="Arial" w:eastAsia="Arial" w:hAnsi="Arial" w:cs="Arial"/>
          <w:color w:val="000000"/>
          <w:sz w:val="20"/>
        </w:rPr>
        <w:t> [*80]  In sum, Appellants' remittitur claim also fails.</w:t>
      </w:r>
    </w:p>
    <w:p w14:paraId="5092C2F0" w14:textId="77777777" w:rsidR="002B10A6" w:rsidRDefault="00000000">
      <w:pPr>
        <w:pStyle w:val="Normal15"/>
        <w:widowControl w:val="0"/>
        <w:spacing w:before="240" w:line="260" w:lineRule="atLeast"/>
      </w:pPr>
      <w:r>
        <w:br/>
      </w:r>
      <w:r>
        <w:rPr>
          <w:rFonts w:ascii="Arial" w:eastAsia="Arial" w:hAnsi="Arial" w:cs="Arial"/>
          <w:b/>
          <w:color w:val="000000"/>
          <w:sz w:val="20"/>
        </w:rPr>
        <w:t>CONCLUSION</w:t>
      </w:r>
    </w:p>
    <w:p w14:paraId="294D513F" w14:textId="77777777" w:rsidR="002B10A6" w:rsidRDefault="00000000">
      <w:pPr>
        <w:pStyle w:val="Normal15"/>
        <w:widowControl w:val="0"/>
        <w:spacing w:before="200" w:line="260" w:lineRule="atLeast"/>
        <w:jc w:val="both"/>
      </w:pPr>
      <w:bookmarkStart w:id="2800" w:name="Bookmark_para_72_0"/>
      <w:bookmarkEnd w:id="2800"/>
      <w:r>
        <w:rPr>
          <w:rFonts w:ascii="Arial" w:eastAsia="Arial" w:hAnsi="Arial" w:cs="Arial"/>
          <w:color w:val="000000"/>
          <w:sz w:val="20"/>
        </w:rPr>
        <w:t xml:space="preserve">We </w:t>
      </w:r>
      <w:r>
        <w:rPr>
          <w:rFonts w:ascii="Arial" w:eastAsia="Arial" w:hAnsi="Arial" w:cs="Arial"/>
          <w:b/>
          <w:color w:val="000000"/>
          <w:sz w:val="20"/>
          <w:u w:val="single"/>
        </w:rPr>
        <w:t>affirm</w:t>
      </w:r>
      <w:r>
        <w:rPr>
          <w:rFonts w:ascii="Arial" w:eastAsia="Arial" w:hAnsi="Arial" w:cs="Arial"/>
          <w:color w:val="000000"/>
          <w:sz w:val="20"/>
        </w:rPr>
        <w:t xml:space="preserve"> in all respects, with costs to Burnett.</w:t>
      </w:r>
    </w:p>
    <w:p w14:paraId="1632B27C" w14:textId="77777777" w:rsidR="002B10A6" w:rsidRDefault="002B10A6">
      <w:pPr>
        <w:pStyle w:val="Normal15"/>
      </w:pPr>
    </w:p>
    <w:p w14:paraId="31F5F54C" w14:textId="6C04CF31" w:rsidR="002B10A6" w:rsidRDefault="00000000">
      <w:pPr>
        <w:pStyle w:val="Normal15"/>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91008" behindDoc="0" locked="0" layoutInCell="1" allowOverlap="1" wp14:anchorId="5B769417" wp14:editId="60BDCA3F">
                <wp:simplePos x="0" y="0"/>
                <wp:positionH relativeFrom="column">
                  <wp:posOffset>0</wp:posOffset>
                </wp:positionH>
                <wp:positionV relativeFrom="paragraph">
                  <wp:posOffset>127000</wp:posOffset>
                </wp:positionV>
                <wp:extent cx="6502400" cy="0"/>
                <wp:effectExtent l="9525" t="12700" r="12700" b="6350"/>
                <wp:wrapNone/>
                <wp:docPr id="223873320"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9A8DD" id="Line 3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3D02B91" w14:textId="77777777" w:rsidR="002B10A6" w:rsidRDefault="002B10A6">
      <w:pPr>
        <w:pStyle w:val="Normal16"/>
        <w:sectPr w:rsidR="002B10A6">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gutter="0"/>
          <w:cols w:space="720"/>
          <w:titlePg/>
        </w:sectPr>
      </w:pPr>
    </w:p>
    <w:p w14:paraId="2424340B" w14:textId="77777777" w:rsidR="002B10A6" w:rsidRDefault="002B10A6">
      <w:pPr>
        <w:pStyle w:val="Normal16"/>
      </w:pPr>
    </w:p>
    <w:p w14:paraId="1BED3FB9" w14:textId="77777777" w:rsidR="002B10A6" w:rsidRDefault="00000000">
      <w:pPr>
        <w:pStyle w:val="Heading115"/>
        <w:keepNext w:val="0"/>
        <w:widowControl w:val="0"/>
        <w:spacing w:after="200" w:line="340" w:lineRule="atLeast"/>
        <w:jc w:val="center"/>
      </w:pPr>
      <w:r>
        <w:rPr>
          <w:rFonts w:eastAsia="Arial"/>
          <w:color w:val="000000"/>
          <w:sz w:val="28"/>
        </w:rPr>
        <w:t>Whitaker v. Pan. Joes Inv’rs LLC</w:t>
      </w:r>
    </w:p>
    <w:p w14:paraId="77B258BF" w14:textId="77777777" w:rsidR="002B10A6" w:rsidRDefault="00000000">
      <w:pPr>
        <w:pStyle w:val="Normal16"/>
        <w:widowControl w:val="0"/>
        <w:spacing w:before="120" w:line="260" w:lineRule="atLeast"/>
        <w:jc w:val="center"/>
      </w:pPr>
      <w:r>
        <w:rPr>
          <w:rFonts w:ascii="Arial" w:eastAsia="Arial" w:hAnsi="Arial" w:cs="Arial"/>
          <w:color w:val="000000"/>
          <w:sz w:val="20"/>
        </w:rPr>
        <w:t>United States Court of Appeals for the Ninth Circuit</w:t>
      </w:r>
    </w:p>
    <w:p w14:paraId="10038E9A" w14:textId="77777777" w:rsidR="002B10A6" w:rsidRDefault="00000000">
      <w:pPr>
        <w:pStyle w:val="Normal16"/>
        <w:widowControl w:val="0"/>
        <w:spacing w:before="120" w:line="260" w:lineRule="atLeast"/>
        <w:jc w:val="center"/>
      </w:pPr>
      <w:r>
        <w:rPr>
          <w:rFonts w:ascii="Arial" w:eastAsia="Arial" w:hAnsi="Arial" w:cs="Arial"/>
          <w:color w:val="000000"/>
          <w:sz w:val="20"/>
        </w:rPr>
        <w:t>November 10, 2020</w:t>
      </w:r>
      <w:r>
        <w:rPr>
          <w:rFonts w:ascii="Arial" w:eastAsia="Arial" w:hAnsi="Arial" w:cs="Arial"/>
          <w:vertAlign w:val="superscript"/>
        </w:rPr>
        <w:footnoteReference w:customMarkFollows="1" w:id="131"/>
        <w:t>**</w:t>
      </w:r>
      <w:r>
        <w:rPr>
          <w:rFonts w:ascii="Arial" w:eastAsia="Arial" w:hAnsi="Arial" w:cs="Arial"/>
          <w:color w:val="000000"/>
          <w:sz w:val="20"/>
        </w:rPr>
        <w:t>, Submitted, Pasadena, California; January 25, 2021, Filed</w:t>
      </w:r>
    </w:p>
    <w:p w14:paraId="73825D1E" w14:textId="77777777" w:rsidR="002B10A6" w:rsidRDefault="00000000">
      <w:pPr>
        <w:pStyle w:val="Normal16"/>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20-55235</w:t>
      </w:r>
    </w:p>
    <w:p w14:paraId="6B3B4A6C" w14:textId="77777777" w:rsidR="002B10A6" w:rsidRDefault="002B10A6">
      <w:pPr>
        <w:pStyle w:val="Normal16"/>
        <w:widowControl w:val="0"/>
        <w:spacing w:line="240" w:lineRule="atLeast"/>
        <w:jc w:val="both"/>
      </w:pPr>
      <w:bookmarkStart w:id="2802" w:name="Bookmark_17"/>
      <w:bookmarkEnd w:id="2802"/>
    </w:p>
    <w:p w14:paraId="5CA2FB42" w14:textId="77777777" w:rsidR="002B10A6" w:rsidRDefault="00000000">
      <w:pPr>
        <w:pStyle w:val="Normal16"/>
        <w:widowControl w:val="0"/>
        <w:spacing w:before="200" w:line="240" w:lineRule="atLeast"/>
      </w:pPr>
      <w:bookmarkStart w:id="2803" w:name="Reporter_15"/>
      <w:bookmarkEnd w:id="2803"/>
      <w:r>
        <w:rPr>
          <w:rFonts w:ascii="Arial" w:eastAsia="Arial" w:hAnsi="Arial" w:cs="Arial"/>
          <w:b/>
          <w:color w:val="000000"/>
          <w:sz w:val="18"/>
        </w:rPr>
        <w:t>Reporter</w:t>
      </w:r>
    </w:p>
    <w:p w14:paraId="738DEDB6" w14:textId="77777777" w:rsidR="002B10A6" w:rsidRDefault="00000000">
      <w:pPr>
        <w:pStyle w:val="Normal16"/>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840 Fed. Appx. 961 *; 2021 U.S. App. LEXIS 1985 **; 2021 WL 238401</w:t>
      </w:r>
    </w:p>
    <w:p w14:paraId="26E55E0C" w14:textId="77777777" w:rsidR="002B10A6" w:rsidRDefault="00000000">
      <w:pPr>
        <w:pStyle w:val="Normal16"/>
        <w:widowControl w:val="0"/>
        <w:spacing w:before="120" w:line="260" w:lineRule="atLeast"/>
      </w:pPr>
      <w:r>
        <w:rPr>
          <w:rFonts w:ascii="Arial" w:eastAsia="Arial" w:hAnsi="Arial" w:cs="Arial"/>
          <w:color w:val="000000"/>
          <w:sz w:val="20"/>
        </w:rPr>
        <w:t>BRIAN WHITAKER, Plaintiff-Appellant, v. PANAMA JOES INVESTORS LLC, a California Limited Liability Company, Defendant-Appellee.</w:t>
      </w:r>
    </w:p>
    <w:p w14:paraId="4855C0CF" w14:textId="77777777" w:rsidR="002B10A6" w:rsidRDefault="00000000">
      <w:pPr>
        <w:pStyle w:val="Normal16"/>
        <w:widowControl w:val="0"/>
        <w:spacing w:before="240" w:line="260" w:lineRule="atLeast"/>
        <w:jc w:val="both"/>
      </w:pPr>
      <w:bookmarkStart w:id="2804" w:name="Notice_4"/>
      <w:bookmarkEnd w:id="2804"/>
      <w:r>
        <w:rPr>
          <w:rFonts w:ascii="Arial" w:eastAsia="Arial" w:hAnsi="Arial" w:cs="Arial"/>
          <w:b/>
          <w:color w:val="000000"/>
          <w:sz w:val="20"/>
        </w:rPr>
        <w:t>Notice:</w:t>
      </w:r>
      <w:r>
        <w:rPr>
          <w:rFonts w:ascii="Arial" w:eastAsia="Arial" w:hAnsi="Arial" w:cs="Arial"/>
          <w:color w:val="000000"/>
          <w:sz w:val="20"/>
        </w:rPr>
        <w:t> </w:t>
      </w:r>
      <w:bookmarkStart w:id="2805" w:name="Bookmark_para_1_15"/>
      <w:bookmarkEnd w:id="2805"/>
      <w:r>
        <w:rPr>
          <w:rFonts w:ascii="Arial" w:eastAsia="Arial" w:hAnsi="Arial" w:cs="Arial"/>
          <w:color w:val="000000"/>
          <w:sz w:val="20"/>
        </w:rPr>
        <w:t>PLEASE REFER TO FEDERAL RULES OF APPELLATE PROCEDURE RULE 32.1 GOVERNING THE CITATION TO UNPUBLISHED OPINIONS.</w:t>
      </w:r>
    </w:p>
    <w:p w14:paraId="1CD2A5DC" w14:textId="77777777" w:rsidR="002B10A6" w:rsidRDefault="00000000">
      <w:pPr>
        <w:pStyle w:val="Normal16"/>
        <w:widowControl w:val="0"/>
        <w:spacing w:before="240" w:line="260" w:lineRule="atLeast"/>
        <w:jc w:val="both"/>
      </w:pPr>
      <w:bookmarkStart w:id="2806" w:name="Prior_History_15"/>
      <w:bookmarkEnd w:id="2806"/>
      <w:r>
        <w:rPr>
          <w:rFonts w:ascii="Arial" w:eastAsia="Arial" w:hAnsi="Arial" w:cs="Arial"/>
          <w:b/>
          <w:color w:val="000000"/>
          <w:sz w:val="20"/>
        </w:rPr>
        <w:t>Prior History:</w:t>
      </w:r>
      <w:r>
        <w:rPr>
          <w:rFonts w:ascii="Arial" w:eastAsia="Arial" w:hAnsi="Arial" w:cs="Arial"/>
          <w:color w:val="000000"/>
          <w:sz w:val="20"/>
        </w:rPr>
        <w:t> </w:t>
      </w:r>
      <w:bookmarkStart w:id="2807" w:name="Bookmark_para_2_15"/>
      <w:bookmarkEnd w:id="2807"/>
      <w:r>
        <w:rPr>
          <w:rFonts w:ascii="Arial" w:eastAsia="Arial" w:hAnsi="Arial" w:cs="Arial"/>
          <w:color w:val="000000"/>
          <w:sz w:val="20"/>
        </w:rPr>
        <w:t> [**1] Appeal from the United States District Court for the Central District of California. D.C. No. 2:19-cv-09676-DSF-SS. Dale S. Fischer, District Judge, Presiding.</w:t>
      </w:r>
    </w:p>
    <w:p w14:paraId="5831A889" w14:textId="77777777" w:rsidR="002B10A6" w:rsidRDefault="00000000">
      <w:pPr>
        <w:pStyle w:val="Normal16"/>
        <w:widowControl w:val="0"/>
        <w:spacing w:before="120" w:line="260" w:lineRule="atLeast"/>
      </w:pPr>
      <w:r>
        <w:rPr>
          <w:rFonts w:ascii="Arial" w:eastAsia="Arial" w:hAnsi="Arial" w:cs="Arial"/>
          <w:color w:val="000000"/>
          <w:sz w:val="20"/>
        </w:rPr>
        <w:t>Whitaker v. Pan. Joes Inv'rs, LLC, 2020 U.S. Dist. LEXIS 34776 (C.D. Cal., Feb. 28, 2020)</w:t>
      </w:r>
    </w:p>
    <w:p w14:paraId="041B71C8" w14:textId="77777777" w:rsidR="002B10A6" w:rsidRDefault="00000000">
      <w:pPr>
        <w:pStyle w:val="Normal16"/>
        <w:widowControl w:val="0"/>
        <w:spacing w:before="240" w:line="260" w:lineRule="atLeast"/>
        <w:jc w:val="both"/>
      </w:pPr>
      <w:bookmarkStart w:id="2808" w:name="Disposition_7"/>
      <w:bookmarkEnd w:id="2808"/>
      <w:r>
        <w:rPr>
          <w:rFonts w:ascii="Arial" w:eastAsia="Arial" w:hAnsi="Arial" w:cs="Arial"/>
          <w:b/>
          <w:color w:val="000000"/>
          <w:sz w:val="20"/>
        </w:rPr>
        <w:t>Disposition:</w:t>
      </w:r>
      <w:r>
        <w:rPr>
          <w:rFonts w:ascii="Arial" w:eastAsia="Arial" w:hAnsi="Arial" w:cs="Arial"/>
          <w:color w:val="000000"/>
          <w:sz w:val="20"/>
        </w:rPr>
        <w:t> </w:t>
      </w:r>
      <w:bookmarkStart w:id="2809" w:name="Bookmark_clspara_4_7"/>
      <w:bookmarkEnd w:id="2809"/>
      <w:r>
        <w:rPr>
          <w:rFonts w:ascii="Arial" w:eastAsia="Arial" w:hAnsi="Arial" w:cs="Arial"/>
          <w:color w:val="000000"/>
          <w:sz w:val="20"/>
        </w:rPr>
        <w:t>AFFIRMED.</w:t>
      </w:r>
    </w:p>
    <w:p w14:paraId="2BE8A940" w14:textId="77777777" w:rsidR="002B10A6" w:rsidRDefault="00000000">
      <w:pPr>
        <w:pStyle w:val="Normal16"/>
        <w:widowControl w:val="0"/>
        <w:spacing w:before="240" w:line="260" w:lineRule="atLeast"/>
      </w:pPr>
      <w:bookmarkStart w:id="2810" w:name="Counsel_15"/>
      <w:bookmarkEnd w:id="2810"/>
      <w:r>
        <w:rPr>
          <w:rFonts w:ascii="Arial" w:eastAsia="Arial" w:hAnsi="Arial" w:cs="Arial"/>
          <w:b/>
          <w:color w:val="000000"/>
          <w:sz w:val="20"/>
        </w:rPr>
        <w:t>Counsel:</w:t>
      </w:r>
      <w:r>
        <w:rPr>
          <w:rFonts w:ascii="Arial" w:eastAsia="Arial" w:hAnsi="Arial" w:cs="Arial"/>
          <w:color w:val="000000"/>
          <w:sz w:val="20"/>
        </w:rPr>
        <w:t> For BRIAN WHITAKER, Plaintiff - Appellant: Russell Clive Handy, Esquire, Dennis J. Price, II, Esquire, Mr., Potter Handy LLP, San Diego, CA.</w:t>
      </w:r>
    </w:p>
    <w:p w14:paraId="17B1BA71" w14:textId="77777777" w:rsidR="002B10A6" w:rsidRDefault="00000000">
      <w:pPr>
        <w:pStyle w:val="Normal16"/>
        <w:widowControl w:val="0"/>
        <w:spacing w:before="120" w:line="260" w:lineRule="atLeast"/>
      </w:pPr>
      <w:r>
        <w:rPr>
          <w:rFonts w:ascii="Arial" w:eastAsia="Arial" w:hAnsi="Arial" w:cs="Arial"/>
          <w:color w:val="000000"/>
          <w:sz w:val="20"/>
        </w:rPr>
        <w:t>For PANAMA JOES INVESTORS LLC, a California Limited Liability Company, Defendant - Appellee: Michele A. Dobson, Law Offices of Michele A. Wilson, Long Beach, CA.</w:t>
      </w:r>
    </w:p>
    <w:p w14:paraId="184A51C0" w14:textId="77777777" w:rsidR="002B10A6" w:rsidRDefault="00000000">
      <w:pPr>
        <w:pStyle w:val="Normal16"/>
        <w:widowControl w:val="0"/>
        <w:spacing w:before="240" w:line="260" w:lineRule="atLeast"/>
      </w:pPr>
      <w:bookmarkStart w:id="2811" w:name="Judges_15"/>
      <w:bookmarkEnd w:id="2811"/>
      <w:r>
        <w:rPr>
          <w:rFonts w:ascii="Arial" w:eastAsia="Arial" w:hAnsi="Arial" w:cs="Arial"/>
          <w:b/>
          <w:color w:val="000000"/>
          <w:sz w:val="20"/>
        </w:rPr>
        <w:t>Judges:</w:t>
      </w:r>
      <w:r>
        <w:rPr>
          <w:rFonts w:ascii="Arial" w:eastAsia="Arial" w:hAnsi="Arial" w:cs="Arial"/>
          <w:color w:val="000000"/>
          <w:sz w:val="20"/>
        </w:rPr>
        <w:t> Before: PARKER,</w:t>
      </w:r>
      <w:r>
        <w:rPr>
          <w:rFonts w:ascii="Arial" w:eastAsia="Arial" w:hAnsi="Arial" w:cs="Arial"/>
          <w:vertAlign w:val="superscript"/>
        </w:rPr>
        <w:footnoteReference w:customMarkFollows="1" w:id="132"/>
        <w:t>***</w:t>
      </w:r>
      <w:r>
        <w:rPr>
          <w:rFonts w:ascii="Arial" w:eastAsia="Arial" w:hAnsi="Arial" w:cs="Arial"/>
          <w:color w:val="000000"/>
          <w:sz w:val="20"/>
        </w:rPr>
        <w:t xml:space="preserve"> CHRISTEN, and WATFORD, Circuit Judges.</w:t>
      </w:r>
    </w:p>
    <w:p w14:paraId="762EFE46" w14:textId="77777777" w:rsidR="002B10A6" w:rsidRDefault="00000000">
      <w:pPr>
        <w:pStyle w:val="Normal16"/>
        <w:keepNext/>
        <w:widowControl w:val="0"/>
        <w:spacing w:before="240" w:line="340" w:lineRule="atLeast"/>
      </w:pPr>
      <w:bookmarkStart w:id="2813" w:name="Opinion_15"/>
      <w:bookmarkEnd w:id="2813"/>
      <w:r>
        <w:rPr>
          <w:rFonts w:ascii="Arial" w:eastAsia="Arial" w:hAnsi="Arial" w:cs="Arial"/>
          <w:b/>
          <w:color w:val="000000"/>
          <w:sz w:val="28"/>
        </w:rPr>
        <w:t>Opinion</w:t>
      </w:r>
    </w:p>
    <w:p w14:paraId="03DDC73C" w14:textId="12B29F95" w:rsidR="002B10A6" w:rsidRDefault="002D6974">
      <w:pPr>
        <w:pStyle w:val="Normal16"/>
        <w:spacing w:line="60" w:lineRule="exact"/>
      </w:pPr>
      <w:r>
        <w:rPr>
          <w:noProof/>
        </w:rPr>
        <mc:AlternateContent>
          <mc:Choice Requires="wps">
            <w:drawing>
              <wp:anchor distT="0" distB="0" distL="114300" distR="114300" simplePos="0" relativeHeight="251692032" behindDoc="0" locked="0" layoutInCell="1" allowOverlap="1" wp14:anchorId="6F1C2FF6" wp14:editId="41A2841A">
                <wp:simplePos x="0" y="0"/>
                <wp:positionH relativeFrom="column">
                  <wp:posOffset>0</wp:posOffset>
                </wp:positionH>
                <wp:positionV relativeFrom="paragraph">
                  <wp:posOffset>25400</wp:posOffset>
                </wp:positionV>
                <wp:extent cx="3187700" cy="0"/>
                <wp:effectExtent l="19050" t="15875" r="12700" b="12700"/>
                <wp:wrapTopAndBottom/>
                <wp:docPr id="1347298520"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42133" id="Line 34"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E30E963" w14:textId="77777777" w:rsidR="002B10A6" w:rsidRDefault="002B10A6">
      <w:pPr>
        <w:pStyle w:val="Normal16"/>
        <w:spacing w:line="120" w:lineRule="exact"/>
      </w:pPr>
    </w:p>
    <w:p w14:paraId="65767BB1" w14:textId="77777777" w:rsidR="002B10A6" w:rsidRDefault="00000000">
      <w:pPr>
        <w:pStyle w:val="Normal16"/>
        <w:widowControl w:val="0"/>
        <w:spacing w:before="240" w:line="260" w:lineRule="atLeast"/>
      </w:pPr>
      <w:r>
        <w:br/>
      </w:r>
      <w:r>
        <w:rPr>
          <w:rFonts w:ascii="Arial" w:eastAsia="Arial" w:hAnsi="Arial" w:cs="Arial"/>
          <w:color w:val="000000"/>
          <w:sz w:val="20"/>
        </w:rPr>
        <w:t> [*962]  MEMORANDUM</w:t>
      </w:r>
      <w:r>
        <w:rPr>
          <w:rFonts w:ascii="Arial" w:eastAsia="Arial" w:hAnsi="Arial" w:cs="Arial"/>
          <w:vertAlign w:val="superscript"/>
        </w:rPr>
        <w:footnoteReference w:customMarkFollows="1" w:id="133"/>
        <w:t>*</w:t>
      </w:r>
    </w:p>
    <w:p w14:paraId="0D74118A" w14:textId="77777777" w:rsidR="002B10A6" w:rsidRDefault="00000000">
      <w:pPr>
        <w:pStyle w:val="Normal16"/>
        <w:widowControl w:val="0"/>
        <w:spacing w:before="200" w:line="260" w:lineRule="atLeast"/>
        <w:jc w:val="both"/>
      </w:pPr>
      <w:bookmarkStart w:id="2815" w:name="Bookmark_para_3_15"/>
      <w:bookmarkEnd w:id="2815"/>
      <w:r>
        <w:rPr>
          <w:rFonts w:ascii="Arial" w:eastAsia="Arial" w:hAnsi="Arial" w:cs="Arial"/>
          <w:color w:val="000000"/>
          <w:sz w:val="20"/>
        </w:rPr>
        <w:t>Brian Whitaker appeals the district court's order granting defendant Panama Joe's' motion to dismiss pursuant to Federal Rule of Civil Procedure 12(b)(1) and Rule 12(b)(6).</w:t>
      </w:r>
      <w:r>
        <w:rPr>
          <w:rFonts w:ascii="Arial" w:eastAsia="Arial" w:hAnsi="Arial" w:cs="Arial"/>
          <w:vertAlign w:val="superscript"/>
        </w:rPr>
        <w:footnoteReference w:customMarkFollows="1" w:id="134"/>
        <w:t>1</w:t>
      </w:r>
      <w:r>
        <w:rPr>
          <w:rFonts w:ascii="Arial" w:eastAsia="Arial" w:hAnsi="Arial" w:cs="Arial"/>
          <w:color w:val="000000"/>
          <w:sz w:val="20"/>
        </w:rPr>
        <w:t xml:space="preserve"> We have jurisdiction pursuant to 28 U.S.C. § 1291. Though we disagree with the district court's ruling that Whitaker lacked standing, we affirm the dismissal of Whitaker's complaint for failure to state a claim upon which relief can be granted. Because the parties are familiar with the facts, we recite only those necessary to resolve this appeal.</w:t>
      </w:r>
    </w:p>
    <w:p w14:paraId="38D1A59D" w14:textId="77777777" w:rsidR="002B10A6" w:rsidRDefault="00000000">
      <w:pPr>
        <w:pStyle w:val="Normal16"/>
        <w:widowControl w:val="0"/>
        <w:spacing w:before="200" w:line="260" w:lineRule="atLeast"/>
        <w:jc w:val="both"/>
      </w:pPr>
      <w:bookmarkStart w:id="2817" w:name="Bookmark_para_4_15"/>
      <w:bookmarkEnd w:id="2817"/>
      <w:r>
        <w:rPr>
          <w:rFonts w:ascii="Arial" w:eastAsia="Arial" w:hAnsi="Arial" w:cs="Arial"/>
          <w:color w:val="000000"/>
          <w:sz w:val="20"/>
        </w:rPr>
        <w:t xml:space="preserve"> [*963]  </w:t>
      </w:r>
      <w:bookmarkStart w:id="2818" w:name="Bookmark_I61WGJVM2D6MSW0020000400"/>
      <w:bookmarkStart w:id="2819" w:name="Bookmark_I61WGJVN2SF8NB0030000400"/>
      <w:bookmarkStart w:id="2820" w:name="Bookmark_LNHNREFclscc1_14"/>
      <w:bookmarkEnd w:id="2818"/>
      <w:bookmarkEnd w:id="2819"/>
      <w:bookmarkEnd w:id="2820"/>
      <w:r>
        <w:rPr>
          <w:rFonts w:ascii="Arial" w:eastAsia="Arial" w:hAnsi="Arial" w:cs="Arial"/>
          <w:color w:val="000000"/>
          <w:sz w:val="20"/>
        </w:rPr>
        <w:t xml:space="preserve">We review de novo, </w:t>
      </w:r>
      <w:bookmarkStart w:id="2821" w:name="Bookmark_I61WGJVM2D6MSW0010000400"/>
      <w:bookmarkEnd w:id="2821"/>
      <w:r>
        <w:rPr>
          <w:rFonts w:ascii="Arial" w:eastAsia="Arial" w:hAnsi="Arial" w:cs="Arial"/>
          <w:i/>
          <w:color w:val="000000"/>
          <w:sz w:val="20"/>
        </w:rPr>
        <w:t>Wilson v. Kayo Oil Co.</w:t>
      </w:r>
      <w:r>
        <w:rPr>
          <w:rFonts w:ascii="Arial" w:eastAsia="Arial" w:hAnsi="Arial" w:cs="Arial"/>
          <w:color w:val="000000"/>
          <w:sz w:val="20"/>
        </w:rPr>
        <w:t xml:space="preserve">, 563 F.3d 979, 980 (9th Cir. 2009) (quoting </w:t>
      </w:r>
      <w:bookmarkStart w:id="2822" w:name="Bookmark_I61WGJVM2D6MSW0030000400"/>
      <w:bookmarkEnd w:id="2822"/>
      <w:r>
        <w:rPr>
          <w:rFonts w:ascii="Arial" w:eastAsia="Arial" w:hAnsi="Arial" w:cs="Arial"/>
          <w:i/>
          <w:color w:val="000000"/>
          <w:sz w:val="20"/>
        </w:rPr>
        <w:t>Salmon Spawning &amp; Recovery Alliance v. Gutierrez</w:t>
      </w:r>
      <w:r>
        <w:rPr>
          <w:rFonts w:ascii="Arial" w:eastAsia="Arial" w:hAnsi="Arial" w:cs="Arial"/>
          <w:color w:val="000000"/>
          <w:sz w:val="20"/>
        </w:rPr>
        <w:t xml:space="preserve">, 545 F.3d 1220, 1224 (9th Cir. 2008)), and construe standing in civil rights complaints broadly, </w:t>
      </w:r>
      <w:r>
        <w:rPr>
          <w:rFonts w:ascii="Arial" w:eastAsia="Arial" w:hAnsi="Arial" w:cs="Arial"/>
          <w:i/>
          <w:color w:val="000000"/>
          <w:sz w:val="20"/>
        </w:rPr>
        <w:t xml:space="preserve">see </w:t>
      </w:r>
      <w:bookmarkStart w:id="2823" w:name="Bookmark_I61WGJVM2D6MSW0050000400"/>
      <w:bookmarkEnd w:id="2823"/>
      <w:r>
        <w:rPr>
          <w:rFonts w:ascii="Arial" w:eastAsia="Arial" w:hAnsi="Arial" w:cs="Arial"/>
          <w:i/>
          <w:color w:val="000000"/>
          <w:sz w:val="20"/>
        </w:rPr>
        <w:t>Trafficante v. Metro. Life Ins. Co.</w:t>
      </w:r>
      <w:r>
        <w:rPr>
          <w:rFonts w:ascii="Arial" w:eastAsia="Arial" w:hAnsi="Arial" w:cs="Arial"/>
          <w:color w:val="000000"/>
          <w:sz w:val="20"/>
        </w:rPr>
        <w:t xml:space="preserve">, 409 U.S. 205, 209, 93 S. Ct. 364, 34 L. Ed. 2d 415 (1972). On a facial attack to the court's subject matter jurisdiction, "[a]ccepting the plaintiff's allegations as true and drawing [**2]  all reasonable inferences in the plaintiff's favor, the court determines whether the allegations are sufficient as a legal matter to invoke the court's jurisdiction." </w:t>
      </w:r>
      <w:bookmarkStart w:id="2824" w:name="Bookmark_I61WGJVN2SF8NB0020000400"/>
      <w:bookmarkEnd w:id="2824"/>
      <w:r>
        <w:rPr>
          <w:rFonts w:ascii="Arial" w:eastAsia="Arial" w:hAnsi="Arial" w:cs="Arial"/>
          <w:i/>
          <w:color w:val="000000"/>
          <w:sz w:val="20"/>
        </w:rPr>
        <w:t>Leite v. Crane Co.</w:t>
      </w:r>
      <w:r>
        <w:rPr>
          <w:rFonts w:ascii="Arial" w:eastAsia="Arial" w:hAnsi="Arial" w:cs="Arial"/>
          <w:color w:val="000000"/>
          <w:sz w:val="20"/>
        </w:rPr>
        <w:t>, 749 F.3d 1117, 1121 (9th Cir. 2014) (citation omitted).</w:t>
      </w:r>
    </w:p>
    <w:p w14:paraId="5DCB40A4" w14:textId="77777777" w:rsidR="002B10A6" w:rsidRDefault="00000000">
      <w:pPr>
        <w:pStyle w:val="Normal16"/>
        <w:widowControl w:val="0"/>
        <w:spacing w:before="200" w:line="260" w:lineRule="atLeast"/>
        <w:jc w:val="both"/>
      </w:pPr>
      <w:bookmarkStart w:id="2825" w:name="Bookmark_para_5_15"/>
      <w:bookmarkStart w:id="2826" w:name="Bookmark_I61WGJVN2SF8NB0050000400"/>
      <w:bookmarkEnd w:id="2825"/>
      <w:bookmarkEnd w:id="2826"/>
      <w:r>
        <w:rPr>
          <w:rFonts w:ascii="Arial" w:eastAsia="Arial" w:hAnsi="Arial" w:cs="Arial"/>
          <w:color w:val="000000"/>
          <w:sz w:val="20"/>
        </w:rPr>
        <w:t xml:space="preserve">Whitaker's complaint included claims for violations of Title III of the Americans with Disabilities Act (ADA), 42 U.S.C. §§ 12181-12189, and the Unruh Civil Rights Act, Cal. Civ. Code §§ 51--53. We conclude his complaint met the threshold for alleging injury-in-fact to pursue his ADA claim; i.e., he successfully alleged his injury was concrete and particularized, and actual or imminent rather than conjectural or hypothetical. </w:t>
      </w:r>
      <w:r>
        <w:rPr>
          <w:rFonts w:ascii="Arial" w:eastAsia="Arial" w:hAnsi="Arial" w:cs="Arial"/>
          <w:i/>
          <w:color w:val="000000"/>
          <w:sz w:val="20"/>
        </w:rPr>
        <w:t xml:space="preserve">See </w:t>
      </w:r>
      <w:bookmarkStart w:id="2827" w:name="Bookmark_I61WGJVN2SF8NB0040000400"/>
      <w:bookmarkEnd w:id="2827"/>
      <w:r>
        <w:rPr>
          <w:rFonts w:ascii="Arial" w:eastAsia="Arial" w:hAnsi="Arial" w:cs="Arial"/>
          <w:i/>
          <w:color w:val="000000"/>
          <w:sz w:val="20"/>
        </w:rPr>
        <w:t>D'Lil v. Best W. Encina Lodge &amp; Suites</w:t>
      </w:r>
      <w:r>
        <w:rPr>
          <w:rFonts w:ascii="Arial" w:eastAsia="Arial" w:hAnsi="Arial" w:cs="Arial"/>
          <w:color w:val="000000"/>
          <w:sz w:val="20"/>
        </w:rPr>
        <w:t xml:space="preserve">, 538 F.3d 1031, 1036 (9th Cir. 2008) (citing </w:t>
      </w:r>
      <w:bookmarkStart w:id="2828" w:name="Bookmark_I61WGJVP2SF8NF0010000400"/>
      <w:bookmarkEnd w:id="2828"/>
      <w:r>
        <w:rPr>
          <w:rFonts w:ascii="Arial" w:eastAsia="Arial" w:hAnsi="Arial" w:cs="Arial"/>
          <w:i/>
          <w:color w:val="000000"/>
          <w:sz w:val="20"/>
        </w:rPr>
        <w:t>Lujan v. Defenders of Wildlife</w:t>
      </w:r>
      <w:r>
        <w:rPr>
          <w:rFonts w:ascii="Arial" w:eastAsia="Arial" w:hAnsi="Arial" w:cs="Arial"/>
          <w:color w:val="000000"/>
          <w:sz w:val="20"/>
        </w:rPr>
        <w:t>, 504 U.S. 555, 560-61, 112 S. Ct. 2130, 119 L. Ed. 2d 351 (1992)).</w:t>
      </w:r>
    </w:p>
    <w:p w14:paraId="597BADCA" w14:textId="77777777" w:rsidR="002B10A6" w:rsidRDefault="00000000">
      <w:pPr>
        <w:pStyle w:val="Normal16"/>
        <w:widowControl w:val="0"/>
        <w:spacing w:before="200" w:line="260" w:lineRule="atLeast"/>
        <w:jc w:val="both"/>
      </w:pPr>
      <w:bookmarkStart w:id="2829" w:name="Bookmark_para_6_15"/>
      <w:bookmarkEnd w:id="2829"/>
      <w:r>
        <w:rPr>
          <w:rFonts w:ascii="Arial" w:eastAsia="Arial" w:hAnsi="Arial" w:cs="Arial"/>
          <w:color w:val="000000"/>
          <w:sz w:val="20"/>
        </w:rPr>
        <w:t>Whitaker alleged that he uses a wheelchair for mobility and that he visited defendant's restaurant. The complaint alleged the restaurant "failed to provide accessible dining surfaces"—a barrier he personally encountered—and that the restaurant "currently fail[s] to provide accessible paths of travel in the patio area" and "accessible restrooms." The district court determined that the complaint was insufficient because it did not allege which dining surfaces were inaccessible, nor how they were inaccessible, nor what ADA Standards for Accessible Design (ADAAG) requirement they violated.</w:t>
      </w:r>
    </w:p>
    <w:p w14:paraId="78C712E5" w14:textId="77777777" w:rsidR="002B10A6" w:rsidRDefault="00000000">
      <w:pPr>
        <w:pStyle w:val="Normal16"/>
        <w:widowControl w:val="0"/>
        <w:spacing w:before="200" w:line="260" w:lineRule="atLeast"/>
        <w:jc w:val="both"/>
      </w:pPr>
      <w:bookmarkStart w:id="2830" w:name="Bookmark_para_7_15"/>
      <w:bookmarkStart w:id="2831" w:name="Bookmark_I61WGJVP2SF8NF0040000400"/>
      <w:bookmarkStart w:id="2832" w:name="Bookmark_LNHNREFclscc2_14"/>
      <w:bookmarkEnd w:id="2830"/>
      <w:bookmarkEnd w:id="2831"/>
      <w:bookmarkEnd w:id="2832"/>
      <w:r>
        <w:rPr>
          <w:rFonts w:ascii="Arial" w:eastAsia="Arial" w:hAnsi="Arial" w:cs="Arial"/>
          <w:color w:val="000000"/>
          <w:sz w:val="20"/>
        </w:rPr>
        <w:t xml:space="preserve">Allegations that a plaintiff [**3]  suffered discrimination because he confronted at least one specific barrier relating to his disability satisfy the requirement to show a concrete and particularized injury for standing to pursue an ADA claim. </w:t>
      </w:r>
      <w:r>
        <w:rPr>
          <w:rFonts w:ascii="Arial" w:eastAsia="Arial" w:hAnsi="Arial" w:cs="Arial"/>
          <w:i/>
          <w:color w:val="000000"/>
          <w:sz w:val="20"/>
        </w:rPr>
        <w:t xml:space="preserve">See </w:t>
      </w:r>
      <w:bookmarkStart w:id="2833" w:name="Bookmark_I61WGJVP2SF8NF0030000400"/>
      <w:bookmarkEnd w:id="2833"/>
      <w:r>
        <w:rPr>
          <w:rFonts w:ascii="Arial" w:eastAsia="Arial" w:hAnsi="Arial" w:cs="Arial"/>
          <w:i/>
          <w:color w:val="000000"/>
          <w:sz w:val="20"/>
        </w:rPr>
        <w:t>Chapman v. Pier 1 Imports (U.S.) Inc.</w:t>
      </w:r>
      <w:r>
        <w:rPr>
          <w:rFonts w:ascii="Arial" w:eastAsia="Arial" w:hAnsi="Arial" w:cs="Arial"/>
          <w:color w:val="000000"/>
          <w:sz w:val="20"/>
        </w:rPr>
        <w:t xml:space="preserve">, 631 F.3d 939, 954 (9th Cir. 2011) (en banc). </w:t>
      </w:r>
      <w:bookmarkStart w:id="2834" w:name="Bookmark_I61WGJVR2N1RTN0010000400"/>
      <w:bookmarkEnd w:id="2834"/>
      <w:r>
        <w:rPr>
          <w:rFonts w:ascii="Arial" w:eastAsia="Arial" w:hAnsi="Arial" w:cs="Arial"/>
          <w:i/>
          <w:color w:val="000000"/>
          <w:sz w:val="20"/>
        </w:rPr>
        <w:t>Chapman</w:t>
      </w:r>
      <w:r>
        <w:rPr>
          <w:rFonts w:ascii="Arial" w:eastAsia="Arial" w:hAnsi="Arial" w:cs="Arial"/>
          <w:color w:val="000000"/>
          <w:sz w:val="20"/>
        </w:rPr>
        <w:t xml:space="preserve"> involved a plaintiff who failed to allege that he encountered any specific barrier. </w:t>
      </w:r>
      <w:bookmarkStart w:id="2835" w:name="Bookmark_I61WGJVR2N1RTN0010000400_2"/>
      <w:bookmarkEnd w:id="2835"/>
      <w:r>
        <w:rPr>
          <w:rFonts w:ascii="Arial" w:eastAsia="Arial" w:hAnsi="Arial" w:cs="Arial"/>
          <w:color w:val="000000"/>
          <w:sz w:val="20"/>
        </w:rPr>
        <w:t xml:space="preserve">Instead, Chapman attached an expert's accessibility survey to his complaint and generally alleged that he encountered unspecified barriers. </w:t>
      </w:r>
      <w:bookmarkStart w:id="2836" w:name="Bookmark_I61WGJVP2SF8NF0050000400"/>
      <w:bookmarkEnd w:id="2836"/>
      <w:r>
        <w:rPr>
          <w:rFonts w:ascii="Arial" w:eastAsia="Arial" w:hAnsi="Arial" w:cs="Arial"/>
          <w:i/>
          <w:color w:val="000000"/>
          <w:sz w:val="20"/>
        </w:rPr>
        <w:t>Id.</w:t>
      </w:r>
      <w:r>
        <w:rPr>
          <w:rFonts w:ascii="Arial" w:eastAsia="Arial" w:hAnsi="Arial" w:cs="Arial"/>
          <w:color w:val="000000"/>
          <w:sz w:val="20"/>
        </w:rPr>
        <w:t xml:space="preserve"> at 954. </w:t>
      </w:r>
      <w:bookmarkStart w:id="2837" w:name="Bookmark_LNHNREFclscc3_14"/>
      <w:bookmarkEnd w:id="2837"/>
      <w:r>
        <w:rPr>
          <w:rFonts w:ascii="Arial" w:eastAsia="Arial" w:hAnsi="Arial" w:cs="Arial"/>
          <w:color w:val="000000"/>
          <w:sz w:val="20"/>
        </w:rPr>
        <w:t xml:space="preserve">In that context, we explained that a complaint advancing an ADA claim must allege that the plaintiff encountered at least one barrier related to plaintiff's disability and allege how that barrier affected his disability "so as to deny him the 'full and equal' access that would satisfy the injury-in-fact requirement." </w:t>
      </w:r>
      <w:r>
        <w:rPr>
          <w:rFonts w:ascii="Arial" w:eastAsia="Arial" w:hAnsi="Arial" w:cs="Arial"/>
          <w:i/>
          <w:color w:val="000000"/>
          <w:sz w:val="20"/>
        </w:rPr>
        <w:t>Id.</w:t>
      </w:r>
      <w:r>
        <w:rPr>
          <w:rFonts w:ascii="Arial" w:eastAsia="Arial" w:hAnsi="Arial" w:cs="Arial"/>
          <w:color w:val="000000"/>
          <w:sz w:val="20"/>
        </w:rPr>
        <w:t xml:space="preserve"> Here, Whitaker's allegations sufficed to allege a concrete and particularized injury. </w:t>
      </w:r>
      <w:r>
        <w:rPr>
          <w:rFonts w:ascii="Arial" w:eastAsia="Arial" w:hAnsi="Arial" w:cs="Arial"/>
          <w:i/>
          <w:color w:val="000000"/>
          <w:sz w:val="20"/>
        </w:rPr>
        <w:t>See id.</w:t>
      </w:r>
      <w:r>
        <w:rPr>
          <w:rFonts w:ascii="Arial" w:eastAsia="Arial" w:hAnsi="Arial" w:cs="Arial"/>
          <w:color w:val="000000"/>
          <w:sz w:val="20"/>
        </w:rPr>
        <w:t xml:space="preserve"> Contrary to the district court's suggestion, citing specific ADAAG guidelines is not required. </w:t>
      </w:r>
      <w:r>
        <w:rPr>
          <w:rFonts w:ascii="Arial" w:eastAsia="Arial" w:hAnsi="Arial" w:cs="Arial"/>
          <w:i/>
          <w:color w:val="000000"/>
          <w:sz w:val="20"/>
        </w:rPr>
        <w:t>Id.</w:t>
      </w:r>
      <w:r>
        <w:rPr>
          <w:rFonts w:ascii="Arial" w:eastAsia="Arial" w:hAnsi="Arial" w:cs="Arial"/>
          <w:color w:val="000000"/>
          <w:sz w:val="20"/>
        </w:rPr>
        <w:t xml:space="preserve"> Taking these allegations at face value and drawing the inferences in Whitaker's favor, these allegations sufficiently demonstrated a concrete and particularized injury.</w:t>
      </w:r>
    </w:p>
    <w:p w14:paraId="082CC658" w14:textId="77777777" w:rsidR="002B10A6" w:rsidRDefault="00000000">
      <w:pPr>
        <w:pStyle w:val="Normal16"/>
        <w:widowControl w:val="0"/>
        <w:spacing w:before="200" w:line="260" w:lineRule="atLeast"/>
        <w:jc w:val="both"/>
      </w:pPr>
      <w:bookmarkStart w:id="2838" w:name="Bookmark_para_8_15"/>
      <w:bookmarkStart w:id="2839" w:name="Bookmark_I61WGJVR2N1RTN0030000400"/>
      <w:bookmarkEnd w:id="2838"/>
      <w:bookmarkEnd w:id="2839"/>
      <w:r>
        <w:rPr>
          <w:rFonts w:ascii="Arial" w:eastAsia="Arial" w:hAnsi="Arial" w:cs="Arial"/>
          <w:color w:val="000000"/>
          <w:sz w:val="20"/>
        </w:rPr>
        <w:t xml:space="preserve">Whitaker also sufficiently alleged that his [**4]  injury was actual and imminent. </w:t>
      </w:r>
      <w:bookmarkStart w:id="2840" w:name="Bookmark_I61WGJVR2HM6PG0020000400"/>
      <w:bookmarkStart w:id="2841" w:name="Bookmark_LNHNREFclscc4_14"/>
      <w:bookmarkEnd w:id="2840"/>
      <w:bookmarkEnd w:id="2841"/>
      <w:r>
        <w:rPr>
          <w:rFonts w:ascii="Arial" w:eastAsia="Arial" w:hAnsi="Arial" w:cs="Arial"/>
          <w:color w:val="000000"/>
          <w:sz w:val="20"/>
        </w:rPr>
        <w:t xml:space="preserve">"Allegations that a plaintiff has visited a public accommodation on a prior occasion and is currently deterred from visiting that accommodation by accessibility barriers establish that a plaintiff's injury is actual or imminent." </w:t>
      </w:r>
      <w:bookmarkStart w:id="2842" w:name="Bookmark_I61WGJVR2N1RTN0020000400"/>
      <w:bookmarkEnd w:id="2842"/>
      <w:r>
        <w:rPr>
          <w:rFonts w:ascii="Arial" w:eastAsia="Arial" w:hAnsi="Arial" w:cs="Arial"/>
          <w:i/>
          <w:color w:val="000000"/>
          <w:sz w:val="20"/>
        </w:rPr>
        <w:t>Doran v. 7-Eleven, Inc.</w:t>
      </w:r>
      <w:r>
        <w:rPr>
          <w:rFonts w:ascii="Arial" w:eastAsia="Arial" w:hAnsi="Arial" w:cs="Arial"/>
          <w:color w:val="000000"/>
          <w:sz w:val="20"/>
        </w:rPr>
        <w:t xml:space="preserve">, 524 F.3d 1034, 1041 (9th Cir. 2008) (citing </w:t>
      </w:r>
      <w:bookmarkStart w:id="2843" w:name="Bookmark_I61WGJVR2N1RTN0040000400"/>
      <w:bookmarkEnd w:id="2843"/>
      <w:r>
        <w:rPr>
          <w:rFonts w:ascii="Arial" w:eastAsia="Arial" w:hAnsi="Arial" w:cs="Arial"/>
          <w:i/>
          <w:color w:val="000000"/>
          <w:sz w:val="20"/>
        </w:rPr>
        <w:t>Pickern v. Holiday Quality Foods Inc.</w:t>
      </w:r>
      <w:r>
        <w:rPr>
          <w:rFonts w:ascii="Arial" w:eastAsia="Arial" w:hAnsi="Arial" w:cs="Arial"/>
          <w:color w:val="000000"/>
          <w:sz w:val="20"/>
        </w:rPr>
        <w:t xml:space="preserve">, 293 F.3d 1133, 1138 (9th Cir. 2002)). An allegation that the plaintiff is currently deterred from visiting a facility because he  [*964]  is aware of discriminatory conditions there suffices to demonstrate an imminent injury for purposes of surviving a motion to dismiss pursuant to Rule 12(b)(1). </w:t>
      </w:r>
      <w:bookmarkStart w:id="2844" w:name="Bookmark_I61WGJVR2HM6PG0020000400_2"/>
      <w:bookmarkStart w:id="2845" w:name="Bookmark_I61WGJVR2HM6PG0040000400"/>
      <w:bookmarkEnd w:id="2844"/>
      <w:bookmarkEnd w:id="2845"/>
      <w:r>
        <w:rPr>
          <w:rFonts w:ascii="Arial" w:eastAsia="Arial" w:hAnsi="Arial" w:cs="Arial"/>
          <w:i/>
          <w:color w:val="000000"/>
          <w:sz w:val="20"/>
        </w:rPr>
        <w:t xml:space="preserve">See </w:t>
      </w:r>
      <w:bookmarkStart w:id="2846" w:name="Bookmark_I61WGJVR2HM6PG0010000400"/>
      <w:bookmarkEnd w:id="2846"/>
      <w:r>
        <w:rPr>
          <w:rFonts w:ascii="Arial" w:eastAsia="Arial" w:hAnsi="Arial" w:cs="Arial"/>
          <w:i/>
          <w:color w:val="000000"/>
          <w:sz w:val="20"/>
        </w:rPr>
        <w:t>Civil Rights Ed. &amp; Enforcement Ctr. v. Hospitality Properties Trust</w:t>
      </w:r>
      <w:r>
        <w:rPr>
          <w:rFonts w:ascii="Arial" w:eastAsia="Arial" w:hAnsi="Arial" w:cs="Arial"/>
          <w:color w:val="000000"/>
          <w:sz w:val="20"/>
        </w:rPr>
        <w:t xml:space="preserve">, 867 F.3d 1093, 1101 (9th Cir. 2017). </w:t>
      </w:r>
      <w:bookmarkStart w:id="2847" w:name="Bookmark_I61WGJVR2HM6PG0040000400_2"/>
      <w:bookmarkEnd w:id="2847"/>
      <w:r>
        <w:rPr>
          <w:rFonts w:ascii="Arial" w:eastAsia="Arial" w:hAnsi="Arial" w:cs="Arial"/>
          <w:color w:val="000000"/>
          <w:sz w:val="20"/>
        </w:rPr>
        <w:t xml:space="preserve">Whitaker plausibly alleged that he encountered a discriminatory barrier, that he intends to return to the restaurant to avail himself of its services and determine if it complies with the ADA, and that he is currently deterred from doing so because of the barrier he encountered. Mindful of the Supreme Court's instruction to broadly construe standing in civil rights cases, </w:t>
      </w:r>
      <w:bookmarkStart w:id="2848" w:name="Bookmark_I61WGJVR2HM6PG0030000400"/>
      <w:bookmarkEnd w:id="2848"/>
      <w:r>
        <w:rPr>
          <w:rFonts w:ascii="Arial" w:eastAsia="Arial" w:hAnsi="Arial" w:cs="Arial"/>
          <w:i/>
          <w:color w:val="000000"/>
          <w:sz w:val="20"/>
        </w:rPr>
        <w:t>Trafficante</w:t>
      </w:r>
      <w:r>
        <w:rPr>
          <w:rFonts w:ascii="Arial" w:eastAsia="Arial" w:hAnsi="Arial" w:cs="Arial"/>
          <w:color w:val="000000"/>
          <w:sz w:val="20"/>
        </w:rPr>
        <w:t>, 409 U.S. at 209, and construing the facts in the light most favorable to Whitaker, we conclude Whitaker's complaint adequately alleged an injury-in-fact that was concrete and particularized, and actual or imminent. Whitaker also adequately alleged traceability and redressability.</w:t>
      </w:r>
    </w:p>
    <w:p w14:paraId="38C1C7DB" w14:textId="77777777" w:rsidR="002B10A6" w:rsidRDefault="00000000">
      <w:pPr>
        <w:pStyle w:val="Normal16"/>
        <w:widowControl w:val="0"/>
        <w:spacing w:before="200" w:line="260" w:lineRule="atLeast"/>
        <w:jc w:val="both"/>
      </w:pPr>
      <w:bookmarkStart w:id="2849" w:name="Bookmark_para_9_15"/>
      <w:bookmarkStart w:id="2850" w:name="Bookmark_I61WGJVR28T4VR0010000400"/>
      <w:bookmarkEnd w:id="2849"/>
      <w:bookmarkEnd w:id="2850"/>
      <w:r>
        <w:rPr>
          <w:rFonts w:ascii="Arial" w:eastAsia="Arial" w:hAnsi="Arial" w:cs="Arial"/>
          <w:color w:val="000000"/>
          <w:sz w:val="20"/>
        </w:rPr>
        <w:t xml:space="preserve">Nevertheless, we agree with the district court [**5]  that the complaint failed to state a claim for which relief may be granted. </w:t>
      </w:r>
      <w:bookmarkStart w:id="2851" w:name="Bookmark_I61WGJVR28T4VR0030000400"/>
      <w:bookmarkEnd w:id="2851"/>
      <w:r>
        <w:rPr>
          <w:rFonts w:ascii="Arial" w:eastAsia="Arial" w:hAnsi="Arial" w:cs="Arial"/>
          <w:i/>
          <w:color w:val="000000"/>
          <w:sz w:val="20"/>
        </w:rPr>
        <w:t xml:space="preserve">See </w:t>
      </w:r>
      <w:bookmarkStart w:id="2852" w:name="Bookmark_I61WGJVR2HM6PG0050000400"/>
      <w:bookmarkEnd w:id="2852"/>
      <w:r>
        <w:rPr>
          <w:rFonts w:ascii="Arial" w:eastAsia="Arial" w:hAnsi="Arial" w:cs="Arial"/>
          <w:i/>
          <w:color w:val="000000"/>
          <w:sz w:val="20"/>
        </w:rPr>
        <w:t>Whitaker v. Tesla Motor Corp.</w:t>
      </w:r>
      <w:r>
        <w:rPr>
          <w:rFonts w:ascii="Arial" w:eastAsia="Arial" w:hAnsi="Arial" w:cs="Arial"/>
          <w:color w:val="000000"/>
          <w:sz w:val="20"/>
        </w:rPr>
        <w:t xml:space="preserve">, No. 19-56497, 985 F.3d 1173, 2021 U.S. App. LEXIS 1953 (9th Cir. 2020); Fed. R. Civ. P. 12(b)(6). </w:t>
      </w:r>
      <w:bookmarkStart w:id="2853" w:name="Bookmark_I61WGJVS28T4VV0020000400"/>
      <w:bookmarkEnd w:id="2853"/>
      <w:r>
        <w:rPr>
          <w:rFonts w:ascii="Arial" w:eastAsia="Arial" w:hAnsi="Arial" w:cs="Arial"/>
          <w:color w:val="000000"/>
          <w:sz w:val="20"/>
        </w:rPr>
        <w:t xml:space="preserve">The complaint was primarily based on legal conclusions, and lacked the requisite specificity to survive a challenge pursuant to Rule 12(b)(6). </w:t>
      </w:r>
      <w:bookmarkStart w:id="2854" w:name="Bookmark_I61WGJVS28T4VV0020000400_2"/>
      <w:bookmarkStart w:id="2855" w:name="Bookmark_I61WGJVR28T4VR0030000400_2"/>
      <w:bookmarkEnd w:id="2854"/>
      <w:bookmarkEnd w:id="2855"/>
      <w:r>
        <w:rPr>
          <w:rFonts w:ascii="Arial" w:eastAsia="Arial" w:hAnsi="Arial" w:cs="Arial"/>
          <w:i/>
          <w:color w:val="000000"/>
          <w:sz w:val="20"/>
        </w:rPr>
        <w:t xml:space="preserve">See </w:t>
      </w:r>
      <w:bookmarkStart w:id="2856" w:name="Bookmark_I61WGJVR28T4VR0020000400"/>
      <w:bookmarkEnd w:id="2856"/>
      <w:r>
        <w:rPr>
          <w:rFonts w:ascii="Arial" w:eastAsia="Arial" w:hAnsi="Arial" w:cs="Arial"/>
          <w:i/>
          <w:color w:val="000000"/>
          <w:sz w:val="20"/>
        </w:rPr>
        <w:t>Bell Atlantic Corp. v. Twombly</w:t>
      </w:r>
      <w:r>
        <w:rPr>
          <w:rFonts w:ascii="Arial" w:eastAsia="Arial" w:hAnsi="Arial" w:cs="Arial"/>
          <w:color w:val="000000"/>
          <w:sz w:val="20"/>
        </w:rPr>
        <w:t xml:space="preserve">, 550 U.S. 544, 570, 127 S. Ct. 1955, 167 L. Ed. 2d 929 (2007); </w:t>
      </w:r>
      <w:bookmarkStart w:id="2857" w:name="Bookmark_I61WGJVR28T4VR0040000400"/>
      <w:bookmarkEnd w:id="2857"/>
      <w:r>
        <w:rPr>
          <w:rFonts w:ascii="Arial" w:eastAsia="Arial" w:hAnsi="Arial" w:cs="Arial"/>
          <w:i/>
          <w:color w:val="000000"/>
          <w:sz w:val="20"/>
        </w:rPr>
        <w:t>Ashcroft v. Iqbal</w:t>
      </w:r>
      <w:r>
        <w:rPr>
          <w:rFonts w:ascii="Arial" w:eastAsia="Arial" w:hAnsi="Arial" w:cs="Arial"/>
          <w:color w:val="000000"/>
          <w:sz w:val="20"/>
        </w:rPr>
        <w:t xml:space="preserve">, 556 U.S. 662, 678-79, 129 S. Ct. 1937, 173 L. Ed. 2d 868 (2009). </w:t>
      </w:r>
      <w:bookmarkStart w:id="2858" w:name="Bookmark_LNHNREFclscc5_14"/>
      <w:bookmarkEnd w:id="2858"/>
      <w:r>
        <w:rPr>
          <w:rFonts w:ascii="Arial" w:eastAsia="Arial" w:hAnsi="Arial" w:cs="Arial"/>
          <w:color w:val="000000"/>
          <w:sz w:val="20"/>
        </w:rPr>
        <w:t xml:space="preserve">A complaint must contain sufficient allegations of underlying facts to give fair notice and allow the opposing party to defend itself, and it must "plausibly suggest an entitlement to relief, such that it is not unfair to require the opposing party to be subjected to the expense of discovery and continued litigation." </w:t>
      </w:r>
      <w:bookmarkStart w:id="2859" w:name="Bookmark_I61WGJVS28T4VV0010000400"/>
      <w:bookmarkEnd w:id="2859"/>
      <w:r>
        <w:rPr>
          <w:rFonts w:ascii="Arial" w:eastAsia="Arial" w:hAnsi="Arial" w:cs="Arial"/>
          <w:i/>
          <w:color w:val="000000"/>
          <w:sz w:val="20"/>
        </w:rPr>
        <w:t>Starr v. Baca</w:t>
      </w:r>
      <w:r>
        <w:rPr>
          <w:rFonts w:ascii="Arial" w:eastAsia="Arial" w:hAnsi="Arial" w:cs="Arial"/>
          <w:color w:val="000000"/>
          <w:sz w:val="20"/>
        </w:rPr>
        <w:t xml:space="preserve">, 652 F.3d 1202, 1216 (9th Cir. 2011). </w:t>
      </w:r>
      <w:bookmarkStart w:id="2860" w:name="Bookmark_I1VX8BH6JN90000MGY100001"/>
      <w:bookmarkStart w:id="2861" w:name="Bookmark_I1VX8BH6VFG0000MGY100003"/>
      <w:bookmarkStart w:id="2862" w:name="Bookmark_I61WGJVS28T4VV0040000400"/>
      <w:bookmarkEnd w:id="2860"/>
      <w:bookmarkEnd w:id="2861"/>
      <w:bookmarkEnd w:id="2862"/>
      <w:r>
        <w:rPr>
          <w:rFonts w:ascii="Arial" w:eastAsia="Arial" w:hAnsi="Arial" w:cs="Arial"/>
          <w:color w:val="000000"/>
          <w:sz w:val="20"/>
        </w:rPr>
        <w:t xml:space="preserve">As the district court observed, the complaint did not allege facts identifying the specific deficiencies in the dining surfaces that prevented Whitaker from fully accessing the restaurant. </w:t>
      </w:r>
      <w:bookmarkStart w:id="2863" w:name="Bookmark_I61WGJVS2HM6PN0030000400"/>
      <w:bookmarkEnd w:id="2863"/>
      <w:r>
        <w:rPr>
          <w:rFonts w:ascii="Arial" w:eastAsia="Arial" w:hAnsi="Arial" w:cs="Arial"/>
          <w:color w:val="000000"/>
          <w:sz w:val="20"/>
        </w:rPr>
        <w:t xml:space="preserve">Nor did it describe how the restrooms were inaccessible or which paths of travel in the patio area were inaccessible. Because Whitaker's complaint lacked factual allegations putting Panama Joe's on notice of his claims, it failed to satisfy the </w:t>
      </w:r>
      <w:bookmarkStart w:id="2864" w:name="Bookmark_I61WGJVS2HM6PN0030000400_2"/>
      <w:bookmarkStart w:id="2865" w:name="Bookmark_I61WGJVS28T4VV0040000400_2"/>
      <w:bookmarkStart w:id="2866" w:name="Bookmark_I61WGJVS28T4VV0030000400"/>
      <w:bookmarkEnd w:id="2864"/>
      <w:bookmarkEnd w:id="2865"/>
      <w:bookmarkEnd w:id="2866"/>
      <w:r>
        <w:rPr>
          <w:rFonts w:ascii="Arial" w:eastAsia="Arial" w:hAnsi="Arial" w:cs="Arial"/>
          <w:i/>
          <w:color w:val="000000"/>
          <w:sz w:val="20"/>
        </w:rPr>
        <w:t>Iqbal/</w:t>
      </w:r>
      <w:bookmarkStart w:id="2867" w:name="Bookmark_I61WGJVS28T4VV0050000400"/>
      <w:bookmarkEnd w:id="2867"/>
      <w:r>
        <w:rPr>
          <w:rFonts w:ascii="Arial" w:eastAsia="Arial" w:hAnsi="Arial" w:cs="Arial"/>
          <w:i/>
          <w:color w:val="000000"/>
          <w:sz w:val="20"/>
        </w:rPr>
        <w:t>Twombly</w:t>
      </w:r>
      <w:r>
        <w:rPr>
          <w:rFonts w:ascii="Arial" w:eastAsia="Arial" w:hAnsi="Arial" w:cs="Arial"/>
          <w:color w:val="000000"/>
          <w:sz w:val="20"/>
        </w:rPr>
        <w:t xml:space="preserve"> standard.</w:t>
      </w:r>
      <w:r>
        <w:rPr>
          <w:rFonts w:ascii="Arial" w:eastAsia="Arial" w:hAnsi="Arial" w:cs="Arial"/>
          <w:vertAlign w:val="superscript"/>
        </w:rPr>
        <w:footnoteReference w:customMarkFollows="1" w:id="135"/>
        <w:t>2</w:t>
      </w:r>
    </w:p>
    <w:p w14:paraId="7D1CE4A3" w14:textId="77777777" w:rsidR="002B10A6" w:rsidRDefault="00000000">
      <w:pPr>
        <w:pStyle w:val="Normal16"/>
        <w:widowControl w:val="0"/>
        <w:spacing w:before="200" w:line="260" w:lineRule="atLeast"/>
        <w:jc w:val="both"/>
      </w:pPr>
      <w:bookmarkStart w:id="2870" w:name="Bookmark_para_10_15"/>
      <w:bookmarkEnd w:id="2870"/>
      <w:r>
        <w:rPr>
          <w:rFonts w:ascii="Arial" w:eastAsia="Arial" w:hAnsi="Arial" w:cs="Arial"/>
          <w:b/>
          <w:color w:val="000000"/>
          <w:sz w:val="20"/>
        </w:rPr>
        <w:t>AFFIRMED</w:t>
      </w:r>
      <w:r>
        <w:rPr>
          <w:rFonts w:ascii="Arial" w:eastAsia="Arial" w:hAnsi="Arial" w:cs="Arial"/>
          <w:color w:val="000000"/>
          <w:sz w:val="20"/>
        </w:rPr>
        <w:t>.</w:t>
      </w:r>
    </w:p>
    <w:p w14:paraId="587C3760" w14:textId="77777777" w:rsidR="002B10A6" w:rsidRDefault="002B10A6">
      <w:pPr>
        <w:pStyle w:val="Normal16"/>
      </w:pPr>
    </w:p>
    <w:p w14:paraId="306548F3" w14:textId="73C15D69" w:rsidR="002B10A6" w:rsidRDefault="00000000">
      <w:pPr>
        <w:pStyle w:val="Normal16"/>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93056" behindDoc="0" locked="0" layoutInCell="1" allowOverlap="1" wp14:anchorId="2768E901" wp14:editId="595A2EC7">
                <wp:simplePos x="0" y="0"/>
                <wp:positionH relativeFrom="column">
                  <wp:posOffset>0</wp:posOffset>
                </wp:positionH>
                <wp:positionV relativeFrom="paragraph">
                  <wp:posOffset>127000</wp:posOffset>
                </wp:positionV>
                <wp:extent cx="6502400" cy="0"/>
                <wp:effectExtent l="9525" t="12700" r="12700" b="6350"/>
                <wp:wrapNone/>
                <wp:docPr id="63570929"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4B441" id="Line 35"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8AC5B68" w14:textId="77777777" w:rsidR="002B10A6" w:rsidRDefault="002B10A6">
      <w:pPr>
        <w:pStyle w:val="Normal17"/>
        <w:sectPr w:rsidR="002B10A6">
          <w:headerReference w:type="even" r:id="rId108"/>
          <w:headerReference w:type="default" r:id="rId109"/>
          <w:footerReference w:type="even" r:id="rId110"/>
          <w:footerReference w:type="default" r:id="rId111"/>
          <w:headerReference w:type="first" r:id="rId112"/>
          <w:footerReference w:type="first" r:id="rId113"/>
          <w:pgSz w:w="12240" w:h="15840"/>
          <w:pgMar w:top="840" w:right="1000" w:bottom="840" w:left="1000" w:header="400" w:footer="400" w:gutter="0"/>
          <w:cols w:space="720"/>
          <w:titlePg/>
        </w:sectPr>
      </w:pPr>
    </w:p>
    <w:p w14:paraId="473B8969" w14:textId="77777777" w:rsidR="002B10A6" w:rsidRDefault="002B10A6">
      <w:pPr>
        <w:pStyle w:val="Normal17"/>
      </w:pPr>
    </w:p>
    <w:p w14:paraId="521358CF" w14:textId="77777777" w:rsidR="002B10A6" w:rsidRDefault="00000000">
      <w:pPr>
        <w:pStyle w:val="Heading116"/>
        <w:keepNext w:val="0"/>
        <w:widowControl w:val="0"/>
        <w:spacing w:after="200" w:line="340" w:lineRule="atLeast"/>
        <w:jc w:val="center"/>
      </w:pPr>
      <w:r>
        <w:rPr>
          <w:rFonts w:eastAsia="Arial"/>
          <w:color w:val="000000"/>
          <w:sz w:val="28"/>
        </w:rPr>
        <w:t>Charles v. Wal-Mart La., L.L.C.</w:t>
      </w:r>
    </w:p>
    <w:p w14:paraId="4B42EAF8" w14:textId="77777777" w:rsidR="002B10A6" w:rsidRDefault="00000000">
      <w:pPr>
        <w:pStyle w:val="Normal17"/>
        <w:widowControl w:val="0"/>
        <w:spacing w:before="120" w:line="260" w:lineRule="atLeast"/>
        <w:jc w:val="center"/>
      </w:pPr>
      <w:r>
        <w:rPr>
          <w:rFonts w:ascii="Arial" w:eastAsia="Arial" w:hAnsi="Arial" w:cs="Arial"/>
          <w:color w:val="000000"/>
          <w:sz w:val="20"/>
        </w:rPr>
        <w:t>United States Court of Appeals for the Fifth Circuit</w:t>
      </w:r>
    </w:p>
    <w:p w14:paraId="613D09E7" w14:textId="77777777" w:rsidR="002B10A6" w:rsidRDefault="00000000">
      <w:pPr>
        <w:pStyle w:val="Normal17"/>
        <w:widowControl w:val="0"/>
        <w:spacing w:before="120" w:line="260" w:lineRule="atLeast"/>
        <w:jc w:val="center"/>
      </w:pPr>
      <w:r>
        <w:rPr>
          <w:rFonts w:ascii="Arial" w:eastAsia="Arial" w:hAnsi="Arial" w:cs="Arial"/>
          <w:color w:val="000000"/>
          <w:sz w:val="20"/>
        </w:rPr>
        <w:t>December 10, 2020, Filed</w:t>
      </w:r>
    </w:p>
    <w:p w14:paraId="7DB1CCA3" w14:textId="77777777" w:rsidR="002B10A6" w:rsidRDefault="00000000">
      <w:pPr>
        <w:pStyle w:val="Normal17"/>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20-30213</w:t>
      </w:r>
    </w:p>
    <w:p w14:paraId="290494BC" w14:textId="77777777" w:rsidR="002B10A6" w:rsidRDefault="002B10A6">
      <w:pPr>
        <w:pStyle w:val="Normal17"/>
        <w:widowControl w:val="0"/>
        <w:spacing w:line="240" w:lineRule="atLeast"/>
        <w:jc w:val="both"/>
      </w:pPr>
      <w:bookmarkStart w:id="2871" w:name="Bookmark_18"/>
      <w:bookmarkEnd w:id="2871"/>
    </w:p>
    <w:p w14:paraId="2FCAAC2A" w14:textId="77777777" w:rsidR="002B10A6" w:rsidRDefault="00000000">
      <w:pPr>
        <w:pStyle w:val="Normal17"/>
        <w:widowControl w:val="0"/>
        <w:spacing w:before="200" w:line="240" w:lineRule="atLeast"/>
      </w:pPr>
      <w:bookmarkStart w:id="2872" w:name="Reporter_16"/>
      <w:bookmarkEnd w:id="2872"/>
      <w:r>
        <w:rPr>
          <w:rFonts w:ascii="Arial" w:eastAsia="Arial" w:hAnsi="Arial" w:cs="Arial"/>
          <w:b/>
          <w:color w:val="000000"/>
          <w:sz w:val="18"/>
        </w:rPr>
        <w:t>Reporter</w:t>
      </w:r>
    </w:p>
    <w:p w14:paraId="0D3BA61F" w14:textId="77777777" w:rsidR="002B10A6" w:rsidRDefault="00000000">
      <w:pPr>
        <w:pStyle w:val="Normal17"/>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831 Fed. Appx. 140 *; 2020 U.S. App. LEXIS 38605 **</w:t>
      </w:r>
    </w:p>
    <w:p w14:paraId="4460A517" w14:textId="77777777" w:rsidR="002B10A6" w:rsidRDefault="00000000">
      <w:pPr>
        <w:pStyle w:val="Normal17"/>
        <w:widowControl w:val="0"/>
        <w:spacing w:before="120" w:line="260" w:lineRule="atLeast"/>
      </w:pPr>
      <w:r>
        <w:rPr>
          <w:rFonts w:ascii="Arial" w:eastAsia="Arial" w:hAnsi="Arial" w:cs="Arial"/>
          <w:color w:val="000000"/>
          <w:sz w:val="20"/>
        </w:rPr>
        <w:t>LATARSHA CHARLES, Plaintiff-Appellant, versus WAL-MART LOUISIANA, L.L.C., Defendant-Appellee.</w:t>
      </w:r>
    </w:p>
    <w:p w14:paraId="4AAA352D" w14:textId="77777777" w:rsidR="002B10A6" w:rsidRDefault="00000000">
      <w:pPr>
        <w:pStyle w:val="Normal17"/>
        <w:widowControl w:val="0"/>
        <w:spacing w:before="240" w:line="260" w:lineRule="atLeast"/>
        <w:jc w:val="both"/>
      </w:pPr>
      <w:bookmarkStart w:id="2873" w:name="Notice_5"/>
      <w:bookmarkEnd w:id="2873"/>
      <w:r>
        <w:rPr>
          <w:rFonts w:ascii="Arial" w:eastAsia="Arial" w:hAnsi="Arial" w:cs="Arial"/>
          <w:b/>
          <w:color w:val="000000"/>
          <w:sz w:val="20"/>
        </w:rPr>
        <w:t>Notice:</w:t>
      </w:r>
      <w:r>
        <w:rPr>
          <w:rFonts w:ascii="Arial" w:eastAsia="Arial" w:hAnsi="Arial" w:cs="Arial"/>
          <w:color w:val="000000"/>
          <w:sz w:val="20"/>
        </w:rPr>
        <w:t> </w:t>
      </w:r>
      <w:bookmarkStart w:id="2874" w:name="Bookmark_para_1_16"/>
      <w:bookmarkEnd w:id="2874"/>
      <w:r>
        <w:rPr>
          <w:rFonts w:ascii="Arial" w:eastAsia="Arial" w:hAnsi="Arial" w:cs="Arial"/>
          <w:color w:val="000000"/>
          <w:sz w:val="20"/>
        </w:rPr>
        <w:t>PLEASE REFER TO FEDERAL RULES OF APPELLATE PROCEDURE RULE 32.1 GOVERNING THE CITATION TO UNPUBLISHED OPINIONS.</w:t>
      </w:r>
    </w:p>
    <w:p w14:paraId="7EC6E6AC" w14:textId="77777777" w:rsidR="002B10A6" w:rsidRDefault="00000000">
      <w:pPr>
        <w:pStyle w:val="Normal17"/>
        <w:widowControl w:val="0"/>
        <w:spacing w:before="240" w:line="260" w:lineRule="atLeast"/>
        <w:jc w:val="both"/>
      </w:pPr>
      <w:bookmarkStart w:id="2875" w:name="Prior_History_16"/>
      <w:bookmarkEnd w:id="2875"/>
      <w:r>
        <w:rPr>
          <w:rFonts w:ascii="Arial" w:eastAsia="Arial" w:hAnsi="Arial" w:cs="Arial"/>
          <w:b/>
          <w:color w:val="000000"/>
          <w:sz w:val="20"/>
        </w:rPr>
        <w:t>Prior History:</w:t>
      </w:r>
      <w:r>
        <w:rPr>
          <w:rFonts w:ascii="Arial" w:eastAsia="Arial" w:hAnsi="Arial" w:cs="Arial"/>
          <w:color w:val="000000"/>
          <w:sz w:val="20"/>
        </w:rPr>
        <w:t> </w:t>
      </w:r>
      <w:bookmarkStart w:id="2876" w:name="Bookmark_para_2_16"/>
      <w:bookmarkEnd w:id="2876"/>
      <w:r>
        <w:rPr>
          <w:rFonts w:ascii="Arial" w:eastAsia="Arial" w:hAnsi="Arial" w:cs="Arial"/>
          <w:color w:val="000000"/>
          <w:sz w:val="20"/>
        </w:rPr>
        <w:t> [**1] Appeal from the United States District Court for the Western District of Louisiana. USDC No. 6:18-CV-559.</w:t>
      </w:r>
    </w:p>
    <w:p w14:paraId="2F8C40D5" w14:textId="77777777" w:rsidR="002B10A6" w:rsidRDefault="00000000">
      <w:pPr>
        <w:pStyle w:val="Normal17"/>
        <w:widowControl w:val="0"/>
        <w:spacing w:before="240" w:line="260" w:lineRule="atLeast"/>
      </w:pPr>
      <w:bookmarkStart w:id="2877" w:name="Counsel_16"/>
      <w:bookmarkEnd w:id="2877"/>
      <w:r>
        <w:rPr>
          <w:rFonts w:ascii="Arial" w:eastAsia="Arial" w:hAnsi="Arial" w:cs="Arial"/>
          <w:b/>
          <w:color w:val="000000"/>
          <w:sz w:val="20"/>
        </w:rPr>
        <w:t>Counsel:</w:t>
      </w:r>
      <w:r>
        <w:rPr>
          <w:rFonts w:ascii="Arial" w:eastAsia="Arial" w:hAnsi="Arial" w:cs="Arial"/>
          <w:color w:val="000000"/>
          <w:sz w:val="20"/>
        </w:rPr>
        <w:t> Latarsha Charles, Plaintiff - Appellant, Pro se, Jeanerette, LA.</w:t>
      </w:r>
    </w:p>
    <w:p w14:paraId="329FF808" w14:textId="77777777" w:rsidR="002B10A6" w:rsidRDefault="00000000">
      <w:pPr>
        <w:pStyle w:val="Normal17"/>
        <w:widowControl w:val="0"/>
        <w:spacing w:before="120" w:line="260" w:lineRule="atLeast"/>
      </w:pPr>
      <w:r>
        <w:rPr>
          <w:rFonts w:ascii="Arial" w:eastAsia="Arial" w:hAnsi="Arial" w:cs="Arial"/>
          <w:color w:val="000000"/>
          <w:sz w:val="20"/>
        </w:rPr>
        <w:t>For Wal-Mart Louisiana, L.L.C., Defendant - Appellee: Stephen Paul Beiser, McGlinchey Stafford, P.L.L.C., New Orleans, LA.</w:t>
      </w:r>
    </w:p>
    <w:p w14:paraId="3DFB1DC7" w14:textId="77777777" w:rsidR="002B10A6" w:rsidRDefault="00000000">
      <w:pPr>
        <w:pStyle w:val="Normal17"/>
        <w:widowControl w:val="0"/>
        <w:spacing w:before="240" w:line="260" w:lineRule="atLeast"/>
      </w:pPr>
      <w:bookmarkStart w:id="2878" w:name="Judges_16"/>
      <w:bookmarkEnd w:id="2878"/>
      <w:r>
        <w:rPr>
          <w:rFonts w:ascii="Arial" w:eastAsia="Arial" w:hAnsi="Arial" w:cs="Arial"/>
          <w:b/>
          <w:color w:val="000000"/>
          <w:sz w:val="20"/>
        </w:rPr>
        <w:t>Judges:</w:t>
      </w:r>
      <w:r>
        <w:rPr>
          <w:rFonts w:ascii="Arial" w:eastAsia="Arial" w:hAnsi="Arial" w:cs="Arial"/>
          <w:color w:val="000000"/>
          <w:sz w:val="20"/>
        </w:rPr>
        <w:t> Before DAVIS, STEWART, and OLDHAM, Circuit Judges.</w:t>
      </w:r>
    </w:p>
    <w:p w14:paraId="65B23115" w14:textId="77777777" w:rsidR="002B10A6" w:rsidRDefault="00000000">
      <w:pPr>
        <w:pStyle w:val="Normal17"/>
        <w:keepNext/>
        <w:widowControl w:val="0"/>
        <w:spacing w:before="240" w:line="340" w:lineRule="atLeast"/>
      </w:pPr>
      <w:bookmarkStart w:id="2879" w:name="Opinion_16"/>
      <w:bookmarkEnd w:id="2879"/>
      <w:r>
        <w:rPr>
          <w:rFonts w:ascii="Arial" w:eastAsia="Arial" w:hAnsi="Arial" w:cs="Arial"/>
          <w:b/>
          <w:color w:val="000000"/>
          <w:sz w:val="28"/>
        </w:rPr>
        <w:t>Opinion</w:t>
      </w:r>
    </w:p>
    <w:p w14:paraId="0011F203" w14:textId="2F80022D" w:rsidR="002B10A6" w:rsidRDefault="002D6974">
      <w:pPr>
        <w:pStyle w:val="Normal17"/>
        <w:spacing w:line="60" w:lineRule="exact"/>
      </w:pPr>
      <w:r>
        <w:rPr>
          <w:noProof/>
        </w:rPr>
        <mc:AlternateContent>
          <mc:Choice Requires="wps">
            <w:drawing>
              <wp:anchor distT="0" distB="0" distL="114300" distR="114300" simplePos="0" relativeHeight="251694080" behindDoc="0" locked="0" layoutInCell="1" allowOverlap="1" wp14:anchorId="7EBF8FEB" wp14:editId="046B9D59">
                <wp:simplePos x="0" y="0"/>
                <wp:positionH relativeFrom="column">
                  <wp:posOffset>0</wp:posOffset>
                </wp:positionH>
                <wp:positionV relativeFrom="paragraph">
                  <wp:posOffset>25400</wp:posOffset>
                </wp:positionV>
                <wp:extent cx="3187700" cy="0"/>
                <wp:effectExtent l="19050" t="15875" r="12700" b="12700"/>
                <wp:wrapTopAndBottom/>
                <wp:docPr id="26677104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50F09"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B7E0879" w14:textId="77777777" w:rsidR="002B10A6" w:rsidRDefault="002B10A6">
      <w:pPr>
        <w:pStyle w:val="Normal17"/>
      </w:pPr>
    </w:p>
    <w:p w14:paraId="3D17EA51" w14:textId="77777777" w:rsidR="002B10A6" w:rsidRDefault="00000000">
      <w:pPr>
        <w:pStyle w:val="Normal17"/>
        <w:widowControl w:val="0"/>
        <w:spacing w:before="200" w:line="260" w:lineRule="atLeast"/>
        <w:jc w:val="both"/>
      </w:pPr>
      <w:bookmarkStart w:id="2880" w:name="Bookmark_para_3_16"/>
      <w:bookmarkEnd w:id="2880"/>
      <w:r>
        <w:rPr>
          <w:rFonts w:ascii="Arial" w:eastAsia="Arial" w:hAnsi="Arial" w:cs="Arial"/>
          <w:color w:val="000000"/>
          <w:sz w:val="20"/>
        </w:rPr>
        <w:t xml:space="preserve"> [*140]  </w:t>
      </w:r>
      <w:r>
        <w:rPr>
          <w:rFonts w:ascii="Arial" w:eastAsia="Arial" w:hAnsi="Arial" w:cs="Arial"/>
          <w:smallCaps/>
          <w:color w:val="000000"/>
          <w:sz w:val="20"/>
        </w:rPr>
        <w:t>Per Curiam</w:t>
      </w:r>
      <w:r>
        <w:rPr>
          <w:rFonts w:ascii="Arial" w:eastAsia="Arial" w:hAnsi="Arial" w:cs="Arial"/>
          <w:color w:val="000000"/>
          <w:sz w:val="20"/>
        </w:rPr>
        <w:t>:</w:t>
      </w:r>
      <w:r>
        <w:rPr>
          <w:rFonts w:ascii="Arial" w:eastAsia="Arial" w:hAnsi="Arial" w:cs="Arial"/>
          <w:vertAlign w:val="superscript"/>
        </w:rPr>
        <w:footnoteReference w:customMarkFollows="1" w:id="136"/>
        <w:t>*</w:t>
      </w:r>
    </w:p>
    <w:p w14:paraId="5984FD2A" w14:textId="77777777" w:rsidR="002B10A6" w:rsidRDefault="00000000">
      <w:pPr>
        <w:pStyle w:val="Normal17"/>
        <w:widowControl w:val="0"/>
        <w:spacing w:before="200" w:line="260" w:lineRule="atLeast"/>
        <w:jc w:val="both"/>
      </w:pPr>
      <w:bookmarkStart w:id="2882" w:name="Bookmark_para_4_16"/>
      <w:bookmarkEnd w:id="2882"/>
      <w:r>
        <w:rPr>
          <w:rFonts w:ascii="Arial" w:eastAsia="Arial" w:hAnsi="Arial" w:cs="Arial"/>
          <w:color w:val="000000"/>
          <w:sz w:val="20"/>
        </w:rPr>
        <w:t>Plaintiff Latarsha Charles appeals the district court's grant of summary judgment in favor of Defendant Wal-Mart Louisiana, L.L.C. ("Wal-Mart"). We dismiss the appeal.</w:t>
      </w:r>
    </w:p>
    <w:p w14:paraId="5DF128FF" w14:textId="77777777" w:rsidR="002B10A6" w:rsidRDefault="00000000">
      <w:pPr>
        <w:pStyle w:val="Normal17"/>
        <w:widowControl w:val="0"/>
        <w:spacing w:before="200" w:line="260" w:lineRule="atLeast"/>
        <w:jc w:val="both"/>
      </w:pPr>
      <w:bookmarkStart w:id="2883" w:name="Bookmark_para_5_16"/>
      <w:bookmarkEnd w:id="2883"/>
      <w:r>
        <w:rPr>
          <w:rFonts w:ascii="Arial" w:eastAsia="Arial" w:hAnsi="Arial" w:cs="Arial"/>
          <w:color w:val="000000"/>
          <w:sz w:val="20"/>
        </w:rPr>
        <w:t>Charles brought suit against Wal-Mart under Title I of the Americans with Disabilities Act ("ADA"). In May of 2015, Charles underwent back surgery which required her to take leave from her job as an assistant manager at Wal-Mart in Lafayette, Louisiana. Wal-Mart gave Charles one year of medical leave before Charles's physician cleared her for work around July 2016. Charles's work limitations included a six-hour work day, a four to five-day work week, and a 15-pound lifting restriction.</w:t>
      </w:r>
    </w:p>
    <w:p w14:paraId="07BE9854" w14:textId="77777777" w:rsidR="002B10A6" w:rsidRDefault="00000000">
      <w:pPr>
        <w:pStyle w:val="Normal17"/>
        <w:widowControl w:val="0"/>
        <w:spacing w:before="200" w:line="260" w:lineRule="atLeast"/>
        <w:jc w:val="both"/>
      </w:pPr>
      <w:bookmarkStart w:id="2884" w:name="Bookmark_para_6_16"/>
      <w:bookmarkEnd w:id="2884"/>
      <w:r>
        <w:rPr>
          <w:rFonts w:ascii="Arial" w:eastAsia="Arial" w:hAnsi="Arial" w:cs="Arial"/>
          <w:color w:val="000000"/>
          <w:sz w:val="20"/>
        </w:rPr>
        <w:t>Upon her return to work, Charles was not allowed to continue as an assistant manager because she could not perform essential assistant manager duties with her restrictions. Wal-Mart, instead, [**2]  offered to help reassign Charles to a different position and explored several options with her including positions such as pharmacy technician, tire and lube service writer, optical technician, personnel coordinator, and training coordinator. Wal-Mart gave Charles 12 weeks leave to pursue this reassignment. Charles expressed some limited interest in Vision Center and tire and lube positions at four particular stores, but Wal-Mart advised her each week that such positions were not open. The only position that Charles actively pursued was a Vision Center position at the New Iberia Wal-Mart. Charles was told through a co-worker at her store's Vision Center that a Vision Center position at the New Iberia store might open within a few days. This particular Vision Center position, however, was never available. Charles did not pursue other options, and at the end of the 12-week leave, she was terminated. Based on these events, Charles alleges that Wal-Mart did not provide her reasonable accommodations under the ADA.</w:t>
      </w:r>
    </w:p>
    <w:p w14:paraId="35E69240" w14:textId="77777777" w:rsidR="002B10A6" w:rsidRDefault="00000000">
      <w:pPr>
        <w:pStyle w:val="Normal17"/>
        <w:widowControl w:val="0"/>
        <w:spacing w:before="200" w:line="260" w:lineRule="atLeast"/>
        <w:jc w:val="both"/>
      </w:pPr>
      <w:bookmarkStart w:id="2885" w:name="Bookmark_para_7_16"/>
      <w:bookmarkEnd w:id="2885"/>
      <w:r>
        <w:rPr>
          <w:rFonts w:ascii="Arial" w:eastAsia="Arial" w:hAnsi="Arial" w:cs="Arial"/>
          <w:color w:val="000000"/>
          <w:sz w:val="20"/>
        </w:rPr>
        <w:t>Wal-Mart filed a motion for summary judgment arguing that Charles did not establish a prima facie disability discrimination case or, alternatively, did not establish pretext for [**3]  her termination. The district court found there was no genuine issue of fact that Charles could not perform the essential functions of an assistant manager, and that the Vision Center position she requested was unavailable. Further, the district court found that there was no genuine issue of fact that Wal-Mart terminated Charles for a legitimate, non-discriminatory  [*141]  reason. Accordingly, the district court granted Wal-Mart's motion, reasoning that Charles did not establish a prima facie case under the ADA and that she could not establish that her termination was pretextual. Charles appealed the ruling pro se.</w:t>
      </w:r>
    </w:p>
    <w:p w14:paraId="698582E1" w14:textId="77777777" w:rsidR="002B10A6" w:rsidRDefault="00000000">
      <w:pPr>
        <w:pStyle w:val="Normal17"/>
        <w:widowControl w:val="0"/>
        <w:spacing w:before="200" w:line="260" w:lineRule="atLeast"/>
        <w:jc w:val="both"/>
      </w:pPr>
      <w:bookmarkStart w:id="2886" w:name="Bookmark_para_8_16"/>
      <w:bookmarkStart w:id="2887" w:name="Bookmark_I61HP0PV28T48X0020000400"/>
      <w:bookmarkEnd w:id="2886"/>
      <w:bookmarkEnd w:id="2887"/>
      <w:r>
        <w:rPr>
          <w:rFonts w:ascii="Arial" w:eastAsia="Arial" w:hAnsi="Arial" w:cs="Arial"/>
          <w:color w:val="000000"/>
          <w:sz w:val="20"/>
        </w:rPr>
        <w:t>Charles's brief does not adequately address any alleged error committed by the district court. Under Federal Rule of Appellate Procedure 28(a)(8)(A), an appellant must brief an argument that contains "contentions and the reasons for them, with citations to the authorities and parts of the record on which the appellant relies." We liberally construe pro se litigants' briefs; however, pro se litigants must still "brief the issues and reasonably comply with the standards of Rule 28."</w:t>
      </w:r>
      <w:r>
        <w:rPr>
          <w:rFonts w:ascii="Arial" w:eastAsia="Arial" w:hAnsi="Arial" w:cs="Arial"/>
          <w:vertAlign w:val="superscript"/>
        </w:rPr>
        <w:footnoteReference w:customMarkFollows="1" w:id="137"/>
        <w:t>1</w:t>
      </w:r>
    </w:p>
    <w:p w14:paraId="41FAE594" w14:textId="77777777" w:rsidR="002B10A6" w:rsidRDefault="00000000">
      <w:pPr>
        <w:pStyle w:val="Normal17"/>
        <w:widowControl w:val="0"/>
        <w:spacing w:before="200" w:line="260" w:lineRule="atLeast"/>
        <w:jc w:val="both"/>
      </w:pPr>
      <w:bookmarkStart w:id="2891" w:name="Bookmark_para_9_16"/>
      <w:bookmarkEnd w:id="2891"/>
      <w:r>
        <w:rPr>
          <w:rFonts w:ascii="Arial" w:eastAsia="Arial" w:hAnsi="Arial" w:cs="Arial"/>
          <w:color w:val="000000"/>
          <w:sz w:val="20"/>
        </w:rPr>
        <w:t>The bulk of Charles's brief is a long recitation of facts under the heading, "Statement of the Case." At the end of the brief, Charles provides a summary of [**4]  the argument which provides a one-and-a-half-page outline of legal conclusions related to the ADA. No authority on the ADA is cited, and no argument is made as to why the district court erred in granting summary judgment.</w:t>
      </w:r>
    </w:p>
    <w:p w14:paraId="51463190" w14:textId="77777777" w:rsidR="002B10A6" w:rsidRDefault="00000000">
      <w:pPr>
        <w:pStyle w:val="Normal17"/>
        <w:widowControl w:val="0"/>
        <w:spacing w:before="200" w:line="260" w:lineRule="atLeast"/>
        <w:jc w:val="both"/>
      </w:pPr>
      <w:bookmarkStart w:id="2892" w:name="Bookmark_para_10_16"/>
      <w:bookmarkEnd w:id="2892"/>
      <w:r>
        <w:rPr>
          <w:rFonts w:ascii="Arial" w:eastAsia="Arial" w:hAnsi="Arial" w:cs="Arial"/>
          <w:color w:val="000000"/>
          <w:sz w:val="20"/>
        </w:rPr>
        <w:t>The appeal is therefore DISMISSED for want of prosecution.</w:t>
      </w:r>
    </w:p>
    <w:p w14:paraId="0CE83024" w14:textId="77777777" w:rsidR="002B10A6" w:rsidRDefault="002B10A6">
      <w:pPr>
        <w:pStyle w:val="Normal17"/>
      </w:pPr>
    </w:p>
    <w:p w14:paraId="428B8BDA" w14:textId="6AB48536" w:rsidR="002B10A6" w:rsidRDefault="00000000">
      <w:pPr>
        <w:pStyle w:val="Normal17"/>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95104" behindDoc="0" locked="0" layoutInCell="1" allowOverlap="1" wp14:anchorId="1601324B" wp14:editId="57581F45">
                <wp:simplePos x="0" y="0"/>
                <wp:positionH relativeFrom="column">
                  <wp:posOffset>0</wp:posOffset>
                </wp:positionH>
                <wp:positionV relativeFrom="paragraph">
                  <wp:posOffset>127000</wp:posOffset>
                </wp:positionV>
                <wp:extent cx="6502400" cy="0"/>
                <wp:effectExtent l="9525" t="12700" r="12700" b="6350"/>
                <wp:wrapNone/>
                <wp:docPr id="1547592187"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147F6" id="Line 37"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E80FB90" w14:textId="77777777" w:rsidR="002B10A6" w:rsidRDefault="002B10A6">
      <w:pPr>
        <w:pStyle w:val="Normal18"/>
        <w:sectPr w:rsidR="002B10A6">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gutter="0"/>
          <w:cols w:space="720"/>
          <w:titlePg/>
        </w:sectPr>
      </w:pPr>
    </w:p>
    <w:p w14:paraId="353FCD8E" w14:textId="77777777" w:rsidR="002B10A6" w:rsidRDefault="002B10A6">
      <w:pPr>
        <w:pStyle w:val="Normal18"/>
      </w:pPr>
    </w:p>
    <w:p w14:paraId="6BBD9F5E" w14:textId="77777777" w:rsidR="002B10A6" w:rsidRDefault="00000000">
      <w:pPr>
        <w:pStyle w:val="Heading117"/>
        <w:keepNext w:val="0"/>
        <w:widowControl w:val="0"/>
        <w:spacing w:after="200" w:line="340" w:lineRule="atLeast"/>
        <w:jc w:val="center"/>
      </w:pPr>
      <w:r>
        <w:rPr>
          <w:rFonts w:eastAsia="Arial"/>
          <w:color w:val="000000"/>
          <w:sz w:val="28"/>
        </w:rPr>
        <w:t>Williams v. United Airlines, Inc.</w:t>
      </w:r>
    </w:p>
    <w:p w14:paraId="6497D0BB" w14:textId="77777777" w:rsidR="002B10A6" w:rsidRDefault="00000000">
      <w:pPr>
        <w:pStyle w:val="Normal18"/>
        <w:widowControl w:val="0"/>
        <w:spacing w:before="120" w:line="260" w:lineRule="atLeast"/>
        <w:jc w:val="center"/>
      </w:pPr>
      <w:r>
        <w:rPr>
          <w:rFonts w:ascii="Arial" w:eastAsia="Arial" w:hAnsi="Arial" w:cs="Arial"/>
          <w:color w:val="000000"/>
          <w:sz w:val="20"/>
        </w:rPr>
        <w:t>United States Court of Appeals for the Ninth Circuit</w:t>
      </w:r>
    </w:p>
    <w:p w14:paraId="2F2F923E" w14:textId="77777777" w:rsidR="002B10A6" w:rsidRDefault="00000000">
      <w:pPr>
        <w:pStyle w:val="Normal18"/>
        <w:widowControl w:val="0"/>
        <w:spacing w:before="120" w:line="260" w:lineRule="atLeast"/>
        <w:jc w:val="center"/>
      </w:pPr>
      <w:r>
        <w:rPr>
          <w:rFonts w:ascii="Arial" w:eastAsia="Arial" w:hAnsi="Arial" w:cs="Arial"/>
          <w:color w:val="000000"/>
          <w:sz w:val="20"/>
        </w:rPr>
        <w:t>November 18, 2020</w:t>
      </w:r>
      <w:r>
        <w:rPr>
          <w:rFonts w:ascii="Arial" w:eastAsia="Arial" w:hAnsi="Arial" w:cs="Arial"/>
          <w:vertAlign w:val="superscript"/>
        </w:rPr>
        <w:footnoteReference w:customMarkFollows="1" w:id="138"/>
        <w:t>**</w:t>
      </w:r>
      <w:r>
        <w:rPr>
          <w:rFonts w:ascii="Arial" w:eastAsia="Arial" w:hAnsi="Arial" w:cs="Arial"/>
          <w:color w:val="000000"/>
          <w:sz w:val="20"/>
        </w:rPr>
        <w:t>, Submitted, San Francisco, California; November 27, 2020, Filed</w:t>
      </w:r>
    </w:p>
    <w:p w14:paraId="4F0A151C" w14:textId="77777777" w:rsidR="002B10A6" w:rsidRDefault="00000000">
      <w:pPr>
        <w:pStyle w:val="Normal18"/>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19-16440</w:t>
      </w:r>
    </w:p>
    <w:p w14:paraId="50D8C30A" w14:textId="77777777" w:rsidR="002B10A6" w:rsidRDefault="002B10A6">
      <w:pPr>
        <w:pStyle w:val="Normal18"/>
        <w:widowControl w:val="0"/>
        <w:spacing w:line="240" w:lineRule="atLeast"/>
        <w:jc w:val="both"/>
      </w:pPr>
      <w:bookmarkStart w:id="2894" w:name="Bookmark_19"/>
      <w:bookmarkEnd w:id="2894"/>
    </w:p>
    <w:p w14:paraId="26BF37BE" w14:textId="77777777" w:rsidR="002B10A6" w:rsidRDefault="00000000">
      <w:pPr>
        <w:pStyle w:val="Normal18"/>
        <w:widowControl w:val="0"/>
        <w:spacing w:before="200" w:line="240" w:lineRule="atLeast"/>
      </w:pPr>
      <w:bookmarkStart w:id="2895" w:name="Reporter_17"/>
      <w:bookmarkEnd w:id="2895"/>
      <w:r>
        <w:rPr>
          <w:rFonts w:ascii="Arial" w:eastAsia="Arial" w:hAnsi="Arial" w:cs="Arial"/>
          <w:b/>
          <w:color w:val="000000"/>
          <w:sz w:val="18"/>
        </w:rPr>
        <w:t>Reporter</w:t>
      </w:r>
    </w:p>
    <w:p w14:paraId="10CA3716" w14:textId="77777777" w:rsidR="002B10A6" w:rsidRDefault="00000000">
      <w:pPr>
        <w:pStyle w:val="Normal18"/>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830 Fed. Appx. 242 *; 2020 U.S. App. LEXIS 37360 **; 2020 WL 7009676</w:t>
      </w:r>
    </w:p>
    <w:p w14:paraId="38B01046" w14:textId="77777777" w:rsidR="002B10A6" w:rsidRDefault="00000000">
      <w:pPr>
        <w:pStyle w:val="Normal18"/>
        <w:widowControl w:val="0"/>
        <w:spacing w:before="120" w:line="260" w:lineRule="atLeast"/>
      </w:pPr>
      <w:r>
        <w:rPr>
          <w:rFonts w:ascii="Arial" w:eastAsia="Arial" w:hAnsi="Arial" w:cs="Arial"/>
          <w:color w:val="000000"/>
          <w:sz w:val="20"/>
        </w:rPr>
        <w:t>NANCI WILLIAMS, Plaintiff-Appellant, v. UNITED AIRLINES, INC., Defendant-Appellee.</w:t>
      </w:r>
    </w:p>
    <w:p w14:paraId="556D19A1" w14:textId="77777777" w:rsidR="002B10A6" w:rsidRDefault="00000000">
      <w:pPr>
        <w:pStyle w:val="Normal18"/>
        <w:widowControl w:val="0"/>
        <w:spacing w:before="240" w:line="260" w:lineRule="atLeast"/>
        <w:jc w:val="both"/>
      </w:pPr>
      <w:bookmarkStart w:id="2896" w:name="Notice_6"/>
      <w:bookmarkEnd w:id="2896"/>
      <w:r>
        <w:rPr>
          <w:rFonts w:ascii="Arial" w:eastAsia="Arial" w:hAnsi="Arial" w:cs="Arial"/>
          <w:b/>
          <w:color w:val="000000"/>
          <w:sz w:val="20"/>
        </w:rPr>
        <w:t>Notice:</w:t>
      </w:r>
      <w:r>
        <w:rPr>
          <w:rFonts w:ascii="Arial" w:eastAsia="Arial" w:hAnsi="Arial" w:cs="Arial"/>
          <w:color w:val="000000"/>
          <w:sz w:val="20"/>
        </w:rPr>
        <w:t> </w:t>
      </w:r>
      <w:bookmarkStart w:id="2897" w:name="Bookmark_para_1_17"/>
      <w:bookmarkEnd w:id="2897"/>
      <w:r>
        <w:rPr>
          <w:rFonts w:ascii="Arial" w:eastAsia="Arial" w:hAnsi="Arial" w:cs="Arial"/>
          <w:color w:val="000000"/>
          <w:sz w:val="20"/>
        </w:rPr>
        <w:t>PLEASE REFER TO FEDERAL RULES OF APPELLATE PROCEDURE RULE 32.1 GOVERNING THE CITATION TO UNPUBLISHED OPINIONS.</w:t>
      </w:r>
    </w:p>
    <w:p w14:paraId="557D2B46" w14:textId="77777777" w:rsidR="002B10A6" w:rsidRDefault="00000000">
      <w:pPr>
        <w:pStyle w:val="Normal18"/>
        <w:widowControl w:val="0"/>
        <w:spacing w:before="240" w:line="260" w:lineRule="atLeast"/>
        <w:jc w:val="both"/>
      </w:pPr>
      <w:bookmarkStart w:id="2898" w:name="Prior_History_17"/>
      <w:bookmarkEnd w:id="2898"/>
      <w:r>
        <w:rPr>
          <w:rFonts w:ascii="Arial" w:eastAsia="Arial" w:hAnsi="Arial" w:cs="Arial"/>
          <w:b/>
          <w:color w:val="000000"/>
          <w:sz w:val="20"/>
        </w:rPr>
        <w:t>Prior History:</w:t>
      </w:r>
      <w:r>
        <w:rPr>
          <w:rFonts w:ascii="Arial" w:eastAsia="Arial" w:hAnsi="Arial" w:cs="Arial"/>
          <w:color w:val="000000"/>
          <w:sz w:val="20"/>
        </w:rPr>
        <w:t> </w:t>
      </w:r>
      <w:bookmarkStart w:id="2899" w:name="Bookmark_para_2_17"/>
      <w:bookmarkEnd w:id="2899"/>
      <w:r>
        <w:rPr>
          <w:rFonts w:ascii="Arial" w:eastAsia="Arial" w:hAnsi="Arial" w:cs="Arial"/>
          <w:color w:val="000000"/>
          <w:sz w:val="20"/>
        </w:rPr>
        <w:t> [**1] Appeal from the United States District Court for the Northern District of California. DC No. 3:18-cv-00881-JCS. Joseph C. Spero, Magistrate Judge, Presiding.</w:t>
      </w:r>
    </w:p>
    <w:p w14:paraId="3DF20AF3" w14:textId="77777777" w:rsidR="002B10A6" w:rsidRDefault="00000000">
      <w:pPr>
        <w:pStyle w:val="Normal18"/>
        <w:widowControl w:val="0"/>
        <w:spacing w:before="120" w:line="260" w:lineRule="atLeast"/>
      </w:pPr>
      <w:r>
        <w:rPr>
          <w:rFonts w:ascii="Arial" w:eastAsia="Arial" w:hAnsi="Arial" w:cs="Arial"/>
          <w:color w:val="000000"/>
          <w:sz w:val="20"/>
        </w:rPr>
        <w:t>Williams v. United Airlines, Inc., 2019 U.S. Dist. LEXIS 106308, 2019 WL 2603317 (N.D. Cal., June 25, 2019)</w:t>
      </w:r>
    </w:p>
    <w:p w14:paraId="099AE30C" w14:textId="77777777" w:rsidR="002B10A6" w:rsidRDefault="00000000">
      <w:pPr>
        <w:pStyle w:val="Normal18"/>
        <w:widowControl w:val="0"/>
        <w:spacing w:before="240" w:line="260" w:lineRule="atLeast"/>
        <w:jc w:val="both"/>
      </w:pPr>
      <w:bookmarkStart w:id="2900" w:name="Disposition_8"/>
      <w:bookmarkEnd w:id="2900"/>
      <w:r>
        <w:rPr>
          <w:rFonts w:ascii="Arial" w:eastAsia="Arial" w:hAnsi="Arial" w:cs="Arial"/>
          <w:b/>
          <w:color w:val="000000"/>
          <w:sz w:val="20"/>
        </w:rPr>
        <w:t>Disposition:</w:t>
      </w:r>
      <w:r>
        <w:rPr>
          <w:rFonts w:ascii="Arial" w:eastAsia="Arial" w:hAnsi="Arial" w:cs="Arial"/>
          <w:color w:val="000000"/>
          <w:sz w:val="20"/>
        </w:rPr>
        <w:t> </w:t>
      </w:r>
      <w:bookmarkStart w:id="2901" w:name="Bookmark_clspara_1"/>
      <w:bookmarkEnd w:id="2901"/>
      <w:r>
        <w:rPr>
          <w:rFonts w:ascii="Arial" w:eastAsia="Arial" w:hAnsi="Arial" w:cs="Arial"/>
          <w:color w:val="000000"/>
          <w:sz w:val="20"/>
        </w:rPr>
        <w:t>AFFIRMED.</w:t>
      </w:r>
    </w:p>
    <w:p w14:paraId="160503E0" w14:textId="77777777" w:rsidR="002B10A6" w:rsidRDefault="00000000">
      <w:pPr>
        <w:pStyle w:val="Normal18"/>
        <w:widowControl w:val="0"/>
        <w:spacing w:before="240" w:line="260" w:lineRule="atLeast"/>
      </w:pPr>
      <w:bookmarkStart w:id="2902" w:name="Counsel_17"/>
      <w:bookmarkEnd w:id="2902"/>
      <w:r>
        <w:rPr>
          <w:rFonts w:ascii="Arial" w:eastAsia="Arial" w:hAnsi="Arial" w:cs="Arial"/>
          <w:b/>
          <w:color w:val="000000"/>
          <w:sz w:val="20"/>
        </w:rPr>
        <w:t>Counsel:</w:t>
      </w:r>
      <w:r>
        <w:rPr>
          <w:rFonts w:ascii="Arial" w:eastAsia="Arial" w:hAnsi="Arial" w:cs="Arial"/>
          <w:color w:val="000000"/>
          <w:sz w:val="20"/>
        </w:rPr>
        <w:t> For NANCI WILLIAMS, Plaintiff - Appellant: Douglas Watts, Esquire, Attorney, Watts Law Offices, Folsom, CA; David M. Poore, Attorney, Brown Poore LLP, Walnut Creek, CA.</w:t>
      </w:r>
    </w:p>
    <w:p w14:paraId="59726AE9" w14:textId="77777777" w:rsidR="002B10A6" w:rsidRDefault="00000000">
      <w:pPr>
        <w:pStyle w:val="Normal18"/>
        <w:widowControl w:val="0"/>
        <w:spacing w:before="120" w:line="260" w:lineRule="atLeast"/>
      </w:pPr>
      <w:r>
        <w:rPr>
          <w:rFonts w:ascii="Arial" w:eastAsia="Arial" w:hAnsi="Arial" w:cs="Arial"/>
          <w:color w:val="000000"/>
          <w:sz w:val="20"/>
        </w:rPr>
        <w:t>For UNITED AIRLINES, INC., Defendant - Appellee: Judith Droz Keyes, Monder A. Khoury, Davis Wright Tremaine LLP, San Francisco, CA.</w:t>
      </w:r>
    </w:p>
    <w:p w14:paraId="157C51E0" w14:textId="77777777" w:rsidR="002B10A6" w:rsidRDefault="00000000">
      <w:pPr>
        <w:pStyle w:val="Normal18"/>
        <w:widowControl w:val="0"/>
        <w:spacing w:before="240" w:line="260" w:lineRule="atLeast"/>
      </w:pPr>
      <w:bookmarkStart w:id="2903" w:name="Judges_17"/>
      <w:bookmarkEnd w:id="2903"/>
      <w:r>
        <w:rPr>
          <w:rFonts w:ascii="Arial" w:eastAsia="Arial" w:hAnsi="Arial" w:cs="Arial"/>
          <w:b/>
          <w:color w:val="000000"/>
          <w:sz w:val="20"/>
        </w:rPr>
        <w:t>Judges:</w:t>
      </w:r>
      <w:r>
        <w:rPr>
          <w:rFonts w:ascii="Arial" w:eastAsia="Arial" w:hAnsi="Arial" w:cs="Arial"/>
          <w:color w:val="000000"/>
          <w:sz w:val="20"/>
        </w:rPr>
        <w:t> Before: TASHIMA, NGUYEN, and HURWITZ, Circuit Judges.</w:t>
      </w:r>
    </w:p>
    <w:p w14:paraId="5D5DC10F" w14:textId="77777777" w:rsidR="002B10A6" w:rsidRDefault="00000000">
      <w:pPr>
        <w:pStyle w:val="Normal18"/>
        <w:keepNext/>
        <w:widowControl w:val="0"/>
        <w:spacing w:before="240" w:line="340" w:lineRule="atLeast"/>
      </w:pPr>
      <w:bookmarkStart w:id="2904" w:name="Opinion_17"/>
      <w:bookmarkEnd w:id="2904"/>
      <w:r>
        <w:rPr>
          <w:rFonts w:ascii="Arial" w:eastAsia="Arial" w:hAnsi="Arial" w:cs="Arial"/>
          <w:b/>
          <w:color w:val="000000"/>
          <w:sz w:val="28"/>
        </w:rPr>
        <w:t>Opinion</w:t>
      </w:r>
    </w:p>
    <w:p w14:paraId="70C44F9D" w14:textId="1141CFEA" w:rsidR="002B10A6" w:rsidRDefault="002D6974">
      <w:pPr>
        <w:pStyle w:val="Normal18"/>
        <w:spacing w:line="60" w:lineRule="exact"/>
      </w:pPr>
      <w:r>
        <w:rPr>
          <w:noProof/>
        </w:rPr>
        <mc:AlternateContent>
          <mc:Choice Requires="wps">
            <w:drawing>
              <wp:anchor distT="0" distB="0" distL="114300" distR="114300" simplePos="0" relativeHeight="251696128" behindDoc="0" locked="0" layoutInCell="1" allowOverlap="1" wp14:anchorId="46F32DE7" wp14:editId="19168D92">
                <wp:simplePos x="0" y="0"/>
                <wp:positionH relativeFrom="column">
                  <wp:posOffset>0</wp:posOffset>
                </wp:positionH>
                <wp:positionV relativeFrom="paragraph">
                  <wp:posOffset>25400</wp:posOffset>
                </wp:positionV>
                <wp:extent cx="3187700" cy="0"/>
                <wp:effectExtent l="19050" t="15875" r="12700" b="12700"/>
                <wp:wrapTopAndBottom/>
                <wp:docPr id="2045931786"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016AC"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62F1AD8" w14:textId="77777777" w:rsidR="002B10A6" w:rsidRDefault="002B10A6">
      <w:pPr>
        <w:pStyle w:val="Normal18"/>
        <w:spacing w:line="120" w:lineRule="exact"/>
      </w:pPr>
    </w:p>
    <w:p w14:paraId="48259E05" w14:textId="77777777" w:rsidR="002B10A6" w:rsidRDefault="00000000">
      <w:pPr>
        <w:pStyle w:val="Normal18"/>
        <w:widowControl w:val="0"/>
        <w:spacing w:before="240" w:line="260" w:lineRule="atLeast"/>
      </w:pPr>
      <w:r>
        <w:br/>
      </w:r>
      <w:r>
        <w:rPr>
          <w:rFonts w:ascii="Arial" w:eastAsia="Arial" w:hAnsi="Arial" w:cs="Arial"/>
          <w:color w:val="000000"/>
          <w:sz w:val="20"/>
        </w:rPr>
        <w:t> [*242]  MEMORANDUM</w:t>
      </w:r>
      <w:r>
        <w:rPr>
          <w:rFonts w:ascii="Arial" w:eastAsia="Arial" w:hAnsi="Arial" w:cs="Arial"/>
          <w:vertAlign w:val="superscript"/>
        </w:rPr>
        <w:footnoteReference w:customMarkFollows="1" w:id="139"/>
        <w:t>*</w:t>
      </w:r>
    </w:p>
    <w:p w14:paraId="662BFF94" w14:textId="77777777" w:rsidR="002B10A6" w:rsidRDefault="00000000">
      <w:pPr>
        <w:pStyle w:val="Normal18"/>
        <w:widowControl w:val="0"/>
        <w:spacing w:before="200" w:line="260" w:lineRule="atLeast"/>
        <w:jc w:val="both"/>
      </w:pPr>
      <w:bookmarkStart w:id="2906" w:name="Bookmark_para_3_17"/>
      <w:bookmarkStart w:id="2907" w:name="Bookmark_I61DX8WC2HM6FF0020000400"/>
      <w:bookmarkEnd w:id="2906"/>
      <w:bookmarkEnd w:id="2907"/>
      <w:r>
        <w:rPr>
          <w:rFonts w:ascii="Arial" w:eastAsia="Arial" w:hAnsi="Arial" w:cs="Arial"/>
          <w:color w:val="000000"/>
          <w:sz w:val="20"/>
        </w:rPr>
        <w:t xml:space="preserve">Plaintiff-Appellant Nanci Williams ("Williams") appeals the judgment in favor of Defendant-Appellee United Airlines, Inc. ("United") on her claims under the California Fair Employment and Housing Act ("FEHA") and related state laws. oral argument. </w:t>
      </w:r>
      <w:r>
        <w:rPr>
          <w:rFonts w:ascii="Arial" w:eastAsia="Arial" w:hAnsi="Arial" w:cs="Arial"/>
          <w:i/>
          <w:color w:val="000000"/>
          <w:sz w:val="20"/>
        </w:rPr>
        <w:t>See</w:t>
      </w:r>
      <w:r>
        <w:rPr>
          <w:rFonts w:ascii="Arial" w:eastAsia="Arial" w:hAnsi="Arial" w:cs="Arial"/>
          <w:color w:val="000000"/>
          <w:sz w:val="20"/>
        </w:rPr>
        <w:t xml:space="preserve"> Fed. R. App. P. 34(a)(2)(C). We  [*243]  have jurisdiction under 28 U.S.C. § 1291, we review de novo a grant of summary judgment, </w:t>
      </w:r>
      <w:bookmarkStart w:id="2908" w:name="Bookmark_I61DX8WC2HM6FF0010000400"/>
      <w:bookmarkEnd w:id="2908"/>
      <w:r>
        <w:rPr>
          <w:rFonts w:ascii="Arial" w:eastAsia="Arial" w:hAnsi="Arial" w:cs="Arial"/>
          <w:i/>
          <w:color w:val="000000"/>
          <w:sz w:val="20"/>
        </w:rPr>
        <w:t>Feldman v. Allstate Ins. Co.</w:t>
      </w:r>
      <w:r>
        <w:rPr>
          <w:rFonts w:ascii="Arial" w:eastAsia="Arial" w:hAnsi="Arial" w:cs="Arial"/>
          <w:color w:val="000000"/>
          <w:sz w:val="20"/>
        </w:rPr>
        <w:t>, 322 F.3d 660, 665 (9th Cir. 2003), and we affirm.</w:t>
      </w:r>
    </w:p>
    <w:p w14:paraId="40F8C1D5" w14:textId="77777777" w:rsidR="002B10A6" w:rsidRDefault="00000000">
      <w:pPr>
        <w:pStyle w:val="Normal18"/>
        <w:widowControl w:val="0"/>
        <w:spacing w:before="200" w:line="260" w:lineRule="atLeast"/>
        <w:jc w:val="both"/>
      </w:pPr>
      <w:bookmarkStart w:id="2909" w:name="Bookmark_para_4_17"/>
      <w:bookmarkEnd w:id="2909"/>
      <w:r>
        <w:rPr>
          <w:rFonts w:ascii="Arial" w:eastAsia="Arial" w:hAnsi="Arial" w:cs="Arial"/>
          <w:b/>
          <w:color w:val="000000"/>
          <w:sz w:val="20"/>
        </w:rPr>
        <w:t>1</w:t>
      </w:r>
      <w:r>
        <w:rPr>
          <w:rFonts w:ascii="Arial" w:eastAsia="Arial" w:hAnsi="Arial" w:cs="Arial"/>
          <w:color w:val="000000"/>
          <w:sz w:val="20"/>
        </w:rPr>
        <w:t xml:space="preserve">. </w:t>
      </w:r>
      <w:bookmarkStart w:id="2910" w:name="Bookmark_I61DX8WC2HM6FF0040000400"/>
      <w:bookmarkEnd w:id="2910"/>
      <w:r>
        <w:rPr>
          <w:rFonts w:ascii="Arial" w:eastAsia="Arial" w:hAnsi="Arial" w:cs="Arial"/>
          <w:color w:val="000000"/>
          <w:sz w:val="20"/>
        </w:rPr>
        <w:t xml:space="preserve">FEHA makes it unlawful for an employer to discharge an employee "because of" physical disability. </w:t>
      </w:r>
      <w:bookmarkStart w:id="2911" w:name="Bookmark_I61DX8WF2SF87F0010000400"/>
      <w:bookmarkEnd w:id="2911"/>
      <w:r>
        <w:rPr>
          <w:rFonts w:ascii="Arial" w:eastAsia="Arial" w:hAnsi="Arial" w:cs="Arial"/>
          <w:color w:val="000000"/>
          <w:sz w:val="20"/>
        </w:rPr>
        <w:t xml:space="preserve">Cal. Gov't Code § 12940(a). "To establish a prima facie case of physical disability discrimination under FEHA, the employee must demonstrate that he or she is disabled, is otherwise qualified to do the job, and was subjected to an adverse employment action [**2]  because of such disability." </w:t>
      </w:r>
      <w:bookmarkStart w:id="2912" w:name="Bookmark_I61DX8WC2HM6FF0030000400"/>
      <w:bookmarkEnd w:id="2912"/>
      <w:r>
        <w:rPr>
          <w:rFonts w:ascii="Arial" w:eastAsia="Arial" w:hAnsi="Arial" w:cs="Arial"/>
          <w:i/>
          <w:color w:val="000000"/>
          <w:sz w:val="20"/>
        </w:rPr>
        <w:t>Furtado v. State Pers. Bd.</w:t>
      </w:r>
      <w:r>
        <w:rPr>
          <w:rFonts w:ascii="Arial" w:eastAsia="Arial" w:hAnsi="Arial" w:cs="Arial"/>
          <w:color w:val="000000"/>
          <w:sz w:val="20"/>
        </w:rPr>
        <w:t xml:space="preserve">, 212 Cal. App. 4th 729, 151 Cal. Rptr. 3d 292, 303 (Ct. App. 2013). </w:t>
      </w:r>
      <w:bookmarkStart w:id="2913" w:name="Bookmark_I61DX8WF2SF87F0010000400_2"/>
      <w:bookmarkEnd w:id="2913"/>
      <w:r>
        <w:rPr>
          <w:rFonts w:ascii="Arial" w:eastAsia="Arial" w:hAnsi="Arial" w:cs="Arial"/>
          <w:color w:val="000000"/>
          <w:sz w:val="20"/>
        </w:rPr>
        <w:t xml:space="preserve">"If the employee meets this burden, it is then incumbent on the employer to show that it had a legitimate, nondiscriminatory reason for its employment decision." </w:t>
      </w:r>
      <w:r>
        <w:rPr>
          <w:rFonts w:ascii="Arial" w:eastAsia="Arial" w:hAnsi="Arial" w:cs="Arial"/>
          <w:i/>
          <w:color w:val="000000"/>
          <w:sz w:val="20"/>
        </w:rPr>
        <w:t>Id.</w:t>
      </w:r>
      <w:r>
        <w:rPr>
          <w:rFonts w:ascii="Arial" w:eastAsia="Arial" w:hAnsi="Arial" w:cs="Arial"/>
          <w:color w:val="000000"/>
          <w:sz w:val="20"/>
        </w:rPr>
        <w:t xml:space="preserve"> "When this showing is made, the burden shifts back to the employee to produce substantial evidence that [the] employer's given reason was either 'untrue or pretextual,' or that the employer acted with discriminatory animus, in order to raise an inference of discrimination." </w:t>
      </w:r>
      <w:r>
        <w:rPr>
          <w:rFonts w:ascii="Arial" w:eastAsia="Arial" w:hAnsi="Arial" w:cs="Arial"/>
          <w:i/>
          <w:color w:val="000000"/>
          <w:sz w:val="20"/>
        </w:rPr>
        <w:t>Id.</w:t>
      </w:r>
      <w:r>
        <w:rPr>
          <w:rFonts w:ascii="Arial" w:eastAsia="Arial" w:hAnsi="Arial" w:cs="Arial"/>
          <w:color w:val="000000"/>
          <w:sz w:val="20"/>
        </w:rPr>
        <w:t xml:space="preserve"> (quoting </w:t>
      </w:r>
      <w:bookmarkStart w:id="2914" w:name="Bookmark_I61DX8WC2HM6FF0050000400"/>
      <w:bookmarkEnd w:id="2914"/>
      <w:r>
        <w:rPr>
          <w:rFonts w:ascii="Arial" w:eastAsia="Arial" w:hAnsi="Arial" w:cs="Arial"/>
          <w:i/>
          <w:color w:val="000000"/>
          <w:sz w:val="20"/>
        </w:rPr>
        <w:t>Hersant v. Dep't of Soc. Servs.</w:t>
      </w:r>
      <w:r>
        <w:rPr>
          <w:rFonts w:ascii="Arial" w:eastAsia="Arial" w:hAnsi="Arial" w:cs="Arial"/>
          <w:color w:val="000000"/>
          <w:sz w:val="20"/>
        </w:rPr>
        <w:t>, 57 Cal. App. 4th 997, 67 Cal. Rptr. 2d 483, 488 (Ct. App. 1997)).</w:t>
      </w:r>
    </w:p>
    <w:p w14:paraId="2230E5E4" w14:textId="77777777" w:rsidR="002B10A6" w:rsidRDefault="00000000">
      <w:pPr>
        <w:pStyle w:val="Normal18"/>
        <w:widowControl w:val="0"/>
        <w:spacing w:before="200" w:line="260" w:lineRule="atLeast"/>
        <w:jc w:val="both"/>
      </w:pPr>
      <w:bookmarkStart w:id="2915" w:name="Bookmark_para_5_17"/>
      <w:bookmarkEnd w:id="2915"/>
      <w:r>
        <w:rPr>
          <w:rFonts w:ascii="Arial" w:eastAsia="Arial" w:hAnsi="Arial" w:cs="Arial"/>
          <w:color w:val="000000"/>
          <w:sz w:val="20"/>
        </w:rPr>
        <w:t xml:space="preserve">The district court properly concluded that Williams failed to establish a prima facie case. There was evidence from which a reasonable jury could conclude that Williams was discharged because she and her pass riders disrupted and delayed a United flight. </w:t>
      </w:r>
      <w:bookmarkStart w:id="2916" w:name="Bookmark_I61DX8WF2SF87F0030000400"/>
      <w:bookmarkEnd w:id="2916"/>
      <w:r>
        <w:rPr>
          <w:rFonts w:ascii="Arial" w:eastAsia="Arial" w:hAnsi="Arial" w:cs="Arial"/>
          <w:color w:val="000000"/>
          <w:sz w:val="20"/>
        </w:rPr>
        <w:t xml:space="preserve">There was also evidence from which a reasonable jury could find that Williams was discharged because she was dishonest about her medical limitations. There was no evidence, however, from which a reasonable jury could find that Williams was discharged because of disability. Williams's comparative evidence is insufficient to raise an inference of discrimination because the flight attendants she points to did not "display similar conduct." </w:t>
      </w:r>
      <w:bookmarkStart w:id="2917" w:name="Bookmark_I61DX8WF2SF87F0020000400"/>
      <w:bookmarkEnd w:id="2917"/>
      <w:r>
        <w:rPr>
          <w:rFonts w:ascii="Arial" w:eastAsia="Arial" w:hAnsi="Arial" w:cs="Arial"/>
          <w:i/>
          <w:color w:val="000000"/>
          <w:sz w:val="20"/>
        </w:rPr>
        <w:t>Gupta v. Trs. of Cal. State Univ.</w:t>
      </w:r>
      <w:r>
        <w:rPr>
          <w:rFonts w:ascii="Arial" w:eastAsia="Arial" w:hAnsi="Arial" w:cs="Arial"/>
          <w:color w:val="000000"/>
          <w:sz w:val="20"/>
        </w:rPr>
        <w:t xml:space="preserve">, 40 Cal. App. 5th 510, 253 Cal. Rptr. 3d 277, 285 (Ct. App. 2019) (quoting </w:t>
      </w:r>
      <w:bookmarkStart w:id="2918" w:name="Bookmark_I61DX8WF2SF87F0040000400"/>
      <w:bookmarkEnd w:id="2918"/>
      <w:r>
        <w:rPr>
          <w:rFonts w:ascii="Arial" w:eastAsia="Arial" w:hAnsi="Arial" w:cs="Arial"/>
          <w:i/>
          <w:color w:val="000000"/>
          <w:sz w:val="20"/>
        </w:rPr>
        <w:t>Vasquez v. County of Los Angeles</w:t>
      </w:r>
      <w:r>
        <w:rPr>
          <w:rFonts w:ascii="Arial" w:eastAsia="Arial" w:hAnsi="Arial" w:cs="Arial"/>
          <w:color w:val="000000"/>
          <w:sz w:val="20"/>
        </w:rPr>
        <w:t>, 349 F.3d 634, 641 (9th Cir. 2003) (as amended)). [**3]  Williams therefore did not establish a prima facie case.</w:t>
      </w:r>
    </w:p>
    <w:p w14:paraId="48F029AE" w14:textId="77777777" w:rsidR="002B10A6" w:rsidRDefault="00000000">
      <w:pPr>
        <w:pStyle w:val="Normal18"/>
        <w:widowControl w:val="0"/>
        <w:spacing w:before="200" w:line="260" w:lineRule="atLeast"/>
        <w:jc w:val="both"/>
      </w:pPr>
      <w:bookmarkStart w:id="2919" w:name="Bookmark_para_6_17"/>
      <w:bookmarkEnd w:id="2919"/>
      <w:r>
        <w:rPr>
          <w:rFonts w:ascii="Arial" w:eastAsia="Arial" w:hAnsi="Arial" w:cs="Arial"/>
          <w:color w:val="000000"/>
          <w:sz w:val="20"/>
        </w:rPr>
        <w:t xml:space="preserve">Even assuming that Williams established a prima facie case, the district court properly concluded that United articulated a legitimate, nondiscriminatory reason for the discharge—the flight disruption and delay caused by Williams and her guests. Williams's argument that the discharge was contrary to California law, and thus that United failed to offer a </w:t>
      </w:r>
      <w:r>
        <w:rPr>
          <w:rFonts w:ascii="Arial" w:eastAsia="Arial" w:hAnsi="Arial" w:cs="Arial"/>
          <w:i/>
          <w:color w:val="000000"/>
          <w:sz w:val="20"/>
        </w:rPr>
        <w:t>legitimate</w:t>
      </w:r>
      <w:r>
        <w:rPr>
          <w:rFonts w:ascii="Arial" w:eastAsia="Arial" w:hAnsi="Arial" w:cs="Arial"/>
          <w:color w:val="000000"/>
          <w:sz w:val="20"/>
        </w:rPr>
        <w:t xml:space="preserve"> reason for the discharge, is not well taken. There is no evidence in the record to suggest that Williams was discharged "because of [her] status as a victim of domestic violence." Cal. Lab. Code § 230(e).</w:t>
      </w:r>
    </w:p>
    <w:p w14:paraId="407BC77C" w14:textId="77777777" w:rsidR="002B10A6" w:rsidRDefault="00000000">
      <w:pPr>
        <w:pStyle w:val="Normal18"/>
        <w:widowControl w:val="0"/>
        <w:spacing w:before="200" w:line="260" w:lineRule="atLeast"/>
        <w:jc w:val="both"/>
      </w:pPr>
      <w:bookmarkStart w:id="2920" w:name="Bookmark_para_7_17"/>
      <w:bookmarkEnd w:id="2920"/>
      <w:r>
        <w:rPr>
          <w:rFonts w:ascii="Arial" w:eastAsia="Arial" w:hAnsi="Arial" w:cs="Arial"/>
          <w:color w:val="000000"/>
          <w:sz w:val="20"/>
        </w:rPr>
        <w:t>Finally, even if Williams established a prima facie case, she has not adduced evidence of pretext. As noted, Williams did not offer evidence from which a reasonable jury could find that United discharged her because of disability.</w:t>
      </w:r>
    </w:p>
    <w:p w14:paraId="67A0C0A1" w14:textId="77777777" w:rsidR="002B10A6" w:rsidRDefault="00000000">
      <w:pPr>
        <w:pStyle w:val="Normal18"/>
        <w:widowControl w:val="0"/>
        <w:spacing w:before="200" w:line="260" w:lineRule="atLeast"/>
        <w:jc w:val="both"/>
      </w:pPr>
      <w:bookmarkStart w:id="2921" w:name="Bookmark_para_8_17"/>
      <w:bookmarkEnd w:id="2921"/>
      <w:r>
        <w:rPr>
          <w:rFonts w:ascii="Arial" w:eastAsia="Arial" w:hAnsi="Arial" w:cs="Arial"/>
          <w:b/>
          <w:color w:val="000000"/>
          <w:sz w:val="20"/>
        </w:rPr>
        <w:t>2</w:t>
      </w:r>
      <w:r>
        <w:rPr>
          <w:rFonts w:ascii="Arial" w:eastAsia="Arial" w:hAnsi="Arial" w:cs="Arial"/>
          <w:color w:val="000000"/>
          <w:sz w:val="20"/>
        </w:rPr>
        <w:t xml:space="preserve">. FEHA makes it unlawful for an employer "to fail to engage in a timely, good faith, interactive process with the employee or applicant to determine effective reasonable accommodations," Cal. Gov't Code § 12940(n), and "to fail to make reasonable accommodation for the known physical or mental disability of an applicant or employee," </w:t>
      </w:r>
      <w:r>
        <w:rPr>
          <w:rFonts w:ascii="Arial" w:eastAsia="Arial" w:hAnsi="Arial" w:cs="Arial"/>
          <w:i/>
          <w:color w:val="000000"/>
          <w:sz w:val="20"/>
        </w:rPr>
        <w:t>id.</w:t>
      </w:r>
      <w:r>
        <w:rPr>
          <w:rFonts w:ascii="Arial" w:eastAsia="Arial" w:hAnsi="Arial" w:cs="Arial"/>
          <w:color w:val="000000"/>
          <w:sz w:val="20"/>
        </w:rPr>
        <w:t xml:space="preserve"> § 12940(m)(1). </w:t>
      </w:r>
      <w:bookmarkStart w:id="2922" w:name="Bookmark_I61DX8WG2N1PTC0020000400"/>
      <w:bookmarkEnd w:id="2922"/>
      <w:r>
        <w:rPr>
          <w:rFonts w:ascii="Arial" w:eastAsia="Arial" w:hAnsi="Arial" w:cs="Arial"/>
          <w:color w:val="000000"/>
          <w:sz w:val="20"/>
        </w:rPr>
        <w:t xml:space="preserve">Williams contends that United violated these provisions [**4]  by (1) failing to contact her treating physician to determine whether her vacation travel comported with her medical restrictions, and (2) refusing to accept a letter from her physician during her disciplinary hearing. Williams, however, did not present these arguments in her opposition to United's motion for summary judgment. We therefore decline to consider them. </w:t>
      </w:r>
      <w:r>
        <w:rPr>
          <w:rFonts w:ascii="Arial" w:eastAsia="Arial" w:hAnsi="Arial" w:cs="Arial"/>
          <w:i/>
          <w:color w:val="000000"/>
          <w:sz w:val="20"/>
        </w:rPr>
        <w:t xml:space="preserve">See </w:t>
      </w:r>
      <w:r>
        <w:rPr>
          <w:rFonts w:ascii="Arial" w:eastAsia="Arial" w:hAnsi="Arial" w:cs="Arial"/>
          <w:color w:val="000000"/>
          <w:sz w:val="20"/>
        </w:rPr>
        <w:t xml:space="preserve"> [*244]  </w:t>
      </w:r>
      <w:bookmarkStart w:id="2923" w:name="Bookmark_I61DX8WG2N1PTC0010000400"/>
      <w:bookmarkEnd w:id="2923"/>
      <w:r>
        <w:rPr>
          <w:rFonts w:ascii="Arial" w:eastAsia="Arial" w:hAnsi="Arial" w:cs="Arial"/>
          <w:i/>
          <w:color w:val="000000"/>
          <w:sz w:val="20"/>
        </w:rPr>
        <w:t>Smith v. Marsh</w:t>
      </w:r>
      <w:r>
        <w:rPr>
          <w:rFonts w:ascii="Arial" w:eastAsia="Arial" w:hAnsi="Arial" w:cs="Arial"/>
          <w:color w:val="000000"/>
          <w:sz w:val="20"/>
        </w:rPr>
        <w:t>, 194 F.3d 1045, 1052 (9th Cir. 1999) ("As a general rule, we will not consider arguments that are raised for the first time on appeal.").</w:t>
      </w:r>
    </w:p>
    <w:p w14:paraId="1D0ABF80" w14:textId="77777777" w:rsidR="002B10A6" w:rsidRDefault="00000000">
      <w:pPr>
        <w:pStyle w:val="Normal18"/>
        <w:widowControl w:val="0"/>
        <w:spacing w:before="200" w:line="260" w:lineRule="atLeast"/>
        <w:jc w:val="both"/>
      </w:pPr>
      <w:bookmarkStart w:id="2924" w:name="Bookmark_para_9_17"/>
      <w:bookmarkStart w:id="2925" w:name="Bookmark_I61DX8WG2N1PTC0040000400"/>
      <w:bookmarkEnd w:id="2924"/>
      <w:bookmarkEnd w:id="2925"/>
      <w:r>
        <w:rPr>
          <w:rFonts w:ascii="Arial" w:eastAsia="Arial" w:hAnsi="Arial" w:cs="Arial"/>
          <w:b/>
          <w:color w:val="000000"/>
          <w:sz w:val="20"/>
        </w:rPr>
        <w:t>3</w:t>
      </w:r>
      <w:r>
        <w:rPr>
          <w:rFonts w:ascii="Arial" w:eastAsia="Arial" w:hAnsi="Arial" w:cs="Arial"/>
          <w:color w:val="000000"/>
          <w:sz w:val="20"/>
        </w:rPr>
        <w:t xml:space="preserve">. As Williams concedes, her claims for wrongful termination in violation of public policy, </w:t>
      </w:r>
      <w:r>
        <w:rPr>
          <w:rFonts w:ascii="Arial" w:eastAsia="Arial" w:hAnsi="Arial" w:cs="Arial"/>
          <w:i/>
          <w:color w:val="000000"/>
          <w:sz w:val="20"/>
        </w:rPr>
        <w:t xml:space="preserve">see </w:t>
      </w:r>
      <w:bookmarkStart w:id="2926" w:name="Bookmark_I61DX8WG2N1PTC0030000400"/>
      <w:bookmarkEnd w:id="2926"/>
      <w:r>
        <w:rPr>
          <w:rFonts w:ascii="Arial" w:eastAsia="Arial" w:hAnsi="Arial" w:cs="Arial"/>
          <w:i/>
          <w:color w:val="000000"/>
          <w:sz w:val="20"/>
        </w:rPr>
        <w:t>City of Moorpark v. Super. Ct.</w:t>
      </w:r>
      <w:r>
        <w:rPr>
          <w:rFonts w:ascii="Arial" w:eastAsia="Arial" w:hAnsi="Arial" w:cs="Arial"/>
          <w:color w:val="000000"/>
          <w:sz w:val="20"/>
        </w:rPr>
        <w:t xml:space="preserve">, 18 Cal. 4th 1143, 77 Cal. Rptr. 2d 445, 959 P.2d 752, 763 (Cal. 1998), and for failure to prevent discrimination, </w:t>
      </w:r>
      <w:r>
        <w:rPr>
          <w:rFonts w:ascii="Arial" w:eastAsia="Arial" w:hAnsi="Arial" w:cs="Arial"/>
          <w:i/>
          <w:color w:val="000000"/>
          <w:sz w:val="20"/>
        </w:rPr>
        <w:t>see</w:t>
      </w:r>
      <w:r>
        <w:rPr>
          <w:rFonts w:ascii="Arial" w:eastAsia="Arial" w:hAnsi="Arial" w:cs="Arial"/>
          <w:color w:val="000000"/>
          <w:sz w:val="20"/>
        </w:rPr>
        <w:t xml:space="preserve"> Cal. Gov't Code § 12940(k), are derivative of the above claims. The district court therefore properly granted summary judgment to United on these claims.</w:t>
      </w:r>
    </w:p>
    <w:p w14:paraId="40615144" w14:textId="77777777" w:rsidR="002B10A6" w:rsidRDefault="00000000">
      <w:pPr>
        <w:pStyle w:val="Normal18"/>
        <w:widowControl w:val="0"/>
        <w:spacing w:before="200" w:line="260" w:lineRule="atLeast"/>
        <w:jc w:val="both"/>
      </w:pPr>
      <w:bookmarkStart w:id="2927" w:name="Bookmark_para_10_17"/>
      <w:bookmarkEnd w:id="2927"/>
      <w:r>
        <w:rPr>
          <w:rFonts w:ascii="Arial" w:eastAsia="Arial" w:hAnsi="Arial" w:cs="Arial"/>
          <w:b/>
          <w:color w:val="000000"/>
          <w:sz w:val="20"/>
        </w:rPr>
        <w:t>AFFIRMED</w:t>
      </w:r>
      <w:r>
        <w:rPr>
          <w:rFonts w:ascii="Arial" w:eastAsia="Arial" w:hAnsi="Arial" w:cs="Arial"/>
          <w:color w:val="000000"/>
          <w:sz w:val="20"/>
        </w:rPr>
        <w:t>.</w:t>
      </w:r>
    </w:p>
    <w:p w14:paraId="70776748" w14:textId="77777777" w:rsidR="002B10A6" w:rsidRDefault="002B10A6">
      <w:pPr>
        <w:pStyle w:val="Normal18"/>
      </w:pPr>
    </w:p>
    <w:p w14:paraId="2FC21D3C" w14:textId="3A19ACBF" w:rsidR="002B10A6" w:rsidRDefault="00000000">
      <w:pPr>
        <w:pStyle w:val="Normal18"/>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97152" behindDoc="0" locked="0" layoutInCell="1" allowOverlap="1" wp14:anchorId="7A34DBC5" wp14:editId="4BBA0334">
                <wp:simplePos x="0" y="0"/>
                <wp:positionH relativeFrom="column">
                  <wp:posOffset>0</wp:posOffset>
                </wp:positionH>
                <wp:positionV relativeFrom="paragraph">
                  <wp:posOffset>127000</wp:posOffset>
                </wp:positionV>
                <wp:extent cx="6502400" cy="0"/>
                <wp:effectExtent l="9525" t="12700" r="12700" b="6350"/>
                <wp:wrapNone/>
                <wp:docPr id="387854312"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73BD5" id="Line 39"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4E845D0" w14:textId="77777777" w:rsidR="002B10A6" w:rsidRDefault="002B10A6">
      <w:pPr>
        <w:pStyle w:val="Normal19"/>
        <w:sectPr w:rsidR="002B10A6">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gutter="0"/>
          <w:cols w:space="720"/>
          <w:titlePg/>
        </w:sectPr>
      </w:pPr>
    </w:p>
    <w:p w14:paraId="1DCB0D30" w14:textId="77777777" w:rsidR="002B10A6" w:rsidRDefault="002B10A6">
      <w:pPr>
        <w:pStyle w:val="Normal19"/>
      </w:pPr>
    </w:p>
    <w:p w14:paraId="11C5AF00" w14:textId="77777777" w:rsidR="002B10A6" w:rsidRDefault="00000000">
      <w:pPr>
        <w:pStyle w:val="Heading118"/>
        <w:keepNext w:val="0"/>
        <w:widowControl w:val="0"/>
        <w:spacing w:after="200" w:line="340" w:lineRule="atLeast"/>
        <w:jc w:val="center"/>
      </w:pPr>
      <w:r>
        <w:rPr>
          <w:rFonts w:eastAsia="Arial"/>
          <w:color w:val="000000"/>
          <w:sz w:val="28"/>
        </w:rPr>
        <w:t>Elledge v. Lowe's Home Ctrs., LLC</w:t>
      </w:r>
    </w:p>
    <w:p w14:paraId="67D74E31" w14:textId="77777777" w:rsidR="002B10A6" w:rsidRDefault="00000000">
      <w:pPr>
        <w:pStyle w:val="Normal19"/>
        <w:widowControl w:val="0"/>
        <w:spacing w:before="120" w:line="260" w:lineRule="atLeast"/>
        <w:jc w:val="center"/>
      </w:pPr>
      <w:r>
        <w:rPr>
          <w:rFonts w:ascii="Arial" w:eastAsia="Arial" w:hAnsi="Arial" w:cs="Arial"/>
          <w:color w:val="000000"/>
          <w:sz w:val="20"/>
        </w:rPr>
        <w:t>United States Court of Appeals for the Fourth Circuit</w:t>
      </w:r>
    </w:p>
    <w:p w14:paraId="49DF9AAC" w14:textId="77777777" w:rsidR="002B10A6" w:rsidRDefault="00000000">
      <w:pPr>
        <w:pStyle w:val="Normal19"/>
        <w:widowControl w:val="0"/>
        <w:spacing w:before="120" w:line="260" w:lineRule="atLeast"/>
        <w:jc w:val="center"/>
      </w:pPr>
      <w:r>
        <w:rPr>
          <w:rFonts w:ascii="Arial" w:eastAsia="Arial" w:hAnsi="Arial" w:cs="Arial"/>
          <w:color w:val="000000"/>
          <w:sz w:val="20"/>
        </w:rPr>
        <w:t>September 11, 2020, Submitted; November 18, 2020, Decided</w:t>
      </w:r>
    </w:p>
    <w:p w14:paraId="223D8F67" w14:textId="77777777" w:rsidR="002B10A6" w:rsidRDefault="00000000">
      <w:pPr>
        <w:pStyle w:val="Normal19"/>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19-1069</w:t>
      </w:r>
    </w:p>
    <w:p w14:paraId="2EB330DF" w14:textId="77777777" w:rsidR="002B10A6" w:rsidRDefault="002B10A6">
      <w:pPr>
        <w:pStyle w:val="Normal19"/>
        <w:widowControl w:val="0"/>
        <w:spacing w:line="240" w:lineRule="atLeast"/>
        <w:jc w:val="both"/>
      </w:pPr>
      <w:bookmarkStart w:id="2928" w:name="Bookmark_20"/>
      <w:bookmarkEnd w:id="2928"/>
    </w:p>
    <w:p w14:paraId="2B66954F" w14:textId="77777777" w:rsidR="002B10A6" w:rsidRDefault="00000000">
      <w:pPr>
        <w:pStyle w:val="Normal19"/>
        <w:widowControl w:val="0"/>
        <w:spacing w:before="200" w:line="240" w:lineRule="atLeast"/>
      </w:pPr>
      <w:bookmarkStart w:id="2929" w:name="Reporter_18"/>
      <w:bookmarkEnd w:id="2929"/>
      <w:r>
        <w:rPr>
          <w:rFonts w:ascii="Arial" w:eastAsia="Arial" w:hAnsi="Arial" w:cs="Arial"/>
          <w:b/>
          <w:color w:val="000000"/>
          <w:sz w:val="18"/>
        </w:rPr>
        <w:t>Reporter</w:t>
      </w:r>
    </w:p>
    <w:p w14:paraId="197AB751" w14:textId="77777777" w:rsidR="002B10A6" w:rsidRDefault="00000000">
      <w:pPr>
        <w:pStyle w:val="Normal19"/>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979 F.3d 1004 *; 2020 U.S. App. LEXIS 36236 **; 19 Accom. Disabilities Dec. (CCH) P19-119; 2020 WL 6750363</w:t>
      </w:r>
    </w:p>
    <w:p w14:paraId="13D75A12" w14:textId="77777777" w:rsidR="002B10A6" w:rsidRDefault="00000000">
      <w:pPr>
        <w:pStyle w:val="Normal19"/>
        <w:widowControl w:val="0"/>
        <w:spacing w:before="120" w:line="260" w:lineRule="atLeast"/>
      </w:pPr>
      <w:r>
        <w:rPr>
          <w:rFonts w:ascii="Arial" w:eastAsia="Arial" w:hAnsi="Arial" w:cs="Arial"/>
          <w:color w:val="000000"/>
          <w:sz w:val="20"/>
        </w:rPr>
        <w:t>CHARLES J. ELLEDGE, Plaintiff — Appellant, v. LOWE'S HOME CENTERS, LLC, Defendant — Appellee, and LOWE'S COMPANIES, INC., Defendant.EQUAL EMPLOYMENT OPPORTUNITY COMMISSION; DISABILITY RIGHTS NORTH CAROLINA; PROTECTION AND ADVOCACY FOR PEOPLE WITH DISABILITIES, INC.; DISABILITY LAW CENTER FOR VIRGINIA; DISABILITY RIGHTS OF WEST VIRGINIA; DISABILITY RIGHTS MARYLAND; NATIONAL DISABILITY RIGHTS NETWORK, Amici Supporting Appellant, RETAIL LITIGATION CENTER, INC.; CHAMBER OF COMMERCE OF THE UNITED STATES OF AMERICA, Amici Supporting Appellee.</w:t>
      </w:r>
    </w:p>
    <w:p w14:paraId="47A72E7E" w14:textId="77777777" w:rsidR="002B10A6" w:rsidRDefault="00000000">
      <w:pPr>
        <w:pStyle w:val="Normal19"/>
        <w:widowControl w:val="0"/>
        <w:spacing w:before="240" w:line="260" w:lineRule="atLeast"/>
      </w:pPr>
      <w:bookmarkStart w:id="2930" w:name="Subsequent_History_3"/>
      <w:bookmarkEnd w:id="2930"/>
      <w:r>
        <w:rPr>
          <w:rFonts w:ascii="Arial" w:eastAsia="Arial" w:hAnsi="Arial" w:cs="Arial"/>
          <w:b/>
          <w:color w:val="000000"/>
          <w:sz w:val="20"/>
        </w:rPr>
        <w:t>Subsequent History:</w:t>
      </w:r>
      <w:r>
        <w:rPr>
          <w:rFonts w:ascii="Arial" w:eastAsia="Arial" w:hAnsi="Arial" w:cs="Arial"/>
          <w:color w:val="000000"/>
          <w:sz w:val="20"/>
        </w:rPr>
        <w:t> Rehearing denied by, En banc, Rehearing denied by Elledge v. Lowe's Home Ctrs., LLC, 2020 U.S. App. LEXIS 39450 (4th Cir., Dec. 15, 2020)</w:t>
      </w:r>
    </w:p>
    <w:p w14:paraId="73AF7C53" w14:textId="77777777" w:rsidR="002B10A6" w:rsidRDefault="00000000">
      <w:pPr>
        <w:pStyle w:val="Normal19"/>
        <w:widowControl w:val="0"/>
        <w:spacing w:before="240" w:line="260" w:lineRule="atLeast"/>
        <w:jc w:val="both"/>
      </w:pPr>
      <w:bookmarkStart w:id="2931" w:name="Prior_History_18"/>
      <w:bookmarkEnd w:id="2931"/>
      <w:r>
        <w:rPr>
          <w:rFonts w:ascii="Arial" w:eastAsia="Arial" w:hAnsi="Arial" w:cs="Arial"/>
          <w:b/>
          <w:color w:val="000000"/>
          <w:sz w:val="20"/>
        </w:rPr>
        <w:t>Prior History:</w:t>
      </w:r>
      <w:r>
        <w:rPr>
          <w:rFonts w:ascii="Arial" w:eastAsia="Arial" w:hAnsi="Arial" w:cs="Arial"/>
          <w:color w:val="000000"/>
          <w:sz w:val="20"/>
        </w:rPr>
        <w:t> </w:t>
      </w:r>
      <w:bookmarkStart w:id="2932" w:name="Bookmark_para_1_18"/>
      <w:bookmarkEnd w:id="2932"/>
      <w:r>
        <w:rPr>
          <w:rFonts w:ascii="Arial" w:eastAsia="Arial" w:hAnsi="Arial" w:cs="Arial"/>
          <w:color w:val="000000"/>
          <w:sz w:val="20"/>
        </w:rPr>
        <w:t> [**1] Appeal from the United States District Court for the Western District of North Carolina, at Statesville. Robert J. Conrad, Jr., District Judge. (5:16-cv-00227-RJC-DCK).</w:t>
      </w:r>
    </w:p>
    <w:p w14:paraId="2E417337" w14:textId="77777777" w:rsidR="002B10A6" w:rsidRDefault="00000000">
      <w:pPr>
        <w:pStyle w:val="Normal19"/>
        <w:widowControl w:val="0"/>
        <w:spacing w:before="120" w:line="260" w:lineRule="atLeast"/>
      </w:pPr>
      <w:r>
        <w:rPr>
          <w:rFonts w:ascii="Arial" w:eastAsia="Arial" w:hAnsi="Arial" w:cs="Arial"/>
          <w:color w:val="000000"/>
          <w:sz w:val="20"/>
        </w:rPr>
        <w:t>Elledge v. Lowe's Home Ctrs., LLC, 2018 U.S. Dist. LEXIS 214333, 2018 WL 6705537 (W.D.N.C., Dec. 20, 2018)</w:t>
      </w:r>
    </w:p>
    <w:p w14:paraId="1FEDD096" w14:textId="77777777" w:rsidR="002B10A6" w:rsidRDefault="00000000">
      <w:pPr>
        <w:pStyle w:val="Normal19"/>
        <w:widowControl w:val="0"/>
        <w:spacing w:before="240" w:line="260" w:lineRule="atLeast"/>
      </w:pPr>
      <w:bookmarkStart w:id="2933" w:name="Counsel_18"/>
      <w:bookmarkEnd w:id="2933"/>
      <w:r>
        <w:rPr>
          <w:rFonts w:ascii="Arial" w:eastAsia="Arial" w:hAnsi="Arial" w:cs="Arial"/>
          <w:b/>
          <w:color w:val="000000"/>
          <w:sz w:val="20"/>
        </w:rPr>
        <w:t>Counsel:</w:t>
      </w:r>
      <w:r>
        <w:rPr>
          <w:rFonts w:ascii="Arial" w:eastAsia="Arial" w:hAnsi="Arial" w:cs="Arial"/>
          <w:color w:val="000000"/>
          <w:sz w:val="20"/>
        </w:rPr>
        <w:t> Robert M. Elliot, Winston-Salem, North Carolina, R. Michael Elliot, ELLIOT MORGAN PARSONAGE, Charlotte, North Carolina, for Appellant.</w:t>
      </w:r>
    </w:p>
    <w:p w14:paraId="0167C889" w14:textId="77777777" w:rsidR="002B10A6" w:rsidRDefault="00000000">
      <w:pPr>
        <w:pStyle w:val="Normal19"/>
        <w:widowControl w:val="0"/>
        <w:spacing w:before="120" w:line="260" w:lineRule="atLeast"/>
      </w:pPr>
      <w:r>
        <w:rPr>
          <w:rFonts w:ascii="Arial" w:eastAsia="Arial" w:hAnsi="Arial" w:cs="Arial"/>
          <w:color w:val="000000"/>
          <w:sz w:val="20"/>
        </w:rPr>
        <w:t>James M. Powell, Greensboro, North Carolina, Theresa M. Sprain, WOMBLE BOND DICKINSON (US) LLP, Raleigh, North Carolina, for Appellee.</w:t>
      </w:r>
    </w:p>
    <w:p w14:paraId="0584F289" w14:textId="77777777" w:rsidR="002B10A6" w:rsidRDefault="00000000">
      <w:pPr>
        <w:pStyle w:val="Normal19"/>
        <w:widowControl w:val="0"/>
        <w:spacing w:before="120" w:line="260" w:lineRule="atLeast"/>
      </w:pPr>
      <w:r>
        <w:rPr>
          <w:rFonts w:ascii="Arial" w:eastAsia="Arial" w:hAnsi="Arial" w:cs="Arial"/>
          <w:color w:val="000000"/>
          <w:sz w:val="20"/>
        </w:rPr>
        <w:t>Deborah R. White, RETAIL LITIGATION CENTER, INC., Arlington, Virginia; Matthew A. Fitzgerald, Richmond, Virginia, Amy Morrissey Turk, MCGUIREWOODS LLP, Norfolk, Virginia; Daryl Joseffer, Jonathan Urick, U.S. CHAMBER LITIGATION CENTER, Washington, D.C., for Amici Curiae.</w:t>
      </w:r>
    </w:p>
    <w:p w14:paraId="58591F2D" w14:textId="77777777" w:rsidR="002B10A6" w:rsidRDefault="00000000">
      <w:pPr>
        <w:pStyle w:val="Normal19"/>
        <w:widowControl w:val="0"/>
        <w:spacing w:before="240" w:line="260" w:lineRule="atLeast"/>
      </w:pPr>
      <w:bookmarkStart w:id="2934" w:name="Judges_18"/>
      <w:bookmarkEnd w:id="2934"/>
      <w:r>
        <w:rPr>
          <w:rFonts w:ascii="Arial" w:eastAsia="Arial" w:hAnsi="Arial" w:cs="Arial"/>
          <w:b/>
          <w:color w:val="000000"/>
          <w:sz w:val="20"/>
        </w:rPr>
        <w:t>Judges:</w:t>
      </w:r>
      <w:r>
        <w:rPr>
          <w:rFonts w:ascii="Arial" w:eastAsia="Arial" w:hAnsi="Arial" w:cs="Arial"/>
          <w:color w:val="000000"/>
          <w:sz w:val="20"/>
        </w:rPr>
        <w:t> Before GREGORY, Chief Judge, and WILKINSON and NIEMEYER, Circuit Judges. Judge Wilkinson wrote the opinion, in which Chief Judge Gregory and Judge Niemeyer joined.</w:t>
      </w:r>
    </w:p>
    <w:p w14:paraId="6E0DE987" w14:textId="77777777" w:rsidR="002B10A6" w:rsidRDefault="00000000">
      <w:pPr>
        <w:pStyle w:val="Normal19"/>
        <w:widowControl w:val="0"/>
        <w:spacing w:before="240" w:line="260" w:lineRule="atLeast"/>
      </w:pPr>
      <w:bookmarkStart w:id="2935" w:name="Opinion_by_13"/>
      <w:bookmarkEnd w:id="2935"/>
      <w:r>
        <w:rPr>
          <w:rFonts w:ascii="Arial" w:eastAsia="Arial" w:hAnsi="Arial" w:cs="Arial"/>
          <w:b/>
          <w:color w:val="000000"/>
          <w:sz w:val="20"/>
        </w:rPr>
        <w:t>Opinion by:</w:t>
      </w:r>
      <w:r>
        <w:rPr>
          <w:rFonts w:ascii="Arial" w:eastAsia="Arial" w:hAnsi="Arial" w:cs="Arial"/>
          <w:color w:val="000000"/>
          <w:sz w:val="20"/>
        </w:rPr>
        <w:t> WILKINSON</w:t>
      </w:r>
    </w:p>
    <w:p w14:paraId="26C4DB60" w14:textId="77777777" w:rsidR="002B10A6" w:rsidRDefault="00000000">
      <w:pPr>
        <w:pStyle w:val="Normal19"/>
        <w:keepNext/>
        <w:widowControl w:val="0"/>
        <w:spacing w:before="240" w:line="340" w:lineRule="atLeast"/>
      </w:pPr>
      <w:bookmarkStart w:id="2936" w:name="Opinion_18"/>
      <w:bookmarkEnd w:id="2936"/>
      <w:r>
        <w:rPr>
          <w:rFonts w:ascii="Arial" w:eastAsia="Arial" w:hAnsi="Arial" w:cs="Arial"/>
          <w:b/>
          <w:color w:val="000000"/>
          <w:sz w:val="28"/>
        </w:rPr>
        <w:t>Opinion</w:t>
      </w:r>
    </w:p>
    <w:p w14:paraId="6920CB1D" w14:textId="530F4327" w:rsidR="002B10A6" w:rsidRDefault="002D6974">
      <w:pPr>
        <w:pStyle w:val="Normal19"/>
        <w:spacing w:line="60" w:lineRule="exact"/>
      </w:pPr>
      <w:r>
        <w:rPr>
          <w:noProof/>
        </w:rPr>
        <mc:AlternateContent>
          <mc:Choice Requires="wps">
            <w:drawing>
              <wp:anchor distT="0" distB="0" distL="114300" distR="114300" simplePos="0" relativeHeight="251698176" behindDoc="0" locked="0" layoutInCell="1" allowOverlap="1" wp14:anchorId="58E00123" wp14:editId="25DAB99B">
                <wp:simplePos x="0" y="0"/>
                <wp:positionH relativeFrom="column">
                  <wp:posOffset>0</wp:posOffset>
                </wp:positionH>
                <wp:positionV relativeFrom="paragraph">
                  <wp:posOffset>25400</wp:posOffset>
                </wp:positionV>
                <wp:extent cx="3187700" cy="0"/>
                <wp:effectExtent l="19050" t="15875" r="12700" b="12700"/>
                <wp:wrapTopAndBottom/>
                <wp:docPr id="1456989258"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5847B"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A1CFE30" w14:textId="77777777" w:rsidR="002B10A6" w:rsidRDefault="002B10A6">
      <w:pPr>
        <w:pStyle w:val="Normal19"/>
      </w:pPr>
    </w:p>
    <w:p w14:paraId="35504B6F" w14:textId="77777777" w:rsidR="002B10A6" w:rsidRDefault="00000000">
      <w:pPr>
        <w:pStyle w:val="Normal19"/>
        <w:widowControl w:val="0"/>
        <w:spacing w:before="200" w:line="260" w:lineRule="atLeast"/>
        <w:jc w:val="both"/>
      </w:pPr>
      <w:bookmarkStart w:id="2937" w:name="Bookmark_para_2_18"/>
      <w:bookmarkEnd w:id="2937"/>
      <w:r>
        <w:rPr>
          <w:rFonts w:ascii="Arial" w:eastAsia="Arial" w:hAnsi="Arial" w:cs="Arial"/>
          <w:color w:val="000000"/>
          <w:sz w:val="20"/>
        </w:rPr>
        <w:t> [*1007]  WILKINSON, Circuit Judge:</w:t>
      </w:r>
    </w:p>
    <w:p w14:paraId="646AAC8D" w14:textId="77777777" w:rsidR="002B10A6" w:rsidRDefault="00000000">
      <w:pPr>
        <w:pStyle w:val="Normal19"/>
        <w:widowControl w:val="0"/>
        <w:spacing w:before="200" w:line="260" w:lineRule="atLeast"/>
        <w:jc w:val="both"/>
      </w:pPr>
      <w:bookmarkStart w:id="2938" w:name="Bookmark_para_3_18"/>
      <w:bookmarkEnd w:id="2938"/>
      <w:r>
        <w:rPr>
          <w:rFonts w:ascii="Arial" w:eastAsia="Arial" w:hAnsi="Arial" w:cs="Arial"/>
          <w:color w:val="000000"/>
          <w:sz w:val="20"/>
        </w:rPr>
        <w:t>In the aftermath of knee surgery, Chuck Elledge parted ways with his long-term employer Lowe's Home Center. The separation was not amicable. Soon thereafter, Elledge sued Lowe's for violation of the Americans with Disabilities Act (ADA), claiming that Lowe's had forced him out of his director-level [**2]  job even though, with reasonable accommodations, he could still perform its essential functions. He also claimed that Lowe's violated the ADA when it refused to reassign him to another director-level position. Finally, Elledge alleged discrimination under the Age Discrimination in Employment Act (ADEA). The district court granted summary judgment to Lowe's on Elledge's claims. For the following reasons, we affirm.</w:t>
      </w:r>
    </w:p>
    <w:p w14:paraId="6B6A8525" w14:textId="77777777" w:rsidR="002B10A6" w:rsidRDefault="00000000">
      <w:pPr>
        <w:pStyle w:val="Normal19"/>
        <w:widowControl w:val="0"/>
        <w:spacing w:before="120" w:line="260" w:lineRule="atLeast"/>
      </w:pPr>
      <w:r>
        <w:rPr>
          <w:rFonts w:ascii="Arial" w:eastAsia="Arial" w:hAnsi="Arial" w:cs="Arial"/>
          <w:color w:val="000000"/>
          <w:sz w:val="20"/>
        </w:rPr>
        <w:t>I.</w:t>
      </w:r>
    </w:p>
    <w:p w14:paraId="7082DA2B" w14:textId="77777777" w:rsidR="002B10A6" w:rsidRDefault="00000000">
      <w:pPr>
        <w:pStyle w:val="Normal19"/>
        <w:widowControl w:val="0"/>
        <w:spacing w:before="200" w:line="260" w:lineRule="atLeast"/>
        <w:jc w:val="both"/>
      </w:pPr>
      <w:bookmarkStart w:id="2939" w:name="Bookmark_para_4_18"/>
      <w:bookmarkEnd w:id="2939"/>
      <w:r>
        <w:rPr>
          <w:rFonts w:ascii="Arial" w:eastAsia="Arial" w:hAnsi="Arial" w:cs="Arial"/>
          <w:color w:val="000000"/>
          <w:sz w:val="20"/>
        </w:rPr>
        <w:t>Chuck Elledge worked for Lowe's for over two decades. In 1993, Elledge accepted employment as a health care analyst at Lowe's Home Center. He earned multiple promotions over the years, ultimately attaining the position of Market Director of Stores (MDS). In this position, Elledge oversaw a dozen stores. He ensured that his stores complied with corporate quality standards and, of course, that they continued to turn a healthy profit. Elledge served as an MDS for almost a decade, and the stores under his supervision performed well.</w:t>
      </w:r>
    </w:p>
    <w:p w14:paraId="66F89C07" w14:textId="77777777" w:rsidR="002B10A6" w:rsidRDefault="00000000">
      <w:pPr>
        <w:pStyle w:val="Normal19"/>
        <w:widowControl w:val="0"/>
        <w:spacing w:before="200" w:line="260" w:lineRule="atLeast"/>
        <w:jc w:val="both"/>
      </w:pPr>
      <w:bookmarkStart w:id="2940" w:name="Bookmark_para_5_18"/>
      <w:bookmarkEnd w:id="2940"/>
      <w:r>
        <w:rPr>
          <w:rFonts w:ascii="Arial" w:eastAsia="Arial" w:hAnsi="Arial" w:cs="Arial"/>
          <w:color w:val="000000"/>
          <w:sz w:val="20"/>
        </w:rPr>
        <w:t>Elledge also had problems with his right knee. In December 2014, he underwent the most serious of four surgeries on his knee. When he returned from leave, once effortless aspects of his job had become trials in "working through the pain." J.A. 1993. [**3]   [*1008]  Walking the floors of the stores he supervised had become trying at times, and driving from store to store could be taxing.</w:t>
      </w:r>
    </w:p>
    <w:p w14:paraId="6A86B4D9" w14:textId="77777777" w:rsidR="002B10A6" w:rsidRDefault="00000000">
      <w:pPr>
        <w:pStyle w:val="Normal19"/>
        <w:widowControl w:val="0"/>
        <w:spacing w:before="200" w:line="260" w:lineRule="atLeast"/>
        <w:jc w:val="both"/>
      </w:pPr>
      <w:bookmarkStart w:id="2941" w:name="Bookmark_para_6_18"/>
      <w:bookmarkEnd w:id="2941"/>
      <w:r>
        <w:rPr>
          <w:rFonts w:ascii="Arial" w:eastAsia="Arial" w:hAnsi="Arial" w:cs="Arial"/>
          <w:color w:val="000000"/>
          <w:sz w:val="20"/>
        </w:rPr>
        <w:t>Given the demands of his station, these changes in Elledge's condition were significant. For Elledge and for Lowe's, the store visits were essential to maintaining high levels of compliance and performance. To keep pace with the needs of his stores, Elledge had typically conducted two separate store visits each day and worked between fifty and sixty hours each week, with the considerable walking and driving that entailed.</w:t>
      </w:r>
    </w:p>
    <w:p w14:paraId="4CD4CFC8" w14:textId="77777777" w:rsidR="002B10A6" w:rsidRDefault="00000000">
      <w:pPr>
        <w:pStyle w:val="Normal19"/>
        <w:widowControl w:val="0"/>
        <w:spacing w:before="200" w:line="260" w:lineRule="atLeast"/>
        <w:jc w:val="both"/>
      </w:pPr>
      <w:bookmarkStart w:id="2942" w:name="Bookmark_para_7_18"/>
      <w:bookmarkEnd w:id="2942"/>
      <w:r>
        <w:rPr>
          <w:rFonts w:ascii="Arial" w:eastAsia="Arial" w:hAnsi="Arial" w:cs="Arial"/>
          <w:color w:val="000000"/>
          <w:sz w:val="20"/>
        </w:rPr>
        <w:t>Upon his return to work, Elledge's doctor ordered him to restrict his walking to no more than four hours each day and his workday to no more than eight. Lowe's, in consultation with Elledge, agreed that, for a time, he could and should abide by his doctor's orders while he continued to work. Lowe's also offered Elledge the use of a motorized scooter to ease the strain on his knee during store visits. Elledge declined the use of the motorized scooter and, although he did comply with his light-work schedule most of the time, he did not always find himself able to follow his doctor's orders. Elledge arranged for his lower-ranking colleagues, who had [**4]  previously only accompanied Elledge on his store visits, to drive him to and from the stores under his supervision, so that Elledge would have an opportunity to stretch out his knee in the back seat.</w:t>
      </w:r>
    </w:p>
    <w:p w14:paraId="1B341B87" w14:textId="77777777" w:rsidR="002B10A6" w:rsidRDefault="00000000">
      <w:pPr>
        <w:pStyle w:val="Normal19"/>
        <w:widowControl w:val="0"/>
        <w:spacing w:before="200" w:line="260" w:lineRule="atLeast"/>
        <w:jc w:val="both"/>
      </w:pPr>
      <w:bookmarkStart w:id="2943" w:name="Bookmark_para_8_18"/>
      <w:bookmarkEnd w:id="2943"/>
      <w:r>
        <w:rPr>
          <w:rFonts w:ascii="Arial" w:eastAsia="Arial" w:hAnsi="Arial" w:cs="Arial"/>
          <w:color w:val="000000"/>
          <w:sz w:val="20"/>
        </w:rPr>
        <w:t>Shortly after renewing these accommodations, Lowe's learned that Elledge would be issued a permanent disabled parking permit. Contacting Elledge's doctor, Lowe's inquired whether Elledge's restrictions would be permanent. The doctor replied in the affirmative: "I rec these be permanent restrictions." J.A. 1929.</w:t>
      </w:r>
    </w:p>
    <w:p w14:paraId="3910C4CA" w14:textId="77777777" w:rsidR="002B10A6" w:rsidRDefault="00000000">
      <w:pPr>
        <w:pStyle w:val="Normal19"/>
        <w:widowControl w:val="0"/>
        <w:spacing w:before="200" w:line="260" w:lineRule="atLeast"/>
        <w:jc w:val="both"/>
      </w:pPr>
      <w:bookmarkStart w:id="2944" w:name="Bookmark_para_9_18"/>
      <w:bookmarkEnd w:id="2944"/>
      <w:r>
        <w:rPr>
          <w:rFonts w:ascii="Arial" w:eastAsia="Arial" w:hAnsi="Arial" w:cs="Arial"/>
          <w:color w:val="000000"/>
          <w:sz w:val="20"/>
        </w:rPr>
        <w:t>In response to this development, Lowe's Regional Human Resources Director Hollie Reinhart and Vice President of Store Operations Delno Dryden had several conversations with Elledge. The purpose of these conversations was to chart a mutually agreeable course forward. Although Elledge would not be able to remain in his present position, Reinhart and Dryden spoke with him about other potential career opportunities at Lowe's, agreeing to network on his behalf regarding any vacancy in which he had an interest or, in the alternative, to help shift him to a less physically demanding manager-level role.</w:t>
      </w:r>
    </w:p>
    <w:p w14:paraId="535A3C71" w14:textId="77777777" w:rsidR="002B10A6" w:rsidRDefault="00000000">
      <w:pPr>
        <w:pStyle w:val="Normal19"/>
        <w:widowControl w:val="0"/>
        <w:spacing w:before="200" w:line="260" w:lineRule="atLeast"/>
        <w:jc w:val="both"/>
      </w:pPr>
      <w:bookmarkStart w:id="2945" w:name="Bookmark_para_10_18"/>
      <w:bookmarkEnd w:id="2945"/>
      <w:r>
        <w:rPr>
          <w:rFonts w:ascii="Arial" w:eastAsia="Arial" w:hAnsi="Arial" w:cs="Arial"/>
          <w:color w:val="000000"/>
          <w:sz w:val="20"/>
        </w:rPr>
        <w:t>Displeased at the prospect of stepping down into a lower paying position, Elledge applied [**5]  to two other director-level positions, Merchandising Director of Lawn and Garden and Merchandising Director of Outdoor Power Equipment. His applications were considered and rejected under Lowe's succession planning and best-qualified hiring policies. Ryan Lane, who had been identified through the Lawn and Garden department's succession planning policy, was selected for the former position. Chad Sanders, who had founded Lowe's Assistant Store Manager Leadership Development Program and directed Lowe's Leadership Development Sessions for the National Sales Meetings, was selected for the latter. Elledge, meanwhile, accepted Lowe's offer of a severance package and early retirement.</w:t>
      </w:r>
    </w:p>
    <w:p w14:paraId="47CDAAB2" w14:textId="77777777" w:rsidR="002B10A6" w:rsidRDefault="00000000">
      <w:pPr>
        <w:pStyle w:val="Normal19"/>
        <w:widowControl w:val="0"/>
        <w:spacing w:before="200" w:line="260" w:lineRule="atLeast"/>
        <w:jc w:val="both"/>
      </w:pPr>
      <w:bookmarkStart w:id="2946" w:name="Bookmark_para_11_15"/>
      <w:bookmarkEnd w:id="2946"/>
      <w:r>
        <w:rPr>
          <w:rFonts w:ascii="Arial" w:eastAsia="Arial" w:hAnsi="Arial" w:cs="Arial"/>
          <w:color w:val="000000"/>
          <w:sz w:val="20"/>
        </w:rPr>
        <w:t>The matter, however, did not rest there. Elledge sued his former employer for violation of the Americans with Disabilities Act and the Age Discrimination in Employment Act. He argued that Lowe's had violated its obligations under the ADA by removing him from the MDS role and by refusing to reassign him to either of the aforementioned positions. He also argued that its rejection of his applications constituted illegal age discrimination under the ADEA. The district court granted summary judgment to Lowe's on both [**6]  claims, finding in relevant part that Elledge had  [*1009]  failed to show he was a "fully qualified" individual under the ADA, who could perform the "essential functions" of his job "with or without reasonable accommodation." J.A. 2325-27. The district court also found that Elledge had not shown that he was qualified for the jobs to which he had applied, a contention necessary to his claims under both laws. Elledge appealed.</w:t>
      </w:r>
    </w:p>
    <w:p w14:paraId="381A3ADE" w14:textId="77777777" w:rsidR="002B10A6" w:rsidRDefault="00000000">
      <w:pPr>
        <w:pStyle w:val="Normal19"/>
        <w:widowControl w:val="0"/>
        <w:spacing w:before="200" w:line="260" w:lineRule="atLeast"/>
        <w:jc w:val="both"/>
      </w:pPr>
      <w:bookmarkStart w:id="2947" w:name="Bookmark_para_12_14"/>
      <w:bookmarkStart w:id="2948" w:name="Bookmark_I61BJMG02D6NT80020000400"/>
      <w:bookmarkStart w:id="2949" w:name="Bookmark_LNHNREFclscc1_15"/>
      <w:bookmarkEnd w:id="2947"/>
      <w:bookmarkEnd w:id="2948"/>
      <w:bookmarkEnd w:id="2949"/>
      <w:r>
        <w:rPr>
          <w:rFonts w:ascii="Arial" w:eastAsia="Arial" w:hAnsi="Arial" w:cs="Arial"/>
          <w:color w:val="000000"/>
          <w:sz w:val="20"/>
        </w:rPr>
        <w:t xml:space="preserve">As Elledge's appeal is from summary judgment, this court reviews the district court's findings </w:t>
      </w:r>
      <w:r>
        <w:rPr>
          <w:rFonts w:ascii="Arial" w:eastAsia="Arial" w:hAnsi="Arial" w:cs="Arial"/>
          <w:i/>
          <w:color w:val="000000"/>
          <w:sz w:val="20"/>
        </w:rPr>
        <w:t>de novo</w:t>
      </w:r>
      <w:r>
        <w:rPr>
          <w:rFonts w:ascii="Arial" w:eastAsia="Arial" w:hAnsi="Arial" w:cs="Arial"/>
          <w:color w:val="000000"/>
          <w:sz w:val="20"/>
        </w:rPr>
        <w:t xml:space="preserve">, drawing all reasonable inferences from the record in Elledge's favor. </w:t>
      </w:r>
      <w:bookmarkStart w:id="2950" w:name="Bookmark_I61BJMG02D6NT80010000400"/>
      <w:bookmarkEnd w:id="2950"/>
      <w:r>
        <w:rPr>
          <w:rFonts w:ascii="Arial" w:eastAsia="Arial" w:hAnsi="Arial" w:cs="Arial"/>
          <w:i/>
          <w:color w:val="000000"/>
          <w:sz w:val="20"/>
        </w:rPr>
        <w:t>Reeves v. Sanderson Plumbing Products, Inc.</w:t>
      </w:r>
      <w:r>
        <w:rPr>
          <w:rFonts w:ascii="Arial" w:eastAsia="Arial" w:hAnsi="Arial" w:cs="Arial"/>
          <w:color w:val="000000"/>
          <w:sz w:val="20"/>
        </w:rPr>
        <w:t xml:space="preserve">, 530 U.S. 133, 150-51, 120 S. Ct. 2097, 147 L. Ed. 2d 105 (2000); </w:t>
      </w:r>
      <w:bookmarkStart w:id="2951" w:name="Bookmark_I61BJMG02D6NT80030000400"/>
      <w:bookmarkEnd w:id="2951"/>
      <w:r>
        <w:rPr>
          <w:rFonts w:ascii="Arial" w:eastAsia="Arial" w:hAnsi="Arial" w:cs="Arial"/>
          <w:i/>
          <w:color w:val="000000"/>
          <w:sz w:val="20"/>
        </w:rPr>
        <w:t>Jacobs v. N.C. Admin. Office of the Courts</w:t>
      </w:r>
      <w:r>
        <w:rPr>
          <w:rFonts w:ascii="Arial" w:eastAsia="Arial" w:hAnsi="Arial" w:cs="Arial"/>
          <w:color w:val="000000"/>
          <w:sz w:val="20"/>
        </w:rPr>
        <w:t>, 780 F.3d 562, 565 n.1 (4th Cir. 2015).</w:t>
      </w:r>
    </w:p>
    <w:p w14:paraId="61512612" w14:textId="77777777" w:rsidR="002B10A6" w:rsidRDefault="00000000">
      <w:pPr>
        <w:pStyle w:val="Normal19"/>
        <w:widowControl w:val="0"/>
        <w:spacing w:before="120" w:line="260" w:lineRule="atLeast"/>
      </w:pPr>
      <w:r>
        <w:rPr>
          <w:rFonts w:ascii="Arial" w:eastAsia="Arial" w:hAnsi="Arial" w:cs="Arial"/>
          <w:color w:val="000000"/>
          <w:sz w:val="20"/>
        </w:rPr>
        <w:t>II.</w:t>
      </w:r>
    </w:p>
    <w:p w14:paraId="012E6F10" w14:textId="77777777" w:rsidR="002B10A6" w:rsidRDefault="00000000">
      <w:pPr>
        <w:pStyle w:val="Normal19"/>
        <w:widowControl w:val="0"/>
        <w:spacing w:before="200" w:line="260" w:lineRule="atLeast"/>
        <w:jc w:val="both"/>
      </w:pPr>
      <w:bookmarkStart w:id="2952" w:name="Bookmark_para_13_14"/>
      <w:bookmarkStart w:id="2953" w:name="Bookmark_LNHNREFclscc2_15"/>
      <w:bookmarkEnd w:id="2952"/>
      <w:bookmarkEnd w:id="2953"/>
      <w:r>
        <w:rPr>
          <w:rFonts w:ascii="Arial" w:eastAsia="Arial" w:hAnsi="Arial" w:cs="Arial"/>
          <w:color w:val="000000"/>
          <w:sz w:val="20"/>
        </w:rPr>
        <w:t>The ADA provides that "no covered entity shall discriminate against a qualified individual on the basis of disability in regard to job application procedures, the hiring, advancement, or discharge of employees . . . ." 42 U.S.C. § 12112(a). In order to count as a "qualified individual" entitled to the ADA's protections, a person must be able "with or without reasonable accommodation [to] perform the essential functions of the employment position that such individual holds or desires." 42 U.S.C. § 12111(8). The parties dispute whether Elledge satisfies this definition: Elledge argues that, given reasonable accommodation, he was capable [**7]  of performing his job's essential functions; Lowe's denies the same.</w:t>
      </w:r>
    </w:p>
    <w:p w14:paraId="6D676937" w14:textId="77777777" w:rsidR="002B10A6" w:rsidRDefault="00000000">
      <w:pPr>
        <w:pStyle w:val="Normal19"/>
        <w:widowControl w:val="0"/>
        <w:spacing w:before="200" w:line="260" w:lineRule="atLeast"/>
        <w:jc w:val="both"/>
      </w:pPr>
      <w:bookmarkStart w:id="2954" w:name="Bookmark_para_14_14"/>
      <w:bookmarkStart w:id="2955" w:name="Bookmark_I61BJMG12N1RW20010000400"/>
      <w:bookmarkEnd w:id="2954"/>
      <w:bookmarkEnd w:id="2955"/>
      <w:r>
        <w:rPr>
          <w:rFonts w:ascii="Arial" w:eastAsia="Arial" w:hAnsi="Arial" w:cs="Arial"/>
          <w:color w:val="000000"/>
          <w:sz w:val="20"/>
        </w:rPr>
        <w:t xml:space="preserve">The beginning of this inquiry lies, accordingly, with a determination of just what the essential functions of Elledge's MDS position were. </w:t>
      </w:r>
      <w:bookmarkStart w:id="2956" w:name="Bookmark_LNHNREFclscc3_15"/>
      <w:bookmarkEnd w:id="2956"/>
      <w:r>
        <w:rPr>
          <w:rFonts w:ascii="Arial" w:eastAsia="Arial" w:hAnsi="Arial" w:cs="Arial"/>
          <w:color w:val="000000"/>
          <w:sz w:val="20"/>
        </w:rPr>
        <w:t xml:space="preserve">A function is essential as long as it "bears more than a marginal relationship to the job at issue." </w:t>
      </w:r>
      <w:bookmarkStart w:id="2957" w:name="Bookmark_I61BJMG02D6NT80050000400"/>
      <w:bookmarkEnd w:id="2957"/>
      <w:r>
        <w:rPr>
          <w:rFonts w:ascii="Arial" w:eastAsia="Arial" w:hAnsi="Arial" w:cs="Arial"/>
          <w:i/>
          <w:color w:val="000000"/>
          <w:sz w:val="20"/>
        </w:rPr>
        <w:t>Rohan v. Networks Presentations LLC</w:t>
      </w:r>
      <w:r>
        <w:rPr>
          <w:rFonts w:ascii="Arial" w:eastAsia="Arial" w:hAnsi="Arial" w:cs="Arial"/>
          <w:color w:val="000000"/>
          <w:sz w:val="20"/>
        </w:rPr>
        <w:t xml:space="preserve">, 375 F.3d 266, 279 (4th Cir. 2004) (quoting </w:t>
      </w:r>
      <w:bookmarkStart w:id="2958" w:name="Bookmark_I61BJMG12N1RW20020000400"/>
      <w:bookmarkEnd w:id="2958"/>
      <w:r>
        <w:rPr>
          <w:rFonts w:ascii="Arial" w:eastAsia="Arial" w:hAnsi="Arial" w:cs="Arial"/>
          <w:i/>
          <w:color w:val="000000"/>
          <w:sz w:val="20"/>
        </w:rPr>
        <w:t>Tyndall v. Nat'l Educ. Ctrs., Inc. of Cal.</w:t>
      </w:r>
      <w:r>
        <w:rPr>
          <w:rFonts w:ascii="Arial" w:eastAsia="Arial" w:hAnsi="Arial" w:cs="Arial"/>
          <w:color w:val="000000"/>
          <w:sz w:val="20"/>
        </w:rPr>
        <w:t xml:space="preserve">, 31 F.3d 209, 213 (4th Cir. 1994)); </w:t>
      </w:r>
      <w:r>
        <w:rPr>
          <w:rFonts w:ascii="Arial" w:eastAsia="Arial" w:hAnsi="Arial" w:cs="Arial"/>
          <w:i/>
          <w:color w:val="000000"/>
          <w:sz w:val="20"/>
        </w:rPr>
        <w:t>see also</w:t>
      </w:r>
      <w:r>
        <w:rPr>
          <w:rFonts w:ascii="Arial" w:eastAsia="Arial" w:hAnsi="Arial" w:cs="Arial"/>
          <w:color w:val="000000"/>
          <w:sz w:val="20"/>
        </w:rPr>
        <w:t xml:space="preserve"> 29 C.F.R. § 1630.2(n)(1) (defining an "essential function" as a "fundamental job dut[y]"). The ADA further provides that, in any determination of a position's essential functions, "consideration shall be given to the employer's judgment." 42 U.S.C. § 12111(8).</w:t>
      </w:r>
    </w:p>
    <w:p w14:paraId="333C49DC" w14:textId="77777777" w:rsidR="002B10A6" w:rsidRDefault="00000000">
      <w:pPr>
        <w:pStyle w:val="Normal19"/>
        <w:widowControl w:val="0"/>
        <w:spacing w:before="200" w:line="260" w:lineRule="atLeast"/>
        <w:jc w:val="both"/>
      </w:pPr>
      <w:bookmarkStart w:id="2959" w:name="Bookmark_para_15_14"/>
      <w:bookmarkStart w:id="2960" w:name="Bookmark_LNHNREFclscc4_15"/>
      <w:bookmarkEnd w:id="2959"/>
      <w:bookmarkEnd w:id="2960"/>
      <w:r>
        <w:rPr>
          <w:rFonts w:ascii="Arial" w:eastAsia="Arial" w:hAnsi="Arial" w:cs="Arial"/>
          <w:color w:val="000000"/>
          <w:sz w:val="20"/>
        </w:rPr>
        <w:t xml:space="preserve">That makes sense. </w:t>
      </w:r>
      <w:bookmarkStart w:id="2961" w:name="Bookmark_I61BJMG12N1RW20050000400"/>
      <w:bookmarkEnd w:id="2961"/>
      <w:r>
        <w:rPr>
          <w:rFonts w:ascii="Arial" w:eastAsia="Arial" w:hAnsi="Arial" w:cs="Arial"/>
          <w:color w:val="000000"/>
          <w:sz w:val="20"/>
        </w:rPr>
        <w:t xml:space="preserve">The employer's business judgment—that is, the judgment of the entity that defined the employee's role in the first place—commences the analysis. As is attested in the law of other circuits, the decision about a position's essential functions belongs, in the first instance, to the employer; it accordingly merits "considerable deference" from the courts. </w:t>
      </w:r>
      <w:bookmarkStart w:id="2962" w:name="Bookmark_I61BJMG12N1RW20040000400"/>
      <w:bookmarkEnd w:id="2962"/>
      <w:r>
        <w:rPr>
          <w:rFonts w:ascii="Arial" w:eastAsia="Arial" w:hAnsi="Arial" w:cs="Arial"/>
          <w:i/>
          <w:color w:val="000000"/>
          <w:sz w:val="20"/>
        </w:rPr>
        <w:t>D'Amico v. City of New York</w:t>
      </w:r>
      <w:r>
        <w:rPr>
          <w:rFonts w:ascii="Arial" w:eastAsia="Arial" w:hAnsi="Arial" w:cs="Arial"/>
          <w:color w:val="000000"/>
          <w:sz w:val="20"/>
        </w:rPr>
        <w:t xml:space="preserve">, 132 F.3d 145, 151 (2d Cir. 1998); </w:t>
      </w:r>
      <w:r>
        <w:rPr>
          <w:rFonts w:ascii="Arial" w:eastAsia="Arial" w:hAnsi="Arial" w:cs="Arial"/>
          <w:i/>
          <w:color w:val="000000"/>
          <w:sz w:val="20"/>
        </w:rPr>
        <w:t xml:space="preserve">see also </w:t>
      </w:r>
      <w:bookmarkStart w:id="2963" w:name="Bookmark_I61BJMG22HM6840010000400"/>
      <w:bookmarkEnd w:id="2963"/>
      <w:r>
        <w:rPr>
          <w:rFonts w:ascii="Arial" w:eastAsia="Arial" w:hAnsi="Arial" w:cs="Arial"/>
          <w:i/>
          <w:color w:val="000000"/>
          <w:sz w:val="20"/>
        </w:rPr>
        <w:t>Dalton v. Subaru-Isuzu Auto., Inc.</w:t>
      </w:r>
      <w:r>
        <w:rPr>
          <w:rFonts w:ascii="Arial" w:eastAsia="Arial" w:hAnsi="Arial" w:cs="Arial"/>
          <w:color w:val="000000"/>
          <w:sz w:val="20"/>
        </w:rPr>
        <w:t>, 141 F.3d 667, 678 (7th Cir. 1998).</w:t>
      </w:r>
    </w:p>
    <w:p w14:paraId="2AEA4B13" w14:textId="77777777" w:rsidR="002B10A6" w:rsidRDefault="00000000">
      <w:pPr>
        <w:pStyle w:val="Normal19"/>
        <w:widowControl w:val="0"/>
        <w:spacing w:before="200" w:line="260" w:lineRule="atLeast"/>
        <w:jc w:val="both"/>
      </w:pPr>
      <w:bookmarkStart w:id="2964" w:name="Bookmark_para_16_12"/>
      <w:bookmarkStart w:id="2965" w:name="Bookmark_I61BJMG22HM6840040000400"/>
      <w:bookmarkStart w:id="2966" w:name="Bookmark_LNHNREFclscc5_15"/>
      <w:bookmarkEnd w:id="2964"/>
      <w:bookmarkEnd w:id="2965"/>
      <w:bookmarkEnd w:id="2966"/>
      <w:r>
        <w:rPr>
          <w:rFonts w:ascii="Arial" w:eastAsia="Arial" w:hAnsi="Arial" w:cs="Arial"/>
          <w:color w:val="000000"/>
          <w:sz w:val="20"/>
        </w:rPr>
        <w:t xml:space="preserve">While the ADA identifies a position's written job description as relevant to the employer's judgment on this question, 42 U.S.C. § 12111(8), it does not posit that description as dispositive. Rather, a court performing the essential functions inquiry must consult the full range of evidence [**8]  bearing on the employer's judgment, including the testimony of senior officials and those familiar with the daily requirements of the job. </w:t>
      </w:r>
      <w:r>
        <w:rPr>
          <w:rFonts w:ascii="Arial" w:eastAsia="Arial" w:hAnsi="Arial" w:cs="Arial"/>
          <w:i/>
          <w:color w:val="000000"/>
          <w:sz w:val="20"/>
        </w:rPr>
        <w:t xml:space="preserve">See, e.g., </w:t>
      </w:r>
      <w:bookmarkStart w:id="2967" w:name="Bookmark_I61BJMG22HM6840030000400"/>
      <w:bookmarkEnd w:id="2967"/>
      <w:r>
        <w:rPr>
          <w:rFonts w:ascii="Arial" w:eastAsia="Arial" w:hAnsi="Arial" w:cs="Arial"/>
          <w:i/>
          <w:color w:val="000000"/>
          <w:sz w:val="20"/>
        </w:rPr>
        <w:t>D'Angelo v. ConAgra Foods, Inc.</w:t>
      </w:r>
      <w:r>
        <w:rPr>
          <w:rFonts w:ascii="Arial" w:eastAsia="Arial" w:hAnsi="Arial" w:cs="Arial"/>
          <w:color w:val="000000"/>
          <w:sz w:val="20"/>
        </w:rPr>
        <w:t xml:space="preserve">, 422 F.3d 1220, 1230 (11th Cir. 2005); </w:t>
      </w:r>
      <w:bookmarkStart w:id="2968" w:name="Bookmark_I61BJMG22HM6840050000400"/>
      <w:bookmarkEnd w:id="2968"/>
      <w:r>
        <w:rPr>
          <w:rFonts w:ascii="Arial" w:eastAsia="Arial" w:hAnsi="Arial" w:cs="Arial"/>
          <w:i/>
          <w:color w:val="000000"/>
          <w:sz w:val="20"/>
        </w:rPr>
        <w:t>Rodal v. Anesthesia Group of Onondaga, P.C.</w:t>
      </w:r>
      <w:r>
        <w:rPr>
          <w:rFonts w:ascii="Arial" w:eastAsia="Arial" w:hAnsi="Arial" w:cs="Arial"/>
          <w:color w:val="000000"/>
          <w:sz w:val="20"/>
        </w:rPr>
        <w:t xml:space="preserve">, 369 F.3d 113, 120-21 (2d Cir. 2004); </w:t>
      </w:r>
      <w:bookmarkStart w:id="2969" w:name="Bookmark_I61BJMG22SF8240020000400"/>
      <w:bookmarkEnd w:id="2969"/>
      <w:r>
        <w:rPr>
          <w:rFonts w:ascii="Arial" w:eastAsia="Arial" w:hAnsi="Arial" w:cs="Arial"/>
          <w:i/>
          <w:color w:val="000000"/>
          <w:sz w:val="20"/>
        </w:rPr>
        <w:t>Stephenson v. Pfizer, Inc. Eyeglasses</w:t>
      </w:r>
      <w:r>
        <w:rPr>
          <w:rFonts w:ascii="Arial" w:eastAsia="Arial" w:hAnsi="Arial" w:cs="Arial"/>
          <w:color w:val="000000"/>
          <w:sz w:val="20"/>
        </w:rPr>
        <w:t>, 641 F. App'x 214, 216 n.4 (4th Cir. 2016).</w:t>
      </w:r>
    </w:p>
    <w:p w14:paraId="794EDCAF" w14:textId="77777777" w:rsidR="002B10A6" w:rsidRDefault="00000000">
      <w:pPr>
        <w:pStyle w:val="Normal19"/>
        <w:widowControl w:val="0"/>
        <w:spacing w:before="120" w:line="260" w:lineRule="atLeast"/>
      </w:pPr>
      <w:r>
        <w:rPr>
          <w:rFonts w:ascii="Arial" w:eastAsia="Arial" w:hAnsi="Arial" w:cs="Arial"/>
          <w:color w:val="000000"/>
          <w:sz w:val="20"/>
        </w:rPr>
        <w:t>A.</w:t>
      </w:r>
    </w:p>
    <w:p w14:paraId="61751C09" w14:textId="77777777" w:rsidR="002B10A6" w:rsidRDefault="00000000">
      <w:pPr>
        <w:pStyle w:val="Normal19"/>
        <w:widowControl w:val="0"/>
        <w:spacing w:before="200" w:line="260" w:lineRule="atLeast"/>
        <w:jc w:val="both"/>
      </w:pPr>
      <w:bookmarkStart w:id="2970" w:name="Bookmark_para_17_12"/>
      <w:bookmarkEnd w:id="2970"/>
      <w:r>
        <w:rPr>
          <w:rFonts w:ascii="Arial" w:eastAsia="Arial" w:hAnsi="Arial" w:cs="Arial"/>
          <w:color w:val="000000"/>
          <w:sz w:val="20"/>
        </w:rPr>
        <w:t>With our consideration of the record thus informed, there is no reason to doubt the district court's conclusion that the essential functions of the MDS position included: (1) standing or walking in excess of  [*1010]  4 hours each day; (2) travelling to all supervised stores; and (3) working in excess of 8 hour each day. J.A. 2323-25.</w:t>
      </w:r>
    </w:p>
    <w:p w14:paraId="64C165DA" w14:textId="77777777" w:rsidR="002B10A6" w:rsidRDefault="00000000">
      <w:pPr>
        <w:pStyle w:val="Normal19"/>
        <w:widowControl w:val="0"/>
        <w:spacing w:before="200" w:line="260" w:lineRule="atLeast"/>
        <w:jc w:val="both"/>
      </w:pPr>
      <w:bookmarkStart w:id="2971" w:name="Bookmark_para_18_12"/>
      <w:bookmarkEnd w:id="2971"/>
      <w:r>
        <w:rPr>
          <w:rFonts w:ascii="Arial" w:eastAsia="Arial" w:hAnsi="Arial" w:cs="Arial"/>
          <w:color w:val="000000"/>
          <w:sz w:val="20"/>
        </w:rPr>
        <w:t>Because the first two of these essential functions relate to the MDS's personal mobility, they will be treated together. Their importance is attested, first and foremost, by the official MDS job description. It states that a candidate for MDS must be capable of walking "frequent[ly]," defined as "34%-66%" of working hours, and driving "continuous[ly]," defined as "67%-100%" of working hours. These requirements mean that an MDS must possess the mobility and stamina to handle days in which his job requires him to walk 66% of the time, as well as those days in which he must drive almost without ceasing.</w:t>
      </w:r>
    </w:p>
    <w:p w14:paraId="6A6D3B34" w14:textId="77777777" w:rsidR="002B10A6" w:rsidRDefault="00000000">
      <w:pPr>
        <w:pStyle w:val="Normal19"/>
        <w:widowControl w:val="0"/>
        <w:spacing w:before="200" w:line="260" w:lineRule="atLeast"/>
        <w:jc w:val="both"/>
      </w:pPr>
      <w:bookmarkStart w:id="2972" w:name="Bookmark_para_19_11"/>
      <w:bookmarkEnd w:id="2972"/>
      <w:r>
        <w:rPr>
          <w:rFonts w:ascii="Arial" w:eastAsia="Arial" w:hAnsi="Arial" w:cs="Arial"/>
          <w:color w:val="000000"/>
          <w:sz w:val="20"/>
        </w:rPr>
        <w:t>As a matter of plain meaning, then, Elledge's contention that the job's true mobility-related requirements are [**9]  determined only by the bottom figure of the listed ranges is mistaken. In a requirements context, "between" betokens a fully inclusive range: a worker whose strength allows him to lift a maximum of 75 pounds is unfit for a job that requires workers to be able to lift loads weighing between 50 and 100 pounds.</w:t>
      </w:r>
    </w:p>
    <w:p w14:paraId="7B852004" w14:textId="77777777" w:rsidR="002B10A6" w:rsidRDefault="00000000">
      <w:pPr>
        <w:pStyle w:val="Normal19"/>
        <w:widowControl w:val="0"/>
        <w:spacing w:before="200" w:line="260" w:lineRule="atLeast"/>
        <w:jc w:val="both"/>
      </w:pPr>
      <w:bookmarkStart w:id="2973" w:name="Bookmark_para_20_11"/>
      <w:bookmarkEnd w:id="2973"/>
      <w:r>
        <w:rPr>
          <w:rFonts w:ascii="Arial" w:eastAsia="Arial" w:hAnsi="Arial" w:cs="Arial"/>
          <w:color w:val="000000"/>
          <w:sz w:val="20"/>
        </w:rPr>
        <w:t xml:space="preserve">Moreover, evidence whose soundness Elledge admits resolves any ambiguity in Lowe's favor. Elledge himself testified that coaching store managers in person, maintaining visibility and accessibility </w:t>
      </w:r>
      <w:r>
        <w:rPr>
          <w:rFonts w:ascii="Arial" w:eastAsia="Arial" w:hAnsi="Arial" w:cs="Arial"/>
          <w:i/>
          <w:color w:val="000000"/>
          <w:sz w:val="20"/>
        </w:rPr>
        <w:t>vis-a-vis</w:t>
      </w:r>
      <w:r>
        <w:rPr>
          <w:rFonts w:ascii="Arial" w:eastAsia="Arial" w:hAnsi="Arial" w:cs="Arial"/>
          <w:color w:val="000000"/>
          <w:sz w:val="20"/>
        </w:rPr>
        <w:t xml:space="preserve"> store managers and other employees, and conducting store-walks to maintain quality standards were integral to success in the MDS role. But because the MDS bears responsibility for multiple stores —no fewer than twelve in Elledge's case—none of these activities is possible without significant amounts of driving and walking. Elledge testified, for example, that he usually spent between three and four hours on each store visit and, in a normal week, conducted two such visits every day. Each of these visits required, on average, between two and three hours walking the floors.</w:t>
      </w:r>
    </w:p>
    <w:p w14:paraId="3D2A2966" w14:textId="77777777" w:rsidR="002B10A6" w:rsidRDefault="00000000">
      <w:pPr>
        <w:pStyle w:val="Normal19"/>
        <w:widowControl w:val="0"/>
        <w:spacing w:before="200" w:line="260" w:lineRule="atLeast"/>
        <w:jc w:val="both"/>
      </w:pPr>
      <w:bookmarkStart w:id="2974" w:name="Bookmark_para_21_11"/>
      <w:bookmarkEnd w:id="2974"/>
      <w:r>
        <w:rPr>
          <w:rFonts w:ascii="Arial" w:eastAsia="Arial" w:hAnsi="Arial" w:cs="Arial"/>
          <w:color w:val="000000"/>
          <w:sz w:val="20"/>
        </w:rPr>
        <w:t>The uncontradicted testimony of Elledge's supervisor, Delno Dryden, is that such an experience was typical [**10]  among MDSs. MDSs could take between four and five hours to conduct a visit of a single store, and they usually visited two stores each day. Even granting all reasonable inferences in Elledge's favor, then, the conclusion that the walking and driving functions discussed above were essential to Elledge's position is, in the face of such a record, beyond any reasonable finding to the contrary.</w:t>
      </w:r>
    </w:p>
    <w:p w14:paraId="1582EFEB" w14:textId="77777777" w:rsidR="002B10A6" w:rsidRDefault="00000000">
      <w:pPr>
        <w:pStyle w:val="Normal19"/>
        <w:widowControl w:val="0"/>
        <w:spacing w:before="200" w:line="260" w:lineRule="atLeast"/>
        <w:jc w:val="both"/>
      </w:pPr>
      <w:bookmarkStart w:id="2975" w:name="Bookmark_para_22_11"/>
      <w:bookmarkStart w:id="2976" w:name="Bookmark_I61BJMG22SF8240050000400"/>
      <w:bookmarkEnd w:id="2975"/>
      <w:bookmarkEnd w:id="2976"/>
      <w:r>
        <w:rPr>
          <w:rFonts w:ascii="Arial" w:eastAsia="Arial" w:hAnsi="Arial" w:cs="Arial"/>
          <w:color w:val="000000"/>
          <w:sz w:val="20"/>
        </w:rPr>
        <w:t xml:space="preserve">The same is true of the need for an MDS to be able to work in excess of eight hours each day—like the mobility-related requirements just discussed, it was an essential function of the job. Because a written description is not exhaustive of an employer's judgment as to the essential functions of a position, the silence of the official MDS job description as to an hours requirement cannot be dispositive for either side. </w:t>
      </w:r>
      <w:bookmarkStart w:id="2977" w:name="Bookmark_LNHNREFclscc6_13"/>
      <w:bookmarkEnd w:id="2977"/>
      <w:r>
        <w:rPr>
          <w:rFonts w:ascii="Arial" w:eastAsia="Arial" w:hAnsi="Arial" w:cs="Arial"/>
          <w:color w:val="000000"/>
          <w:sz w:val="20"/>
        </w:rPr>
        <w:t xml:space="preserve">Especially in the absence of an explicitly stated standard, what matters is testimony about the day-to-day regimen of the job. </w:t>
      </w:r>
      <w:r>
        <w:rPr>
          <w:rFonts w:ascii="Arial" w:eastAsia="Arial" w:hAnsi="Arial" w:cs="Arial"/>
          <w:i/>
          <w:color w:val="000000"/>
          <w:sz w:val="20"/>
        </w:rPr>
        <w:t xml:space="preserve">See </w:t>
      </w:r>
      <w:bookmarkStart w:id="2978" w:name="Bookmark_I61BJMG22SF8240040000400"/>
      <w:bookmarkEnd w:id="2978"/>
      <w:r>
        <w:rPr>
          <w:rFonts w:ascii="Arial" w:eastAsia="Arial" w:hAnsi="Arial" w:cs="Arial"/>
          <w:i/>
          <w:color w:val="000000"/>
          <w:sz w:val="20"/>
        </w:rPr>
        <w:t>Rodal</w:t>
      </w:r>
      <w:r>
        <w:rPr>
          <w:rFonts w:ascii="Arial" w:eastAsia="Arial" w:hAnsi="Arial" w:cs="Arial"/>
          <w:color w:val="000000"/>
          <w:sz w:val="20"/>
        </w:rPr>
        <w:t>, 369 F.3d at 120-21.</w:t>
      </w:r>
    </w:p>
    <w:p w14:paraId="5B3AD73F" w14:textId="77777777" w:rsidR="002B10A6" w:rsidRDefault="00000000">
      <w:pPr>
        <w:pStyle w:val="Normal19"/>
        <w:widowControl w:val="0"/>
        <w:spacing w:before="200" w:line="260" w:lineRule="atLeast"/>
        <w:jc w:val="both"/>
      </w:pPr>
      <w:bookmarkStart w:id="2979" w:name="Bookmark_para_23_11"/>
      <w:bookmarkEnd w:id="2979"/>
      <w:r>
        <w:rPr>
          <w:rFonts w:ascii="Arial" w:eastAsia="Arial" w:hAnsi="Arial" w:cs="Arial"/>
          <w:color w:val="000000"/>
          <w:sz w:val="20"/>
        </w:rPr>
        <w:t xml:space="preserve">And here, the tale the record tells is beyond genuine dispute. Elledge himself acknowledged that, prior to his surgery, he typically worked between fifty and sixty hours per week. The uncontroverted testimony of other senior Lowe's officials confirms that [**11]  a workweek of fifty hours or more was the norm, rather than the exception, for MDSs. It is likewise telling that Lowe's extended the forty-hour workweek to Elledge </w:t>
      </w:r>
      <w:r>
        <w:rPr>
          <w:rFonts w:ascii="Arial" w:eastAsia="Arial" w:hAnsi="Arial" w:cs="Arial"/>
          <w:i/>
          <w:color w:val="000000"/>
          <w:sz w:val="20"/>
        </w:rPr>
        <w:t>as an accommodation</w:t>
      </w:r>
      <w:r>
        <w:rPr>
          <w:rFonts w:ascii="Arial" w:eastAsia="Arial" w:hAnsi="Arial" w:cs="Arial"/>
          <w:color w:val="000000"/>
          <w:sz w:val="20"/>
        </w:rPr>
        <w:t>, rather than as an adjustment Elledge could simply make at his discretion. For a high-level directorship position whose responsibilities  [*1011]  center upon maintaining close contact with numerous stores, their managers, and their hourly workers, the uncontested expectation of a lengthy workweek is entirely unsurprising. On this record, no reasonable jury could find that working over eight hours each day was anything less than an essential function of the MDS position.</w:t>
      </w:r>
    </w:p>
    <w:p w14:paraId="7B6073A9" w14:textId="77777777" w:rsidR="002B10A6" w:rsidRDefault="00000000">
      <w:pPr>
        <w:pStyle w:val="Normal19"/>
        <w:widowControl w:val="0"/>
        <w:spacing w:before="120" w:line="260" w:lineRule="atLeast"/>
      </w:pPr>
      <w:r>
        <w:rPr>
          <w:rFonts w:ascii="Arial" w:eastAsia="Arial" w:hAnsi="Arial" w:cs="Arial"/>
          <w:color w:val="000000"/>
          <w:sz w:val="20"/>
        </w:rPr>
        <w:t>B.</w:t>
      </w:r>
    </w:p>
    <w:p w14:paraId="3E420A30" w14:textId="77777777" w:rsidR="002B10A6" w:rsidRDefault="00000000">
      <w:pPr>
        <w:pStyle w:val="Normal19"/>
        <w:widowControl w:val="0"/>
        <w:spacing w:before="200" w:line="260" w:lineRule="atLeast"/>
        <w:jc w:val="both"/>
      </w:pPr>
      <w:bookmarkStart w:id="2980" w:name="Bookmark_para_24_11"/>
      <w:bookmarkStart w:id="2981" w:name="Bookmark_I61BJMG22N1RWP0020000400"/>
      <w:bookmarkEnd w:id="2980"/>
      <w:bookmarkEnd w:id="2981"/>
      <w:r>
        <w:rPr>
          <w:rFonts w:ascii="Arial" w:eastAsia="Arial" w:hAnsi="Arial" w:cs="Arial"/>
          <w:color w:val="000000"/>
          <w:sz w:val="20"/>
        </w:rPr>
        <w:t xml:space="preserve">The threshold question, then—whether walking, driving, and working in the amounts just described "bear[] more than a marginal relationship to the job at issue," </w:t>
      </w:r>
      <w:bookmarkStart w:id="2982" w:name="Bookmark_I61BJMG22N1RWP0010000400"/>
      <w:bookmarkEnd w:id="2982"/>
      <w:r>
        <w:rPr>
          <w:rFonts w:ascii="Arial" w:eastAsia="Arial" w:hAnsi="Arial" w:cs="Arial"/>
          <w:i/>
          <w:color w:val="000000"/>
          <w:sz w:val="20"/>
        </w:rPr>
        <w:t>Rohan</w:t>
      </w:r>
      <w:r>
        <w:rPr>
          <w:rFonts w:ascii="Arial" w:eastAsia="Arial" w:hAnsi="Arial" w:cs="Arial"/>
          <w:color w:val="000000"/>
          <w:sz w:val="20"/>
        </w:rPr>
        <w:t xml:space="preserve">, 375 F.3d at 279 (quoting </w:t>
      </w:r>
      <w:bookmarkStart w:id="2983" w:name="Bookmark_I61BJMG22N1RWP0030000400"/>
      <w:bookmarkEnd w:id="2983"/>
      <w:r>
        <w:rPr>
          <w:rFonts w:ascii="Arial" w:eastAsia="Arial" w:hAnsi="Arial" w:cs="Arial"/>
          <w:i/>
          <w:color w:val="000000"/>
          <w:sz w:val="20"/>
        </w:rPr>
        <w:t>Tyndall</w:t>
      </w:r>
      <w:r>
        <w:rPr>
          <w:rFonts w:ascii="Arial" w:eastAsia="Arial" w:hAnsi="Arial" w:cs="Arial"/>
          <w:color w:val="000000"/>
          <w:sz w:val="20"/>
        </w:rPr>
        <w:t>, 31 F.3d at 213)—must be answered in the affirmative. Next we must determine whether Elledge is a "qualified individual" under the ADA, that is whether he was able to perform these essential functions "with or without reasonable accommodation." 42 U.S.C. § 12111(8).</w:t>
      </w:r>
    </w:p>
    <w:p w14:paraId="068DAD94" w14:textId="77777777" w:rsidR="002B10A6" w:rsidRDefault="00000000">
      <w:pPr>
        <w:pStyle w:val="Normal19"/>
        <w:widowControl w:val="0"/>
        <w:spacing w:before="200" w:line="260" w:lineRule="atLeast"/>
        <w:jc w:val="both"/>
      </w:pPr>
      <w:bookmarkStart w:id="2984" w:name="Bookmark_para_25_11"/>
      <w:bookmarkEnd w:id="2984"/>
      <w:r>
        <w:rPr>
          <w:rFonts w:ascii="Arial" w:eastAsia="Arial" w:hAnsi="Arial" w:cs="Arial"/>
          <w:color w:val="000000"/>
          <w:sz w:val="20"/>
        </w:rPr>
        <w:t>That Elledge could not perform the essential functions of his job without reasonable accommodation is not open to serious dispute. The orders of Elledge's [**12]  physician established his limitations without qualification: he was to walk no more than four hours and work no more than eight hours each day. Because of these restrictions, Elledge needed, requested, and received accommodations that would allow him to deviate from the standard requirements of his job.</w:t>
      </w:r>
    </w:p>
    <w:p w14:paraId="0448CDF4" w14:textId="77777777" w:rsidR="002B10A6" w:rsidRDefault="00000000">
      <w:pPr>
        <w:pStyle w:val="Normal19"/>
        <w:widowControl w:val="0"/>
        <w:spacing w:before="120" w:line="260" w:lineRule="atLeast"/>
      </w:pPr>
      <w:r>
        <w:rPr>
          <w:rFonts w:ascii="Arial" w:eastAsia="Arial" w:hAnsi="Arial" w:cs="Arial"/>
          <w:color w:val="000000"/>
          <w:sz w:val="20"/>
        </w:rPr>
        <w:t>C.</w:t>
      </w:r>
    </w:p>
    <w:p w14:paraId="7811AC2E" w14:textId="77777777" w:rsidR="002B10A6" w:rsidRDefault="00000000">
      <w:pPr>
        <w:pStyle w:val="Normal19"/>
        <w:widowControl w:val="0"/>
        <w:spacing w:before="200" w:line="260" w:lineRule="atLeast"/>
        <w:jc w:val="both"/>
      </w:pPr>
      <w:bookmarkStart w:id="2985" w:name="Bookmark_para_26_11"/>
      <w:bookmarkEnd w:id="2985"/>
      <w:r>
        <w:rPr>
          <w:rFonts w:ascii="Arial" w:eastAsia="Arial" w:hAnsi="Arial" w:cs="Arial"/>
          <w:color w:val="000000"/>
          <w:sz w:val="20"/>
        </w:rPr>
        <w:t>Thus the final question: could Elledge perform the essential functions of his job "with . . . reasonable accommodation"? The answer depends, of course, on what counts as a "reasonable accommodation" under the ADA.</w:t>
      </w:r>
    </w:p>
    <w:p w14:paraId="590756CC" w14:textId="77777777" w:rsidR="002B10A6" w:rsidRDefault="00000000">
      <w:pPr>
        <w:pStyle w:val="Normal19"/>
        <w:widowControl w:val="0"/>
        <w:spacing w:before="200" w:line="260" w:lineRule="atLeast"/>
        <w:jc w:val="both"/>
      </w:pPr>
      <w:bookmarkStart w:id="2986" w:name="Bookmark_para_27_11"/>
      <w:bookmarkStart w:id="2987" w:name="Bookmark_LNHNREFclscc7_13"/>
      <w:bookmarkEnd w:id="2986"/>
      <w:bookmarkEnd w:id="2987"/>
      <w:r>
        <w:rPr>
          <w:rFonts w:ascii="Arial" w:eastAsia="Arial" w:hAnsi="Arial" w:cs="Arial"/>
          <w:color w:val="000000"/>
          <w:sz w:val="20"/>
        </w:rPr>
        <w:t>We start with the text. The ADA defines "reasonable accommodation" as one that "</w:t>
      </w:r>
      <w:r>
        <w:rPr>
          <w:rFonts w:ascii="Arial" w:eastAsia="Arial" w:hAnsi="Arial" w:cs="Arial"/>
          <w:i/>
          <w:color w:val="000000"/>
          <w:sz w:val="20"/>
        </w:rPr>
        <w:t>may</w:t>
      </w:r>
      <w:r>
        <w:rPr>
          <w:rFonts w:ascii="Arial" w:eastAsia="Arial" w:hAnsi="Arial" w:cs="Arial"/>
          <w:color w:val="000000"/>
          <w:sz w:val="20"/>
        </w:rPr>
        <w:t xml:space="preserve"> include job restructuring, part-time or modified work schedules, reassignment to a vacant position, acquisition or modification of equipment or devices, appropriate adjustment or modifications of examinations, training materials or policies . . . </w:t>
      </w:r>
      <w:r>
        <w:rPr>
          <w:rFonts w:ascii="Arial" w:eastAsia="Arial" w:hAnsi="Arial" w:cs="Arial"/>
          <w:i/>
          <w:color w:val="000000"/>
          <w:sz w:val="20"/>
        </w:rPr>
        <w:t>and other similar accommodations</w:t>
      </w:r>
      <w:r>
        <w:rPr>
          <w:rFonts w:ascii="Arial" w:eastAsia="Arial" w:hAnsi="Arial" w:cs="Arial"/>
          <w:color w:val="000000"/>
          <w:sz w:val="20"/>
        </w:rPr>
        <w:t xml:space="preserve"> . . . ." 42 U.S.C. § 12111(9) (emphases added). </w:t>
      </w:r>
      <w:bookmarkStart w:id="2988" w:name="Bookmark_I61BJMG22HM68H0010000400"/>
      <w:bookmarkEnd w:id="2988"/>
      <w:r>
        <w:rPr>
          <w:rFonts w:ascii="Arial" w:eastAsia="Arial" w:hAnsi="Arial" w:cs="Arial"/>
          <w:color w:val="000000"/>
          <w:sz w:val="20"/>
        </w:rPr>
        <w:t xml:space="preserve">As the emphasized language makes clear, the ADA defines "reasonable accommodation" in a way that is illustrative rather than exhaustive. The purpose of such language is to indicate that the range of reasonable accommodations is broad and that its contours are clarified by, but not limited [**13]  to, the specifically enumerated items. </w:t>
      </w:r>
      <w:r>
        <w:rPr>
          <w:rFonts w:ascii="Arial" w:eastAsia="Arial" w:hAnsi="Arial" w:cs="Arial"/>
          <w:i/>
          <w:color w:val="000000"/>
          <w:sz w:val="20"/>
        </w:rPr>
        <w:t xml:space="preserve">See </w:t>
      </w:r>
      <w:bookmarkStart w:id="2989" w:name="Bookmark_I61BJMG22N1RWP0050000400"/>
      <w:bookmarkEnd w:id="2989"/>
      <w:r>
        <w:rPr>
          <w:rFonts w:ascii="Arial" w:eastAsia="Arial" w:hAnsi="Arial" w:cs="Arial"/>
          <w:i/>
          <w:color w:val="000000"/>
          <w:sz w:val="20"/>
        </w:rPr>
        <w:t>EEOC v. St. Joseph's Hosp., Inc.</w:t>
      </w:r>
      <w:r>
        <w:rPr>
          <w:rFonts w:ascii="Arial" w:eastAsia="Arial" w:hAnsi="Arial" w:cs="Arial"/>
          <w:color w:val="000000"/>
          <w:sz w:val="20"/>
        </w:rPr>
        <w:t xml:space="preserve">, 842 F.3d 1333, 1345 &amp; 1345 n.5 (11th Cir. 2016). It is also to suggest that what counts as a reasonable accommodation is not an </w:t>
      </w:r>
      <w:r>
        <w:rPr>
          <w:rFonts w:ascii="Arial" w:eastAsia="Arial" w:hAnsi="Arial" w:cs="Arial"/>
          <w:i/>
          <w:color w:val="000000"/>
          <w:sz w:val="20"/>
        </w:rPr>
        <w:t>a priori</w:t>
      </w:r>
      <w:r>
        <w:rPr>
          <w:rFonts w:ascii="Arial" w:eastAsia="Arial" w:hAnsi="Arial" w:cs="Arial"/>
          <w:color w:val="000000"/>
          <w:sz w:val="20"/>
        </w:rPr>
        <w:t xml:space="preserve"> matter but one that is sensitive to the particular circumstances of the case. </w:t>
      </w:r>
      <w:r>
        <w:rPr>
          <w:rFonts w:ascii="Arial" w:eastAsia="Arial" w:hAnsi="Arial" w:cs="Arial"/>
          <w:i/>
          <w:color w:val="000000"/>
          <w:sz w:val="20"/>
        </w:rPr>
        <w:t>See id.</w:t>
      </w:r>
      <w:r>
        <w:rPr>
          <w:rFonts w:ascii="Arial" w:eastAsia="Arial" w:hAnsi="Arial" w:cs="Arial"/>
          <w:color w:val="000000"/>
          <w:sz w:val="20"/>
        </w:rPr>
        <w:t xml:space="preserve"> And finally, the text teaches that what will serve as a reasonable accommodation in a particular situation may not have a single solution, but rather, many possible solutions.</w:t>
      </w:r>
    </w:p>
    <w:p w14:paraId="0999B424" w14:textId="77777777" w:rsidR="002B10A6" w:rsidRDefault="00000000">
      <w:pPr>
        <w:pStyle w:val="Normal19"/>
        <w:widowControl w:val="0"/>
        <w:spacing w:before="200" w:line="260" w:lineRule="atLeast"/>
        <w:jc w:val="both"/>
      </w:pPr>
      <w:bookmarkStart w:id="2990" w:name="Bookmark_para_28_11"/>
      <w:bookmarkStart w:id="2991" w:name="Bookmark_I61BJMG22HM68H0030000400"/>
      <w:bookmarkEnd w:id="2990"/>
      <w:bookmarkEnd w:id="2991"/>
      <w:r>
        <w:rPr>
          <w:rFonts w:ascii="Arial" w:eastAsia="Arial" w:hAnsi="Arial" w:cs="Arial"/>
          <w:color w:val="000000"/>
          <w:sz w:val="20"/>
        </w:rPr>
        <w:t xml:space="preserve">The actor responsible in the first instance for reducing this wide solution-space to a concrete accommodation is not the judiciary, or even the disabled employee—it is the employer. </w:t>
      </w:r>
      <w:bookmarkStart w:id="2992" w:name="Bookmark_LNHNREFclscc8_12"/>
      <w:bookmarkEnd w:id="2992"/>
      <w:r>
        <w:rPr>
          <w:rFonts w:ascii="Arial" w:eastAsia="Arial" w:hAnsi="Arial" w:cs="Arial"/>
          <w:color w:val="000000"/>
          <w:sz w:val="20"/>
        </w:rPr>
        <w:t xml:space="preserve">To the extent an employee may be accommodated through a variety of measures, the employer, exercising sound judgment, possesses "ultimate discretion" over these alternatives. 29 C.F.R. app. § 1630. Such is the established position of this circuit, </w:t>
      </w:r>
      <w:bookmarkStart w:id="2993" w:name="Bookmark_I61BJMG22HM68H0020000400"/>
      <w:bookmarkEnd w:id="2993"/>
      <w:r>
        <w:rPr>
          <w:rFonts w:ascii="Arial" w:eastAsia="Arial" w:hAnsi="Arial" w:cs="Arial"/>
          <w:i/>
          <w:color w:val="000000"/>
          <w:sz w:val="20"/>
        </w:rPr>
        <w:t>Reyazuddin v. Montgomery County Maryland</w:t>
      </w:r>
      <w:r>
        <w:rPr>
          <w:rFonts w:ascii="Arial" w:eastAsia="Arial" w:hAnsi="Arial" w:cs="Arial"/>
          <w:color w:val="000000"/>
          <w:sz w:val="20"/>
        </w:rPr>
        <w:t xml:space="preserve">, 789 F.3d 407, 415-16 (4th Cir. 2015), as well as that of every other circuit that has ruled on the matter, </w:t>
      </w:r>
      <w:r>
        <w:rPr>
          <w:rFonts w:ascii="Arial" w:eastAsia="Arial" w:hAnsi="Arial" w:cs="Arial"/>
          <w:i/>
          <w:color w:val="000000"/>
          <w:sz w:val="20"/>
        </w:rPr>
        <w:t xml:space="preserve">see e.g., </w:t>
      </w:r>
      <w:bookmarkStart w:id="2994" w:name="Bookmark_I61BJMG22HM68H0040000400"/>
      <w:bookmarkEnd w:id="2994"/>
      <w:r>
        <w:rPr>
          <w:rFonts w:ascii="Arial" w:eastAsia="Arial" w:hAnsi="Arial" w:cs="Arial"/>
          <w:i/>
          <w:color w:val="000000"/>
          <w:sz w:val="20"/>
        </w:rPr>
        <w:t>Hankins v. The Gap, Inc.</w:t>
      </w:r>
      <w:r>
        <w:rPr>
          <w:rFonts w:ascii="Arial" w:eastAsia="Arial" w:hAnsi="Arial" w:cs="Arial"/>
          <w:color w:val="000000"/>
          <w:sz w:val="20"/>
        </w:rPr>
        <w:t xml:space="preserve">, 84 F.3d 797, 800-01 (6th Cir. 1996); </w:t>
      </w:r>
      <w:bookmarkStart w:id="2995" w:name="Bookmark_I61BJMG32N1RX10010000400"/>
      <w:bookmarkEnd w:id="2995"/>
      <w:r>
        <w:rPr>
          <w:rFonts w:ascii="Arial" w:eastAsia="Arial" w:hAnsi="Arial" w:cs="Arial"/>
          <w:i/>
          <w:color w:val="000000"/>
          <w:sz w:val="20"/>
        </w:rPr>
        <w:t>Kiel v. Select Artificials, Inc.</w:t>
      </w:r>
      <w:r>
        <w:rPr>
          <w:rFonts w:ascii="Arial" w:eastAsia="Arial" w:hAnsi="Arial" w:cs="Arial"/>
          <w:color w:val="000000"/>
          <w:sz w:val="20"/>
        </w:rPr>
        <w:t xml:space="preserve">, 169 F.3d 1131, 1137 (8th Cir. 1999) (en banc). </w:t>
      </w:r>
      <w:bookmarkStart w:id="2996" w:name="Bookmark_LNHNREFclscc9_12"/>
      <w:bookmarkEnd w:id="2996"/>
      <w:r>
        <w:rPr>
          <w:rFonts w:ascii="Arial" w:eastAsia="Arial" w:hAnsi="Arial" w:cs="Arial"/>
          <w:color w:val="000000"/>
          <w:sz w:val="20"/>
        </w:rPr>
        <w:t>Provided the employer's choice of accommodation is  [*1012]  "reasonable," 42 U.S.C. § 12111(8), not even a well-intentioned court may substitute its own judgment for the employer's choice.</w:t>
      </w:r>
    </w:p>
    <w:p w14:paraId="68A08F5C" w14:textId="77777777" w:rsidR="002B10A6" w:rsidRDefault="00000000">
      <w:pPr>
        <w:pStyle w:val="Normal19"/>
        <w:widowControl w:val="0"/>
        <w:spacing w:before="200" w:line="260" w:lineRule="atLeast"/>
        <w:jc w:val="both"/>
      </w:pPr>
      <w:bookmarkStart w:id="2997" w:name="Bookmark_para_29_11"/>
      <w:bookmarkEnd w:id="2997"/>
      <w:r>
        <w:rPr>
          <w:rFonts w:ascii="Arial" w:eastAsia="Arial" w:hAnsi="Arial" w:cs="Arial"/>
          <w:color w:val="000000"/>
          <w:sz w:val="20"/>
        </w:rPr>
        <w:t>Elledge contends that, at the time he learned that he could no longer remain in the MDS position, he was able to perform the [**14]  essential functions of his job with the accommodations that Lowe's had already provided him. As noted above, the accommodations formally offered and accepted through Lowe's Interactive Process Forms included: (1) allowing Elledge to operate on a light-work schedule (</w:t>
      </w:r>
      <w:r>
        <w:rPr>
          <w:rFonts w:ascii="Arial" w:eastAsia="Arial" w:hAnsi="Arial" w:cs="Arial"/>
          <w:i/>
          <w:color w:val="000000"/>
          <w:sz w:val="20"/>
        </w:rPr>
        <w:t>i.e.</w:t>
      </w:r>
      <w:r>
        <w:rPr>
          <w:rFonts w:ascii="Arial" w:eastAsia="Arial" w:hAnsi="Arial" w:cs="Arial"/>
          <w:color w:val="000000"/>
          <w:sz w:val="20"/>
        </w:rPr>
        <w:t xml:space="preserve">, walking limited to four hours per day and work limited to eight hours per day); and (2) offering Elledge use of a motorized scooter for his in-store visits. Elledge argues that these accommodations allowed him to perform the </w:t>
      </w:r>
      <w:r>
        <w:rPr>
          <w:rFonts w:ascii="Arial" w:eastAsia="Arial" w:hAnsi="Arial" w:cs="Arial"/>
          <w:i/>
          <w:color w:val="000000"/>
          <w:sz w:val="20"/>
        </w:rPr>
        <w:t>truly</w:t>
      </w:r>
      <w:r>
        <w:rPr>
          <w:rFonts w:ascii="Arial" w:eastAsia="Arial" w:hAnsi="Arial" w:cs="Arial"/>
          <w:color w:val="000000"/>
          <w:sz w:val="20"/>
        </w:rPr>
        <w:t xml:space="preserve"> essential functions of his job, because during the relevant period the stores under his care continued to flourish.</w:t>
      </w:r>
    </w:p>
    <w:p w14:paraId="72A8A4CB" w14:textId="77777777" w:rsidR="002B10A6" w:rsidRDefault="00000000">
      <w:pPr>
        <w:pStyle w:val="Normal19"/>
        <w:widowControl w:val="0"/>
        <w:spacing w:before="200" w:line="260" w:lineRule="atLeast"/>
        <w:jc w:val="both"/>
      </w:pPr>
      <w:bookmarkStart w:id="2998" w:name="Bookmark_para_30_10"/>
      <w:bookmarkEnd w:id="2998"/>
      <w:r>
        <w:rPr>
          <w:rFonts w:ascii="Arial" w:eastAsia="Arial" w:hAnsi="Arial" w:cs="Arial"/>
          <w:color w:val="000000"/>
          <w:sz w:val="20"/>
        </w:rPr>
        <w:t>We are not persuaded. To begin with, Elledge did not take advantage of his light-work accommodation—that is, he did not comply with his doctor's orders—with total consistency. His own estimate was that he flouted his light-duty restrictions about 25% of the time. Furthermore, despite accepting the offer on paper, Elledge steadfastly refused even to try using a motorized scooter to aid his store walk-throughs. In spite of his pain, Elledge insisted that he "didn't need one then. . . and [he] would have never asked for one." J.A. 1926. Finally, without receiving formal clearance [**15]  through interactive process, Elledge crafted his own sort of accommodation: he made an arrangement with the associates who usually accompanied him on his store visits, whereby they would drive him back and forth, so as to ease the strain on his knee.</w:t>
      </w:r>
    </w:p>
    <w:p w14:paraId="4AC700EC" w14:textId="77777777" w:rsidR="002B10A6" w:rsidRDefault="00000000">
      <w:pPr>
        <w:pStyle w:val="Normal19"/>
        <w:widowControl w:val="0"/>
        <w:spacing w:before="200" w:line="260" w:lineRule="atLeast"/>
        <w:jc w:val="both"/>
      </w:pPr>
      <w:bookmarkStart w:id="2999" w:name="Bookmark_para_31_10"/>
      <w:bookmarkEnd w:id="2999"/>
      <w:r>
        <w:rPr>
          <w:rFonts w:ascii="Arial" w:eastAsia="Arial" w:hAnsi="Arial" w:cs="Arial"/>
          <w:color w:val="000000"/>
          <w:sz w:val="20"/>
        </w:rPr>
        <w:t xml:space="preserve">The point of cataloguing these lapses and irregularities is not to impugn Elledge. </w:t>
      </w:r>
      <w:bookmarkStart w:id="3000" w:name="Bookmark_I61BJMG32N1RX10040000400"/>
      <w:bookmarkEnd w:id="3000"/>
      <w:r>
        <w:rPr>
          <w:rFonts w:ascii="Arial" w:eastAsia="Arial" w:hAnsi="Arial" w:cs="Arial"/>
          <w:color w:val="000000"/>
          <w:sz w:val="20"/>
        </w:rPr>
        <w:t xml:space="preserve">It is simply to say that even the version of the record most favorable to Elledge does not tell the story of a disabled employee who followed his doctor's orders regularly or utilized his accommodations fully. Instead, it tells the story of an individual who accepted or created certain accommodations, rejected others, and pushed himself beyond the limits of his doctor's orders. Under these circumstances, we cannot find that the claimed success of his stores proved his ability to perform the essential functions of his job, given the reasonable accommodations Lowe's had extended to him. </w:t>
      </w:r>
      <w:r>
        <w:rPr>
          <w:rFonts w:ascii="Arial" w:eastAsia="Arial" w:hAnsi="Arial" w:cs="Arial"/>
          <w:i/>
          <w:color w:val="000000"/>
          <w:sz w:val="20"/>
        </w:rPr>
        <w:t xml:space="preserve">See </w:t>
      </w:r>
      <w:bookmarkStart w:id="3001" w:name="Bookmark_I61BJMG32N1RX10030000400"/>
      <w:bookmarkEnd w:id="3001"/>
      <w:r>
        <w:rPr>
          <w:rFonts w:ascii="Arial" w:eastAsia="Arial" w:hAnsi="Arial" w:cs="Arial"/>
          <w:i/>
          <w:color w:val="000000"/>
          <w:sz w:val="20"/>
        </w:rPr>
        <w:t>E.E.O.C. v. Womble Carlyle Sandridge &amp; Rice, LLP</w:t>
      </w:r>
      <w:r>
        <w:rPr>
          <w:rFonts w:ascii="Arial" w:eastAsia="Arial" w:hAnsi="Arial" w:cs="Arial"/>
          <w:color w:val="000000"/>
          <w:sz w:val="20"/>
        </w:rPr>
        <w:t>, 616 F. App'x 588, 595 (4th Cir. 2015) (per curiam). In fact, his manifest need to disregard his physician as well as to seek informal accommodation outside the interactive process created a situation that Lowe's could reasonably assume had limited long-term potential.</w:t>
      </w:r>
    </w:p>
    <w:p w14:paraId="4F7B3D44" w14:textId="77777777" w:rsidR="002B10A6" w:rsidRDefault="00000000">
      <w:pPr>
        <w:pStyle w:val="Normal19"/>
        <w:widowControl w:val="0"/>
        <w:spacing w:before="200" w:line="260" w:lineRule="atLeast"/>
        <w:jc w:val="both"/>
      </w:pPr>
      <w:bookmarkStart w:id="3002" w:name="Bookmark_para_32_10"/>
      <w:bookmarkEnd w:id="3002"/>
      <w:r>
        <w:rPr>
          <w:rFonts w:ascii="Arial" w:eastAsia="Arial" w:hAnsi="Arial" w:cs="Arial"/>
          <w:color w:val="000000"/>
          <w:sz w:val="20"/>
        </w:rPr>
        <w:t>Given the essential functions of his job—to [**16]  be able to walk 66% of the day, to be able to transport himself to and from his stores, and to be able to work over forty hours each week—no reasonable accommodation could, ultimately, have sufficed. But this was not for want of trying, or hoping, on both sides. Lowe's acted reasonably to accommodate Elledge's transition from a debilitating surgery back to full employment. Lowe's extended the aforementioned accommodations on a temporary basis, in anticipation of Elledge making a full recovery. When sixty days after Elledge returned to work, his condition had not improved and his doctor's restrictions had not loosened, Lowe's did not give up on Elledge—it granted him another temporary extension of the same accommodations.</w:t>
      </w:r>
    </w:p>
    <w:p w14:paraId="45EA4A3F" w14:textId="77777777" w:rsidR="002B10A6" w:rsidRDefault="00000000">
      <w:pPr>
        <w:pStyle w:val="Normal19"/>
        <w:widowControl w:val="0"/>
        <w:spacing w:before="200" w:line="260" w:lineRule="atLeast"/>
        <w:jc w:val="both"/>
      </w:pPr>
      <w:bookmarkStart w:id="3003" w:name="Bookmark_para_33_9"/>
      <w:bookmarkStart w:id="3004" w:name="Bookmark_I61BJMG42SF82S0010000400"/>
      <w:bookmarkEnd w:id="3003"/>
      <w:bookmarkEnd w:id="3004"/>
      <w:r>
        <w:rPr>
          <w:rFonts w:ascii="Arial" w:eastAsia="Arial" w:hAnsi="Arial" w:cs="Arial"/>
          <w:color w:val="000000"/>
          <w:sz w:val="20"/>
        </w:rPr>
        <w:t xml:space="preserve">But over the relevant period, Elledge's condition never substantially improved, and his doctor's orders continued to fall short of what was required for Elledge to  [*1013]  perform the essential functions of his job. Part-way through the extension period, Lowe's contacted Elledge's doctor—the professional most knowledgeable about Elledge's medical condition—about Elledge's prospects for recovery. The doctor responded, "I rec these be permanent restrictions." Elledge complains [**17]  that Lowe's reacted too hastily to ambiguous correspondence. But Lowe's interpretation, that Elledge's long-term physician was referring to the light-duty restrictions he had been recommending for months, was a reasonable one. </w:t>
      </w:r>
      <w:r>
        <w:rPr>
          <w:rFonts w:ascii="Arial" w:eastAsia="Arial" w:hAnsi="Arial" w:cs="Arial"/>
          <w:i/>
          <w:color w:val="000000"/>
          <w:sz w:val="20"/>
        </w:rPr>
        <w:t xml:space="preserve">See </w:t>
      </w:r>
      <w:bookmarkStart w:id="3005" w:name="Bookmark_I61BJMG32N1RX10050000400"/>
      <w:bookmarkEnd w:id="3005"/>
      <w:r>
        <w:rPr>
          <w:rFonts w:ascii="Arial" w:eastAsia="Arial" w:hAnsi="Arial" w:cs="Arial"/>
          <w:i/>
          <w:color w:val="000000"/>
          <w:sz w:val="20"/>
        </w:rPr>
        <w:t>Adams v. Anne Arundel County Public Schools</w:t>
      </w:r>
      <w:r>
        <w:rPr>
          <w:rFonts w:ascii="Arial" w:eastAsia="Arial" w:hAnsi="Arial" w:cs="Arial"/>
          <w:color w:val="000000"/>
          <w:sz w:val="20"/>
        </w:rPr>
        <w:t>, 789 F.3d 422, 432 (4th Cir. 2015) (emphasizing the weight of doctors' professional judgment). Especially after Elledge's four separate knee surgeries in almost as many years, Lowe's was also reasonable in concluding, on the basis of this new information, that the light-duty accommodation was no longer viable. With no tangible signs of improvement, Lowe's could not have been expected to extend such a dramatic reduction in its work requirement indefinitely. Elledge himself had not requested a permanent light duty accommodation.</w:t>
      </w:r>
    </w:p>
    <w:p w14:paraId="482F25FB" w14:textId="77777777" w:rsidR="002B10A6" w:rsidRDefault="00000000">
      <w:pPr>
        <w:pStyle w:val="Normal19"/>
        <w:widowControl w:val="0"/>
        <w:spacing w:before="200" w:line="260" w:lineRule="atLeast"/>
        <w:jc w:val="both"/>
      </w:pPr>
      <w:bookmarkStart w:id="3006" w:name="Bookmark_para_34_8"/>
      <w:bookmarkEnd w:id="3006"/>
      <w:r>
        <w:rPr>
          <w:rFonts w:ascii="Arial" w:eastAsia="Arial" w:hAnsi="Arial" w:cs="Arial"/>
          <w:color w:val="000000"/>
          <w:sz w:val="20"/>
        </w:rPr>
        <w:t xml:space="preserve">As to Lowe's other accommodations, use of a motorized scooter was an eminently reasonable one that could have augmented Elledge's on-the-ground mobility. But this path to fulfilling one of the job's essential functions was foreclosed by Elledge himself. </w:t>
      </w:r>
      <w:bookmarkStart w:id="3007" w:name="Bookmark_I61BJMG42SF82S0030000400"/>
      <w:bookmarkEnd w:id="3007"/>
      <w:r>
        <w:rPr>
          <w:rFonts w:ascii="Arial" w:eastAsia="Arial" w:hAnsi="Arial" w:cs="Arial"/>
          <w:color w:val="000000"/>
          <w:sz w:val="20"/>
        </w:rPr>
        <w:t xml:space="preserve">At any time during the accommodations period, he could have availed himself of an in-store scooter and at least tried it out. He did not, and he had no intention of ever doing so. In practice, then, Elledge rejected this [**18]  accommodation. Lowe's, possessing "ultimate discretion" over the choice among reasonable accommodations, was not—in the face of Elledge's rejections of such an obvious and helpful offer—required to extend another. </w:t>
      </w:r>
      <w:r>
        <w:rPr>
          <w:rFonts w:ascii="Arial" w:eastAsia="Arial" w:hAnsi="Arial" w:cs="Arial"/>
          <w:i/>
          <w:color w:val="000000"/>
          <w:sz w:val="20"/>
        </w:rPr>
        <w:t xml:space="preserve">See </w:t>
      </w:r>
      <w:bookmarkStart w:id="3008" w:name="Bookmark_I61BJMG42SF82S0020000400"/>
      <w:bookmarkEnd w:id="3008"/>
      <w:r>
        <w:rPr>
          <w:rFonts w:ascii="Arial" w:eastAsia="Arial" w:hAnsi="Arial" w:cs="Arial"/>
          <w:i/>
          <w:color w:val="000000"/>
          <w:sz w:val="20"/>
        </w:rPr>
        <w:t>Reyazuddin</w:t>
      </w:r>
      <w:r>
        <w:rPr>
          <w:rFonts w:ascii="Arial" w:eastAsia="Arial" w:hAnsi="Arial" w:cs="Arial"/>
          <w:color w:val="000000"/>
          <w:sz w:val="20"/>
        </w:rPr>
        <w:t xml:space="preserve">, 789 F.3d at 415-16 (4th Cir. 2015) ("an employer may reasonably accommodate an employee without providing the exact accommodation that the employee requested"); </w:t>
      </w:r>
      <w:r>
        <w:rPr>
          <w:rFonts w:ascii="Arial" w:eastAsia="Arial" w:hAnsi="Arial" w:cs="Arial"/>
          <w:i/>
          <w:color w:val="000000"/>
          <w:sz w:val="20"/>
        </w:rPr>
        <w:t xml:space="preserve">see also </w:t>
      </w:r>
      <w:bookmarkStart w:id="3009" w:name="Bookmark_I61BJMG42SF82S0040000400"/>
      <w:bookmarkEnd w:id="3009"/>
      <w:r>
        <w:rPr>
          <w:rFonts w:ascii="Arial" w:eastAsia="Arial" w:hAnsi="Arial" w:cs="Arial"/>
          <w:i/>
          <w:color w:val="000000"/>
          <w:sz w:val="20"/>
        </w:rPr>
        <w:t>Hankins v. The Gap, Inc.</w:t>
      </w:r>
      <w:r>
        <w:rPr>
          <w:rFonts w:ascii="Arial" w:eastAsia="Arial" w:hAnsi="Arial" w:cs="Arial"/>
          <w:color w:val="000000"/>
          <w:sz w:val="20"/>
        </w:rPr>
        <w:t xml:space="preserve">, 84 F.3d at 800-01; </w:t>
      </w:r>
      <w:bookmarkStart w:id="3010" w:name="Bookmark_I61BJMG42N1PMJ0010000400"/>
      <w:bookmarkEnd w:id="3010"/>
      <w:r>
        <w:rPr>
          <w:rFonts w:ascii="Arial" w:eastAsia="Arial" w:hAnsi="Arial" w:cs="Arial"/>
          <w:i/>
          <w:color w:val="000000"/>
          <w:sz w:val="20"/>
        </w:rPr>
        <w:t>Aka v. Wash. Hosp. Ctr.</w:t>
      </w:r>
      <w:r>
        <w:rPr>
          <w:rFonts w:ascii="Arial" w:eastAsia="Arial" w:hAnsi="Arial" w:cs="Arial"/>
          <w:color w:val="000000"/>
          <w:sz w:val="20"/>
        </w:rPr>
        <w:t>, 156 F.3d 1284, 1305, 332 U.S. App. D.C. 256 (D.C. Cir. 1998).</w:t>
      </w:r>
    </w:p>
    <w:p w14:paraId="53D0F8E1" w14:textId="77777777" w:rsidR="002B10A6" w:rsidRDefault="00000000">
      <w:pPr>
        <w:pStyle w:val="Normal19"/>
        <w:widowControl w:val="0"/>
        <w:spacing w:before="200" w:line="260" w:lineRule="atLeast"/>
        <w:jc w:val="both"/>
      </w:pPr>
      <w:bookmarkStart w:id="3011" w:name="Bookmark_para_35_8"/>
      <w:bookmarkStart w:id="3012" w:name="Bookmark_I61BJMG42N1PMJ0040000400"/>
      <w:bookmarkEnd w:id="3011"/>
      <w:bookmarkEnd w:id="3012"/>
      <w:r>
        <w:rPr>
          <w:rFonts w:ascii="Arial" w:eastAsia="Arial" w:hAnsi="Arial" w:cs="Arial"/>
          <w:color w:val="000000"/>
          <w:sz w:val="20"/>
        </w:rPr>
        <w:t xml:space="preserve">As for the possibility of formalizing Elledge's arrangement to have another employee drive him to his stores, this court is not empowered to compel Lowe's to recognize such a course as reasonable. </w:t>
      </w:r>
      <w:bookmarkStart w:id="3013" w:name="Bookmark_LNHNREFclscc10_11"/>
      <w:bookmarkEnd w:id="3013"/>
      <w:r>
        <w:rPr>
          <w:rFonts w:ascii="Arial" w:eastAsia="Arial" w:hAnsi="Arial" w:cs="Arial"/>
          <w:color w:val="000000"/>
          <w:sz w:val="20"/>
        </w:rPr>
        <w:t xml:space="preserve">Although employers must provide reasonable accommodation to assist disabled employees in performing the essential functions of their jobs, employers do not need to change a job's essential functions or split them across multiple employees. 29 C.F.R. app. § 1630.2(o); </w:t>
      </w:r>
      <w:r>
        <w:rPr>
          <w:rFonts w:ascii="Arial" w:eastAsia="Arial" w:hAnsi="Arial" w:cs="Arial"/>
          <w:i/>
          <w:color w:val="000000"/>
          <w:sz w:val="20"/>
        </w:rPr>
        <w:t xml:space="preserve">see also </w:t>
      </w:r>
      <w:bookmarkStart w:id="3014" w:name="Bookmark_I61BJMG42N1PMJ0030000400"/>
      <w:bookmarkEnd w:id="3014"/>
      <w:r>
        <w:rPr>
          <w:rFonts w:ascii="Arial" w:eastAsia="Arial" w:hAnsi="Arial" w:cs="Arial"/>
          <w:i/>
          <w:color w:val="000000"/>
          <w:sz w:val="20"/>
        </w:rPr>
        <w:t>Shin v. Univ. of Md. Med. System Corp.</w:t>
      </w:r>
      <w:r>
        <w:rPr>
          <w:rFonts w:ascii="Arial" w:eastAsia="Arial" w:hAnsi="Arial" w:cs="Arial"/>
          <w:color w:val="000000"/>
          <w:sz w:val="20"/>
        </w:rPr>
        <w:t xml:space="preserve">, 369 Fed. Appx. 472, 482 (4th Cir. 2010); </w:t>
      </w:r>
      <w:bookmarkStart w:id="3015" w:name="Bookmark_I61BJMG42N1PMJ0050000400"/>
      <w:bookmarkEnd w:id="3015"/>
      <w:r>
        <w:rPr>
          <w:rFonts w:ascii="Arial" w:eastAsia="Arial" w:hAnsi="Arial" w:cs="Arial"/>
          <w:i/>
          <w:color w:val="000000"/>
          <w:sz w:val="20"/>
        </w:rPr>
        <w:t>Milton v. Scrivner, Inc.</w:t>
      </w:r>
      <w:r>
        <w:rPr>
          <w:rFonts w:ascii="Arial" w:eastAsia="Arial" w:hAnsi="Arial" w:cs="Arial"/>
          <w:color w:val="000000"/>
          <w:sz w:val="20"/>
        </w:rPr>
        <w:t>, 53 F.3d 1118, 1125 (10th Cir.1995) (finding ADA does not mandate accommodations that would require other employees to work "harder or longer"). If Elledge could not drive himself, but rather had to arrange for other employees to drive him, it is difficult to see just how Lowe's could have reasonably accommodated him in performing that essential function.</w:t>
      </w:r>
    </w:p>
    <w:p w14:paraId="12E8C2C2" w14:textId="77777777" w:rsidR="002B10A6" w:rsidRDefault="00000000">
      <w:pPr>
        <w:pStyle w:val="Normal19"/>
        <w:widowControl w:val="0"/>
        <w:spacing w:before="200" w:line="260" w:lineRule="atLeast"/>
        <w:jc w:val="both"/>
      </w:pPr>
      <w:bookmarkStart w:id="3016" w:name="Bookmark_para_36_8"/>
      <w:bookmarkEnd w:id="3016"/>
      <w:r>
        <w:rPr>
          <w:rFonts w:ascii="Arial" w:eastAsia="Arial" w:hAnsi="Arial" w:cs="Arial"/>
          <w:color w:val="000000"/>
          <w:sz w:val="20"/>
        </w:rPr>
        <w:t>In the end, Lowe's made reasonable, sensitive attempts to [**19]  accommodate an indisputably valued employee in his present position. And yet, between the fixity of Elledge's mobility-related restrictions and his refusal to accept the motorized scooter accommodation, Lowe's determination that he could no longer remain in the highly demanding MDS position was reasonable. Even drawing all reasonable inferences in favor of Elledge, it remains that no reasonable accommodation, consistent with Elledge's doctor's orders, would have allowed him to perform his job's essential functions.</w:t>
      </w:r>
    </w:p>
    <w:p w14:paraId="068438FD" w14:textId="77777777" w:rsidR="002B10A6" w:rsidRDefault="00000000">
      <w:pPr>
        <w:pStyle w:val="Normal19"/>
        <w:widowControl w:val="0"/>
        <w:spacing w:before="120" w:line="260" w:lineRule="atLeast"/>
      </w:pPr>
      <w:r>
        <w:rPr>
          <w:rFonts w:ascii="Arial" w:eastAsia="Arial" w:hAnsi="Arial" w:cs="Arial"/>
          <w:color w:val="000000"/>
          <w:sz w:val="20"/>
        </w:rPr>
        <w:t>III.</w:t>
      </w:r>
    </w:p>
    <w:p w14:paraId="198AF158" w14:textId="77777777" w:rsidR="002B10A6" w:rsidRDefault="00000000">
      <w:pPr>
        <w:pStyle w:val="Normal19"/>
        <w:widowControl w:val="0"/>
        <w:spacing w:before="200" w:line="260" w:lineRule="atLeast"/>
        <w:jc w:val="both"/>
      </w:pPr>
      <w:bookmarkStart w:id="3017" w:name="Bookmark_para_37_7"/>
      <w:bookmarkEnd w:id="3017"/>
      <w:r>
        <w:rPr>
          <w:rFonts w:ascii="Arial" w:eastAsia="Arial" w:hAnsi="Arial" w:cs="Arial"/>
          <w:color w:val="000000"/>
          <w:sz w:val="20"/>
        </w:rPr>
        <w:t>Elledge argues nevertheless that even if he could not have been reasonably accommodated  [*1014]  as an MDS, Lowe's violated his rights under the ADA by failing to reassign him to another vacant and comparable position. In particular, Elledge identifies two such positions: Merchandising Director of Lawn and Garden; and Merchandising Director of Outdoor Power Equipment.</w:t>
      </w:r>
    </w:p>
    <w:p w14:paraId="02596FA0" w14:textId="77777777" w:rsidR="002B10A6" w:rsidRDefault="00000000">
      <w:pPr>
        <w:pStyle w:val="Normal19"/>
        <w:widowControl w:val="0"/>
        <w:spacing w:before="120" w:line="260" w:lineRule="atLeast"/>
      </w:pPr>
      <w:r>
        <w:rPr>
          <w:rFonts w:ascii="Arial" w:eastAsia="Arial" w:hAnsi="Arial" w:cs="Arial"/>
          <w:color w:val="000000"/>
          <w:sz w:val="20"/>
        </w:rPr>
        <w:t>A.</w:t>
      </w:r>
    </w:p>
    <w:p w14:paraId="3C1BF882" w14:textId="77777777" w:rsidR="002B10A6" w:rsidRDefault="00000000">
      <w:pPr>
        <w:pStyle w:val="Normal19"/>
        <w:widowControl w:val="0"/>
        <w:spacing w:before="200" w:line="260" w:lineRule="atLeast"/>
        <w:jc w:val="both"/>
      </w:pPr>
      <w:bookmarkStart w:id="3018" w:name="Bookmark_para_38_6"/>
      <w:bookmarkStart w:id="3019" w:name="Bookmark_I61BJMG52SF8320030000400"/>
      <w:bookmarkStart w:id="3020" w:name="Bookmark_LNHNREFclscc11_11"/>
      <w:bookmarkEnd w:id="3018"/>
      <w:bookmarkEnd w:id="3019"/>
      <w:bookmarkEnd w:id="3020"/>
      <w:r>
        <w:rPr>
          <w:rFonts w:ascii="Arial" w:eastAsia="Arial" w:hAnsi="Arial" w:cs="Arial"/>
          <w:color w:val="000000"/>
          <w:sz w:val="20"/>
        </w:rPr>
        <w:t xml:space="preserve">Claims for reassignment under the ADA must be handled with care because of reassignment's unique status under the law. Although "reassignment to a vacant position" appears in the middle of 42 U.S.C. § 12111(9)'s undifferentiated list of possible accommodations, other circuits, as well as the interpretive guidance of the EEOC, persuasively [**20]  recognize reassignment as an accommodation of "last resort." EEOC, </w:t>
      </w:r>
      <w:r>
        <w:rPr>
          <w:rFonts w:ascii="Arial" w:eastAsia="Arial" w:hAnsi="Arial" w:cs="Arial"/>
          <w:i/>
          <w:color w:val="000000"/>
          <w:sz w:val="20"/>
        </w:rPr>
        <w:t>Enforcement Guidance on Reasonable Accommodation and Undue Hardship under the ADA</w:t>
      </w:r>
      <w:r>
        <w:rPr>
          <w:rFonts w:ascii="Arial" w:eastAsia="Arial" w:hAnsi="Arial" w:cs="Arial"/>
          <w:color w:val="000000"/>
          <w:sz w:val="20"/>
        </w:rPr>
        <w:t xml:space="preserve"> (2002); </w:t>
      </w:r>
      <w:r>
        <w:rPr>
          <w:rFonts w:ascii="Arial" w:eastAsia="Arial" w:hAnsi="Arial" w:cs="Arial"/>
          <w:i/>
          <w:color w:val="000000"/>
          <w:sz w:val="20"/>
        </w:rPr>
        <w:t xml:space="preserve">see e.g., </w:t>
      </w:r>
      <w:bookmarkStart w:id="3021" w:name="Bookmark_I61BJMG52SF8320020000400"/>
      <w:bookmarkEnd w:id="3021"/>
      <w:r>
        <w:rPr>
          <w:rFonts w:ascii="Arial" w:eastAsia="Arial" w:hAnsi="Arial" w:cs="Arial"/>
          <w:i/>
          <w:color w:val="000000"/>
          <w:sz w:val="20"/>
        </w:rPr>
        <w:t>Aka v. Wash. Hosp. Ctr.</w:t>
      </w:r>
      <w:r>
        <w:rPr>
          <w:rFonts w:ascii="Arial" w:eastAsia="Arial" w:hAnsi="Arial" w:cs="Arial"/>
          <w:color w:val="000000"/>
          <w:sz w:val="20"/>
        </w:rPr>
        <w:t xml:space="preserve">, 156 F.3d 1284, 1301, 332 U.S. App. D.C. 256 (D.C. Cir. 1998) (citing H.R. Rep. No. 485(II), 101st Cong., 2d Sess. at 63 (1990), reprinted in 1990 U.S.C.C.A.N. 267, 345; S. Rep. No. 116, 101st Cong., 1st Sess. at 6 (1989)); </w:t>
      </w:r>
      <w:bookmarkStart w:id="3022" w:name="Bookmark_I61BJMG52SF8320040000400"/>
      <w:bookmarkEnd w:id="3022"/>
      <w:r>
        <w:rPr>
          <w:rFonts w:ascii="Arial" w:eastAsia="Arial" w:hAnsi="Arial" w:cs="Arial"/>
          <w:i/>
          <w:color w:val="000000"/>
          <w:sz w:val="20"/>
        </w:rPr>
        <w:t>Huber v. Wal-Mart Stores, Inc.</w:t>
      </w:r>
      <w:r>
        <w:rPr>
          <w:rFonts w:ascii="Arial" w:eastAsia="Arial" w:hAnsi="Arial" w:cs="Arial"/>
          <w:color w:val="000000"/>
          <w:sz w:val="20"/>
        </w:rPr>
        <w:t xml:space="preserve">, 486 F.3d 480, 484 (8th Cir. 2007) (citing </w:t>
      </w:r>
      <w:bookmarkStart w:id="3023" w:name="Bookmark_I61BJMG52SF8390010000400"/>
      <w:bookmarkEnd w:id="3023"/>
      <w:r>
        <w:rPr>
          <w:rFonts w:ascii="Arial" w:eastAsia="Arial" w:hAnsi="Arial" w:cs="Arial"/>
          <w:i/>
          <w:color w:val="000000"/>
          <w:sz w:val="20"/>
        </w:rPr>
        <w:t>Cravens v. Blue Cross &amp; Blue Shield of Kansas City</w:t>
      </w:r>
      <w:r>
        <w:rPr>
          <w:rFonts w:ascii="Arial" w:eastAsia="Arial" w:hAnsi="Arial" w:cs="Arial"/>
          <w:color w:val="000000"/>
          <w:sz w:val="20"/>
        </w:rPr>
        <w:t>, 214 F.3d 1011, 1019 (8th Cir. 2000)).</w:t>
      </w:r>
    </w:p>
    <w:p w14:paraId="18197397" w14:textId="77777777" w:rsidR="002B10A6" w:rsidRDefault="00000000">
      <w:pPr>
        <w:pStyle w:val="Normal19"/>
        <w:widowControl w:val="0"/>
        <w:spacing w:before="200" w:line="260" w:lineRule="atLeast"/>
        <w:jc w:val="both"/>
      </w:pPr>
      <w:bookmarkStart w:id="3024" w:name="Bookmark_para_39_6"/>
      <w:bookmarkEnd w:id="3024"/>
      <w:r>
        <w:rPr>
          <w:rFonts w:ascii="Arial" w:eastAsia="Arial" w:hAnsi="Arial" w:cs="Arial"/>
          <w:color w:val="000000"/>
          <w:sz w:val="20"/>
        </w:rPr>
        <w:t xml:space="preserve">Reassignment's "last among equals" status is not only clearly attested in the legal landscape; it also respects core values underlying the ADA and employment law more generally. It recognizes that basic fairness in such a context rests atop an often-rickety three-legged stool, whose legs are the employer, the disabled employee, and—easiest to neglect—the other employees. First, consider the employer. </w:t>
      </w:r>
      <w:bookmarkStart w:id="3025" w:name="Bookmark_I61BJMG52SF8390040000400"/>
      <w:bookmarkEnd w:id="3025"/>
      <w:r>
        <w:rPr>
          <w:rFonts w:ascii="Arial" w:eastAsia="Arial" w:hAnsi="Arial" w:cs="Arial"/>
          <w:color w:val="000000"/>
          <w:sz w:val="20"/>
        </w:rPr>
        <w:t xml:space="preserve">Allowing other reasonable forms of accommodation to take precedence over reassignment protects the employer's discretion over hiring. This discretion is what makes it possible for the employer to discharge its responsibility to promote workplace stability as its workforce changes over time, and—to the extent appropriate—to reward merit through predictable advancement. Such discretion is also fundamental to the employer's freedom to run its business in an economically viable way. </w:t>
      </w:r>
      <w:r>
        <w:rPr>
          <w:rFonts w:ascii="Arial" w:eastAsia="Arial" w:hAnsi="Arial" w:cs="Arial"/>
          <w:i/>
          <w:color w:val="000000"/>
          <w:sz w:val="20"/>
        </w:rPr>
        <w:t xml:space="preserve">See </w:t>
      </w:r>
      <w:bookmarkStart w:id="3026" w:name="Bookmark_I61BJMG52SF8390030000400"/>
      <w:bookmarkEnd w:id="3026"/>
      <w:r>
        <w:rPr>
          <w:rFonts w:ascii="Arial" w:eastAsia="Arial" w:hAnsi="Arial" w:cs="Arial"/>
          <w:i/>
          <w:color w:val="000000"/>
          <w:sz w:val="20"/>
        </w:rPr>
        <w:t>EEOC v. St. Joseph's Hosp., Inc.</w:t>
      </w:r>
      <w:r>
        <w:rPr>
          <w:rFonts w:ascii="Arial" w:eastAsia="Arial" w:hAnsi="Arial" w:cs="Arial"/>
          <w:color w:val="000000"/>
          <w:sz w:val="20"/>
        </w:rPr>
        <w:t>, 842 F.3d 1333, 1346 (11th Cir. 2016).</w:t>
      </w:r>
    </w:p>
    <w:p w14:paraId="2374229A" w14:textId="77777777" w:rsidR="002B10A6" w:rsidRDefault="00000000">
      <w:pPr>
        <w:pStyle w:val="Normal19"/>
        <w:widowControl w:val="0"/>
        <w:spacing w:before="200" w:line="260" w:lineRule="atLeast"/>
        <w:jc w:val="both"/>
      </w:pPr>
      <w:bookmarkStart w:id="3027" w:name="Bookmark_para_40_6"/>
      <w:bookmarkEnd w:id="3027"/>
      <w:r>
        <w:rPr>
          <w:rFonts w:ascii="Arial" w:eastAsia="Arial" w:hAnsi="Arial" w:cs="Arial"/>
          <w:color w:val="000000"/>
          <w:sz w:val="20"/>
        </w:rPr>
        <w:t xml:space="preserve">The disabled employee also benefits. [**21]  Although an employer </w:t>
      </w:r>
      <w:r>
        <w:rPr>
          <w:rFonts w:ascii="Arial" w:eastAsia="Arial" w:hAnsi="Arial" w:cs="Arial"/>
          <w:i/>
          <w:color w:val="000000"/>
          <w:sz w:val="20"/>
        </w:rPr>
        <w:t>may</w:t>
      </w:r>
      <w:r>
        <w:rPr>
          <w:rFonts w:ascii="Arial" w:eastAsia="Arial" w:hAnsi="Arial" w:cs="Arial"/>
          <w:color w:val="000000"/>
          <w:sz w:val="20"/>
        </w:rPr>
        <w:t xml:space="preserve"> accommodate through reassignment at any point, reassignment's last-resort status encourages employers to take reasonable measures to accommodate their disabled employees in the positions they already hold. The employee is thereby saved from being hurled into an unfamiliar position with a different set of demands; instead, he is allowed to maintain and to grow the investment he has already made in his present job.</w:t>
      </w:r>
    </w:p>
    <w:p w14:paraId="39603102" w14:textId="77777777" w:rsidR="002B10A6" w:rsidRDefault="00000000">
      <w:pPr>
        <w:pStyle w:val="Normal19"/>
        <w:widowControl w:val="0"/>
        <w:spacing w:before="200" w:line="260" w:lineRule="atLeast"/>
        <w:jc w:val="both"/>
      </w:pPr>
      <w:bookmarkStart w:id="3028" w:name="Bookmark_para_41_6"/>
      <w:bookmarkStart w:id="3029" w:name="Bookmark_I61BJMG62SF83D0010000400"/>
      <w:bookmarkEnd w:id="3028"/>
      <w:bookmarkEnd w:id="3029"/>
      <w:r>
        <w:rPr>
          <w:rFonts w:ascii="Arial" w:eastAsia="Arial" w:hAnsi="Arial" w:cs="Arial"/>
          <w:color w:val="000000"/>
          <w:sz w:val="20"/>
        </w:rPr>
        <w:t xml:space="preserve">Finally, deemphasizing reassignment helps preserve a fair balance in the relationship between a disabled employee and his colleagues. </w:t>
      </w:r>
      <w:bookmarkStart w:id="3030" w:name="Bookmark_I61BJMG62SF83D0050000400"/>
      <w:bookmarkStart w:id="3031" w:name="Bookmark_LNHNREFclscc12_10"/>
      <w:bookmarkEnd w:id="3030"/>
      <w:bookmarkEnd w:id="3031"/>
      <w:r>
        <w:rPr>
          <w:rFonts w:ascii="Arial" w:eastAsia="Arial" w:hAnsi="Arial" w:cs="Arial"/>
          <w:color w:val="000000"/>
          <w:sz w:val="20"/>
        </w:rPr>
        <w:t xml:space="preserve">Reassignment is unique in its potential to disrupt the settled expectations of other employees, so much so that no employer is required to reassign where reassignment would "bump" another employee from his position, </w:t>
      </w:r>
      <w:bookmarkStart w:id="3032" w:name="Bookmark_I61BJMG52SF8390050000400"/>
      <w:bookmarkEnd w:id="3032"/>
      <w:r>
        <w:rPr>
          <w:rFonts w:ascii="Arial" w:eastAsia="Arial" w:hAnsi="Arial" w:cs="Arial"/>
          <w:i/>
          <w:color w:val="000000"/>
          <w:sz w:val="20"/>
        </w:rPr>
        <w:t>Aka</w:t>
      </w:r>
      <w:r>
        <w:rPr>
          <w:rFonts w:ascii="Arial" w:eastAsia="Arial" w:hAnsi="Arial" w:cs="Arial"/>
          <w:color w:val="000000"/>
          <w:sz w:val="20"/>
        </w:rPr>
        <w:t xml:space="preserve">, 156 F.3d at 1305; </w:t>
      </w:r>
      <w:bookmarkStart w:id="3033" w:name="Bookmark_I61BJMG62SF83D0020000400"/>
      <w:bookmarkEnd w:id="3033"/>
      <w:r>
        <w:rPr>
          <w:rFonts w:ascii="Arial" w:eastAsia="Arial" w:hAnsi="Arial" w:cs="Arial"/>
          <w:i/>
          <w:color w:val="000000"/>
          <w:sz w:val="20"/>
        </w:rPr>
        <w:t>E.E.O.C. v. Sara Lee Corp.</w:t>
      </w:r>
      <w:r>
        <w:rPr>
          <w:rFonts w:ascii="Arial" w:eastAsia="Arial" w:hAnsi="Arial" w:cs="Arial"/>
          <w:color w:val="000000"/>
          <w:sz w:val="20"/>
        </w:rPr>
        <w:t xml:space="preserve">, 237 F.3d 349, 355 (4th Cir. 2001), or block reasonable, long-time workplace expectations. Holding reassignment in reserve for unusual circumstances bolsters the confidence of other employees that the misfortune of a colleague will not unfairly deprive them of opportunities for which they themselves have labored. </w:t>
      </w:r>
      <w:bookmarkStart w:id="3034" w:name="Bookmark_I61BJMG62SF83D0050000400_2"/>
      <w:bookmarkEnd w:id="3034"/>
      <w:r>
        <w:rPr>
          <w:rFonts w:ascii="Arial" w:eastAsia="Arial" w:hAnsi="Arial" w:cs="Arial"/>
          <w:i/>
          <w:color w:val="000000"/>
          <w:sz w:val="20"/>
        </w:rPr>
        <w:t xml:space="preserve">See </w:t>
      </w:r>
      <w:bookmarkStart w:id="3035" w:name="Bookmark_I61BJMG62SF83D0040000400"/>
      <w:bookmarkEnd w:id="3035"/>
      <w:r>
        <w:rPr>
          <w:rFonts w:ascii="Arial" w:eastAsia="Arial" w:hAnsi="Arial" w:cs="Arial"/>
          <w:i/>
          <w:color w:val="000000"/>
          <w:sz w:val="20"/>
        </w:rPr>
        <w:t>U.S. Airways v. Barnett</w:t>
      </w:r>
      <w:r>
        <w:rPr>
          <w:rFonts w:ascii="Arial" w:eastAsia="Arial" w:hAnsi="Arial" w:cs="Arial"/>
          <w:color w:val="000000"/>
          <w:sz w:val="20"/>
        </w:rPr>
        <w:t>, 535 U.S. 391, 404-05, 122 S. Ct. 1516, 152 L. Ed. 2d 589 (2002). In this way, not only fairness, but also workplace comity and morale are well-served.</w:t>
      </w:r>
    </w:p>
    <w:p w14:paraId="3A44E302" w14:textId="77777777" w:rsidR="002B10A6" w:rsidRDefault="00000000">
      <w:pPr>
        <w:pStyle w:val="Normal19"/>
        <w:widowControl w:val="0"/>
        <w:spacing w:before="240" w:line="260" w:lineRule="atLeast"/>
      </w:pPr>
      <w:r>
        <w:br/>
      </w:r>
      <w:r>
        <w:rPr>
          <w:rFonts w:ascii="Arial" w:eastAsia="Arial" w:hAnsi="Arial" w:cs="Arial"/>
          <w:color w:val="000000"/>
          <w:sz w:val="20"/>
        </w:rPr>
        <w:t> [*1015]  B.</w:t>
      </w:r>
    </w:p>
    <w:p w14:paraId="7FC58FED" w14:textId="77777777" w:rsidR="002B10A6" w:rsidRDefault="00000000">
      <w:pPr>
        <w:pStyle w:val="Normal19"/>
        <w:widowControl w:val="0"/>
        <w:spacing w:before="200" w:line="260" w:lineRule="atLeast"/>
        <w:jc w:val="both"/>
      </w:pPr>
      <w:bookmarkStart w:id="3036" w:name="Bookmark_para_42_6"/>
      <w:bookmarkStart w:id="3037" w:name="Bookmark_I2NBXSMJS2S00002TJJ0000P"/>
      <w:bookmarkStart w:id="3038" w:name="Bookmark_I61BJMG62N1PN60020000400"/>
      <w:bookmarkStart w:id="3039" w:name="Bookmark_I61BJMG62N1PN60040000400"/>
      <w:bookmarkEnd w:id="3036"/>
      <w:bookmarkEnd w:id="3037"/>
      <w:bookmarkEnd w:id="3038"/>
      <w:bookmarkEnd w:id="3039"/>
      <w:r>
        <w:rPr>
          <w:rFonts w:ascii="Arial" w:eastAsia="Arial" w:hAnsi="Arial" w:cs="Arial"/>
          <w:color w:val="000000"/>
          <w:sz w:val="20"/>
        </w:rPr>
        <w:t xml:space="preserve">The Supreme Court in </w:t>
      </w:r>
      <w:bookmarkStart w:id="3040" w:name="Bookmark_I61BJMG62N1PN60010000400"/>
      <w:bookmarkEnd w:id="3040"/>
      <w:r>
        <w:rPr>
          <w:rFonts w:ascii="Arial" w:eastAsia="Arial" w:hAnsi="Arial" w:cs="Arial"/>
          <w:i/>
          <w:color w:val="000000"/>
          <w:sz w:val="20"/>
        </w:rPr>
        <w:t>U.S. Airways [**22]  v. Barnett</w:t>
      </w:r>
      <w:r>
        <w:rPr>
          <w:rFonts w:ascii="Arial" w:eastAsia="Arial" w:hAnsi="Arial" w:cs="Arial"/>
          <w:color w:val="000000"/>
          <w:sz w:val="20"/>
        </w:rPr>
        <w:t xml:space="preserve"> has given further guidance on a disabled employee's right to receive reassignment under the ADA. In </w:t>
      </w:r>
      <w:r>
        <w:rPr>
          <w:rFonts w:ascii="Arial" w:eastAsia="Arial" w:hAnsi="Arial" w:cs="Arial"/>
          <w:i/>
          <w:color w:val="000000"/>
          <w:sz w:val="20"/>
        </w:rPr>
        <w:t>Barnett</w:t>
      </w:r>
      <w:r>
        <w:rPr>
          <w:rFonts w:ascii="Arial" w:eastAsia="Arial" w:hAnsi="Arial" w:cs="Arial"/>
          <w:color w:val="000000"/>
          <w:sz w:val="20"/>
        </w:rPr>
        <w:t xml:space="preserve">, a disabled employee who could not be accommodated in his present position, claimed a legal right to reassignment to a mailroom position, even though reassignment to said position would have contravened his employer's long-standing, seniority-based hiring system. </w:t>
      </w:r>
      <w:bookmarkStart w:id="3041" w:name="Bookmark_I61BJMG62N1PN70010000400"/>
      <w:bookmarkStart w:id="3042" w:name="Bookmark_LNHNREFclscc13_8"/>
      <w:bookmarkEnd w:id="3041"/>
      <w:bookmarkEnd w:id="3042"/>
      <w:r>
        <w:rPr>
          <w:rFonts w:ascii="Arial" w:eastAsia="Arial" w:hAnsi="Arial" w:cs="Arial"/>
          <w:color w:val="000000"/>
          <w:sz w:val="20"/>
        </w:rPr>
        <w:t xml:space="preserve">The Court held that "a plaintiff/employee (to defeat a defendant/employer's motion for summary judgment) need only show that an accommodation seems reasonable on its face, </w:t>
      </w:r>
      <w:r>
        <w:rPr>
          <w:rFonts w:ascii="Arial" w:eastAsia="Arial" w:hAnsi="Arial" w:cs="Arial"/>
          <w:i/>
          <w:color w:val="000000"/>
          <w:sz w:val="20"/>
        </w:rPr>
        <w:t>i.e.</w:t>
      </w:r>
      <w:r>
        <w:rPr>
          <w:rFonts w:ascii="Arial" w:eastAsia="Arial" w:hAnsi="Arial" w:cs="Arial"/>
          <w:color w:val="000000"/>
          <w:sz w:val="20"/>
        </w:rPr>
        <w:t xml:space="preserve">, ordinarily or in the run of cases." </w:t>
      </w:r>
      <w:bookmarkStart w:id="3043" w:name="Bookmark_I61BJMG62N1PN60030000400"/>
      <w:bookmarkEnd w:id="3043"/>
      <w:r>
        <w:rPr>
          <w:rFonts w:ascii="Arial" w:eastAsia="Arial" w:hAnsi="Arial" w:cs="Arial"/>
          <w:i/>
          <w:color w:val="000000"/>
          <w:sz w:val="20"/>
        </w:rPr>
        <w:t>Barnett</w:t>
      </w:r>
      <w:r>
        <w:rPr>
          <w:rFonts w:ascii="Arial" w:eastAsia="Arial" w:hAnsi="Arial" w:cs="Arial"/>
          <w:color w:val="000000"/>
          <w:sz w:val="20"/>
        </w:rPr>
        <w:t xml:space="preserve"> 535 U.S. at 401 (internal quotations omitted). Under this rule, it denied the employee's claim, finding that an employer's disability-neutral, seniority-based hiring system presumptively trumped the employee's otherwise reasonable request for reassignment. </w:t>
      </w:r>
      <w:bookmarkStart w:id="3044" w:name="Bookmark_I61BJMG62N1PN70010000400_2"/>
      <w:bookmarkStart w:id="3045" w:name="Bookmark_I61BJMG62N1PN60050000400"/>
      <w:bookmarkEnd w:id="3044"/>
      <w:bookmarkEnd w:id="3045"/>
      <w:r>
        <w:rPr>
          <w:rFonts w:ascii="Arial" w:eastAsia="Arial" w:hAnsi="Arial" w:cs="Arial"/>
          <w:i/>
          <w:color w:val="000000"/>
          <w:sz w:val="20"/>
        </w:rPr>
        <w:t>Barnett</w:t>
      </w:r>
      <w:r>
        <w:rPr>
          <w:rFonts w:ascii="Arial" w:eastAsia="Arial" w:hAnsi="Arial" w:cs="Arial"/>
          <w:color w:val="000000"/>
          <w:sz w:val="20"/>
        </w:rPr>
        <w:t>, 535 U.S. at 394.</w:t>
      </w:r>
    </w:p>
    <w:p w14:paraId="592F6CE2" w14:textId="77777777" w:rsidR="002B10A6" w:rsidRDefault="00000000">
      <w:pPr>
        <w:pStyle w:val="Normal19"/>
        <w:widowControl w:val="0"/>
        <w:spacing w:before="200" w:line="260" w:lineRule="atLeast"/>
        <w:jc w:val="both"/>
      </w:pPr>
      <w:bookmarkStart w:id="3046" w:name="Bookmark_para_43_5"/>
      <w:bookmarkEnd w:id="3046"/>
      <w:r>
        <w:rPr>
          <w:rFonts w:ascii="Arial" w:eastAsia="Arial" w:hAnsi="Arial" w:cs="Arial"/>
          <w:color w:val="000000"/>
          <w:sz w:val="20"/>
        </w:rPr>
        <w:t xml:space="preserve">Elledge argues that his claim for reassignment not only survives </w:t>
      </w:r>
      <w:r>
        <w:rPr>
          <w:rFonts w:ascii="Arial" w:eastAsia="Arial" w:hAnsi="Arial" w:cs="Arial"/>
          <w:i/>
          <w:color w:val="000000"/>
          <w:sz w:val="20"/>
        </w:rPr>
        <w:t>Barnett</w:t>
      </w:r>
      <w:r>
        <w:rPr>
          <w:rFonts w:ascii="Arial" w:eastAsia="Arial" w:hAnsi="Arial" w:cs="Arial"/>
          <w:color w:val="000000"/>
          <w:sz w:val="20"/>
        </w:rPr>
        <w:t xml:space="preserve">, but that </w:t>
      </w:r>
      <w:r>
        <w:rPr>
          <w:rFonts w:ascii="Arial" w:eastAsia="Arial" w:hAnsi="Arial" w:cs="Arial"/>
          <w:i/>
          <w:color w:val="000000"/>
          <w:sz w:val="20"/>
        </w:rPr>
        <w:t>Barnett</w:t>
      </w:r>
      <w:r>
        <w:rPr>
          <w:rFonts w:ascii="Arial" w:eastAsia="Arial" w:hAnsi="Arial" w:cs="Arial"/>
          <w:color w:val="000000"/>
          <w:sz w:val="20"/>
        </w:rPr>
        <w:t xml:space="preserve"> actually requires it. To do so, Elledge reads </w:t>
      </w:r>
      <w:r>
        <w:rPr>
          <w:rFonts w:ascii="Arial" w:eastAsia="Arial" w:hAnsi="Arial" w:cs="Arial"/>
          <w:i/>
          <w:color w:val="000000"/>
          <w:sz w:val="20"/>
        </w:rPr>
        <w:t>Barnett</w:t>
      </w:r>
      <w:r>
        <w:rPr>
          <w:rFonts w:ascii="Arial" w:eastAsia="Arial" w:hAnsi="Arial" w:cs="Arial"/>
          <w:color w:val="000000"/>
          <w:sz w:val="20"/>
        </w:rPr>
        <w:t xml:space="preserve"> as articulating an almost </w:t>
      </w:r>
      <w:r>
        <w:rPr>
          <w:rFonts w:ascii="Arial" w:eastAsia="Arial" w:hAnsi="Arial" w:cs="Arial"/>
          <w:i/>
          <w:color w:val="000000"/>
          <w:sz w:val="20"/>
        </w:rPr>
        <w:t>sui generis</w:t>
      </w:r>
      <w:r>
        <w:rPr>
          <w:rFonts w:ascii="Arial" w:eastAsia="Arial" w:hAnsi="Arial" w:cs="Arial"/>
          <w:color w:val="000000"/>
          <w:sz w:val="20"/>
        </w:rPr>
        <w:t xml:space="preserve"> exception—the well-entrenched, seniority-based hiring system—to a general ADA norm requiring reassignment where no other reasonable accommodation is possible. Lowe's best-qualified [**23]  hiring system, not at all fitting within this niche exception, could not, says Elledge, have insulated it from its statutory mandate to reassign him to either of the vacant positions he had identified.</w:t>
      </w:r>
    </w:p>
    <w:p w14:paraId="0B7108A0" w14:textId="77777777" w:rsidR="002B10A6" w:rsidRDefault="00000000">
      <w:pPr>
        <w:pStyle w:val="Normal19"/>
        <w:widowControl w:val="0"/>
        <w:spacing w:before="200" w:line="260" w:lineRule="atLeast"/>
        <w:jc w:val="both"/>
      </w:pPr>
      <w:bookmarkStart w:id="3047" w:name="Bookmark_para_44_5"/>
      <w:bookmarkEnd w:id="3047"/>
      <w:r>
        <w:rPr>
          <w:rFonts w:ascii="Arial" w:eastAsia="Arial" w:hAnsi="Arial" w:cs="Arial"/>
          <w:color w:val="000000"/>
          <w:sz w:val="20"/>
        </w:rPr>
        <w:t xml:space="preserve">This reading, however, disconnects </w:t>
      </w:r>
      <w:r>
        <w:rPr>
          <w:rFonts w:ascii="Arial" w:eastAsia="Arial" w:hAnsi="Arial" w:cs="Arial"/>
          <w:i/>
          <w:color w:val="000000"/>
          <w:sz w:val="20"/>
        </w:rPr>
        <w:t>Barnett</w:t>
      </w:r>
      <w:r>
        <w:rPr>
          <w:rFonts w:ascii="Arial" w:eastAsia="Arial" w:hAnsi="Arial" w:cs="Arial"/>
          <w:color w:val="000000"/>
          <w:sz w:val="20"/>
        </w:rPr>
        <w:t xml:space="preserve">'s holding from its reasoning. It recasts the ADA—a shield meant to guard disabled employees from unjust discrimination—into a sword that may be used to upend entirely reasonable, disability-neutral hiring policies and the equally reasonable expectations of other workers. But </w:t>
      </w:r>
      <w:r>
        <w:rPr>
          <w:rFonts w:ascii="Arial" w:eastAsia="Arial" w:hAnsi="Arial" w:cs="Arial"/>
          <w:i/>
          <w:color w:val="000000"/>
          <w:sz w:val="20"/>
        </w:rPr>
        <w:t>Barnett</w:t>
      </w:r>
      <w:r>
        <w:rPr>
          <w:rFonts w:ascii="Arial" w:eastAsia="Arial" w:hAnsi="Arial" w:cs="Arial"/>
          <w:color w:val="000000"/>
          <w:sz w:val="20"/>
        </w:rPr>
        <w:t>'s holding must be understood in light of the principles undergirding it.</w:t>
      </w:r>
    </w:p>
    <w:p w14:paraId="0A649288" w14:textId="77777777" w:rsidR="002B10A6" w:rsidRDefault="00000000">
      <w:pPr>
        <w:pStyle w:val="Normal19"/>
        <w:widowControl w:val="0"/>
        <w:spacing w:before="200" w:line="260" w:lineRule="atLeast"/>
        <w:jc w:val="both"/>
      </w:pPr>
      <w:bookmarkStart w:id="3048" w:name="Bookmark_para_45_5"/>
      <w:bookmarkStart w:id="3049" w:name="Bookmark_I61BJMG62N1PN70030000400"/>
      <w:bookmarkEnd w:id="3048"/>
      <w:bookmarkEnd w:id="3049"/>
      <w:r>
        <w:rPr>
          <w:rFonts w:ascii="Arial" w:eastAsia="Arial" w:hAnsi="Arial" w:cs="Arial"/>
          <w:color w:val="000000"/>
          <w:sz w:val="20"/>
        </w:rPr>
        <w:t xml:space="preserve">The first principle is </w:t>
      </w:r>
      <w:r>
        <w:rPr>
          <w:rFonts w:ascii="Arial" w:eastAsia="Arial" w:hAnsi="Arial" w:cs="Arial"/>
          <w:i/>
          <w:color w:val="000000"/>
          <w:sz w:val="20"/>
        </w:rPr>
        <w:t>Barnett</w:t>
      </w:r>
      <w:r>
        <w:rPr>
          <w:rFonts w:ascii="Arial" w:eastAsia="Arial" w:hAnsi="Arial" w:cs="Arial"/>
          <w:color w:val="000000"/>
          <w:sz w:val="20"/>
        </w:rPr>
        <w:t xml:space="preserve">'s articulation of the end, or purpose, of the ADA, which is naturally read to express some limit on what is required under the ADA's reasonable accommodation provision. The end of the ADA is equality of opportunity for disabled employees. </w:t>
      </w:r>
      <w:bookmarkStart w:id="3050" w:name="Bookmark_I61BJMG62N1PN70020000400"/>
      <w:bookmarkEnd w:id="3050"/>
      <w:r>
        <w:rPr>
          <w:rFonts w:ascii="Arial" w:eastAsia="Arial" w:hAnsi="Arial" w:cs="Arial"/>
          <w:i/>
          <w:color w:val="000000"/>
          <w:sz w:val="20"/>
        </w:rPr>
        <w:t>Barnett</w:t>
      </w:r>
      <w:r>
        <w:rPr>
          <w:rFonts w:ascii="Arial" w:eastAsia="Arial" w:hAnsi="Arial" w:cs="Arial"/>
          <w:color w:val="000000"/>
          <w:sz w:val="20"/>
        </w:rPr>
        <w:t xml:space="preserve">, 535 U.S. at 397. But that does not in turn mean the end of all preferences for the disabled. "[P]references will sometimes prove necessary," the Court announced, "to achieve the Act's basic equal opportunity goal. </w:t>
      </w:r>
      <w:bookmarkStart w:id="3051" w:name="Bookmark_LNHNREFclscc14_8"/>
      <w:bookmarkEnd w:id="3051"/>
      <w:r>
        <w:rPr>
          <w:rFonts w:ascii="Arial" w:eastAsia="Arial" w:hAnsi="Arial" w:cs="Arial"/>
          <w:color w:val="000000"/>
          <w:sz w:val="20"/>
        </w:rPr>
        <w:t xml:space="preserve">The Act requires preferences . . . that are needed for those with disabilities to obtain the </w:t>
      </w:r>
      <w:r>
        <w:rPr>
          <w:rFonts w:ascii="Arial" w:eastAsia="Arial" w:hAnsi="Arial" w:cs="Arial"/>
          <w:i/>
          <w:color w:val="000000"/>
          <w:sz w:val="20"/>
        </w:rPr>
        <w:t>same</w:t>
      </w:r>
      <w:r>
        <w:rPr>
          <w:rFonts w:ascii="Arial" w:eastAsia="Arial" w:hAnsi="Arial" w:cs="Arial"/>
          <w:color w:val="000000"/>
          <w:sz w:val="20"/>
        </w:rPr>
        <w:t xml:space="preserve"> workplace opportunities that those [**24]  without disabilities automatically enjoy." </w:t>
      </w:r>
      <w:r>
        <w:rPr>
          <w:rFonts w:ascii="Arial" w:eastAsia="Arial" w:hAnsi="Arial" w:cs="Arial"/>
          <w:i/>
          <w:color w:val="000000"/>
          <w:sz w:val="20"/>
        </w:rPr>
        <w:t>Id.</w:t>
      </w:r>
      <w:r>
        <w:rPr>
          <w:rFonts w:ascii="Arial" w:eastAsia="Arial" w:hAnsi="Arial" w:cs="Arial"/>
          <w:color w:val="000000"/>
          <w:sz w:val="20"/>
        </w:rPr>
        <w:t xml:space="preserve"> (emphasis in original). </w:t>
      </w:r>
      <w:bookmarkStart w:id="3052" w:name="Bookmark_I61BJMG62N1PN70050000400"/>
      <w:bookmarkEnd w:id="3052"/>
      <w:r>
        <w:rPr>
          <w:rFonts w:ascii="Arial" w:eastAsia="Arial" w:hAnsi="Arial" w:cs="Arial"/>
          <w:color w:val="000000"/>
          <w:sz w:val="20"/>
        </w:rPr>
        <w:t xml:space="preserve">Stated otherwise, </w:t>
      </w:r>
      <w:r>
        <w:rPr>
          <w:rFonts w:ascii="Arial" w:eastAsia="Arial" w:hAnsi="Arial" w:cs="Arial"/>
          <w:i/>
          <w:color w:val="000000"/>
          <w:sz w:val="20"/>
        </w:rPr>
        <w:t>Barnett</w:t>
      </w:r>
      <w:r>
        <w:rPr>
          <w:rFonts w:ascii="Arial" w:eastAsia="Arial" w:hAnsi="Arial" w:cs="Arial"/>
          <w:color w:val="000000"/>
          <w:sz w:val="20"/>
        </w:rPr>
        <w:t xml:space="preserve"> does not require employers to construct preferential accommodations that maximize workplace opportunities for their disabled employees. It does require, however, that preferential treatment be extended as necessary to provide them with the </w:t>
      </w:r>
      <w:r>
        <w:rPr>
          <w:rFonts w:ascii="Arial" w:eastAsia="Arial" w:hAnsi="Arial" w:cs="Arial"/>
          <w:i/>
          <w:color w:val="000000"/>
          <w:sz w:val="20"/>
        </w:rPr>
        <w:t>same</w:t>
      </w:r>
      <w:r>
        <w:rPr>
          <w:rFonts w:ascii="Arial" w:eastAsia="Arial" w:hAnsi="Arial" w:cs="Arial"/>
          <w:color w:val="000000"/>
          <w:sz w:val="20"/>
        </w:rPr>
        <w:t xml:space="preserve"> opportunities as their non-disabled colleagues.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3053" w:name="Bookmark_I61BJMG62N1PN70040000400"/>
      <w:bookmarkEnd w:id="3053"/>
      <w:r>
        <w:rPr>
          <w:rFonts w:ascii="Arial" w:eastAsia="Arial" w:hAnsi="Arial" w:cs="Arial"/>
          <w:i/>
          <w:color w:val="000000"/>
          <w:sz w:val="20"/>
        </w:rPr>
        <w:t>St. Joseph's Hospital</w:t>
      </w:r>
      <w:r>
        <w:rPr>
          <w:rFonts w:ascii="Arial" w:eastAsia="Arial" w:hAnsi="Arial" w:cs="Arial"/>
          <w:color w:val="000000"/>
          <w:sz w:val="20"/>
        </w:rPr>
        <w:t xml:space="preserve">, 842 F.3d at 1346-47; </w:t>
      </w:r>
      <w:bookmarkStart w:id="3054" w:name="Bookmark_I61BJMG62SF83H0010000400"/>
      <w:bookmarkEnd w:id="3054"/>
      <w:r>
        <w:rPr>
          <w:rFonts w:ascii="Arial" w:eastAsia="Arial" w:hAnsi="Arial" w:cs="Arial"/>
          <w:i/>
          <w:color w:val="000000"/>
          <w:sz w:val="20"/>
        </w:rPr>
        <w:t>Huber</w:t>
      </w:r>
      <w:r>
        <w:rPr>
          <w:rFonts w:ascii="Arial" w:eastAsia="Arial" w:hAnsi="Arial" w:cs="Arial"/>
          <w:color w:val="000000"/>
          <w:sz w:val="20"/>
        </w:rPr>
        <w:t>, 486 F.3d at 483.</w:t>
      </w:r>
    </w:p>
    <w:p w14:paraId="4F562BEB" w14:textId="77777777" w:rsidR="002B10A6" w:rsidRDefault="00000000">
      <w:pPr>
        <w:pStyle w:val="Normal19"/>
        <w:widowControl w:val="0"/>
        <w:spacing w:before="200" w:line="260" w:lineRule="atLeast"/>
        <w:jc w:val="both"/>
      </w:pPr>
      <w:bookmarkStart w:id="3055" w:name="Bookmark_para_46_4"/>
      <w:bookmarkStart w:id="3056" w:name="Bookmark_I61BJMG62SF83H0040000400"/>
      <w:bookmarkEnd w:id="3055"/>
      <w:bookmarkEnd w:id="3056"/>
      <w:r>
        <w:rPr>
          <w:rFonts w:ascii="Arial" w:eastAsia="Arial" w:hAnsi="Arial" w:cs="Arial"/>
          <w:color w:val="000000"/>
          <w:sz w:val="20"/>
        </w:rPr>
        <w:t xml:space="preserve">The other key principle is the value of stability in employee expectations—the third leg of the stool mentioned above—which the Court invoked as the "most important" reason justifying the precedence of the employer's seniority-based system over the disabled employee's otherwise valid right to reassignment. </w:t>
      </w:r>
      <w:bookmarkStart w:id="3057" w:name="Bookmark_I61BJMG62SF83H0030000400"/>
      <w:bookmarkEnd w:id="3057"/>
      <w:r>
        <w:rPr>
          <w:rFonts w:ascii="Arial" w:eastAsia="Arial" w:hAnsi="Arial" w:cs="Arial"/>
          <w:i/>
          <w:color w:val="000000"/>
          <w:sz w:val="20"/>
        </w:rPr>
        <w:t>Barnett</w:t>
      </w:r>
      <w:r>
        <w:rPr>
          <w:rFonts w:ascii="Arial" w:eastAsia="Arial" w:hAnsi="Arial" w:cs="Arial"/>
          <w:color w:val="000000"/>
          <w:sz w:val="20"/>
        </w:rPr>
        <w:t xml:space="preserve">, 535 U.S. at 404-05. The Court accordingly refused to compel the "substitut[ion of] a complex case-specific 'accommodation' decision made by management for the more uniform, impersonal operation of seniority rules," thereby undermining "employees' expectations of consistent,  [*1016]  uniform treatment." </w:t>
      </w:r>
      <w:r>
        <w:rPr>
          <w:rFonts w:ascii="Arial" w:eastAsia="Arial" w:hAnsi="Arial" w:cs="Arial"/>
          <w:i/>
          <w:color w:val="000000"/>
          <w:sz w:val="20"/>
        </w:rPr>
        <w:t>Id.</w:t>
      </w:r>
      <w:r>
        <w:rPr>
          <w:rFonts w:ascii="Arial" w:eastAsia="Arial" w:hAnsi="Arial" w:cs="Arial"/>
          <w:color w:val="000000"/>
          <w:sz w:val="20"/>
        </w:rPr>
        <w:t xml:space="preserve"> Such interests are to be jealously guarded insofar as they represent employees' personally costly investments in their own careers.</w:t>
      </w:r>
    </w:p>
    <w:p w14:paraId="37DFBF46" w14:textId="77777777" w:rsidR="002B10A6" w:rsidRDefault="00000000">
      <w:pPr>
        <w:pStyle w:val="Normal19"/>
        <w:widowControl w:val="0"/>
        <w:spacing w:before="200" w:line="260" w:lineRule="atLeast"/>
        <w:jc w:val="both"/>
      </w:pPr>
      <w:bookmarkStart w:id="3058" w:name="Bookmark_para_47_4"/>
      <w:bookmarkStart w:id="3059" w:name="Bookmark_I2NBXSMJTPR00002TJJ0000R"/>
      <w:bookmarkStart w:id="3060" w:name="Bookmark_I61BJMG628T4FX0010000400"/>
      <w:bookmarkEnd w:id="3058"/>
      <w:bookmarkEnd w:id="3059"/>
      <w:bookmarkEnd w:id="3060"/>
      <w:r>
        <w:rPr>
          <w:rFonts w:ascii="Arial" w:eastAsia="Arial" w:hAnsi="Arial" w:cs="Arial"/>
          <w:color w:val="000000"/>
          <w:sz w:val="20"/>
        </w:rPr>
        <w:t xml:space="preserve">Just as these principles jointly justified the Court in upholding the integrity [**25]  of the seniority-based hiring system at issue in </w:t>
      </w:r>
      <w:bookmarkStart w:id="3061" w:name="Bookmark_I61BJMG62SF83H0050000400"/>
      <w:bookmarkEnd w:id="3061"/>
      <w:r>
        <w:rPr>
          <w:rFonts w:ascii="Arial" w:eastAsia="Arial" w:hAnsi="Arial" w:cs="Arial"/>
          <w:i/>
          <w:color w:val="000000"/>
          <w:sz w:val="20"/>
        </w:rPr>
        <w:t>Barnett</w:t>
      </w:r>
      <w:r>
        <w:rPr>
          <w:rFonts w:ascii="Arial" w:eastAsia="Arial" w:hAnsi="Arial" w:cs="Arial"/>
          <w:color w:val="000000"/>
          <w:sz w:val="20"/>
        </w:rPr>
        <w:t>, they justify upholding the integrity of Lowe's practices as well. Lowe's advanced its employees in accordance with a special kind of best-qualified hiring system. As a way of consistently identifying and promoting internal talent, Lowe's merit-based approach examined an employee's record of experience and qualifications as well as, for an employee advanced to the next round in the hiring process, his performance in interview settings. For many of its senior-level positions, Lowe's nested within this merit-based system an "Enterprise Succession Management Process." This process represented Lowe's continuous effort to identify talent intra-departmentally and, by providing special training and attention, to prime its most competent employees for promotion into the heightened responsibilities of the department's director-level positions. This system is, on its face, disability neutral. It invites, rewards, and protects the formation of settled expectations regarding hiring decisions. And most importantly, it is a reasonable, orderly, and fundamentally fair way of directing employee advancement within the company. In the ordinary [**26]  "run of cases," reassignment in contravention of such a policy would not be reasonable.</w:t>
      </w:r>
    </w:p>
    <w:p w14:paraId="1DB99F4C" w14:textId="77777777" w:rsidR="002B10A6" w:rsidRDefault="00000000">
      <w:pPr>
        <w:pStyle w:val="Normal19"/>
        <w:widowControl w:val="0"/>
        <w:spacing w:before="200" w:line="260" w:lineRule="atLeast"/>
        <w:jc w:val="both"/>
      </w:pPr>
      <w:bookmarkStart w:id="3062" w:name="Bookmark_para_48_4"/>
      <w:bookmarkStart w:id="3063" w:name="Bookmark_I2NBXSMJKMF00002TJJ0000M"/>
      <w:bookmarkStart w:id="3064" w:name="Bookmark_I61BJMG628T4FX0030000400"/>
      <w:bookmarkStart w:id="3065" w:name="Bookmark_I2NBXSMJN9X00002TJJ0000N"/>
      <w:bookmarkStart w:id="3066" w:name="Bookmark_I61BJMG628T4FX0050000400"/>
      <w:bookmarkEnd w:id="3062"/>
      <w:bookmarkEnd w:id="3063"/>
      <w:bookmarkEnd w:id="3064"/>
      <w:bookmarkEnd w:id="3065"/>
      <w:bookmarkEnd w:id="3066"/>
      <w:r>
        <w:rPr>
          <w:rFonts w:ascii="Arial" w:eastAsia="Arial" w:hAnsi="Arial" w:cs="Arial"/>
          <w:color w:val="000000"/>
          <w:sz w:val="20"/>
        </w:rPr>
        <w:t xml:space="preserve">Nor should this result surprise. </w:t>
      </w:r>
      <w:bookmarkStart w:id="3067" w:name="Bookmark_I2NBXSMJWH100002TJJ0000S"/>
      <w:bookmarkStart w:id="3068" w:name="Bookmark_I61BJMG62HM69S0020000400"/>
      <w:bookmarkEnd w:id="3067"/>
      <w:bookmarkEnd w:id="3068"/>
      <w:r>
        <w:rPr>
          <w:rFonts w:ascii="Arial" w:eastAsia="Arial" w:hAnsi="Arial" w:cs="Arial"/>
          <w:color w:val="000000"/>
          <w:sz w:val="20"/>
        </w:rPr>
        <w:t xml:space="preserve">In </w:t>
      </w:r>
      <w:r>
        <w:rPr>
          <w:rFonts w:ascii="Arial" w:eastAsia="Arial" w:hAnsi="Arial" w:cs="Arial"/>
          <w:i/>
          <w:color w:val="000000"/>
          <w:sz w:val="20"/>
        </w:rPr>
        <w:t>Huber v. Wal-Mart Stores, Inc</w:t>
      </w:r>
      <w:r>
        <w:rPr>
          <w:rFonts w:ascii="Arial" w:eastAsia="Arial" w:hAnsi="Arial" w:cs="Arial"/>
          <w:color w:val="000000"/>
          <w:sz w:val="20"/>
        </w:rPr>
        <w:t xml:space="preserve">, the Eighth Circuit found that Wal-Mart's best-qualified hiring system fell under the same principles as the seniority-based system in </w:t>
      </w:r>
      <w:r>
        <w:rPr>
          <w:rFonts w:ascii="Arial" w:eastAsia="Arial" w:hAnsi="Arial" w:cs="Arial"/>
          <w:i/>
          <w:color w:val="000000"/>
          <w:sz w:val="20"/>
        </w:rPr>
        <w:t>Barnett</w:t>
      </w:r>
      <w:r>
        <w:rPr>
          <w:rFonts w:ascii="Arial" w:eastAsia="Arial" w:hAnsi="Arial" w:cs="Arial"/>
          <w:color w:val="000000"/>
          <w:sz w:val="20"/>
        </w:rPr>
        <w:t xml:space="preserve">, and consequently denied reassignment. </w:t>
      </w:r>
      <w:bookmarkStart w:id="3069" w:name="Bookmark_I61BJMG628T4FX0020000400"/>
      <w:bookmarkEnd w:id="3069"/>
      <w:r>
        <w:rPr>
          <w:rFonts w:ascii="Arial" w:eastAsia="Arial" w:hAnsi="Arial" w:cs="Arial"/>
          <w:color w:val="000000"/>
          <w:sz w:val="20"/>
        </w:rPr>
        <w:t xml:space="preserve">486 F.3d at 483-84. Parallel reasoning grounded the same result for the best-qualified system at issue in </w:t>
      </w:r>
      <w:r>
        <w:rPr>
          <w:rFonts w:ascii="Arial" w:eastAsia="Arial" w:hAnsi="Arial" w:cs="Arial"/>
          <w:i/>
          <w:color w:val="000000"/>
          <w:sz w:val="20"/>
        </w:rPr>
        <w:t>EEOC v. St. Joseph's Hospital</w:t>
      </w:r>
      <w:r>
        <w:rPr>
          <w:rFonts w:ascii="Arial" w:eastAsia="Arial" w:hAnsi="Arial" w:cs="Arial"/>
          <w:color w:val="000000"/>
          <w:sz w:val="20"/>
        </w:rPr>
        <w:t xml:space="preserve"> ("[r]equiring reassignment in violation of an employer's best-qualified hiring or transfer policy is not reasonable in the run of cases."). </w:t>
      </w:r>
      <w:bookmarkStart w:id="3070" w:name="Bookmark_I61BJMG628T4FX0040000400"/>
      <w:bookmarkEnd w:id="3070"/>
      <w:r>
        <w:rPr>
          <w:rFonts w:ascii="Arial" w:eastAsia="Arial" w:hAnsi="Arial" w:cs="Arial"/>
          <w:color w:val="000000"/>
          <w:sz w:val="20"/>
        </w:rPr>
        <w:t xml:space="preserve">842 F.3d at 1346-47. </w:t>
      </w:r>
      <w:bookmarkStart w:id="3071" w:name="Bookmark_I61BJMG62HM69S0020000400_2"/>
      <w:bookmarkEnd w:id="3071"/>
      <w:r>
        <w:rPr>
          <w:rFonts w:ascii="Arial" w:eastAsia="Arial" w:hAnsi="Arial" w:cs="Arial"/>
          <w:color w:val="000000"/>
          <w:sz w:val="20"/>
        </w:rPr>
        <w:t xml:space="preserve">The hiring policy at issue here, which builds a succession system within a best-qualified system, falls even more squarely within the ambit of </w:t>
      </w:r>
      <w:bookmarkStart w:id="3072" w:name="Bookmark_I61BJMG62HM69S0020000400_3"/>
      <w:bookmarkStart w:id="3073" w:name="Bookmark_I61BJMG62HM69S0010000400"/>
      <w:bookmarkEnd w:id="3072"/>
      <w:bookmarkEnd w:id="3073"/>
      <w:r>
        <w:rPr>
          <w:rFonts w:ascii="Arial" w:eastAsia="Arial" w:hAnsi="Arial" w:cs="Arial"/>
          <w:i/>
          <w:color w:val="000000"/>
          <w:sz w:val="20"/>
        </w:rPr>
        <w:t>Barnett</w:t>
      </w:r>
      <w:r>
        <w:rPr>
          <w:rFonts w:ascii="Arial" w:eastAsia="Arial" w:hAnsi="Arial" w:cs="Arial"/>
          <w:color w:val="000000"/>
          <w:sz w:val="20"/>
        </w:rPr>
        <w:t>.</w:t>
      </w:r>
    </w:p>
    <w:p w14:paraId="7520E94B" w14:textId="77777777" w:rsidR="002B10A6" w:rsidRDefault="00000000">
      <w:pPr>
        <w:pStyle w:val="Normal19"/>
        <w:widowControl w:val="0"/>
        <w:spacing w:before="120" w:line="260" w:lineRule="atLeast"/>
      </w:pPr>
      <w:r>
        <w:rPr>
          <w:rFonts w:ascii="Arial" w:eastAsia="Arial" w:hAnsi="Arial" w:cs="Arial"/>
          <w:color w:val="000000"/>
          <w:sz w:val="20"/>
        </w:rPr>
        <w:t>C.</w:t>
      </w:r>
    </w:p>
    <w:p w14:paraId="0AA2D56A" w14:textId="77777777" w:rsidR="002B10A6" w:rsidRDefault="00000000">
      <w:pPr>
        <w:pStyle w:val="Normal19"/>
        <w:widowControl w:val="0"/>
        <w:spacing w:before="200" w:line="260" w:lineRule="atLeast"/>
        <w:jc w:val="both"/>
      </w:pPr>
      <w:bookmarkStart w:id="3074" w:name="Bookmark_para_49_3"/>
      <w:bookmarkEnd w:id="3074"/>
      <w:r>
        <w:rPr>
          <w:rFonts w:ascii="Arial" w:eastAsia="Arial" w:hAnsi="Arial" w:cs="Arial"/>
          <w:color w:val="000000"/>
          <w:sz w:val="20"/>
        </w:rPr>
        <w:t xml:space="preserve">Elledge claims that such a holding would deprive him of the equality of opportunity </w:t>
      </w:r>
      <w:r>
        <w:rPr>
          <w:rFonts w:ascii="Arial" w:eastAsia="Arial" w:hAnsi="Arial" w:cs="Arial"/>
          <w:i/>
          <w:color w:val="000000"/>
          <w:sz w:val="20"/>
        </w:rPr>
        <w:t>Barnett</w:t>
      </w:r>
      <w:r>
        <w:rPr>
          <w:rFonts w:ascii="Arial" w:eastAsia="Arial" w:hAnsi="Arial" w:cs="Arial"/>
          <w:color w:val="000000"/>
          <w:sz w:val="20"/>
        </w:rPr>
        <w:t xml:space="preserve"> and the ADA guarantee. But the record demonstrates that Lowe's extended reasonable accommodations to Elledge, acting at every stage to ensure that his disability did not unfairly compromise his equality of opportunity at Lowe's. The light-duty accommodation provided a reasonable pace and period, given the strenuous demands of the job, for Elledge to recover [**27]  from his surgery. Lowe's offer of a motorized scooter was reasonably calculated to mitigate the disadvantages of Elledge's reduction in natural mobility. The significance of these accommodations, having been extensively discussed above, will not be dwelt upon further here.</w:t>
      </w:r>
    </w:p>
    <w:p w14:paraId="23E1FE07" w14:textId="77777777" w:rsidR="002B10A6" w:rsidRDefault="00000000">
      <w:pPr>
        <w:pStyle w:val="Normal19"/>
        <w:widowControl w:val="0"/>
        <w:spacing w:before="200" w:line="260" w:lineRule="atLeast"/>
        <w:jc w:val="both"/>
      </w:pPr>
      <w:bookmarkStart w:id="3075" w:name="Bookmark_para_50_3"/>
      <w:bookmarkEnd w:id="3075"/>
      <w:r>
        <w:rPr>
          <w:rFonts w:ascii="Arial" w:eastAsia="Arial" w:hAnsi="Arial" w:cs="Arial"/>
          <w:color w:val="000000"/>
          <w:sz w:val="20"/>
        </w:rPr>
        <w:t xml:space="preserve">What must be added is that Lowe's also reasonably accommodated Elledge by directly assisting him with job transition. Reinhart and Dryden, a Director of Human Resources and a Vice President of Store Operations respectively, had several conversations with Elledge about alternative career opportunities at Lowe's. They also agreed to network on his behalf regarding any and all positions in which he might express an interest. Reinhart and Dryden were senior-level employees; their time was valuable to Lowe's but they rightly devoted a non-trivial portion of it to help Elledge identify and approach new opportunities at the company. </w:t>
      </w:r>
      <w:bookmarkStart w:id="3076" w:name="Bookmark_I61BJMG62HM69S0040000400"/>
      <w:bookmarkEnd w:id="3076"/>
      <w:r>
        <w:rPr>
          <w:rFonts w:ascii="Arial" w:eastAsia="Arial" w:hAnsi="Arial" w:cs="Arial"/>
          <w:color w:val="000000"/>
          <w:sz w:val="20"/>
        </w:rPr>
        <w:t xml:space="preserve">When Elledge did submit his applications to the  [*1017]  Merchandising Director of Lawn and Garden and Managing Director of Outdoor Power Equipment positions, he did so through the same process as every other employee. The face of the record, then, shows many examples of Lowe's proactively working to [**28]  ensure that Elledge did not, despite his disability, receive anything less than "the same workplace opportunities" as other, non-disabled employees. </w:t>
      </w:r>
      <w:bookmarkStart w:id="3077" w:name="Bookmark_I61BJMG62HM69S0030000400"/>
      <w:bookmarkEnd w:id="3077"/>
      <w:r>
        <w:rPr>
          <w:rFonts w:ascii="Arial" w:eastAsia="Arial" w:hAnsi="Arial" w:cs="Arial"/>
          <w:i/>
          <w:color w:val="000000"/>
          <w:sz w:val="20"/>
        </w:rPr>
        <w:t>Barnett</w:t>
      </w:r>
      <w:r>
        <w:rPr>
          <w:rFonts w:ascii="Arial" w:eastAsia="Arial" w:hAnsi="Arial" w:cs="Arial"/>
          <w:color w:val="000000"/>
          <w:sz w:val="20"/>
        </w:rPr>
        <w:t>, 535 U.S at 397.</w:t>
      </w:r>
      <w:r>
        <w:rPr>
          <w:rFonts w:ascii="Arial" w:eastAsia="Arial" w:hAnsi="Arial" w:cs="Arial"/>
          <w:vertAlign w:val="superscript"/>
        </w:rPr>
        <w:footnoteReference w:customMarkFollows="1" w:id="140"/>
        <w:t>1</w:t>
      </w:r>
    </w:p>
    <w:p w14:paraId="2FDB2710" w14:textId="77777777" w:rsidR="002B10A6" w:rsidRDefault="00000000">
      <w:pPr>
        <w:pStyle w:val="Normal19"/>
        <w:widowControl w:val="0"/>
        <w:spacing w:before="200" w:line="260" w:lineRule="atLeast"/>
        <w:jc w:val="both"/>
      </w:pPr>
      <w:bookmarkStart w:id="3079" w:name="Bookmark_para_51_3"/>
      <w:bookmarkEnd w:id="3079"/>
      <w:r>
        <w:rPr>
          <w:rFonts w:ascii="Arial" w:eastAsia="Arial" w:hAnsi="Arial" w:cs="Arial"/>
          <w:color w:val="000000"/>
          <w:sz w:val="20"/>
        </w:rPr>
        <w:t>Elledge, however, claims that his applications were disadvantaged on account of his disability, proven indirectly by his losing both positions to men of inferior qualification. But again, even drawing the reasonable inferences in Elledge's favor, this claim is without a sound basis in the record.</w:t>
      </w:r>
    </w:p>
    <w:p w14:paraId="05766676" w14:textId="77777777" w:rsidR="002B10A6" w:rsidRDefault="00000000">
      <w:pPr>
        <w:pStyle w:val="Normal19"/>
        <w:widowControl w:val="0"/>
        <w:spacing w:before="200" w:line="260" w:lineRule="atLeast"/>
        <w:jc w:val="both"/>
      </w:pPr>
      <w:bookmarkStart w:id="3080" w:name="Bookmark_para_52_3"/>
      <w:bookmarkEnd w:id="3080"/>
      <w:r>
        <w:rPr>
          <w:rFonts w:ascii="Arial" w:eastAsia="Arial" w:hAnsi="Arial" w:cs="Arial"/>
          <w:color w:val="000000"/>
          <w:sz w:val="20"/>
        </w:rPr>
        <w:t>For purposes of the present appeal, both positions share the same relevant qualifications, which include: (1) four years of experience in retail merchandising; (2) experience working within the relevant category; (3) negotiating with vendors; (4) overseeing "Product Line Review," which requires evaluation of vendors and of product-line performance; and (5) identifying and driving new product opportunities. Taken together, these qualifications indicate the importance of possessing a deep practical understanding of the relevant product category.</w:t>
      </w:r>
    </w:p>
    <w:p w14:paraId="2A456195" w14:textId="77777777" w:rsidR="002B10A6" w:rsidRDefault="00000000">
      <w:pPr>
        <w:pStyle w:val="Normal19"/>
        <w:widowControl w:val="0"/>
        <w:spacing w:before="200" w:line="260" w:lineRule="atLeast"/>
        <w:jc w:val="both"/>
      </w:pPr>
      <w:bookmarkStart w:id="3081" w:name="Bookmark_para_53_3"/>
      <w:bookmarkEnd w:id="3081"/>
      <w:r>
        <w:rPr>
          <w:rFonts w:ascii="Arial" w:eastAsia="Arial" w:hAnsi="Arial" w:cs="Arial"/>
          <w:color w:val="000000"/>
          <w:sz w:val="20"/>
        </w:rPr>
        <w:t>For the Lawn and Garden directorship, Elledge points to the handful of isolated experiences with lawn and garden that he accumulated over the course of his almost two decades at Lowe's. But these do not support [**29]  an inference that Elledge's application was disadvantaged because of his disability. Ryan Lane, who ultimately received the offer, had been identified as a prime candidate for that position through the Lawn &amp; Garden department's succession planning system, which means that Lowe's had recognized his product-area potential and invested in training him specifically to fill future vacancies in that department's directorships. That was in keeping with the company's policy and the incentives and expectations fostered by intra-departmental advancement.</w:t>
      </w:r>
    </w:p>
    <w:p w14:paraId="42BD6B1E" w14:textId="77777777" w:rsidR="002B10A6" w:rsidRDefault="00000000">
      <w:pPr>
        <w:pStyle w:val="Normal19"/>
        <w:widowControl w:val="0"/>
        <w:spacing w:before="200" w:line="260" w:lineRule="atLeast"/>
        <w:jc w:val="both"/>
      </w:pPr>
      <w:bookmarkStart w:id="3082" w:name="Bookmark_para_54_3"/>
      <w:bookmarkEnd w:id="3082"/>
      <w:r>
        <w:rPr>
          <w:rFonts w:ascii="Arial" w:eastAsia="Arial" w:hAnsi="Arial" w:cs="Arial"/>
          <w:color w:val="000000"/>
          <w:sz w:val="20"/>
        </w:rPr>
        <w:t xml:space="preserve">As for the Outdoor Power Equipment directorship, Elledge's alleged experience in the relevant product category was even less robust. He provided little evidence of direct experience in merchandising, evaluating, or negotiating over products in the outdoor power equipment line. Chad Sanders, whom Lowe's ultimately hired for the position, did not possess significantly more experience with outdoor power equipment than Elledge, but he did surpass Elledge in other relevant respects. </w:t>
      </w:r>
      <w:bookmarkStart w:id="3083" w:name="Bookmark_I61BJMG62HM69T0010000400"/>
      <w:bookmarkEnd w:id="3083"/>
      <w:r>
        <w:rPr>
          <w:rFonts w:ascii="Arial" w:eastAsia="Arial" w:hAnsi="Arial" w:cs="Arial"/>
          <w:color w:val="000000"/>
          <w:sz w:val="20"/>
        </w:rPr>
        <w:t xml:space="preserve">Namely, he was the founder of Lowe's Assistant Leadership Development program and directed leadership development at the company for over five years. Again, given this [**30]  disparity between the two applicants in an area so central to a directorship position, it is not reasonable to infer that Lowe's deprived Elledge of an equal opportunity to compete for the position because of his disability. The reasonable inference is, instead, that Lowe's, in a perfectly legitimate exercise of its discretion, found that Sanders' unique strengths and experiences better qualified him to serve in that position at the time the hiring decision was made. </w:t>
      </w:r>
      <w:r>
        <w:rPr>
          <w:rFonts w:ascii="Arial" w:eastAsia="Arial" w:hAnsi="Arial" w:cs="Arial"/>
          <w:i/>
          <w:color w:val="000000"/>
          <w:sz w:val="20"/>
        </w:rPr>
        <w:t xml:space="preserve">See </w:t>
      </w:r>
      <w:bookmarkStart w:id="3084" w:name="Bookmark_I61BJMG62HM69S0050000400"/>
      <w:bookmarkEnd w:id="3084"/>
      <w:r>
        <w:rPr>
          <w:rFonts w:ascii="Arial" w:eastAsia="Arial" w:hAnsi="Arial" w:cs="Arial"/>
          <w:i/>
          <w:color w:val="000000"/>
          <w:sz w:val="20"/>
        </w:rPr>
        <w:t>St. Joseph's Hosp.</w:t>
      </w:r>
      <w:r>
        <w:rPr>
          <w:rFonts w:ascii="Arial" w:eastAsia="Arial" w:hAnsi="Arial" w:cs="Arial"/>
          <w:color w:val="000000"/>
          <w:sz w:val="20"/>
        </w:rPr>
        <w:t>, 842 F.3d at 1346 n.5.</w:t>
      </w:r>
    </w:p>
    <w:p w14:paraId="77C33D81" w14:textId="77777777" w:rsidR="002B10A6" w:rsidRDefault="00000000">
      <w:pPr>
        <w:pStyle w:val="Normal19"/>
        <w:widowControl w:val="0"/>
        <w:spacing w:before="200" w:line="260" w:lineRule="atLeast"/>
        <w:jc w:val="both"/>
      </w:pPr>
      <w:bookmarkStart w:id="3085" w:name="Bookmark_para_55_2"/>
      <w:bookmarkEnd w:id="3085"/>
      <w:r>
        <w:rPr>
          <w:rFonts w:ascii="Arial" w:eastAsia="Arial" w:hAnsi="Arial" w:cs="Arial"/>
          <w:color w:val="000000"/>
          <w:sz w:val="20"/>
        </w:rPr>
        <w:t>It is also worth noting here that Reinhart and Dryden informed Elledge about and encouraged him to accept a manager-level role. These positions would not be as well remunerated as Managing Director of  [*1018]  Stores, but their responsibilities would be lighter and the jobs themselves easier to obtain. Such a position could have served as a track for Elledge to gain new and valuable experience that would return him to the directorship level, this time in a position more suited to his condition. Elledge declined because of the prospective reduction in compensation, which was, of course, his prerogative. But it cannot be said that Lowe's shunted Elledge off to an early retirement without attempting to provide him meaningful [**31]  opportunities to continue his working relationship with the company.</w:t>
      </w:r>
    </w:p>
    <w:p w14:paraId="181B7560" w14:textId="77777777" w:rsidR="002B10A6" w:rsidRDefault="00000000">
      <w:pPr>
        <w:pStyle w:val="Normal19"/>
        <w:widowControl w:val="0"/>
        <w:spacing w:before="200" w:line="260" w:lineRule="atLeast"/>
        <w:jc w:val="both"/>
      </w:pPr>
      <w:bookmarkStart w:id="3086" w:name="Bookmark_para_56_2"/>
      <w:bookmarkEnd w:id="3086"/>
      <w:r>
        <w:rPr>
          <w:rFonts w:ascii="Arial" w:eastAsia="Arial" w:hAnsi="Arial" w:cs="Arial"/>
          <w:color w:val="000000"/>
          <w:sz w:val="20"/>
        </w:rPr>
        <w:t>We do not write broadly. On the facts and record before this court, however, Elledge simply cannot claim that Lowe's was an employer indifferent to the requirements of the ADA. To the contrary, the company met at multiple turns the statute's core obligation of providing reasonable accommodation to the employee, and we thus affirm the trial court's ruling.</w:t>
      </w:r>
    </w:p>
    <w:p w14:paraId="7072B2EC" w14:textId="77777777" w:rsidR="002B10A6" w:rsidRDefault="00000000">
      <w:pPr>
        <w:pStyle w:val="Normal19"/>
        <w:widowControl w:val="0"/>
        <w:spacing w:before="120" w:line="260" w:lineRule="atLeast"/>
      </w:pPr>
      <w:r>
        <w:rPr>
          <w:rFonts w:ascii="Arial" w:eastAsia="Arial" w:hAnsi="Arial" w:cs="Arial"/>
          <w:color w:val="000000"/>
          <w:sz w:val="20"/>
        </w:rPr>
        <w:t>IV.</w:t>
      </w:r>
    </w:p>
    <w:p w14:paraId="7B46F9C6" w14:textId="77777777" w:rsidR="002B10A6" w:rsidRDefault="00000000">
      <w:pPr>
        <w:pStyle w:val="Normal19"/>
        <w:widowControl w:val="0"/>
        <w:spacing w:before="200" w:line="260" w:lineRule="atLeast"/>
        <w:jc w:val="both"/>
      </w:pPr>
      <w:bookmarkStart w:id="3087" w:name="Bookmark_para_57_2"/>
      <w:bookmarkStart w:id="3088" w:name="Bookmark_I61BJMG62HM69T0030000400"/>
      <w:bookmarkEnd w:id="3087"/>
      <w:bookmarkEnd w:id="3088"/>
      <w:r>
        <w:rPr>
          <w:rFonts w:ascii="Arial" w:eastAsia="Arial" w:hAnsi="Arial" w:cs="Arial"/>
          <w:color w:val="000000"/>
          <w:sz w:val="20"/>
        </w:rPr>
        <w:t xml:space="preserve">Elledge claims that Lowe's removal of him from the MDS position and its rejection of his job applications violated the ADEA. </w:t>
      </w:r>
      <w:bookmarkStart w:id="3089" w:name="Bookmark_LNHNREFclscc15_6"/>
      <w:bookmarkEnd w:id="3089"/>
      <w:r>
        <w:rPr>
          <w:rFonts w:ascii="Arial" w:eastAsia="Arial" w:hAnsi="Arial" w:cs="Arial"/>
          <w:color w:val="000000"/>
          <w:sz w:val="20"/>
        </w:rPr>
        <w:t xml:space="preserve">In order to prove a </w:t>
      </w:r>
      <w:r>
        <w:rPr>
          <w:rFonts w:ascii="Arial" w:eastAsia="Arial" w:hAnsi="Arial" w:cs="Arial"/>
          <w:i/>
          <w:color w:val="000000"/>
          <w:sz w:val="20"/>
        </w:rPr>
        <w:t>prima facie</w:t>
      </w:r>
      <w:r>
        <w:rPr>
          <w:rFonts w:ascii="Arial" w:eastAsia="Arial" w:hAnsi="Arial" w:cs="Arial"/>
          <w:color w:val="000000"/>
          <w:sz w:val="20"/>
        </w:rPr>
        <w:t xml:space="preserve"> case that a removal violated the ADEA, Elledge must show </w:t>
      </w:r>
      <w:r>
        <w:rPr>
          <w:rFonts w:ascii="Arial" w:eastAsia="Arial" w:hAnsi="Arial" w:cs="Arial"/>
          <w:i/>
          <w:color w:val="000000"/>
          <w:sz w:val="20"/>
        </w:rPr>
        <w:t>inter alia</w:t>
      </w:r>
      <w:r>
        <w:rPr>
          <w:rFonts w:ascii="Arial" w:eastAsia="Arial" w:hAnsi="Arial" w:cs="Arial"/>
          <w:color w:val="000000"/>
          <w:sz w:val="20"/>
        </w:rPr>
        <w:t xml:space="preserve"> that he was qualified for his job. </w:t>
      </w:r>
      <w:bookmarkStart w:id="3090" w:name="Bookmark_I61BJMG62HM69T0020000400"/>
      <w:bookmarkEnd w:id="3090"/>
      <w:r>
        <w:rPr>
          <w:rFonts w:ascii="Arial" w:eastAsia="Arial" w:hAnsi="Arial" w:cs="Arial"/>
          <w:i/>
          <w:color w:val="000000"/>
          <w:sz w:val="20"/>
        </w:rPr>
        <w:t>Reeves v. Sanderson Plumbing Products, Inc.</w:t>
      </w:r>
      <w:r>
        <w:rPr>
          <w:rFonts w:ascii="Arial" w:eastAsia="Arial" w:hAnsi="Arial" w:cs="Arial"/>
          <w:color w:val="000000"/>
          <w:sz w:val="20"/>
        </w:rPr>
        <w:t xml:space="preserve">, 530 U.S. 133, 142, 120 S. Ct. 2097, 147 L. Ed. 2d 105 (2000). As the foregoing demonstrates, however, Elledge was not able to perform the essential functions of his MDS job with or without reasonable accommodations. This inability bars his </w:t>
      </w:r>
      <w:r>
        <w:rPr>
          <w:rFonts w:ascii="Arial" w:eastAsia="Arial" w:hAnsi="Arial" w:cs="Arial"/>
          <w:i/>
          <w:color w:val="000000"/>
          <w:sz w:val="20"/>
        </w:rPr>
        <w:t>prima facie</w:t>
      </w:r>
      <w:r>
        <w:rPr>
          <w:rFonts w:ascii="Arial" w:eastAsia="Arial" w:hAnsi="Arial" w:cs="Arial"/>
          <w:color w:val="000000"/>
          <w:sz w:val="20"/>
        </w:rPr>
        <w:t xml:space="preserve"> case on removal.</w:t>
      </w:r>
    </w:p>
    <w:p w14:paraId="6CE90C73" w14:textId="77777777" w:rsidR="002B10A6" w:rsidRDefault="00000000">
      <w:pPr>
        <w:pStyle w:val="Normal19"/>
        <w:widowControl w:val="0"/>
        <w:spacing w:before="200" w:line="260" w:lineRule="atLeast"/>
        <w:jc w:val="both"/>
      </w:pPr>
      <w:bookmarkStart w:id="3091" w:name="Bookmark_para_58_2"/>
      <w:bookmarkStart w:id="3092" w:name="Bookmark_I61BJMG62HM69T0050000400"/>
      <w:bookmarkStart w:id="3093" w:name="Bookmark_LNHNREFclscc16_4"/>
      <w:bookmarkEnd w:id="3091"/>
      <w:bookmarkEnd w:id="3092"/>
      <w:bookmarkEnd w:id="3093"/>
      <w:r>
        <w:rPr>
          <w:rFonts w:ascii="Arial" w:eastAsia="Arial" w:hAnsi="Arial" w:cs="Arial"/>
          <w:color w:val="000000"/>
          <w:sz w:val="20"/>
        </w:rPr>
        <w:t xml:space="preserve">Making a </w:t>
      </w:r>
      <w:r>
        <w:rPr>
          <w:rFonts w:ascii="Arial" w:eastAsia="Arial" w:hAnsi="Arial" w:cs="Arial"/>
          <w:i/>
          <w:color w:val="000000"/>
          <w:sz w:val="20"/>
        </w:rPr>
        <w:t>prima facie</w:t>
      </w:r>
      <w:r>
        <w:rPr>
          <w:rFonts w:ascii="Arial" w:eastAsia="Arial" w:hAnsi="Arial" w:cs="Arial"/>
          <w:color w:val="000000"/>
          <w:sz w:val="20"/>
        </w:rPr>
        <w:t xml:space="preserve"> case that an unfavorable hiring decision offended the ADEA requires a similar showing, namely that "the position . . . was filled by a similarly qualified applicant who was substantially younger than the plaintiff." </w:t>
      </w:r>
      <w:bookmarkStart w:id="3094" w:name="Bookmark_I61BJMG62HM69T0040000400"/>
      <w:bookmarkEnd w:id="3094"/>
      <w:r>
        <w:rPr>
          <w:rFonts w:ascii="Arial" w:eastAsia="Arial" w:hAnsi="Arial" w:cs="Arial"/>
          <w:i/>
          <w:color w:val="000000"/>
          <w:sz w:val="20"/>
        </w:rPr>
        <w:t>Laber v. Harvey</w:t>
      </w:r>
      <w:r>
        <w:rPr>
          <w:rFonts w:ascii="Arial" w:eastAsia="Arial" w:hAnsi="Arial" w:cs="Arial"/>
          <w:color w:val="000000"/>
          <w:sz w:val="20"/>
        </w:rPr>
        <w:t>, 438 F.3d 404, 430 (4th Cir. 2006). For the reasons noted in the preceding section, Elledge's competitors [**32]  each possessed certain unique qualifications that Elledge lacked, qualifications it was not at all pretextual or discriminatory for Lowe's to weigh in filling the positions at issue.</w:t>
      </w:r>
    </w:p>
    <w:p w14:paraId="438F8ACB" w14:textId="77777777" w:rsidR="002B10A6" w:rsidRDefault="00000000">
      <w:pPr>
        <w:pStyle w:val="Normal19"/>
        <w:widowControl w:val="0"/>
        <w:spacing w:before="120" w:line="260" w:lineRule="atLeast"/>
      </w:pPr>
      <w:r>
        <w:rPr>
          <w:rFonts w:ascii="Arial" w:eastAsia="Arial" w:hAnsi="Arial" w:cs="Arial"/>
          <w:color w:val="000000"/>
          <w:sz w:val="20"/>
        </w:rPr>
        <w:t>V.</w:t>
      </w:r>
    </w:p>
    <w:p w14:paraId="74CC60B0" w14:textId="77777777" w:rsidR="002B10A6" w:rsidRDefault="00000000">
      <w:pPr>
        <w:pStyle w:val="Normal19"/>
        <w:widowControl w:val="0"/>
        <w:spacing w:before="200" w:line="260" w:lineRule="atLeast"/>
        <w:jc w:val="both"/>
      </w:pPr>
      <w:bookmarkStart w:id="3095" w:name="Bookmark_para_59_2"/>
      <w:bookmarkEnd w:id="3095"/>
      <w:r>
        <w:rPr>
          <w:rFonts w:ascii="Arial" w:eastAsia="Arial" w:hAnsi="Arial" w:cs="Arial"/>
          <w:color w:val="000000"/>
          <w:sz w:val="20"/>
        </w:rPr>
        <w:t>For the foregoing reasons, we shall affirm the judgment of the district court.</w:t>
      </w:r>
    </w:p>
    <w:p w14:paraId="5FA6430F" w14:textId="77777777" w:rsidR="002B10A6" w:rsidRDefault="00000000">
      <w:pPr>
        <w:pStyle w:val="Normal19"/>
        <w:widowControl w:val="0"/>
        <w:spacing w:before="200" w:line="260" w:lineRule="atLeast"/>
        <w:jc w:val="both"/>
      </w:pPr>
      <w:bookmarkStart w:id="3096" w:name="Bookmark_para_60_2"/>
      <w:bookmarkEnd w:id="3096"/>
      <w:r>
        <w:rPr>
          <w:rFonts w:ascii="Arial" w:eastAsia="Arial" w:hAnsi="Arial" w:cs="Arial"/>
          <w:i/>
          <w:color w:val="000000"/>
          <w:sz w:val="20"/>
        </w:rPr>
        <w:t>AFFIRMED</w:t>
      </w:r>
    </w:p>
    <w:p w14:paraId="086791DC" w14:textId="77777777" w:rsidR="002B10A6" w:rsidRDefault="002B10A6">
      <w:pPr>
        <w:pStyle w:val="Normal19"/>
      </w:pPr>
    </w:p>
    <w:p w14:paraId="08535E9F" w14:textId="66FA093D" w:rsidR="002B10A6" w:rsidRDefault="00000000">
      <w:pPr>
        <w:pStyle w:val="Normal19"/>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699200" behindDoc="0" locked="0" layoutInCell="1" allowOverlap="1" wp14:anchorId="24987D33" wp14:editId="498AA573">
                <wp:simplePos x="0" y="0"/>
                <wp:positionH relativeFrom="column">
                  <wp:posOffset>0</wp:posOffset>
                </wp:positionH>
                <wp:positionV relativeFrom="paragraph">
                  <wp:posOffset>127000</wp:posOffset>
                </wp:positionV>
                <wp:extent cx="6502400" cy="0"/>
                <wp:effectExtent l="9525" t="12700" r="12700" b="6350"/>
                <wp:wrapNone/>
                <wp:docPr id="130370190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4FBD8" id="Line 41"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161A7FF" w14:textId="77777777" w:rsidR="002B10A6" w:rsidRDefault="002B10A6">
      <w:pPr>
        <w:pStyle w:val="Normal20"/>
        <w:sectPr w:rsidR="002B10A6">
          <w:headerReference w:type="even" r:id="rId126"/>
          <w:headerReference w:type="default" r:id="rId127"/>
          <w:footerReference w:type="even" r:id="rId128"/>
          <w:footerReference w:type="default" r:id="rId129"/>
          <w:headerReference w:type="first" r:id="rId130"/>
          <w:footerReference w:type="first" r:id="rId131"/>
          <w:pgSz w:w="12240" w:h="15840"/>
          <w:pgMar w:top="840" w:right="1000" w:bottom="840" w:left="1000" w:header="400" w:footer="400" w:gutter="0"/>
          <w:cols w:space="720"/>
          <w:titlePg/>
        </w:sectPr>
      </w:pPr>
    </w:p>
    <w:p w14:paraId="1A7697E3" w14:textId="77777777" w:rsidR="002B10A6" w:rsidRDefault="002B10A6">
      <w:pPr>
        <w:pStyle w:val="Normal20"/>
      </w:pPr>
    </w:p>
    <w:p w14:paraId="52ADA66C" w14:textId="77777777" w:rsidR="002B10A6" w:rsidRDefault="00000000">
      <w:pPr>
        <w:pStyle w:val="Heading119"/>
        <w:keepNext w:val="0"/>
        <w:widowControl w:val="0"/>
        <w:spacing w:after="200" w:line="340" w:lineRule="atLeast"/>
        <w:jc w:val="center"/>
      </w:pPr>
      <w:r>
        <w:rPr>
          <w:rFonts w:eastAsia="Arial"/>
          <w:color w:val="000000"/>
          <w:sz w:val="28"/>
        </w:rPr>
        <w:t>Nat'l Ass'n of the Deaf v. Florida</w:t>
      </w:r>
    </w:p>
    <w:p w14:paraId="6AD66319" w14:textId="77777777" w:rsidR="002B10A6" w:rsidRDefault="00000000">
      <w:pPr>
        <w:pStyle w:val="Normal20"/>
        <w:widowControl w:val="0"/>
        <w:spacing w:before="120" w:line="260" w:lineRule="atLeast"/>
        <w:jc w:val="center"/>
      </w:pPr>
      <w:r>
        <w:rPr>
          <w:rFonts w:ascii="Arial" w:eastAsia="Arial" w:hAnsi="Arial" w:cs="Arial"/>
          <w:color w:val="000000"/>
          <w:sz w:val="20"/>
        </w:rPr>
        <w:t>United States Court of Appeals for the Eleventh Circuit</w:t>
      </w:r>
    </w:p>
    <w:p w14:paraId="3DA4A0C8" w14:textId="77777777" w:rsidR="002B10A6" w:rsidRDefault="00000000">
      <w:pPr>
        <w:pStyle w:val="Normal20"/>
        <w:widowControl w:val="0"/>
        <w:spacing w:before="120" w:line="260" w:lineRule="atLeast"/>
        <w:jc w:val="center"/>
      </w:pPr>
      <w:r>
        <w:rPr>
          <w:rFonts w:ascii="Arial" w:eastAsia="Arial" w:hAnsi="Arial" w:cs="Arial"/>
          <w:color w:val="000000"/>
          <w:sz w:val="20"/>
        </w:rPr>
        <w:t>November 10, 2020, Decided; November 10, 2020, Filed</w:t>
      </w:r>
    </w:p>
    <w:p w14:paraId="6FB8E54E" w14:textId="77777777" w:rsidR="002B10A6" w:rsidRDefault="00000000">
      <w:pPr>
        <w:pStyle w:val="Normal20"/>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18-12786</w:t>
      </w:r>
    </w:p>
    <w:p w14:paraId="2341DA92" w14:textId="77777777" w:rsidR="002B10A6" w:rsidRDefault="002B10A6">
      <w:pPr>
        <w:pStyle w:val="Normal20"/>
        <w:widowControl w:val="0"/>
        <w:spacing w:line="240" w:lineRule="atLeast"/>
        <w:jc w:val="both"/>
      </w:pPr>
      <w:bookmarkStart w:id="3097" w:name="Bookmark_21"/>
      <w:bookmarkEnd w:id="3097"/>
    </w:p>
    <w:p w14:paraId="306AE8FC" w14:textId="77777777" w:rsidR="002B10A6" w:rsidRDefault="00000000">
      <w:pPr>
        <w:pStyle w:val="Normal20"/>
        <w:widowControl w:val="0"/>
        <w:spacing w:before="200" w:line="240" w:lineRule="atLeast"/>
      </w:pPr>
      <w:bookmarkStart w:id="3098" w:name="Reporter_19"/>
      <w:bookmarkEnd w:id="3098"/>
      <w:r>
        <w:rPr>
          <w:rFonts w:ascii="Arial" w:eastAsia="Arial" w:hAnsi="Arial" w:cs="Arial"/>
          <w:b/>
          <w:color w:val="000000"/>
          <w:sz w:val="18"/>
        </w:rPr>
        <w:t>Reporter</w:t>
      </w:r>
    </w:p>
    <w:p w14:paraId="1078CC23" w14:textId="77777777" w:rsidR="002B10A6" w:rsidRDefault="00000000">
      <w:pPr>
        <w:pStyle w:val="Normal20"/>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980 F.3d 763 *; 2020 U.S. App. LEXIS 35395 **; 28 Fla. L. Weekly Fed. C 2129; 2020 WL 6575040</w:t>
      </w:r>
    </w:p>
    <w:p w14:paraId="053C2439" w14:textId="77777777" w:rsidR="002B10A6" w:rsidRDefault="00000000">
      <w:pPr>
        <w:pStyle w:val="Normal20"/>
        <w:widowControl w:val="0"/>
        <w:spacing w:before="120" w:line="260" w:lineRule="atLeast"/>
      </w:pPr>
      <w:r>
        <w:rPr>
          <w:rFonts w:ascii="Arial" w:eastAsia="Arial" w:hAnsi="Arial" w:cs="Arial"/>
          <w:color w:val="000000"/>
          <w:sz w:val="20"/>
        </w:rPr>
        <w:t>NATIONAL ASSOCIATION OF THE DEAF, EDDIE I. SIERRA, Plaintiffs-Appellees, versus STATE OF FLORIDA, THE FLORIDA SENATE, THE HONORABLE BILL GALVANO, in his official capacity as President of the Florida Senate, THE FLORIDA HOUSE OF REPRESENTATIVES, THE HONORABLE JOSE OLIVA, in his official capacity as Speaker of the Florida House of Representatives, FLORIDA STATE UNIVERSITY BOARD OF TRUSTEES, the public body corporate acting for and behalf of Florida State University, JOHN THRASHER, in his official capacity as President of Florida State University, Defendants-Appellants.</w:t>
      </w:r>
      <w:r>
        <w:rPr>
          <w:rFonts w:ascii="Arial" w:eastAsia="Arial" w:hAnsi="Arial" w:cs="Arial"/>
          <w:vertAlign w:val="superscript"/>
        </w:rPr>
        <w:footnoteReference w:customMarkFollows="1" w:id="141"/>
        <w:t>†</w:t>
      </w:r>
    </w:p>
    <w:p w14:paraId="6F465973" w14:textId="77777777" w:rsidR="002B10A6" w:rsidRDefault="00000000">
      <w:pPr>
        <w:pStyle w:val="Normal20"/>
        <w:widowControl w:val="0"/>
        <w:spacing w:before="240" w:line="260" w:lineRule="atLeast"/>
      </w:pPr>
      <w:bookmarkStart w:id="3100" w:name="Subsequent_History_4"/>
      <w:bookmarkEnd w:id="3100"/>
      <w:r>
        <w:rPr>
          <w:rFonts w:ascii="Arial" w:eastAsia="Arial" w:hAnsi="Arial" w:cs="Arial"/>
          <w:b/>
          <w:color w:val="000000"/>
          <w:sz w:val="20"/>
        </w:rPr>
        <w:t>Subsequent History:</w:t>
      </w:r>
      <w:r>
        <w:rPr>
          <w:rFonts w:ascii="Arial" w:eastAsia="Arial" w:hAnsi="Arial" w:cs="Arial"/>
          <w:color w:val="000000"/>
          <w:sz w:val="20"/>
        </w:rPr>
        <w:t> Rehearing denied by, Rehearing denied by, En banc Nat'l Ass'n of the Deaf v. Florida, 2021 U.S. App. LEXIS 663 (11th Cir. Fla., Jan. 11, 2021)</w:t>
      </w:r>
    </w:p>
    <w:p w14:paraId="78E27A33" w14:textId="77777777" w:rsidR="002B10A6" w:rsidRDefault="00000000">
      <w:pPr>
        <w:pStyle w:val="Normal20"/>
        <w:widowControl w:val="0"/>
        <w:spacing w:before="240" w:line="260" w:lineRule="atLeast"/>
        <w:jc w:val="both"/>
      </w:pPr>
      <w:bookmarkStart w:id="3101" w:name="Prior_History_19"/>
      <w:bookmarkEnd w:id="3101"/>
      <w:r>
        <w:rPr>
          <w:rFonts w:ascii="Arial" w:eastAsia="Arial" w:hAnsi="Arial" w:cs="Arial"/>
          <w:b/>
          <w:color w:val="000000"/>
          <w:sz w:val="20"/>
        </w:rPr>
        <w:t>Prior History:</w:t>
      </w:r>
      <w:r>
        <w:rPr>
          <w:rFonts w:ascii="Arial" w:eastAsia="Arial" w:hAnsi="Arial" w:cs="Arial"/>
          <w:color w:val="000000"/>
          <w:sz w:val="20"/>
        </w:rPr>
        <w:t> </w:t>
      </w:r>
      <w:bookmarkStart w:id="3102" w:name="Bookmark_para_1_19"/>
      <w:bookmarkEnd w:id="3102"/>
      <w:r>
        <w:rPr>
          <w:rFonts w:ascii="Arial" w:eastAsia="Arial" w:hAnsi="Arial" w:cs="Arial"/>
          <w:color w:val="000000"/>
          <w:sz w:val="20"/>
        </w:rPr>
        <w:t> [**1] Appeals from the United States District Court for the Southern District of Florida. D.C. Docket No. 1:18-cv-21232-UU.</w:t>
      </w:r>
    </w:p>
    <w:p w14:paraId="2376E63F" w14:textId="77777777" w:rsidR="002B10A6" w:rsidRDefault="00000000">
      <w:pPr>
        <w:pStyle w:val="Normal20"/>
        <w:widowControl w:val="0"/>
        <w:spacing w:before="120" w:line="260" w:lineRule="atLeast"/>
      </w:pPr>
      <w:r>
        <w:rPr>
          <w:rFonts w:ascii="Arial" w:eastAsia="Arial" w:hAnsi="Arial" w:cs="Arial"/>
          <w:color w:val="000000"/>
          <w:sz w:val="20"/>
        </w:rPr>
        <w:t>Nat'l Ass'n of the Deaf v. Florida, 318 F. Supp. 3d 1338, 2018 U.S. Dist. LEXIS 129408 (S.D. Fla., June 18, 2018)</w:t>
      </w:r>
    </w:p>
    <w:p w14:paraId="236BD222" w14:textId="77777777" w:rsidR="002B10A6" w:rsidRDefault="00000000">
      <w:pPr>
        <w:pStyle w:val="Normal20"/>
        <w:widowControl w:val="0"/>
        <w:spacing w:before="240" w:line="260" w:lineRule="atLeast"/>
      </w:pPr>
      <w:bookmarkStart w:id="3103" w:name="Counsel_19"/>
      <w:bookmarkEnd w:id="3103"/>
      <w:r>
        <w:rPr>
          <w:rFonts w:ascii="Arial" w:eastAsia="Arial" w:hAnsi="Arial" w:cs="Arial"/>
          <w:b/>
          <w:color w:val="000000"/>
          <w:sz w:val="20"/>
        </w:rPr>
        <w:t>Counsel:</w:t>
      </w:r>
      <w:r>
        <w:rPr>
          <w:rFonts w:ascii="Arial" w:eastAsia="Arial" w:hAnsi="Arial" w:cs="Arial"/>
          <w:color w:val="000000"/>
          <w:sz w:val="20"/>
        </w:rPr>
        <w:t> For NATIONAL ASSOCIATION OF THE DEAF, EDDIE I. SIERRA, Plaintiffs - Appellee: Juan Courtney Cunningham, J. Courtney Cunningham, PLLC, MIAMI, FL; Marc Charmatz, National Association of the Deaf, SILVER SPRING, MD; Michael Steven Stein, Stein &amp; Vargas LLP, WASHINGTON, DC; Mary C. Vargas, Stein &amp; Vargas LLP, WASHINGTON, DC.</w:t>
      </w:r>
    </w:p>
    <w:p w14:paraId="7A69349F" w14:textId="77777777" w:rsidR="002B10A6" w:rsidRDefault="00000000">
      <w:pPr>
        <w:pStyle w:val="Normal20"/>
        <w:widowControl w:val="0"/>
        <w:spacing w:before="120" w:line="260" w:lineRule="atLeast"/>
      </w:pPr>
      <w:r>
        <w:rPr>
          <w:rFonts w:ascii="Arial" w:eastAsia="Arial" w:hAnsi="Arial" w:cs="Arial"/>
          <w:color w:val="000000"/>
          <w:sz w:val="20"/>
        </w:rPr>
        <w:t>For FLORIDA SENATE, JOE NEGRON, in his official capacity as President of the Florida Senate, FLORIDA HOUSE OF REPRESENTATIVES, RICHARD CORCORAN, in his official capacity as Speaker of the Florida House of Representatives, Defendant - Appellant: Martin Barry Goldberg, Lorelei J. Van Wey, Jonathan L. Williams, Lash &amp; Goldberg, LLP, MIAMI, FL.</w:t>
      </w:r>
    </w:p>
    <w:p w14:paraId="3114A289" w14:textId="77777777" w:rsidR="002B10A6" w:rsidRDefault="00000000">
      <w:pPr>
        <w:pStyle w:val="Normal20"/>
        <w:widowControl w:val="0"/>
        <w:spacing w:before="120" w:line="260" w:lineRule="atLeast"/>
      </w:pPr>
      <w:r>
        <w:rPr>
          <w:rFonts w:ascii="Arial" w:eastAsia="Arial" w:hAnsi="Arial" w:cs="Arial"/>
          <w:color w:val="000000"/>
          <w:sz w:val="20"/>
        </w:rPr>
        <w:t>For STATE OF FLORIDA DEPARTMENT OF EDUCATION, Defendant - Appellant: Amit Agarwal, Office of the Attorney General, TALLAHASSEE, FL; Christopher John Baum, Deputy Solicitor General, Attorney General's Office, MIAMI, FL; Pam Bondi, Office of the Attorney General, TALLAHASSEE, FL; Albert J. Bowden, III, Bowden Law Firm, LLC, TALLAHASSEE, FL.</w:t>
      </w:r>
    </w:p>
    <w:p w14:paraId="7FAC3576" w14:textId="77777777" w:rsidR="002B10A6" w:rsidRDefault="00000000">
      <w:pPr>
        <w:pStyle w:val="Normal20"/>
        <w:widowControl w:val="0"/>
        <w:spacing w:before="120" w:line="260" w:lineRule="atLeast"/>
      </w:pPr>
      <w:r>
        <w:rPr>
          <w:rFonts w:ascii="Arial" w:eastAsia="Arial" w:hAnsi="Arial" w:cs="Arial"/>
          <w:color w:val="000000"/>
          <w:sz w:val="20"/>
        </w:rPr>
        <w:t>For FLORIDA STATE UNIVERSITY BOARD OF TRUSTEES, the public body corporate acting [**2]  for and on behalf of Florida State University, JOHN THRASHER, in his official capacity as President of Florida State University, Defendants - Appellant: Amit Agarwal, Office of the Attorney General, TALLAHASSEE, FL; Christopher John Baum, Deputy Solicitor General, Attorney General's Office, MIAMI, FL; Albert J. Bowden, III, Bowden Law Firm, LLC, TALLAHASSEE, FL.</w:t>
      </w:r>
    </w:p>
    <w:p w14:paraId="0C8BEBF4" w14:textId="77777777" w:rsidR="002B10A6" w:rsidRDefault="00000000">
      <w:pPr>
        <w:pStyle w:val="Normal20"/>
        <w:widowControl w:val="0"/>
        <w:spacing w:before="240" w:line="260" w:lineRule="atLeast"/>
      </w:pPr>
      <w:bookmarkStart w:id="3104" w:name="Judges_19"/>
      <w:bookmarkEnd w:id="3104"/>
      <w:r>
        <w:rPr>
          <w:rFonts w:ascii="Arial" w:eastAsia="Arial" w:hAnsi="Arial" w:cs="Arial"/>
          <w:b/>
          <w:color w:val="000000"/>
          <w:sz w:val="20"/>
        </w:rPr>
        <w:t>Judges:</w:t>
      </w:r>
      <w:r>
        <w:rPr>
          <w:rFonts w:ascii="Arial" w:eastAsia="Arial" w:hAnsi="Arial" w:cs="Arial"/>
          <w:color w:val="000000"/>
          <w:sz w:val="20"/>
        </w:rPr>
        <w:t> Before MARTIN, TJOFLAT, and TRAXLER</w:t>
      </w:r>
      <w:r>
        <w:rPr>
          <w:rFonts w:ascii="Arial" w:eastAsia="Arial" w:hAnsi="Arial" w:cs="Arial"/>
          <w:vertAlign w:val="superscript"/>
        </w:rPr>
        <w:footnoteReference w:customMarkFollows="1" w:id="142"/>
        <w:t>*</w:t>
      </w:r>
      <w:r>
        <w:rPr>
          <w:rFonts w:ascii="Arial" w:eastAsia="Arial" w:hAnsi="Arial" w:cs="Arial"/>
          <w:color w:val="000000"/>
          <w:sz w:val="20"/>
        </w:rPr>
        <w:t>, Circuit Judges. TJOFLAT, Circuit Judge, concurring in part and dissenting in part.</w:t>
      </w:r>
    </w:p>
    <w:p w14:paraId="6EE79B52" w14:textId="77777777" w:rsidR="002B10A6" w:rsidRDefault="00000000">
      <w:pPr>
        <w:pStyle w:val="Normal20"/>
        <w:widowControl w:val="0"/>
        <w:spacing w:before="240" w:line="260" w:lineRule="atLeast"/>
      </w:pPr>
      <w:bookmarkStart w:id="3106" w:name="Opinion_by_14"/>
      <w:bookmarkEnd w:id="3106"/>
      <w:r>
        <w:rPr>
          <w:rFonts w:ascii="Arial" w:eastAsia="Arial" w:hAnsi="Arial" w:cs="Arial"/>
          <w:b/>
          <w:color w:val="000000"/>
          <w:sz w:val="20"/>
        </w:rPr>
        <w:t>Opinion by:</w:t>
      </w:r>
      <w:r>
        <w:rPr>
          <w:rFonts w:ascii="Arial" w:eastAsia="Arial" w:hAnsi="Arial" w:cs="Arial"/>
          <w:color w:val="000000"/>
          <w:sz w:val="20"/>
        </w:rPr>
        <w:t> MARTIN</w:t>
      </w:r>
    </w:p>
    <w:p w14:paraId="463E9505" w14:textId="77777777" w:rsidR="002B10A6" w:rsidRDefault="00000000">
      <w:pPr>
        <w:pStyle w:val="Normal20"/>
        <w:keepNext/>
        <w:widowControl w:val="0"/>
        <w:spacing w:before="240" w:line="340" w:lineRule="atLeast"/>
      </w:pPr>
      <w:bookmarkStart w:id="3107" w:name="Opinion_19"/>
      <w:bookmarkEnd w:id="3107"/>
      <w:r>
        <w:rPr>
          <w:rFonts w:ascii="Arial" w:eastAsia="Arial" w:hAnsi="Arial" w:cs="Arial"/>
          <w:b/>
          <w:color w:val="000000"/>
          <w:sz w:val="28"/>
        </w:rPr>
        <w:t>Opinion</w:t>
      </w:r>
    </w:p>
    <w:p w14:paraId="69E7C0F2" w14:textId="21EEDE15" w:rsidR="002B10A6" w:rsidRDefault="002D6974">
      <w:pPr>
        <w:pStyle w:val="Normal20"/>
        <w:spacing w:line="60" w:lineRule="exact"/>
      </w:pPr>
      <w:r>
        <w:rPr>
          <w:noProof/>
        </w:rPr>
        <mc:AlternateContent>
          <mc:Choice Requires="wps">
            <w:drawing>
              <wp:anchor distT="0" distB="0" distL="114300" distR="114300" simplePos="0" relativeHeight="251700224" behindDoc="0" locked="0" layoutInCell="1" allowOverlap="1" wp14:anchorId="0907CD12" wp14:editId="05EE4C39">
                <wp:simplePos x="0" y="0"/>
                <wp:positionH relativeFrom="column">
                  <wp:posOffset>0</wp:posOffset>
                </wp:positionH>
                <wp:positionV relativeFrom="paragraph">
                  <wp:posOffset>25400</wp:posOffset>
                </wp:positionV>
                <wp:extent cx="3187700" cy="0"/>
                <wp:effectExtent l="19050" t="15875" r="12700" b="12700"/>
                <wp:wrapTopAndBottom/>
                <wp:docPr id="719608145"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9E299" id="Line 42"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AE205D6" w14:textId="77777777" w:rsidR="002B10A6" w:rsidRDefault="002B10A6">
      <w:pPr>
        <w:pStyle w:val="Normal20"/>
      </w:pPr>
    </w:p>
    <w:p w14:paraId="4C06E198" w14:textId="77777777" w:rsidR="002B10A6" w:rsidRDefault="00000000">
      <w:pPr>
        <w:pStyle w:val="Normal20"/>
        <w:widowControl w:val="0"/>
        <w:spacing w:before="200" w:line="260" w:lineRule="atLeast"/>
        <w:jc w:val="both"/>
      </w:pPr>
      <w:bookmarkStart w:id="3108" w:name="Bookmark_para_2_19"/>
      <w:bookmarkEnd w:id="3108"/>
      <w:r>
        <w:rPr>
          <w:rFonts w:ascii="Arial" w:eastAsia="Arial" w:hAnsi="Arial" w:cs="Arial"/>
          <w:color w:val="000000"/>
          <w:sz w:val="20"/>
        </w:rPr>
        <w:t> [*767]  MARTIN, Circuit Judge:</w:t>
      </w:r>
    </w:p>
    <w:p w14:paraId="3F0971FD" w14:textId="77777777" w:rsidR="002B10A6" w:rsidRDefault="00000000">
      <w:pPr>
        <w:pStyle w:val="Normal20"/>
        <w:widowControl w:val="0"/>
        <w:spacing w:before="200" w:line="260" w:lineRule="atLeast"/>
        <w:jc w:val="both"/>
      </w:pPr>
      <w:bookmarkStart w:id="3109" w:name="Bookmark_para_3_19"/>
      <w:bookmarkStart w:id="3110" w:name="Bookmark_I6192TK52D6MVW0020000400"/>
      <w:bookmarkEnd w:id="3109"/>
      <w:bookmarkEnd w:id="3110"/>
      <w:r>
        <w:rPr>
          <w:rFonts w:ascii="Arial" w:eastAsia="Arial" w:hAnsi="Arial" w:cs="Arial"/>
          <w:color w:val="000000"/>
          <w:sz w:val="20"/>
        </w:rPr>
        <w:t xml:space="preserve">We vacate the opinion previously issued in this case on January 3, 2020. </w:t>
      </w:r>
      <w:r>
        <w:rPr>
          <w:rFonts w:ascii="Arial" w:eastAsia="Arial" w:hAnsi="Arial" w:cs="Arial"/>
          <w:color w:val="000000"/>
          <w:sz w:val="20"/>
          <w:u w:val="single"/>
        </w:rPr>
        <w:t xml:space="preserve">See </w:t>
      </w:r>
      <w:bookmarkStart w:id="3111" w:name="Bookmark_I6192TK52D6MVW0010000400"/>
      <w:bookmarkEnd w:id="3111"/>
      <w:r>
        <w:rPr>
          <w:rFonts w:ascii="Arial" w:eastAsia="Arial" w:hAnsi="Arial" w:cs="Arial"/>
          <w:color w:val="000000"/>
          <w:sz w:val="20"/>
          <w:u w:val="single"/>
        </w:rPr>
        <w:t>Nat'l Ass'n of the Deaf v. Florida</w:t>
      </w:r>
      <w:r>
        <w:rPr>
          <w:rFonts w:ascii="Arial" w:eastAsia="Arial" w:hAnsi="Arial" w:cs="Arial"/>
          <w:color w:val="000000"/>
          <w:sz w:val="20"/>
        </w:rPr>
        <w:t>, 945 F.3d 1339  [*768]  (11th Cir. 2020). This opinion is now issued in its stead.</w:t>
      </w:r>
    </w:p>
    <w:p w14:paraId="6866D4B8" w14:textId="77777777" w:rsidR="002B10A6" w:rsidRDefault="00000000">
      <w:pPr>
        <w:pStyle w:val="Normal20"/>
        <w:widowControl w:val="0"/>
        <w:spacing w:before="200" w:line="260" w:lineRule="atLeast"/>
        <w:jc w:val="both"/>
      </w:pPr>
      <w:bookmarkStart w:id="3112" w:name="Bookmark_para_4_19"/>
      <w:bookmarkEnd w:id="3112"/>
      <w:r>
        <w:rPr>
          <w:rFonts w:ascii="Arial" w:eastAsia="Arial" w:hAnsi="Arial" w:cs="Arial"/>
          <w:color w:val="000000"/>
          <w:sz w:val="20"/>
        </w:rPr>
        <w:t xml:space="preserve">Eddie Sierra, a resident of Florida, together with the National Association of the Deaf brought suit under Title II of the Americans with Disabilities Act and Section 504 of the Rehabilitation Act against several Florida entities and officials. They challenge Defendants' failure to provide captioning for live and archived videos of Florida legislative proceedings. Defendants moved to dismiss, relying largely on sovereign immunity. The District Court denied Defendants' motions to dismiss, holding (1) that Congress validly abrogated Defendants' Eleventh Amendment immunity with respect to Plaintiffs' [**3]  claims under Title II; (2) that the </w:t>
      </w:r>
      <w:r>
        <w:rPr>
          <w:rFonts w:ascii="Arial" w:eastAsia="Arial" w:hAnsi="Arial" w:cs="Arial"/>
          <w:color w:val="000000"/>
          <w:sz w:val="20"/>
          <w:u w:val="single"/>
        </w:rPr>
        <w:t>Pennhurst</w:t>
      </w:r>
      <w:r>
        <w:rPr>
          <w:rFonts w:ascii="Arial" w:eastAsia="Arial" w:hAnsi="Arial" w:cs="Arial"/>
          <w:color w:val="000000"/>
          <w:sz w:val="20"/>
        </w:rPr>
        <w:t xml:space="preserve"> exception to </w:t>
      </w:r>
      <w:r>
        <w:rPr>
          <w:rFonts w:ascii="Arial" w:eastAsia="Arial" w:hAnsi="Arial" w:cs="Arial"/>
          <w:color w:val="000000"/>
          <w:sz w:val="20"/>
          <w:u w:val="single"/>
        </w:rPr>
        <w:t>Ex parte Young</w:t>
      </w:r>
      <w:r>
        <w:rPr>
          <w:rFonts w:ascii="Arial" w:eastAsia="Arial" w:hAnsi="Arial" w:cs="Arial"/>
          <w:color w:val="000000"/>
          <w:sz w:val="20"/>
        </w:rPr>
        <w:t xml:space="preserve"> does not bar Plaintiffs' Title II claims for declaratory and injunctive relief against certain state officials; and (3) that it need not resolve whether sovereign immunity shielded the Florida House and Legislature from Plaintiffs' Rehabilitation Act claim at the motion to dismiss stage. After careful consideration, and with the benefit of oral argument, we affirm.</w:t>
      </w:r>
    </w:p>
    <w:p w14:paraId="4BFB8091" w14:textId="77777777" w:rsidR="002B10A6" w:rsidRDefault="00000000">
      <w:pPr>
        <w:pStyle w:val="Normal20"/>
        <w:widowControl w:val="0"/>
        <w:spacing w:before="240" w:line="260" w:lineRule="atLeast"/>
      </w:pPr>
      <w:r>
        <w:br/>
      </w:r>
      <w:r>
        <w:rPr>
          <w:rFonts w:ascii="Arial" w:eastAsia="Arial" w:hAnsi="Arial" w:cs="Arial"/>
          <w:b/>
          <w:color w:val="000000"/>
          <w:sz w:val="20"/>
        </w:rPr>
        <w:t>I. FACTS</w:t>
      </w:r>
    </w:p>
    <w:p w14:paraId="0A801FD5" w14:textId="77777777" w:rsidR="002B10A6" w:rsidRDefault="00000000">
      <w:pPr>
        <w:pStyle w:val="Normal20"/>
        <w:widowControl w:val="0"/>
        <w:spacing w:before="200" w:line="260" w:lineRule="atLeast"/>
        <w:jc w:val="both"/>
      </w:pPr>
      <w:bookmarkStart w:id="3113" w:name="Bookmark_para_5_19"/>
      <w:bookmarkEnd w:id="3113"/>
      <w:r>
        <w:rPr>
          <w:rFonts w:ascii="Arial" w:eastAsia="Arial" w:hAnsi="Arial" w:cs="Arial"/>
          <w:color w:val="000000"/>
          <w:sz w:val="20"/>
        </w:rPr>
        <w:t>Eddie Sierra is a resident of South Florida. He is a concerned citizen interested in state legislative issues and a disability rights advocate. He is also deaf. The National Association of the Deaf (the "NAD") is an organization with members who are deaf or hard of hearing that advocates for the full and equal participation of its members in all aspects of society. Mr. Sierra is a member of the NAD, and together they ("Plaintiffs") brought suit against the State of Florida, the Florida Senate, the President of the Florida Senate in his official capacity, the Florida House of Representatives, the Speaker of the House of the Florida House of Representatives in his official capacity, the Florida State University Board of Trustees ("FSU"), and the [**4]  President of Florida State University in his official capacity (collectively, "Defendants").</w:t>
      </w:r>
      <w:r>
        <w:rPr>
          <w:rFonts w:ascii="Arial" w:eastAsia="Arial" w:hAnsi="Arial" w:cs="Arial"/>
          <w:vertAlign w:val="superscript"/>
        </w:rPr>
        <w:footnoteReference w:customMarkFollows="1" w:id="143"/>
        <w:t>1</w:t>
      </w:r>
    </w:p>
    <w:p w14:paraId="7051EA18" w14:textId="77777777" w:rsidR="002B10A6" w:rsidRDefault="00000000">
      <w:pPr>
        <w:pStyle w:val="Normal20"/>
        <w:widowControl w:val="0"/>
        <w:spacing w:before="200" w:line="260" w:lineRule="atLeast"/>
        <w:jc w:val="both"/>
      </w:pPr>
      <w:bookmarkStart w:id="3115" w:name="Bookmark_para_6_19"/>
      <w:bookmarkEnd w:id="3115"/>
      <w:r>
        <w:rPr>
          <w:rFonts w:ascii="Arial" w:eastAsia="Arial" w:hAnsi="Arial" w:cs="Arial"/>
          <w:color w:val="000000"/>
          <w:sz w:val="20"/>
        </w:rPr>
        <w:t>The dispute between the parties concerns access to videos of legislative proceedings in the Florida Senate and House of Representatives. The Senate and House each have websites that provide livestreaming of proceedings, as well as archived footage of past proceedings. These videos show the legislature receiving information and statements from the public, debating, negotiating, and voting on a host of issues. FSU also owns and operates a website (through its public broadcasting station, WFSU), that livestreams legislative proceedings and maintains archived recordings of the videos. In 2017, Plaintiffs sent a letter to the Florida Senate and House requesting they provide, among other services, captioning for these videos. To this date, Defendants have neither responded to this letter nor provided the requested captioning.</w:t>
      </w:r>
    </w:p>
    <w:p w14:paraId="118E9202" w14:textId="77777777" w:rsidR="002B10A6" w:rsidRDefault="00000000">
      <w:pPr>
        <w:pStyle w:val="Normal20"/>
        <w:widowControl w:val="0"/>
        <w:spacing w:before="200" w:line="260" w:lineRule="atLeast"/>
        <w:jc w:val="both"/>
      </w:pPr>
      <w:bookmarkStart w:id="3116" w:name="Bookmark_para_7_19"/>
      <w:bookmarkEnd w:id="3116"/>
      <w:r>
        <w:rPr>
          <w:rFonts w:ascii="Arial" w:eastAsia="Arial" w:hAnsi="Arial" w:cs="Arial"/>
          <w:color w:val="000000"/>
          <w:sz w:val="20"/>
        </w:rPr>
        <w:t xml:space="preserve">Plaintiffs sued Defendants under Title II of the Americans with Disabilities Act, 42 U.S.C. § 12131 </w:t>
      </w:r>
      <w:r>
        <w:rPr>
          <w:rFonts w:ascii="Arial" w:eastAsia="Arial" w:hAnsi="Arial" w:cs="Arial"/>
          <w:color w:val="000000"/>
          <w:sz w:val="20"/>
          <w:u w:val="single"/>
        </w:rPr>
        <w:t>et seq.</w:t>
      </w:r>
      <w:r>
        <w:rPr>
          <w:rFonts w:ascii="Arial" w:eastAsia="Arial" w:hAnsi="Arial" w:cs="Arial"/>
          <w:color w:val="000000"/>
          <w:sz w:val="20"/>
        </w:rPr>
        <w:t xml:space="preserve"> ("Title II" or "ADA"), and the Rehabilitation Act of 1973, 29 U.S.C. § 794. Plaintiffs claim that Defendants violated the ADA and the Rehabilitation Act by failing to put closed captions on both live and archived [**5]  videos of sessions of the Florida legislature, because without them, people who are deaf and hard of hearing could not comprehend those videos. They further allege that Defendants intentionally discriminated against them on the basis of disability and that such discrimination denied them the  [*769]  opportunity to meaningfully participate in the democratic process. Plaintiffs seek money damages and declaratory and injunctive relief.</w:t>
      </w:r>
    </w:p>
    <w:p w14:paraId="258410CC" w14:textId="77777777" w:rsidR="002B10A6" w:rsidRDefault="00000000">
      <w:pPr>
        <w:pStyle w:val="Normal20"/>
        <w:widowControl w:val="0"/>
        <w:spacing w:before="240" w:line="260" w:lineRule="atLeast"/>
      </w:pPr>
      <w:r>
        <w:br/>
      </w:r>
      <w:r>
        <w:rPr>
          <w:rFonts w:ascii="Arial" w:eastAsia="Arial" w:hAnsi="Arial" w:cs="Arial"/>
          <w:b/>
          <w:color w:val="000000"/>
          <w:sz w:val="20"/>
        </w:rPr>
        <w:t>II. PROCEDURAL HISTORY</w:t>
      </w:r>
    </w:p>
    <w:p w14:paraId="5685332E" w14:textId="77777777" w:rsidR="002B10A6" w:rsidRDefault="00000000">
      <w:pPr>
        <w:pStyle w:val="Normal20"/>
        <w:widowControl w:val="0"/>
        <w:spacing w:before="200" w:line="260" w:lineRule="atLeast"/>
        <w:jc w:val="both"/>
      </w:pPr>
      <w:bookmarkStart w:id="3117" w:name="Bookmark_para_8_19"/>
      <w:bookmarkEnd w:id="3117"/>
      <w:r>
        <w:rPr>
          <w:rFonts w:ascii="Arial" w:eastAsia="Arial" w:hAnsi="Arial" w:cs="Arial"/>
          <w:color w:val="000000"/>
          <w:sz w:val="20"/>
        </w:rPr>
        <w:t>Defendants moved to dismiss Plaintiffs' Title II claims on the basis of sovereign immunity, arguing that Congress had not validly abrogated their sovereign immunity pursuant to its powers under Section 5 of the Fourteenth Amendment. Defendants also asserted that the injunctions sought by Plaintiffs—i.e., to implement captioning—violated sovereign immunity because the legislature could remove the videos from the web at any time without violating federal law and, therefore, the injunction sought to force Defendants to do something that federal law does not require. The Legislative Defendants alone argued they were entitled to sovereign immunity with respect to Plaintiffs' Rehabilitation Act claim because they do not receive federal financial assistance, which is a prerequisite for [**6]  liability under the Act.</w:t>
      </w:r>
    </w:p>
    <w:p w14:paraId="4F095A14" w14:textId="77777777" w:rsidR="002B10A6" w:rsidRDefault="00000000">
      <w:pPr>
        <w:pStyle w:val="Normal20"/>
        <w:widowControl w:val="0"/>
        <w:spacing w:before="200" w:line="260" w:lineRule="atLeast"/>
        <w:jc w:val="both"/>
      </w:pPr>
      <w:bookmarkStart w:id="3118" w:name="Bookmark_para_9_19"/>
      <w:bookmarkEnd w:id="3118"/>
      <w:r>
        <w:rPr>
          <w:rFonts w:ascii="Arial" w:eastAsia="Arial" w:hAnsi="Arial" w:cs="Arial"/>
          <w:color w:val="000000"/>
          <w:sz w:val="20"/>
        </w:rPr>
        <w:t>The District Court denied Defendants' motions in full. First, it held that Congress validly abrogated Defendants' sovereign immunity under Title II because (1) Defendants' failure to provide captioning implicated Plaintiffs' fundamental right to participate in the democratic process; (2) even if that fundamental right were not implicated, abrogation would be appropriate because Congress found pervasive discrimination by state governments against the deaf or hard of hearing; and (3) Title II was a congruent and proportional response to Congress's finding of pervasive discrimination. The District Court noted that adding captions was unlikely to be burdensome, and if it was, Defendants could assert Title II's affirmative defense of undue burden.</w:t>
      </w:r>
    </w:p>
    <w:p w14:paraId="34D1A076" w14:textId="77777777" w:rsidR="002B10A6" w:rsidRDefault="00000000">
      <w:pPr>
        <w:pStyle w:val="Normal20"/>
        <w:widowControl w:val="0"/>
        <w:spacing w:before="200" w:line="260" w:lineRule="atLeast"/>
        <w:jc w:val="both"/>
      </w:pPr>
      <w:bookmarkStart w:id="3119" w:name="Bookmark_para_10_19"/>
      <w:bookmarkStart w:id="3120" w:name="Bookmark_I6192TK52D6MVW0040000400"/>
      <w:bookmarkEnd w:id="3119"/>
      <w:bookmarkEnd w:id="3120"/>
      <w:r>
        <w:rPr>
          <w:rFonts w:ascii="Arial" w:eastAsia="Arial" w:hAnsi="Arial" w:cs="Arial"/>
          <w:color w:val="000000"/>
          <w:sz w:val="20"/>
        </w:rPr>
        <w:t xml:space="preserve">Second, the District Court held that the Florida state officials named in Plaintiffs' complaint were not immune from claims for prospective injunctive relief under the doctrine of </w:t>
      </w:r>
      <w:bookmarkStart w:id="3121" w:name="Bookmark_I6192TK52D6MVW0030000400"/>
      <w:bookmarkEnd w:id="3121"/>
      <w:r>
        <w:rPr>
          <w:rFonts w:ascii="Arial" w:eastAsia="Arial" w:hAnsi="Arial" w:cs="Arial"/>
          <w:color w:val="000000"/>
          <w:sz w:val="20"/>
          <w:u w:val="single"/>
        </w:rPr>
        <w:t>Ex parte Young</w:t>
      </w:r>
      <w:r>
        <w:rPr>
          <w:rFonts w:ascii="Arial" w:eastAsia="Arial" w:hAnsi="Arial" w:cs="Arial"/>
          <w:color w:val="000000"/>
          <w:sz w:val="20"/>
        </w:rPr>
        <w:t>, 209 U.S. 123, 28 S. Ct. 441, 52 L. Ed. 714 (1908).</w:t>
      </w:r>
    </w:p>
    <w:p w14:paraId="6905979F" w14:textId="77777777" w:rsidR="002B10A6" w:rsidRDefault="00000000">
      <w:pPr>
        <w:pStyle w:val="Normal20"/>
        <w:widowControl w:val="0"/>
        <w:spacing w:before="200" w:line="260" w:lineRule="atLeast"/>
        <w:jc w:val="both"/>
      </w:pPr>
      <w:bookmarkStart w:id="3122" w:name="Bookmark_para_11_16"/>
      <w:bookmarkEnd w:id="3122"/>
      <w:r>
        <w:rPr>
          <w:rFonts w:ascii="Arial" w:eastAsia="Arial" w:hAnsi="Arial" w:cs="Arial"/>
          <w:color w:val="000000"/>
          <w:sz w:val="20"/>
        </w:rPr>
        <w:t>Third, the District Court denied the Legislative Defendants' motion to dismiss Plaintiffs' Rehabilitation Act claim on sovereign immunity grounds. The Legislative Defendants attached to their motion to dismiss a declaration by a state employee [**7]  averring that the Florida House and Senate had received no federal funds since 1999. The District Court declined to resolve the question of sovereign immunity because (1) the only evidence before it was a "self-serving" affidavit; and (2) the information regarding sources of financing was not likely to be available to Plaintiffs without discovery.</w:t>
      </w:r>
    </w:p>
    <w:p w14:paraId="169696EA" w14:textId="77777777" w:rsidR="002B10A6" w:rsidRDefault="00000000">
      <w:pPr>
        <w:pStyle w:val="Normal20"/>
        <w:widowControl w:val="0"/>
        <w:spacing w:before="200" w:line="260" w:lineRule="atLeast"/>
        <w:jc w:val="both"/>
      </w:pPr>
      <w:bookmarkStart w:id="3123" w:name="Bookmark_para_12_15"/>
      <w:bookmarkEnd w:id="3123"/>
      <w:r>
        <w:rPr>
          <w:rFonts w:ascii="Arial" w:eastAsia="Arial" w:hAnsi="Arial" w:cs="Arial"/>
          <w:color w:val="000000"/>
          <w:sz w:val="20"/>
        </w:rPr>
        <w:t>Defendants filed this interlocutory appeal of the District Court's rulings under the collateral order doctrine and 28 U.S.C. § 1291. We first address our jurisdiction to hear this interlocutory appeal, and then take each issue in turn.</w:t>
      </w:r>
    </w:p>
    <w:p w14:paraId="2A2854EB" w14:textId="77777777" w:rsidR="002B10A6" w:rsidRDefault="00000000">
      <w:pPr>
        <w:pStyle w:val="Normal20"/>
        <w:widowControl w:val="0"/>
        <w:spacing w:before="240" w:line="260" w:lineRule="atLeast"/>
      </w:pPr>
      <w:r>
        <w:br/>
      </w:r>
      <w:r>
        <w:rPr>
          <w:rFonts w:ascii="Arial" w:eastAsia="Arial" w:hAnsi="Arial" w:cs="Arial"/>
          <w:b/>
          <w:color w:val="000000"/>
          <w:sz w:val="20"/>
        </w:rPr>
        <w:t>III. STANDARDS OF REVIEW</w:t>
      </w:r>
    </w:p>
    <w:p w14:paraId="684E80E7" w14:textId="77777777" w:rsidR="002B10A6" w:rsidRDefault="00000000">
      <w:pPr>
        <w:pStyle w:val="Normal20"/>
        <w:widowControl w:val="0"/>
        <w:spacing w:before="200" w:line="260" w:lineRule="atLeast"/>
        <w:jc w:val="both"/>
      </w:pPr>
      <w:bookmarkStart w:id="3124" w:name="Bookmark_para_13_15"/>
      <w:bookmarkStart w:id="3125" w:name="Bookmark_I6192TK72N1PX80010000400"/>
      <w:bookmarkStart w:id="3126" w:name="Bookmark_I6192TK72N1PX80030000400"/>
      <w:bookmarkStart w:id="3127" w:name="Bookmark_LNHNREFclscc1_16"/>
      <w:bookmarkEnd w:id="3124"/>
      <w:bookmarkEnd w:id="3125"/>
      <w:bookmarkEnd w:id="3126"/>
      <w:bookmarkEnd w:id="3127"/>
      <w:r>
        <w:rPr>
          <w:rFonts w:ascii="Arial" w:eastAsia="Arial" w:hAnsi="Arial" w:cs="Arial"/>
          <w:color w:val="000000"/>
          <w:sz w:val="20"/>
        </w:rPr>
        <w:t xml:space="preserve">This Court reviews </w:t>
      </w:r>
      <w:r>
        <w:rPr>
          <w:rFonts w:ascii="Arial" w:eastAsia="Arial" w:hAnsi="Arial" w:cs="Arial"/>
          <w:color w:val="000000"/>
          <w:sz w:val="20"/>
          <w:u w:val="single"/>
        </w:rPr>
        <w:t>de novo</w:t>
      </w:r>
      <w:r>
        <w:rPr>
          <w:rFonts w:ascii="Arial" w:eastAsia="Arial" w:hAnsi="Arial" w:cs="Arial"/>
          <w:color w:val="000000"/>
          <w:sz w:val="20"/>
        </w:rPr>
        <w:t xml:space="preserve"> issues of federal subject matter jurisdiction. </w:t>
      </w:r>
      <w:bookmarkStart w:id="3128" w:name="Bookmark_I6192TK52D6MVW0050000400"/>
      <w:bookmarkEnd w:id="3128"/>
      <w:r>
        <w:rPr>
          <w:rFonts w:ascii="Arial" w:eastAsia="Arial" w:hAnsi="Arial" w:cs="Arial"/>
          <w:color w:val="000000"/>
          <w:sz w:val="20"/>
          <w:u w:val="single"/>
        </w:rPr>
        <w:t>Summit Med. Assocs., P.C. v. Pryor</w:t>
      </w:r>
      <w:r>
        <w:rPr>
          <w:rFonts w:ascii="Arial" w:eastAsia="Arial" w:hAnsi="Arial" w:cs="Arial"/>
          <w:color w:val="000000"/>
          <w:sz w:val="20"/>
        </w:rPr>
        <w:t xml:space="preserve">, 180 F.3d 1326, 1333 (11th Cir. 1999). </w:t>
      </w:r>
      <w:bookmarkStart w:id="3129" w:name="Bookmark_I6192TK72N1PX80050000400"/>
      <w:bookmarkEnd w:id="3129"/>
      <w:r>
        <w:rPr>
          <w:rFonts w:ascii="Arial" w:eastAsia="Arial" w:hAnsi="Arial" w:cs="Arial"/>
          <w:color w:val="000000"/>
          <w:sz w:val="20"/>
        </w:rPr>
        <w:t xml:space="preserve">"Similarly, a district court's denial of a motion to dismiss on Eleventh Amendment grounds is a question of law subject to </w:t>
      </w:r>
      <w:r>
        <w:rPr>
          <w:rFonts w:ascii="Arial" w:eastAsia="Arial" w:hAnsi="Arial" w:cs="Arial"/>
          <w:color w:val="000000"/>
          <w:sz w:val="20"/>
          <w:u w:val="single"/>
        </w:rPr>
        <w:t>de novo</w:t>
      </w:r>
      <w:r>
        <w:rPr>
          <w:rFonts w:ascii="Arial" w:eastAsia="Arial" w:hAnsi="Arial" w:cs="Arial"/>
          <w:color w:val="000000"/>
          <w:sz w:val="20"/>
        </w:rPr>
        <w:t xml:space="preserve"> review." </w:t>
      </w:r>
      <w:bookmarkStart w:id="3130" w:name="Bookmark_I6192TK72N1PX80020000400"/>
      <w:bookmarkEnd w:id="3130"/>
      <w:r>
        <w:rPr>
          <w:rFonts w:ascii="Arial" w:eastAsia="Arial" w:hAnsi="Arial" w:cs="Arial"/>
          <w:color w:val="000000"/>
          <w:sz w:val="20"/>
          <w:u w:val="single"/>
        </w:rPr>
        <w:t>Id.</w:t>
      </w:r>
      <w:r>
        <w:rPr>
          <w:rFonts w:ascii="Arial" w:eastAsia="Arial" w:hAnsi="Arial" w:cs="Arial"/>
          <w:color w:val="000000"/>
          <w:sz w:val="20"/>
        </w:rPr>
        <w:t xml:space="preserve"> at 1334. </w:t>
      </w:r>
      <w:bookmarkStart w:id="3131" w:name="Bookmark_I6192TK72N1PX80050000400_2"/>
      <w:bookmarkEnd w:id="3131"/>
      <w:r>
        <w:rPr>
          <w:rFonts w:ascii="Arial" w:eastAsia="Arial" w:hAnsi="Arial" w:cs="Arial"/>
          <w:color w:val="000000"/>
          <w:sz w:val="20"/>
        </w:rPr>
        <w:t xml:space="preserve">Last, "[w]hether the district court erred in reserving a ruling on Eleventh Amendment immunity is an issue involving the district court's supervision of litigation," and we review such decisions for an abuse of discretion. </w:t>
      </w:r>
      <w:bookmarkStart w:id="3132" w:name="Bookmark_I6192TK72N1PX80040000400"/>
      <w:bookmarkEnd w:id="3132"/>
      <w:r>
        <w:rPr>
          <w:rFonts w:ascii="Arial" w:eastAsia="Arial" w:hAnsi="Arial" w:cs="Arial"/>
          <w:color w:val="000000"/>
          <w:sz w:val="20"/>
          <w:u w:val="single"/>
        </w:rPr>
        <w:t>Bouchard Transp. Co. v. Fla. Dep't of Envtl. Prot.</w:t>
      </w:r>
      <w:r>
        <w:rPr>
          <w:rFonts w:ascii="Arial" w:eastAsia="Arial" w:hAnsi="Arial" w:cs="Arial"/>
          <w:color w:val="000000"/>
          <w:sz w:val="20"/>
        </w:rPr>
        <w:t>, 91 F.3d 1445, 1448 (11th Cir. 1996) (per curiam).</w:t>
      </w:r>
    </w:p>
    <w:p w14:paraId="26B40D57" w14:textId="77777777" w:rsidR="002B10A6" w:rsidRDefault="00000000">
      <w:pPr>
        <w:pStyle w:val="Normal20"/>
        <w:widowControl w:val="0"/>
        <w:spacing w:before="240" w:line="260" w:lineRule="atLeast"/>
      </w:pPr>
      <w:r>
        <w:br/>
      </w:r>
      <w:r>
        <w:rPr>
          <w:rFonts w:ascii="Arial" w:eastAsia="Arial" w:hAnsi="Arial" w:cs="Arial"/>
          <w:color w:val="000000"/>
          <w:sz w:val="20"/>
        </w:rPr>
        <w:t xml:space="preserve"> [*770]  </w:t>
      </w:r>
      <w:r>
        <w:rPr>
          <w:rFonts w:ascii="Arial" w:eastAsia="Arial" w:hAnsi="Arial" w:cs="Arial"/>
          <w:b/>
          <w:color w:val="000000"/>
          <w:sz w:val="20"/>
        </w:rPr>
        <w:t>IV. DISCUSSION</w:t>
      </w:r>
    </w:p>
    <w:p w14:paraId="647079E7" w14:textId="77777777" w:rsidR="002B10A6" w:rsidRDefault="00000000">
      <w:pPr>
        <w:pStyle w:val="Normal20"/>
        <w:widowControl w:val="0"/>
        <w:spacing w:before="120" w:line="260" w:lineRule="atLeast"/>
      </w:pPr>
      <w:r>
        <w:rPr>
          <w:rFonts w:ascii="Arial" w:eastAsia="Arial" w:hAnsi="Arial" w:cs="Arial"/>
          <w:color w:val="000000"/>
          <w:sz w:val="20"/>
        </w:rPr>
        <w:t>A. INTERLOCUTORY APPELLATE JURISDICTION</w:t>
      </w:r>
    </w:p>
    <w:p w14:paraId="4A016EB4" w14:textId="77777777" w:rsidR="002B10A6" w:rsidRDefault="00000000">
      <w:pPr>
        <w:pStyle w:val="Normal20"/>
        <w:widowControl w:val="0"/>
        <w:spacing w:before="200" w:line="260" w:lineRule="atLeast"/>
        <w:jc w:val="both"/>
      </w:pPr>
      <w:bookmarkStart w:id="3133" w:name="Bookmark_para_14_15"/>
      <w:bookmarkStart w:id="3134" w:name="Bookmark_I6192TK82N1PXD0020000400"/>
      <w:bookmarkStart w:id="3135" w:name="Bookmark_LNHNREFclscc2_16"/>
      <w:bookmarkEnd w:id="3133"/>
      <w:bookmarkEnd w:id="3134"/>
      <w:bookmarkEnd w:id="3135"/>
      <w:r>
        <w:rPr>
          <w:rFonts w:ascii="Arial" w:eastAsia="Arial" w:hAnsi="Arial" w:cs="Arial"/>
          <w:color w:val="000000"/>
          <w:sz w:val="20"/>
        </w:rPr>
        <w:t xml:space="preserve">"We must, as always, determine our own jurisdiction before proceeding further." </w:t>
      </w:r>
      <w:bookmarkStart w:id="3136" w:name="Bookmark_I6192TK82N1PXD0010000400"/>
      <w:bookmarkEnd w:id="3136"/>
      <w:r>
        <w:rPr>
          <w:rFonts w:ascii="Arial" w:eastAsia="Arial" w:hAnsi="Arial" w:cs="Arial"/>
          <w:color w:val="000000"/>
          <w:sz w:val="20"/>
          <w:u w:val="single"/>
        </w:rPr>
        <w:t>Backe v. LeBlanc</w:t>
      </w:r>
      <w:r>
        <w:rPr>
          <w:rFonts w:ascii="Arial" w:eastAsia="Arial" w:hAnsi="Arial" w:cs="Arial"/>
          <w:color w:val="000000"/>
          <w:sz w:val="20"/>
        </w:rPr>
        <w:t xml:space="preserve">, 691 F.3d 645, 647 (5th Cir. 2012). </w:t>
      </w:r>
      <w:bookmarkStart w:id="3137" w:name="Bookmark_I6192TK82N1PXD0040000400"/>
      <w:bookmarkEnd w:id="3137"/>
      <w:r>
        <w:rPr>
          <w:rFonts w:ascii="Arial" w:eastAsia="Arial" w:hAnsi="Arial" w:cs="Arial"/>
          <w:color w:val="000000"/>
          <w:sz w:val="20"/>
        </w:rPr>
        <w:t xml:space="preserve">Ordinarily, appellate courts have jurisdiction only over [**8]  final decisions of a district court. </w:t>
      </w:r>
      <w:bookmarkStart w:id="3138" w:name="Bookmark_I6192TK828T4R50030000400"/>
      <w:bookmarkEnd w:id="3138"/>
      <w:r>
        <w:rPr>
          <w:rFonts w:ascii="Arial" w:eastAsia="Arial" w:hAnsi="Arial" w:cs="Arial"/>
          <w:color w:val="000000"/>
          <w:sz w:val="20"/>
          <w:u w:val="single"/>
        </w:rPr>
        <w:t>See</w:t>
      </w:r>
      <w:r>
        <w:rPr>
          <w:rFonts w:ascii="Arial" w:eastAsia="Arial" w:hAnsi="Arial" w:cs="Arial"/>
          <w:color w:val="000000"/>
          <w:sz w:val="20"/>
        </w:rPr>
        <w:t xml:space="preserve"> 28 U.S.C. § 1291. </w:t>
      </w:r>
      <w:bookmarkStart w:id="3139" w:name="Bookmark_I6192TK828T4R50030000400_2"/>
      <w:bookmarkStart w:id="3140" w:name="Bookmark_I6192TK82N1PXD0040000400_2"/>
      <w:bookmarkEnd w:id="3139"/>
      <w:bookmarkEnd w:id="3140"/>
      <w:r>
        <w:rPr>
          <w:rFonts w:ascii="Arial" w:eastAsia="Arial" w:hAnsi="Arial" w:cs="Arial"/>
          <w:color w:val="000000"/>
          <w:sz w:val="20"/>
        </w:rPr>
        <w:t xml:space="preserve">However, because "a state's Eleventh Amendment immunity is 'an entitlement not to stand trial or face the burdens of litigation,'" </w:t>
      </w:r>
      <w:bookmarkStart w:id="3141" w:name="Bookmark_I6192TK82N1PXD0030000400"/>
      <w:bookmarkEnd w:id="3141"/>
      <w:r>
        <w:rPr>
          <w:rFonts w:ascii="Arial" w:eastAsia="Arial" w:hAnsi="Arial" w:cs="Arial"/>
          <w:color w:val="000000"/>
          <w:sz w:val="20"/>
          <w:u w:val="single"/>
        </w:rPr>
        <w:t>Bouchard</w:t>
      </w:r>
      <w:r>
        <w:rPr>
          <w:rFonts w:ascii="Arial" w:eastAsia="Arial" w:hAnsi="Arial" w:cs="Arial"/>
          <w:color w:val="000000"/>
          <w:sz w:val="20"/>
        </w:rPr>
        <w:t xml:space="preserve">, 91 F.3d at 1448 (quoting </w:t>
      </w:r>
      <w:bookmarkStart w:id="3142" w:name="Bookmark_I6192TK82N1PXD0050000400"/>
      <w:bookmarkEnd w:id="3142"/>
      <w:r>
        <w:rPr>
          <w:rFonts w:ascii="Arial" w:eastAsia="Arial" w:hAnsi="Arial" w:cs="Arial"/>
          <w:color w:val="000000"/>
          <w:sz w:val="20"/>
          <w:u w:val="single"/>
        </w:rPr>
        <w:t>Mitchell v. Forsyth</w:t>
      </w:r>
      <w:r>
        <w:rPr>
          <w:rFonts w:ascii="Arial" w:eastAsia="Arial" w:hAnsi="Arial" w:cs="Arial"/>
          <w:color w:val="000000"/>
          <w:sz w:val="20"/>
        </w:rPr>
        <w:t xml:space="preserve">, 472 U.S. 511, 526, 105 S. Ct. 2806, 2815, 86 L. Ed. 2d 411 (1985)), interlocutory orders that deny the Eleventh Amendment's guarantee of freedom from litigation are immediately appealable. </w:t>
      </w:r>
      <w:r>
        <w:rPr>
          <w:rFonts w:ascii="Arial" w:eastAsia="Arial" w:hAnsi="Arial" w:cs="Arial"/>
          <w:color w:val="000000"/>
          <w:sz w:val="20"/>
          <w:u w:val="single"/>
        </w:rPr>
        <w:t xml:space="preserve">See </w:t>
      </w:r>
      <w:bookmarkStart w:id="3143" w:name="Bookmark_I6192TK828T4R50020000400"/>
      <w:bookmarkEnd w:id="3143"/>
      <w:r>
        <w:rPr>
          <w:rFonts w:ascii="Arial" w:eastAsia="Arial" w:hAnsi="Arial" w:cs="Arial"/>
          <w:color w:val="000000"/>
          <w:sz w:val="20"/>
          <w:u w:val="single"/>
        </w:rPr>
        <w:t>Mitchell</w:t>
      </w:r>
      <w:r>
        <w:rPr>
          <w:rFonts w:ascii="Arial" w:eastAsia="Arial" w:hAnsi="Arial" w:cs="Arial"/>
          <w:color w:val="000000"/>
          <w:sz w:val="20"/>
        </w:rPr>
        <w:t>, 472 U.S. at 525-27, 105 S. Ct. at 2815-16 (concluding that "the denial of a substantial claim of absolute immunity is an order appealable before final judgment, for the essence of absolute immunity is its possessor's entitlement not to have to answer for his conduct in a civil damages action"). We therefore have jurisdiction to hear Defendants' interlocutory appeal.</w:t>
      </w:r>
    </w:p>
    <w:p w14:paraId="3400DCC9" w14:textId="77777777" w:rsidR="002B10A6" w:rsidRDefault="00000000">
      <w:pPr>
        <w:pStyle w:val="Normal20"/>
        <w:widowControl w:val="0"/>
        <w:spacing w:before="120" w:line="260" w:lineRule="atLeast"/>
      </w:pPr>
      <w:r>
        <w:rPr>
          <w:rFonts w:ascii="Arial" w:eastAsia="Arial" w:hAnsi="Arial" w:cs="Arial"/>
          <w:color w:val="000000"/>
          <w:sz w:val="20"/>
        </w:rPr>
        <w:t>B. SOVEREIGN IMMUNITY</w:t>
      </w:r>
    </w:p>
    <w:p w14:paraId="2022EC5B" w14:textId="77777777" w:rsidR="002B10A6" w:rsidRDefault="00000000">
      <w:pPr>
        <w:pStyle w:val="Normal20"/>
        <w:widowControl w:val="0"/>
        <w:spacing w:before="200" w:line="260" w:lineRule="atLeast"/>
        <w:jc w:val="both"/>
      </w:pPr>
      <w:bookmarkStart w:id="3144" w:name="Bookmark_para_15_15"/>
      <w:bookmarkEnd w:id="3144"/>
      <w:r>
        <w:rPr>
          <w:rFonts w:ascii="Arial" w:eastAsia="Arial" w:hAnsi="Arial" w:cs="Arial"/>
          <w:color w:val="000000"/>
          <w:sz w:val="20"/>
        </w:rPr>
        <w:t xml:space="preserve">We must first decide whether Congress validly abrogated sovereign immunity with respect to Plaintiffs' Title II claims. </w:t>
      </w:r>
      <w:bookmarkStart w:id="3145" w:name="Bookmark_LNHNREFclscc3_16"/>
      <w:bookmarkEnd w:id="3145"/>
      <w:r>
        <w:rPr>
          <w:rFonts w:ascii="Arial" w:eastAsia="Arial" w:hAnsi="Arial" w:cs="Arial"/>
          <w:color w:val="000000"/>
          <w:sz w:val="20"/>
        </w:rPr>
        <w:t xml:space="preserve">Title II of the ADA states that "no qualified individual with a disability shall, by reason of such disability, be excluded from participation in or be denied the benefits of the services, programs, or activities of a public entity, or be subjected to discrimination by any entity." 42 U.S.C. § 12132. </w:t>
      </w:r>
      <w:bookmarkStart w:id="3146" w:name="Bookmark_I6192TK828T4R50050000400"/>
      <w:bookmarkEnd w:id="3146"/>
      <w:r>
        <w:rPr>
          <w:rFonts w:ascii="Arial" w:eastAsia="Arial" w:hAnsi="Arial" w:cs="Arial"/>
          <w:color w:val="000000"/>
          <w:sz w:val="20"/>
        </w:rPr>
        <w:t xml:space="preserve">Plaintiffs assert Defendants violated this provision by failing to provide captioning for online videos of legislative proceedings. </w:t>
      </w:r>
      <w:bookmarkStart w:id="3147" w:name="Bookmark_I6192TK82D6MWD0020000400"/>
      <w:bookmarkStart w:id="3148" w:name="Bookmark_LNHNREFclscc4_16"/>
      <w:bookmarkEnd w:id="3147"/>
      <w:bookmarkEnd w:id="3148"/>
      <w:r>
        <w:rPr>
          <w:rFonts w:ascii="Arial" w:eastAsia="Arial" w:hAnsi="Arial" w:cs="Arial"/>
          <w:color w:val="000000"/>
          <w:sz w:val="20"/>
        </w:rPr>
        <w:t xml:space="preserve">The Eleventh Amendment bars a private citizen from suing a state, [**9]  including a state official in her official capacity, for damages in federal court. </w:t>
      </w:r>
      <w:r>
        <w:rPr>
          <w:rFonts w:ascii="Arial" w:eastAsia="Arial" w:hAnsi="Arial" w:cs="Arial"/>
          <w:color w:val="000000"/>
          <w:sz w:val="20"/>
          <w:u w:val="single"/>
        </w:rPr>
        <w:t xml:space="preserve">See </w:t>
      </w:r>
      <w:bookmarkStart w:id="3149" w:name="Bookmark_I6192TK828T4R50040000400"/>
      <w:bookmarkEnd w:id="3149"/>
      <w:r>
        <w:rPr>
          <w:rFonts w:ascii="Arial" w:eastAsia="Arial" w:hAnsi="Arial" w:cs="Arial"/>
          <w:color w:val="000000"/>
          <w:sz w:val="20"/>
          <w:u w:val="single"/>
        </w:rPr>
        <w:t>Kentucky v. Graham</w:t>
      </w:r>
      <w:r>
        <w:rPr>
          <w:rFonts w:ascii="Arial" w:eastAsia="Arial" w:hAnsi="Arial" w:cs="Arial"/>
          <w:color w:val="000000"/>
          <w:sz w:val="20"/>
        </w:rPr>
        <w:t xml:space="preserve">, 473 U.S. 159, 169, 105 S. Ct. 3099, 3107, 87 L. Ed. 2d 114 (1985). </w:t>
      </w:r>
      <w:bookmarkStart w:id="3150" w:name="Bookmark_I6192TK82D6MWD0020000400_2"/>
      <w:bookmarkEnd w:id="3150"/>
      <w:r>
        <w:rPr>
          <w:rFonts w:ascii="Arial" w:eastAsia="Arial" w:hAnsi="Arial" w:cs="Arial"/>
          <w:color w:val="000000"/>
          <w:sz w:val="20"/>
        </w:rPr>
        <w:t xml:space="preserve">However, Congress may validly abrogate this immunity if (1) it "unequivocally express[es] its intent to abrogate," </w:t>
      </w:r>
      <w:bookmarkStart w:id="3151" w:name="Bookmark_I6192TK82D6MWD0010000400"/>
      <w:bookmarkEnd w:id="3151"/>
      <w:r>
        <w:rPr>
          <w:rFonts w:ascii="Arial" w:eastAsia="Arial" w:hAnsi="Arial" w:cs="Arial"/>
          <w:color w:val="000000"/>
          <w:sz w:val="20"/>
          <w:u w:val="single"/>
        </w:rPr>
        <w:t>Kimel v. Fla. Bd. of Regents</w:t>
      </w:r>
      <w:r>
        <w:rPr>
          <w:rFonts w:ascii="Arial" w:eastAsia="Arial" w:hAnsi="Arial" w:cs="Arial"/>
          <w:color w:val="000000"/>
          <w:sz w:val="20"/>
        </w:rPr>
        <w:t xml:space="preserve">, 528 U.S. 62, 73, 120 S. Ct. 631, 640, 145 L. Ed. 2d 522 (2000), and (2) it possesses the power to effectuate its intent, </w:t>
      </w:r>
      <w:bookmarkStart w:id="3152" w:name="Bookmark_I6192TK82D6MWD0030000400"/>
      <w:bookmarkEnd w:id="3152"/>
      <w:r>
        <w:rPr>
          <w:rFonts w:ascii="Arial" w:eastAsia="Arial" w:hAnsi="Arial" w:cs="Arial"/>
          <w:color w:val="000000"/>
          <w:sz w:val="20"/>
          <w:u w:val="single"/>
        </w:rPr>
        <w:t>Tennessee v. Lane</w:t>
      </w:r>
      <w:r>
        <w:rPr>
          <w:rFonts w:ascii="Arial" w:eastAsia="Arial" w:hAnsi="Arial" w:cs="Arial"/>
          <w:color w:val="000000"/>
          <w:sz w:val="20"/>
        </w:rPr>
        <w:t>, 541 U.S. 509, 517, 124 S. Ct. 1978, 1985, 158 L. Ed. 2d 820 (2004).</w:t>
      </w:r>
    </w:p>
    <w:p w14:paraId="76D210A8" w14:textId="77777777" w:rsidR="002B10A6" w:rsidRDefault="00000000">
      <w:pPr>
        <w:pStyle w:val="Normal20"/>
        <w:widowControl w:val="0"/>
        <w:spacing w:before="200" w:line="260" w:lineRule="atLeast"/>
        <w:jc w:val="both"/>
      </w:pPr>
      <w:bookmarkStart w:id="3153" w:name="Bookmark_para_16_13"/>
      <w:bookmarkStart w:id="3154" w:name="Bookmark_I6192TK92HM6K90010000400"/>
      <w:bookmarkStart w:id="3155" w:name="Bookmark_LNHNREFclscc5_16"/>
      <w:bookmarkEnd w:id="3153"/>
      <w:bookmarkEnd w:id="3154"/>
      <w:bookmarkEnd w:id="3155"/>
      <w:r>
        <w:rPr>
          <w:rFonts w:ascii="Arial" w:eastAsia="Arial" w:hAnsi="Arial" w:cs="Arial"/>
          <w:color w:val="000000"/>
          <w:sz w:val="20"/>
        </w:rPr>
        <w:t xml:space="preserve">Title II plainly expressed Congress's intent to abrogate Eleventh Amendment immunity. </w:t>
      </w:r>
      <w:r>
        <w:rPr>
          <w:rFonts w:ascii="Arial" w:eastAsia="Arial" w:hAnsi="Arial" w:cs="Arial"/>
          <w:color w:val="000000"/>
          <w:sz w:val="20"/>
          <w:u w:val="single"/>
        </w:rPr>
        <w:t xml:space="preserve">See </w:t>
      </w:r>
      <w:bookmarkStart w:id="3156" w:name="Bookmark_I6192TK82D6MWD0050000400"/>
      <w:bookmarkEnd w:id="3156"/>
      <w:r>
        <w:rPr>
          <w:rFonts w:ascii="Arial" w:eastAsia="Arial" w:hAnsi="Arial" w:cs="Arial"/>
          <w:color w:val="000000"/>
          <w:sz w:val="20"/>
          <w:u w:val="single"/>
        </w:rPr>
        <w:t>id.</w:t>
      </w:r>
      <w:r>
        <w:rPr>
          <w:rFonts w:ascii="Arial" w:eastAsia="Arial" w:hAnsi="Arial" w:cs="Arial"/>
          <w:color w:val="000000"/>
          <w:sz w:val="20"/>
        </w:rPr>
        <w:t xml:space="preserve"> at 518, 124 S. Ct. at 1985 ("The Act specifically provides: 'A State shall not be immune under the eleventh amendment to the Constitution of the United States from an action in Federal or State court of competent jurisdiction for a violation of this chapter.'" (quoting 42 U.S.C. § 12202)). Thus the relevant question becomes whether Congress had the power to effectuate its intent to abrogate Eleventh Amendment immunity.</w:t>
      </w:r>
    </w:p>
    <w:p w14:paraId="73D606AC" w14:textId="77777777" w:rsidR="002B10A6" w:rsidRDefault="00000000">
      <w:pPr>
        <w:pStyle w:val="Normal20"/>
        <w:widowControl w:val="0"/>
        <w:spacing w:before="200" w:line="260" w:lineRule="atLeast"/>
        <w:jc w:val="both"/>
      </w:pPr>
      <w:bookmarkStart w:id="3157" w:name="Bookmark_para_17_13"/>
      <w:bookmarkStart w:id="3158" w:name="Bookmark_I6192TK92HM6K90030000400"/>
      <w:bookmarkStart w:id="3159" w:name="Bookmark_LNHNREFclscc6_14"/>
      <w:bookmarkEnd w:id="3157"/>
      <w:bookmarkEnd w:id="3158"/>
      <w:bookmarkEnd w:id="3159"/>
      <w:r>
        <w:rPr>
          <w:rFonts w:ascii="Arial" w:eastAsia="Arial" w:hAnsi="Arial" w:cs="Arial"/>
          <w:color w:val="000000"/>
          <w:sz w:val="20"/>
        </w:rPr>
        <w:t xml:space="preserve">In certain circumstances, Congress has the power to abrogate Eleventh Amendment immunity pursuant to its powers under Section 5 of the Fourteenth Amendment. </w:t>
      </w:r>
      <w:bookmarkStart w:id="3160" w:name="Bookmark_I6192TK92HM6K90050000400"/>
      <w:bookmarkEnd w:id="3160"/>
      <w:r>
        <w:rPr>
          <w:rFonts w:ascii="Arial" w:eastAsia="Arial" w:hAnsi="Arial" w:cs="Arial"/>
          <w:color w:val="000000"/>
          <w:sz w:val="20"/>
          <w:u w:val="single"/>
        </w:rPr>
        <w:t xml:space="preserve">See </w:t>
      </w:r>
      <w:bookmarkStart w:id="3161" w:name="Bookmark_I6192TK92HM6K90020000400"/>
      <w:bookmarkEnd w:id="3161"/>
      <w:r>
        <w:rPr>
          <w:rFonts w:ascii="Arial" w:eastAsia="Arial" w:hAnsi="Arial" w:cs="Arial"/>
          <w:color w:val="000000"/>
          <w:sz w:val="20"/>
          <w:u w:val="single"/>
        </w:rPr>
        <w:t>Board of Trustees v. Garrett</w:t>
      </w:r>
      <w:r>
        <w:rPr>
          <w:rFonts w:ascii="Arial" w:eastAsia="Arial" w:hAnsi="Arial" w:cs="Arial"/>
          <w:color w:val="000000"/>
          <w:sz w:val="20"/>
        </w:rPr>
        <w:t xml:space="preserve">, 531 U.S. 356, 364, 121 S. Ct. 955, 962, 148 L. Ed. 2d 866 (2001). Section 5 authorizes Congress to enact "appropriate legislation" to enforce the substantive guarantees of Section 1 of the Fourteenth Amendment. </w:t>
      </w:r>
      <w:bookmarkStart w:id="3162" w:name="Bookmark_I6192TK92HM6K90050000400_2"/>
      <w:bookmarkStart w:id="3163" w:name="Bookmark_I6192TK92HM6K90040000400"/>
      <w:bookmarkEnd w:id="3162"/>
      <w:bookmarkEnd w:id="3163"/>
      <w:r>
        <w:rPr>
          <w:rFonts w:ascii="Arial" w:eastAsia="Arial" w:hAnsi="Arial" w:cs="Arial"/>
          <w:color w:val="000000"/>
          <w:sz w:val="20"/>
          <w:u w:val="single"/>
        </w:rPr>
        <w:t>Id.</w:t>
      </w:r>
      <w:r>
        <w:rPr>
          <w:rFonts w:ascii="Arial" w:eastAsia="Arial" w:hAnsi="Arial" w:cs="Arial"/>
          <w:color w:val="000000"/>
          <w:sz w:val="20"/>
        </w:rPr>
        <w:t xml:space="preserve"> at 365, 121 S. Ct. at 963 (quotation marks omitted). Section 1 provides:</w:t>
      </w:r>
    </w:p>
    <w:p w14:paraId="74CAE83F" w14:textId="77777777" w:rsidR="002B10A6" w:rsidRDefault="00000000">
      <w:pPr>
        <w:pStyle w:val="Normal20"/>
        <w:widowControl w:val="0"/>
        <w:spacing w:before="200" w:line="260" w:lineRule="atLeast"/>
        <w:ind w:left="400"/>
        <w:jc w:val="both"/>
      </w:pPr>
      <w:bookmarkStart w:id="3164" w:name="Bookmark_para_18_13"/>
      <w:bookmarkEnd w:id="3164"/>
      <w:r>
        <w:rPr>
          <w:rFonts w:ascii="Arial" w:eastAsia="Arial" w:hAnsi="Arial" w:cs="Arial"/>
          <w:color w:val="000000"/>
          <w:sz w:val="20"/>
        </w:rPr>
        <w:t>No State shall make or enforce any law which shall abridge the privileges or immunities of citizens of the United States; nor shall any state deprive any person of life, liberty, or property, without due process of law, nor deny to any person  [*771]  within its jurisdiction the equal protection of the laws.</w:t>
      </w:r>
    </w:p>
    <w:p w14:paraId="273CAB27" w14:textId="77777777" w:rsidR="002B10A6" w:rsidRDefault="00000000">
      <w:pPr>
        <w:pStyle w:val="Normal20"/>
        <w:widowControl w:val="0"/>
        <w:spacing w:line="260" w:lineRule="atLeast"/>
        <w:jc w:val="both"/>
      </w:pPr>
      <w:r>
        <w:rPr>
          <w:rFonts w:ascii="Arial" w:eastAsia="Arial" w:hAnsi="Arial" w:cs="Arial"/>
          <w:color w:val="000000"/>
          <w:sz w:val="20"/>
        </w:rPr>
        <w:t>U.S. Const. amend. XIV, § 1.</w:t>
      </w:r>
    </w:p>
    <w:p w14:paraId="5D7ED128" w14:textId="77777777" w:rsidR="002B10A6" w:rsidRDefault="00000000">
      <w:pPr>
        <w:pStyle w:val="Normal20"/>
        <w:widowControl w:val="0"/>
        <w:spacing w:before="200" w:line="260" w:lineRule="atLeast"/>
        <w:jc w:val="both"/>
      </w:pPr>
      <w:bookmarkStart w:id="3165" w:name="Bookmark_para_19_12"/>
      <w:bookmarkStart w:id="3166" w:name="Bookmark_I6192TK92SF8C50020000400"/>
      <w:bookmarkStart w:id="3167" w:name="Bookmark_I6192TK92SF8C50040000400"/>
      <w:bookmarkStart w:id="3168" w:name="Bookmark_LNHNREFclscc7_14"/>
      <w:bookmarkEnd w:id="3165"/>
      <w:bookmarkEnd w:id="3166"/>
      <w:bookmarkEnd w:id="3167"/>
      <w:bookmarkEnd w:id="3168"/>
      <w:r>
        <w:rPr>
          <w:rFonts w:ascii="Arial" w:eastAsia="Arial" w:hAnsi="Arial" w:cs="Arial"/>
          <w:color w:val="000000"/>
          <w:sz w:val="20"/>
        </w:rPr>
        <w:t xml:space="preserve">The Supreme Court [**10]  has held that when enacting legislation to enforce substantive rights guaranteed by the Fourteenth Amendment, Congress may remedy "a somewhat broader swath of conduct, including that which is not itself forbidden by the [Fourteenth] Amendment's text." </w:t>
      </w:r>
      <w:bookmarkStart w:id="3169" w:name="Bookmark_I6192TK92SF8C50010000400"/>
      <w:bookmarkEnd w:id="3169"/>
      <w:r>
        <w:rPr>
          <w:rFonts w:ascii="Arial" w:eastAsia="Arial" w:hAnsi="Arial" w:cs="Arial"/>
          <w:color w:val="000000"/>
          <w:sz w:val="20"/>
          <w:u w:val="single"/>
        </w:rPr>
        <w:t>Kimel</w:t>
      </w:r>
      <w:r>
        <w:rPr>
          <w:rFonts w:ascii="Arial" w:eastAsia="Arial" w:hAnsi="Arial" w:cs="Arial"/>
          <w:color w:val="000000"/>
          <w:sz w:val="20"/>
        </w:rPr>
        <w:t xml:space="preserve">, 528 U.S. at 81, 120 S. Ct. at 644. This type of prophylactic legislation is valid if it exhibits a "congruence and proportionality between the injury to be prevented or remedied and the means adopted to that end." </w:t>
      </w:r>
      <w:bookmarkStart w:id="3170" w:name="Bookmark_I6192TK92SF8C50030000400"/>
      <w:bookmarkEnd w:id="3170"/>
      <w:r>
        <w:rPr>
          <w:rFonts w:ascii="Arial" w:eastAsia="Arial" w:hAnsi="Arial" w:cs="Arial"/>
          <w:color w:val="000000"/>
          <w:sz w:val="20"/>
          <w:u w:val="single"/>
        </w:rPr>
        <w:t>City of Boerne v. Flores</w:t>
      </w:r>
      <w:r>
        <w:rPr>
          <w:rFonts w:ascii="Arial" w:eastAsia="Arial" w:hAnsi="Arial" w:cs="Arial"/>
          <w:color w:val="000000"/>
          <w:sz w:val="20"/>
        </w:rPr>
        <w:t>, 521 U.S. 507, 520, 117 S. Ct. 2157, 2164, 138 L. Ed. 2d 624 (1997).</w:t>
      </w:r>
      <w:r>
        <w:rPr>
          <w:rFonts w:ascii="Arial" w:eastAsia="Arial" w:hAnsi="Arial" w:cs="Arial"/>
          <w:vertAlign w:val="superscript"/>
        </w:rPr>
        <w:footnoteReference w:customMarkFollows="1" w:id="144"/>
        <w:t>2</w:t>
      </w:r>
    </w:p>
    <w:p w14:paraId="652ACB23" w14:textId="77777777" w:rsidR="002B10A6" w:rsidRDefault="00000000">
      <w:pPr>
        <w:pStyle w:val="Normal20"/>
        <w:widowControl w:val="0"/>
        <w:spacing w:before="200" w:line="260" w:lineRule="atLeast"/>
        <w:jc w:val="both"/>
      </w:pPr>
      <w:bookmarkStart w:id="3177" w:name="Bookmark_para_20_12"/>
      <w:bookmarkStart w:id="3178" w:name="Bookmark_I6192TK928T4RN0050000400"/>
      <w:bookmarkStart w:id="3179" w:name="Bookmark_LNHNREFclscc8_13"/>
      <w:bookmarkEnd w:id="3177"/>
      <w:bookmarkEnd w:id="3178"/>
      <w:bookmarkEnd w:id="3179"/>
      <w:r>
        <w:rPr>
          <w:rFonts w:ascii="Arial" w:eastAsia="Arial" w:hAnsi="Arial" w:cs="Arial"/>
          <w:color w:val="000000"/>
          <w:sz w:val="20"/>
        </w:rPr>
        <w:t xml:space="preserve">This circuit determines whether abrogation was congruent and proportional by applying a three-step test. </w:t>
      </w:r>
      <w:bookmarkStart w:id="3180" w:name="Bookmark_I6192TK928T4RN0040000400"/>
      <w:bookmarkEnd w:id="3180"/>
      <w:r>
        <w:rPr>
          <w:rFonts w:ascii="Arial" w:eastAsia="Arial" w:hAnsi="Arial" w:cs="Arial"/>
          <w:color w:val="000000"/>
          <w:sz w:val="20"/>
          <w:u w:val="single"/>
        </w:rPr>
        <w:t>Ass'n for Disabled Ams., Inc. v. Fla. Int'l Univ.</w:t>
      </w:r>
      <w:r>
        <w:rPr>
          <w:rFonts w:ascii="Arial" w:eastAsia="Arial" w:hAnsi="Arial" w:cs="Arial"/>
          <w:color w:val="000000"/>
          <w:sz w:val="20"/>
        </w:rPr>
        <w:t xml:space="preserve">, 405 F.3d 954, 957 (11th Cir. 2005). First, we identify which right or rights Congress "sought to enforce when it enacted the ADA." </w:t>
      </w:r>
      <w:r>
        <w:rPr>
          <w:rFonts w:ascii="Arial" w:eastAsia="Arial" w:hAnsi="Arial" w:cs="Arial"/>
          <w:color w:val="000000"/>
          <w:sz w:val="20"/>
          <w:u w:val="single"/>
        </w:rPr>
        <w:t>Id.</w:t>
      </w:r>
      <w:r>
        <w:rPr>
          <w:rFonts w:ascii="Arial" w:eastAsia="Arial" w:hAnsi="Arial" w:cs="Arial"/>
          <w:color w:val="000000"/>
          <w:sz w:val="20"/>
        </w:rPr>
        <w:t xml:space="preserve"> Second, we look to "whether there was a history of unconstitutional discrimination to support Congress's determination that prophylactic legislation was necessary." </w:t>
      </w:r>
      <w:r>
        <w:rPr>
          <w:rFonts w:ascii="Arial" w:eastAsia="Arial" w:hAnsi="Arial" w:cs="Arial"/>
          <w:color w:val="000000"/>
          <w:sz w:val="20"/>
          <w:u w:val="single"/>
        </w:rPr>
        <w:t>Id.</w:t>
      </w:r>
      <w:r>
        <w:rPr>
          <w:rFonts w:ascii="Arial" w:eastAsia="Arial" w:hAnsi="Arial" w:cs="Arial"/>
          <w:color w:val="000000"/>
          <w:sz w:val="20"/>
        </w:rPr>
        <w:t xml:space="preserve"> Third, we determine "whether Title II is an appropriate response to this history and pattern of unequal treatment." </w:t>
      </w:r>
      <w:r>
        <w:rPr>
          <w:rFonts w:ascii="Arial" w:eastAsia="Arial" w:hAnsi="Arial" w:cs="Arial"/>
          <w:color w:val="000000"/>
          <w:sz w:val="20"/>
          <w:u w:val="single"/>
        </w:rPr>
        <w:t>Id.</w:t>
      </w:r>
    </w:p>
    <w:p w14:paraId="35BFF53A" w14:textId="77777777" w:rsidR="002B10A6" w:rsidRDefault="00000000">
      <w:pPr>
        <w:pStyle w:val="Normal20"/>
        <w:widowControl w:val="0"/>
        <w:spacing w:before="200" w:line="260" w:lineRule="atLeast"/>
        <w:jc w:val="both"/>
      </w:pPr>
      <w:bookmarkStart w:id="3181" w:name="Bookmark_para_21_12"/>
      <w:bookmarkEnd w:id="3181"/>
      <w:r>
        <w:rPr>
          <w:rFonts w:ascii="Arial" w:eastAsia="Arial" w:hAnsi="Arial" w:cs="Arial"/>
          <w:color w:val="000000"/>
          <w:sz w:val="20"/>
        </w:rPr>
        <w:t>Plaintiffs argued below that Title II validly abrogated Defendants' sovereign immunity because the failure to provide captioning for legislative proceedings violates their fundamental right to participate in the democratic process. The District Court agreed that the ability to participate [**11]  in the democratic process is a fundamental right, and Congress validly abrogated Defendants' immunity for claims of discrimination with respect to that right under the ADA. The District Court alternatively held that even if no fundamental right was implicated, Congress validly abrogated Defendants' immunity for these claims of discrimination under the ADA. For the reasons that follow, we affirm the District Court's alternative holding that Congress validly abrogated the Defendants' Eleventh Amendment immunity for these claims under Title II regardless of whether a fundamental right is implicated. Because we affirm on this basis, we do not reach the question of whether the ability to participate in the democratic process is a fundamental right.</w:t>
      </w:r>
    </w:p>
    <w:p w14:paraId="202F810C" w14:textId="77777777" w:rsidR="002B10A6" w:rsidRDefault="00000000">
      <w:pPr>
        <w:pStyle w:val="Normal20"/>
        <w:widowControl w:val="0"/>
        <w:spacing w:before="240" w:line="260" w:lineRule="atLeast"/>
      </w:pPr>
      <w:r>
        <w:br/>
      </w:r>
      <w:r>
        <w:rPr>
          <w:rFonts w:ascii="Arial" w:eastAsia="Arial" w:hAnsi="Arial" w:cs="Arial"/>
          <w:color w:val="000000"/>
          <w:sz w:val="20"/>
          <w:u w:val="single"/>
        </w:rPr>
        <w:t>1. The Constitutional Right Congress Sought to Enforce</w:t>
      </w:r>
    </w:p>
    <w:p w14:paraId="59766E11" w14:textId="77777777" w:rsidR="002B10A6" w:rsidRDefault="00000000">
      <w:pPr>
        <w:pStyle w:val="Normal20"/>
        <w:widowControl w:val="0"/>
        <w:spacing w:before="200" w:line="260" w:lineRule="atLeast"/>
        <w:jc w:val="both"/>
      </w:pPr>
      <w:bookmarkStart w:id="3182" w:name="Bookmark_para_22_12"/>
      <w:bookmarkStart w:id="3183" w:name="Bookmark_I6192TKB2SF8CG0020000400"/>
      <w:bookmarkEnd w:id="3182"/>
      <w:bookmarkEnd w:id="3183"/>
      <w:r>
        <w:rPr>
          <w:rFonts w:ascii="Arial" w:eastAsia="Arial" w:hAnsi="Arial" w:cs="Arial"/>
          <w:color w:val="000000"/>
          <w:sz w:val="20"/>
        </w:rPr>
        <w:t xml:space="preserve">Under this Court's three-step test for deciding whether congressional abrogation was congruent and proportional, we first identify which right or rights Congress "sought to enforce when it enacted the ADA." </w:t>
      </w:r>
      <w:bookmarkStart w:id="3184" w:name="Bookmark_I6192TKB2SF8CG0010000400"/>
      <w:bookmarkEnd w:id="3184"/>
      <w:r>
        <w:rPr>
          <w:rFonts w:ascii="Arial" w:eastAsia="Arial" w:hAnsi="Arial" w:cs="Arial"/>
          <w:color w:val="000000"/>
          <w:sz w:val="20"/>
          <w:u w:val="single"/>
        </w:rPr>
        <w:t>Fla. Int'l</w:t>
      </w:r>
      <w:r>
        <w:rPr>
          <w:rFonts w:ascii="Arial" w:eastAsia="Arial" w:hAnsi="Arial" w:cs="Arial"/>
          <w:color w:val="000000"/>
          <w:sz w:val="20"/>
        </w:rPr>
        <w:t>, 405 F.3d at 957.</w:t>
      </w:r>
    </w:p>
    <w:p w14:paraId="2F6971AC" w14:textId="77777777" w:rsidR="002B10A6" w:rsidRDefault="00000000">
      <w:pPr>
        <w:pStyle w:val="Normal20"/>
        <w:widowControl w:val="0"/>
        <w:spacing w:before="200" w:line="260" w:lineRule="atLeast"/>
        <w:jc w:val="both"/>
      </w:pPr>
      <w:bookmarkStart w:id="3185" w:name="Bookmark_para_23_12"/>
      <w:bookmarkStart w:id="3186" w:name="Bookmark_I6192TKB2SF8CG0040000400"/>
      <w:bookmarkStart w:id="3187" w:name="Bookmark_I6192TKB2D6MX00010000400"/>
      <w:bookmarkStart w:id="3188" w:name="Bookmark_LNHNREFclscc9_13"/>
      <w:bookmarkEnd w:id="3185"/>
      <w:bookmarkEnd w:id="3186"/>
      <w:bookmarkEnd w:id="3187"/>
      <w:bookmarkEnd w:id="3188"/>
      <w:r>
        <w:rPr>
          <w:rFonts w:ascii="Arial" w:eastAsia="Arial" w:hAnsi="Arial" w:cs="Arial"/>
          <w:color w:val="000000"/>
          <w:sz w:val="20"/>
        </w:rPr>
        <w:t xml:space="preserve">Congress enacted Title II to "enforce [the Fourteenth Amendment's] prohibition on irrational disability discrimination" and "a variety of other basic constitutional guarantees, infringements of which are subject to more searching [**12]  judicial review." </w:t>
      </w:r>
      <w:bookmarkStart w:id="3189" w:name="Bookmark_I6192TKB2SF8CG0030000400"/>
      <w:bookmarkEnd w:id="3189"/>
      <w:r>
        <w:rPr>
          <w:rFonts w:ascii="Arial" w:eastAsia="Arial" w:hAnsi="Arial" w:cs="Arial"/>
          <w:color w:val="000000"/>
          <w:sz w:val="20"/>
          <w:u w:val="single"/>
        </w:rPr>
        <w:t>Lane</w:t>
      </w:r>
      <w:r>
        <w:rPr>
          <w:rFonts w:ascii="Arial" w:eastAsia="Arial" w:hAnsi="Arial" w:cs="Arial"/>
          <w:color w:val="000000"/>
          <w:sz w:val="20"/>
        </w:rPr>
        <w:t xml:space="preserve">, 541 U.S. at 522-23, 124  [*772]  S. Ct. at 1988. </w:t>
      </w:r>
      <w:bookmarkStart w:id="3190" w:name="Bookmark_I6192TKB2D6MX00030000400"/>
      <w:bookmarkEnd w:id="3190"/>
      <w:r>
        <w:rPr>
          <w:rFonts w:ascii="Arial" w:eastAsia="Arial" w:hAnsi="Arial" w:cs="Arial"/>
          <w:color w:val="000000"/>
          <w:sz w:val="20"/>
        </w:rPr>
        <w:t xml:space="preserve">We must therefore begin by identifying the particular constitutional right at stake and by analyzing the particular services at issue. </w:t>
      </w:r>
      <w:r>
        <w:rPr>
          <w:rFonts w:ascii="Arial" w:eastAsia="Arial" w:hAnsi="Arial" w:cs="Arial"/>
          <w:color w:val="000000"/>
          <w:sz w:val="20"/>
          <w:u w:val="single"/>
        </w:rPr>
        <w:t xml:space="preserve">See </w:t>
      </w:r>
      <w:bookmarkStart w:id="3191" w:name="Bookmark_I6192TKB2SF8CG0050000400"/>
      <w:bookmarkEnd w:id="3191"/>
      <w:r>
        <w:rPr>
          <w:rFonts w:ascii="Arial" w:eastAsia="Arial" w:hAnsi="Arial" w:cs="Arial"/>
          <w:color w:val="000000"/>
          <w:sz w:val="20"/>
          <w:u w:val="single"/>
        </w:rPr>
        <w:t>id.</w:t>
      </w:r>
      <w:r>
        <w:rPr>
          <w:rFonts w:ascii="Arial" w:eastAsia="Arial" w:hAnsi="Arial" w:cs="Arial"/>
          <w:color w:val="000000"/>
          <w:sz w:val="20"/>
        </w:rPr>
        <w:t xml:space="preserve"> at 522-29, 124 S. Ct. at 1988-92. </w:t>
      </w:r>
      <w:bookmarkStart w:id="3192" w:name="Bookmark_I6192TKB2D6MX00030000400_2"/>
      <w:bookmarkStart w:id="3193" w:name="Bookmark_I6192TKB2D6MX20020000400"/>
      <w:bookmarkEnd w:id="3192"/>
      <w:bookmarkEnd w:id="3193"/>
      <w:r>
        <w:rPr>
          <w:rFonts w:ascii="Arial" w:eastAsia="Arial" w:hAnsi="Arial" w:cs="Arial"/>
          <w:color w:val="000000"/>
          <w:sz w:val="20"/>
        </w:rPr>
        <w:t xml:space="preserve">If the identified right triggers heightened scrutiny or we deem it "fundamental," Congress has greater latitude to abrogate immunity pursuant to its Section 5 powers because it is "easier for Congress to show a pattern of state constitutional violations." </w:t>
      </w:r>
      <w:r>
        <w:rPr>
          <w:rFonts w:ascii="Arial" w:eastAsia="Arial" w:hAnsi="Arial" w:cs="Arial"/>
          <w:color w:val="000000"/>
          <w:sz w:val="20"/>
          <w:u w:val="single"/>
        </w:rPr>
        <w:t xml:space="preserve">See </w:t>
      </w:r>
      <w:bookmarkStart w:id="3194" w:name="Bookmark_I6192TKB2D6MX00020000400"/>
      <w:bookmarkEnd w:id="3194"/>
      <w:r>
        <w:rPr>
          <w:rFonts w:ascii="Arial" w:eastAsia="Arial" w:hAnsi="Arial" w:cs="Arial"/>
          <w:color w:val="000000"/>
          <w:sz w:val="20"/>
          <w:u w:val="single"/>
        </w:rPr>
        <w:t>id.</w:t>
      </w:r>
      <w:r>
        <w:rPr>
          <w:rFonts w:ascii="Arial" w:eastAsia="Arial" w:hAnsi="Arial" w:cs="Arial"/>
          <w:color w:val="000000"/>
          <w:sz w:val="20"/>
        </w:rPr>
        <w:t xml:space="preserve"> at 529, 124 S. Ct. at 1992 (quoting </w:t>
      </w:r>
      <w:bookmarkStart w:id="3195" w:name="Bookmark_I6192TKB2D6MX00040000400"/>
      <w:bookmarkEnd w:id="3195"/>
      <w:r>
        <w:rPr>
          <w:rFonts w:ascii="Arial" w:eastAsia="Arial" w:hAnsi="Arial" w:cs="Arial"/>
          <w:color w:val="000000"/>
          <w:sz w:val="20"/>
          <w:u w:val="single"/>
        </w:rPr>
        <w:t>Nev. Dep't of Human Res v. Hibbs</w:t>
      </w:r>
      <w:r>
        <w:rPr>
          <w:rFonts w:ascii="Arial" w:eastAsia="Arial" w:hAnsi="Arial" w:cs="Arial"/>
          <w:color w:val="000000"/>
          <w:sz w:val="20"/>
        </w:rPr>
        <w:t xml:space="preserve">, 538 U.S. 721, 736, 123 S. Ct. 1972, 1982, 155 L. Ed. 2d 953 (2003)). </w:t>
      </w:r>
      <w:bookmarkStart w:id="3196" w:name="Bookmark_I6192TKB2D6MX20020000400_2"/>
      <w:bookmarkEnd w:id="3196"/>
      <w:r>
        <w:rPr>
          <w:rFonts w:ascii="Arial" w:eastAsia="Arial" w:hAnsi="Arial" w:cs="Arial"/>
          <w:color w:val="000000"/>
          <w:sz w:val="20"/>
        </w:rPr>
        <w:t xml:space="preserve">Conversely, if the identified right triggers only rational basis review, Congress must create an elaborate legislative record and find a pattern of unconstitutional state conduct. </w:t>
      </w:r>
      <w:r>
        <w:rPr>
          <w:rFonts w:ascii="Arial" w:eastAsia="Arial" w:hAnsi="Arial" w:cs="Arial"/>
          <w:color w:val="000000"/>
          <w:sz w:val="20"/>
          <w:u w:val="single"/>
        </w:rPr>
        <w:t xml:space="preserve">See </w:t>
      </w:r>
      <w:bookmarkStart w:id="3197" w:name="Bookmark_I6192TKB2D6MX20010000400"/>
      <w:bookmarkEnd w:id="3197"/>
      <w:r>
        <w:rPr>
          <w:rFonts w:ascii="Arial" w:eastAsia="Arial" w:hAnsi="Arial" w:cs="Arial"/>
          <w:color w:val="000000"/>
          <w:sz w:val="20"/>
          <w:u w:val="single"/>
        </w:rPr>
        <w:t>Garrett</w:t>
      </w:r>
      <w:r>
        <w:rPr>
          <w:rFonts w:ascii="Arial" w:eastAsia="Arial" w:hAnsi="Arial" w:cs="Arial"/>
          <w:color w:val="000000"/>
          <w:sz w:val="20"/>
        </w:rPr>
        <w:t>, 531 U.S. at 370-74, 121 S. Ct. at 965-68.</w:t>
      </w:r>
    </w:p>
    <w:p w14:paraId="7B3A91BF" w14:textId="77777777" w:rsidR="002B10A6" w:rsidRDefault="00000000">
      <w:pPr>
        <w:pStyle w:val="Normal20"/>
        <w:widowControl w:val="0"/>
        <w:spacing w:before="200" w:line="260" w:lineRule="atLeast"/>
        <w:jc w:val="both"/>
      </w:pPr>
      <w:bookmarkStart w:id="3198" w:name="Bookmark_para_24_12"/>
      <w:bookmarkEnd w:id="3198"/>
      <w:r>
        <w:rPr>
          <w:rFonts w:ascii="Arial" w:eastAsia="Arial" w:hAnsi="Arial" w:cs="Arial"/>
          <w:color w:val="000000"/>
          <w:sz w:val="20"/>
        </w:rPr>
        <w:t xml:space="preserve">We first address the District Court's holding that Congress validly abrogated Defendants' Eleventh Amendment immunity even if a fundamental right was not at stake. Defendants ask us to decide this case assuming no fundamental right, and to that end they argue that this is a fight about equal access to information, which is not a fundamental right. </w:t>
      </w:r>
      <w:bookmarkStart w:id="3199" w:name="Bookmark_I6192TKB2D6MX20040000400"/>
      <w:bookmarkEnd w:id="3199"/>
      <w:r>
        <w:rPr>
          <w:rFonts w:ascii="Arial" w:eastAsia="Arial" w:hAnsi="Arial" w:cs="Arial"/>
          <w:color w:val="000000"/>
          <w:sz w:val="20"/>
        </w:rPr>
        <w:t xml:space="preserve">Specifically, Defendants say the classification at issue here is one based on disability. If they are right, Plaintiffs' claims are subject only to rational basis review. </w:t>
      </w:r>
      <w:bookmarkStart w:id="3200" w:name="Bookmark_I6192TKB28T4RX0010000400"/>
      <w:bookmarkStart w:id="3201" w:name="Bookmark_I6192TKB2D6MX20030000400"/>
      <w:bookmarkEnd w:id="3200"/>
      <w:bookmarkEnd w:id="3201"/>
      <w:r>
        <w:rPr>
          <w:rFonts w:ascii="Arial" w:eastAsia="Arial" w:hAnsi="Arial" w:cs="Arial"/>
          <w:color w:val="000000"/>
          <w:sz w:val="20"/>
          <w:u w:val="single"/>
        </w:rPr>
        <w:t>Lane</w:t>
      </w:r>
      <w:r>
        <w:rPr>
          <w:rFonts w:ascii="Arial" w:eastAsia="Arial" w:hAnsi="Arial" w:cs="Arial"/>
          <w:color w:val="000000"/>
          <w:sz w:val="20"/>
        </w:rPr>
        <w:t xml:space="preserve">, 541 U.S. at 540, 124 S. Ct. at 1998. </w:t>
      </w:r>
      <w:bookmarkStart w:id="3202" w:name="Bookmark_I6192TKB28T4RX0010000400_2"/>
      <w:bookmarkEnd w:id="3202"/>
      <w:r>
        <w:rPr>
          <w:rFonts w:ascii="Arial" w:eastAsia="Arial" w:hAnsi="Arial" w:cs="Arial"/>
          <w:color w:val="000000"/>
          <w:sz w:val="20"/>
        </w:rPr>
        <w:t xml:space="preserve">As noted above, it is more difficult to establish abrogation of sovereign immunity where [**13]  no fundamental right is at issue. </w:t>
      </w:r>
      <w:r>
        <w:rPr>
          <w:rFonts w:ascii="Arial" w:eastAsia="Arial" w:hAnsi="Arial" w:cs="Arial"/>
          <w:color w:val="000000"/>
          <w:sz w:val="20"/>
          <w:u w:val="single"/>
        </w:rPr>
        <w:t xml:space="preserve">Compare, e.g., </w:t>
      </w:r>
      <w:bookmarkStart w:id="3203" w:name="Bookmark_I6192TKB2D6MX20050000400"/>
      <w:bookmarkEnd w:id="3203"/>
      <w:r>
        <w:rPr>
          <w:rFonts w:ascii="Arial" w:eastAsia="Arial" w:hAnsi="Arial" w:cs="Arial"/>
          <w:color w:val="000000"/>
          <w:sz w:val="20"/>
          <w:u w:val="single"/>
        </w:rPr>
        <w:t>id.</w:t>
      </w:r>
      <w:r>
        <w:rPr>
          <w:rFonts w:ascii="Arial" w:eastAsia="Arial" w:hAnsi="Arial" w:cs="Arial"/>
          <w:color w:val="000000"/>
          <w:sz w:val="20"/>
        </w:rPr>
        <w:t xml:space="preserve"> at 529, 124 S. Ct. at 1992 (applying a more lenient standard to a claim implicating a "fundamental right"), </w:t>
      </w:r>
      <w:r>
        <w:rPr>
          <w:rFonts w:ascii="Arial" w:eastAsia="Arial" w:hAnsi="Arial" w:cs="Arial"/>
          <w:color w:val="000000"/>
          <w:sz w:val="20"/>
          <w:u w:val="single"/>
        </w:rPr>
        <w:t xml:space="preserve">with </w:t>
      </w:r>
      <w:bookmarkStart w:id="3204" w:name="Bookmark_I6192TKB28T4RX0020000400"/>
      <w:bookmarkEnd w:id="3204"/>
      <w:r>
        <w:rPr>
          <w:rFonts w:ascii="Arial" w:eastAsia="Arial" w:hAnsi="Arial" w:cs="Arial"/>
          <w:color w:val="000000"/>
          <w:sz w:val="20"/>
          <w:u w:val="single"/>
        </w:rPr>
        <w:t>Garrett</w:t>
      </w:r>
      <w:r>
        <w:rPr>
          <w:rFonts w:ascii="Arial" w:eastAsia="Arial" w:hAnsi="Arial" w:cs="Arial"/>
          <w:color w:val="000000"/>
          <w:sz w:val="20"/>
        </w:rPr>
        <w:t>, 531 U.S. at 370-74, 121 S. Ct. at 965-68 (rejecting a claim that triggered only rational basis review, notwithstanding an extensive record of discrimination).</w:t>
      </w:r>
    </w:p>
    <w:p w14:paraId="10F64A6B" w14:textId="77777777" w:rsidR="002B10A6" w:rsidRDefault="00000000">
      <w:pPr>
        <w:pStyle w:val="Normal20"/>
        <w:widowControl w:val="0"/>
        <w:spacing w:before="200" w:line="260" w:lineRule="atLeast"/>
        <w:jc w:val="both"/>
      </w:pPr>
      <w:bookmarkStart w:id="3205" w:name="Bookmark_para_25_12"/>
      <w:bookmarkStart w:id="3206" w:name="Bookmark_I6192TKB28T4RX0050000400"/>
      <w:bookmarkStart w:id="3207" w:name="Bookmark_I6192TKB2SF8CJ0020000400"/>
      <w:bookmarkEnd w:id="3205"/>
      <w:bookmarkEnd w:id="3206"/>
      <w:bookmarkEnd w:id="3207"/>
      <w:r>
        <w:rPr>
          <w:rFonts w:ascii="Arial" w:eastAsia="Arial" w:hAnsi="Arial" w:cs="Arial"/>
          <w:color w:val="000000"/>
          <w:sz w:val="20"/>
        </w:rPr>
        <w:t xml:space="preserve">Yet, cases like </w:t>
      </w:r>
      <w:r>
        <w:rPr>
          <w:rFonts w:ascii="Arial" w:eastAsia="Arial" w:hAnsi="Arial" w:cs="Arial"/>
          <w:color w:val="000000"/>
          <w:sz w:val="20"/>
          <w:u w:val="single"/>
        </w:rPr>
        <w:t>Florida International</w:t>
      </w:r>
      <w:r>
        <w:rPr>
          <w:rFonts w:ascii="Arial" w:eastAsia="Arial" w:hAnsi="Arial" w:cs="Arial"/>
          <w:color w:val="000000"/>
          <w:sz w:val="20"/>
        </w:rPr>
        <w:t xml:space="preserve"> demonstrate that abrogation of sovereign immunity is not impossible where no fundamental right is at stake. </w:t>
      </w:r>
      <w:bookmarkStart w:id="3208" w:name="Bookmark_I6192TKB2SF8CJ0040000400"/>
      <w:bookmarkEnd w:id="3208"/>
      <w:r>
        <w:rPr>
          <w:rFonts w:ascii="Arial" w:eastAsia="Arial" w:hAnsi="Arial" w:cs="Arial"/>
          <w:color w:val="000000"/>
          <w:sz w:val="20"/>
        </w:rPr>
        <w:t xml:space="preserve">In </w:t>
      </w:r>
      <w:r>
        <w:rPr>
          <w:rFonts w:ascii="Arial" w:eastAsia="Arial" w:hAnsi="Arial" w:cs="Arial"/>
          <w:color w:val="000000"/>
          <w:sz w:val="20"/>
          <w:u w:val="single"/>
        </w:rPr>
        <w:t>Florida International</w:t>
      </w:r>
      <w:r>
        <w:rPr>
          <w:rFonts w:ascii="Arial" w:eastAsia="Arial" w:hAnsi="Arial" w:cs="Arial"/>
          <w:color w:val="000000"/>
          <w:sz w:val="20"/>
        </w:rPr>
        <w:t xml:space="preserve">, this Court held that Title II validly abrogated sovereign immunity where the right to education was at stake—a right not subject to heightened scrutiny. </w:t>
      </w:r>
      <w:bookmarkStart w:id="3209" w:name="Bookmark_I6192TKB28T4RX0040000400"/>
      <w:bookmarkEnd w:id="3209"/>
      <w:r>
        <w:rPr>
          <w:rFonts w:ascii="Arial" w:eastAsia="Arial" w:hAnsi="Arial" w:cs="Arial"/>
          <w:color w:val="000000"/>
          <w:sz w:val="20"/>
        </w:rPr>
        <w:t xml:space="preserve">405 F.3d at 957-59. In reaching this conclusion, our Court recognized that "the constitutional right to equality in education, though not fundamental, is vital to the future success of our society." </w:t>
      </w:r>
      <w:bookmarkStart w:id="3210" w:name="Bookmark_I6192TKB2SF8CJ0010000400"/>
      <w:bookmarkEnd w:id="3210"/>
      <w:r>
        <w:rPr>
          <w:rFonts w:ascii="Arial" w:eastAsia="Arial" w:hAnsi="Arial" w:cs="Arial"/>
          <w:color w:val="000000"/>
          <w:sz w:val="20"/>
          <w:u w:val="single"/>
        </w:rPr>
        <w:t>Id.</w:t>
      </w:r>
      <w:r>
        <w:rPr>
          <w:rFonts w:ascii="Arial" w:eastAsia="Arial" w:hAnsi="Arial" w:cs="Arial"/>
          <w:color w:val="000000"/>
          <w:sz w:val="20"/>
        </w:rPr>
        <w:t xml:space="preserve"> at 958. </w:t>
      </w:r>
      <w:bookmarkStart w:id="3211" w:name="Bookmark_I6192TKB2SF8CJ0040000400_2"/>
      <w:bookmarkEnd w:id="3211"/>
      <w:r>
        <w:rPr>
          <w:rFonts w:ascii="Arial" w:eastAsia="Arial" w:hAnsi="Arial" w:cs="Arial"/>
          <w:color w:val="000000"/>
          <w:sz w:val="20"/>
        </w:rPr>
        <w:t xml:space="preserve">Denying disabled persons access to that right, our court reasoned, "affects [their] future ability to exercise and participate in the most basic rights and responsibilities of citizenship, such as </w:t>
      </w:r>
      <w:r>
        <w:rPr>
          <w:rFonts w:ascii="Arial" w:eastAsia="Arial" w:hAnsi="Arial" w:cs="Arial"/>
          <w:color w:val="000000"/>
          <w:sz w:val="20"/>
          <w:u w:val="single"/>
        </w:rPr>
        <w:t>voting and participation in public programs and services</w:t>
      </w:r>
      <w:r>
        <w:rPr>
          <w:rFonts w:ascii="Arial" w:eastAsia="Arial" w:hAnsi="Arial" w:cs="Arial"/>
          <w:color w:val="000000"/>
          <w:sz w:val="20"/>
        </w:rPr>
        <w:t xml:space="preserve">." </w:t>
      </w:r>
      <w:bookmarkStart w:id="3212" w:name="Bookmark_I6192TKB2SF8CJ0030000400"/>
      <w:bookmarkEnd w:id="3212"/>
      <w:r>
        <w:rPr>
          <w:rFonts w:ascii="Arial" w:eastAsia="Arial" w:hAnsi="Arial" w:cs="Arial"/>
          <w:color w:val="000000"/>
          <w:sz w:val="20"/>
          <w:u w:val="single"/>
        </w:rPr>
        <w:t>Id.</w:t>
      </w:r>
      <w:r>
        <w:rPr>
          <w:rFonts w:ascii="Arial" w:eastAsia="Arial" w:hAnsi="Arial" w:cs="Arial"/>
          <w:color w:val="000000"/>
          <w:sz w:val="20"/>
        </w:rPr>
        <w:t xml:space="preserve"> at 959 (emphasis added).</w:t>
      </w:r>
    </w:p>
    <w:p w14:paraId="5391B26D" w14:textId="77777777" w:rsidR="002B10A6" w:rsidRDefault="00000000">
      <w:pPr>
        <w:pStyle w:val="Normal20"/>
        <w:widowControl w:val="0"/>
        <w:spacing w:before="200" w:line="260" w:lineRule="atLeast"/>
        <w:jc w:val="both"/>
      </w:pPr>
      <w:bookmarkStart w:id="3213" w:name="Bookmark_para_26_12"/>
      <w:bookmarkEnd w:id="3213"/>
      <w:r>
        <w:rPr>
          <w:rFonts w:ascii="Arial" w:eastAsia="Arial" w:hAnsi="Arial" w:cs="Arial"/>
          <w:color w:val="000000"/>
          <w:sz w:val="20"/>
        </w:rPr>
        <w:t xml:space="preserve">We think it implausible that Congress could validly abrogate sovereign immunity to protect the right of students with disabilities to get an education but could not [**14]  do the same to directly enable those students to participate in the democratic process. After all, this Court has recognized the importance of the education of disabled students insofar as it empowers them to better participate in the democratic process. </w:t>
      </w:r>
      <w:r>
        <w:rPr>
          <w:rFonts w:ascii="Arial" w:eastAsia="Arial" w:hAnsi="Arial" w:cs="Arial"/>
          <w:color w:val="000000"/>
          <w:sz w:val="20"/>
          <w:u w:val="single"/>
        </w:rPr>
        <w:t>Id.</w:t>
      </w:r>
      <w:r>
        <w:rPr>
          <w:rFonts w:ascii="Arial" w:eastAsia="Arial" w:hAnsi="Arial" w:cs="Arial"/>
          <w:color w:val="000000"/>
          <w:sz w:val="20"/>
        </w:rPr>
        <w:t xml:space="preserve"> Defendants have given us no plausible reason to believe that </w:t>
      </w:r>
      <w:r>
        <w:rPr>
          <w:rFonts w:ascii="Arial" w:eastAsia="Arial" w:hAnsi="Arial" w:cs="Arial"/>
          <w:color w:val="000000"/>
          <w:sz w:val="20"/>
          <w:u w:val="single"/>
        </w:rPr>
        <w:t>Florida International</w:t>
      </w:r>
      <w:r>
        <w:rPr>
          <w:rFonts w:ascii="Arial" w:eastAsia="Arial" w:hAnsi="Arial" w:cs="Arial"/>
          <w:color w:val="000000"/>
          <w:sz w:val="20"/>
        </w:rPr>
        <w:t xml:space="preserve"> was wrongly decided or that its reasoning should not apply here. </w:t>
      </w:r>
      <w:bookmarkStart w:id="3214" w:name="Bookmark_LNHNREFclscc10_12"/>
      <w:bookmarkEnd w:id="3214"/>
      <w:r>
        <w:rPr>
          <w:rFonts w:ascii="Arial" w:eastAsia="Arial" w:hAnsi="Arial" w:cs="Arial"/>
          <w:color w:val="000000"/>
          <w:sz w:val="20"/>
        </w:rPr>
        <w:t>We therefore hold that Congress validly abrogated Defendants' Eleventh Amendment immunity even if a fundamental right is not at stake.</w:t>
      </w:r>
    </w:p>
    <w:p w14:paraId="1776EB59" w14:textId="77777777" w:rsidR="002B10A6" w:rsidRDefault="00000000">
      <w:pPr>
        <w:pStyle w:val="Normal20"/>
        <w:widowControl w:val="0"/>
        <w:spacing w:before="240" w:line="260" w:lineRule="atLeast"/>
      </w:pPr>
      <w:r>
        <w:br/>
      </w:r>
      <w:r>
        <w:rPr>
          <w:rFonts w:ascii="Arial" w:eastAsia="Arial" w:hAnsi="Arial" w:cs="Arial"/>
          <w:color w:val="000000"/>
          <w:sz w:val="20"/>
          <w:u w:val="single"/>
        </w:rPr>
        <w:t>2. History of Unconstitutional Discrimination</w:t>
      </w:r>
    </w:p>
    <w:p w14:paraId="482F7073" w14:textId="77777777" w:rsidR="002B10A6" w:rsidRDefault="00000000">
      <w:pPr>
        <w:pStyle w:val="Normal20"/>
        <w:widowControl w:val="0"/>
        <w:spacing w:before="200" w:line="260" w:lineRule="atLeast"/>
        <w:jc w:val="both"/>
      </w:pPr>
      <w:bookmarkStart w:id="3215" w:name="Bookmark_para_27_12"/>
      <w:bookmarkStart w:id="3216" w:name="Bookmark_I6192TKC28T4RY0010000400"/>
      <w:bookmarkStart w:id="3217" w:name="Bookmark_LNHNREFclscc11_12"/>
      <w:bookmarkEnd w:id="3215"/>
      <w:bookmarkEnd w:id="3216"/>
      <w:bookmarkEnd w:id="3217"/>
      <w:r>
        <w:rPr>
          <w:rFonts w:ascii="Arial" w:eastAsia="Arial" w:hAnsi="Arial" w:cs="Arial"/>
          <w:color w:val="000000"/>
          <w:sz w:val="20"/>
        </w:rPr>
        <w:t xml:space="preserve">The second inquiry under this Court's three-step process to determine whether Congress validly abrogated sovereign immunity requires us to decide "whether there was a history of unconstitutional discrimination to support Congress's determination  [*773]  that prophylactic legislation was necessary." </w:t>
      </w:r>
      <w:bookmarkStart w:id="3218" w:name="Bookmark_I6192TKB2SF8CJ0050000400"/>
      <w:bookmarkEnd w:id="3218"/>
      <w:r>
        <w:rPr>
          <w:rFonts w:ascii="Arial" w:eastAsia="Arial" w:hAnsi="Arial" w:cs="Arial"/>
          <w:color w:val="000000"/>
          <w:sz w:val="20"/>
          <w:u w:val="single"/>
        </w:rPr>
        <w:t>Fla. Int'l</w:t>
      </w:r>
      <w:r>
        <w:rPr>
          <w:rFonts w:ascii="Arial" w:eastAsia="Arial" w:hAnsi="Arial" w:cs="Arial"/>
          <w:color w:val="000000"/>
          <w:sz w:val="20"/>
        </w:rPr>
        <w:t>, 405 F.3d at 957.</w:t>
      </w:r>
    </w:p>
    <w:p w14:paraId="5EF9D1AE" w14:textId="77777777" w:rsidR="002B10A6" w:rsidRDefault="00000000">
      <w:pPr>
        <w:pStyle w:val="Normal20"/>
        <w:widowControl w:val="0"/>
        <w:spacing w:before="200" w:line="260" w:lineRule="atLeast"/>
        <w:jc w:val="both"/>
      </w:pPr>
      <w:bookmarkStart w:id="3219" w:name="Bookmark_para_28_12"/>
      <w:bookmarkStart w:id="3220" w:name="Bookmark_I6192TKC28T4RY0030000400"/>
      <w:bookmarkStart w:id="3221" w:name="Bookmark_I28D1FJ3D3C00009NH50000R"/>
      <w:bookmarkStart w:id="3222" w:name="Bookmark_I6192TKC28T4RY0050000400"/>
      <w:bookmarkEnd w:id="3219"/>
      <w:bookmarkEnd w:id="3220"/>
      <w:bookmarkEnd w:id="3221"/>
      <w:bookmarkEnd w:id="3222"/>
      <w:r>
        <w:rPr>
          <w:rFonts w:ascii="Arial" w:eastAsia="Arial" w:hAnsi="Arial" w:cs="Arial"/>
          <w:color w:val="000000"/>
          <w:sz w:val="20"/>
        </w:rPr>
        <w:t xml:space="preserve">In </w:t>
      </w:r>
      <w:r>
        <w:rPr>
          <w:rFonts w:ascii="Arial" w:eastAsia="Arial" w:hAnsi="Arial" w:cs="Arial"/>
          <w:color w:val="000000"/>
          <w:sz w:val="20"/>
          <w:u w:val="single"/>
        </w:rPr>
        <w:t>Lane</w:t>
      </w:r>
      <w:r>
        <w:rPr>
          <w:rFonts w:ascii="Arial" w:eastAsia="Arial" w:hAnsi="Arial" w:cs="Arial"/>
          <w:color w:val="000000"/>
          <w:sz w:val="20"/>
        </w:rPr>
        <w:t xml:space="preserve">, the Supreme Court recognized that Congress "document[ed] a pattern of unequal treatment in the administration of a wide range of </w:t>
      </w:r>
      <w:r>
        <w:rPr>
          <w:rFonts w:ascii="Arial" w:eastAsia="Arial" w:hAnsi="Arial" w:cs="Arial"/>
          <w:color w:val="000000"/>
          <w:sz w:val="20"/>
          <w:u w:val="single"/>
        </w:rPr>
        <w:t>public services</w:t>
      </w:r>
      <w:r>
        <w:rPr>
          <w:rFonts w:ascii="Arial" w:eastAsia="Arial" w:hAnsi="Arial" w:cs="Arial"/>
          <w:color w:val="000000"/>
          <w:sz w:val="20"/>
        </w:rPr>
        <w:t xml:space="preserve">, programs, and activities, including the penal system, public education, and </w:t>
      </w:r>
      <w:r>
        <w:rPr>
          <w:rFonts w:ascii="Arial" w:eastAsia="Arial" w:hAnsi="Arial" w:cs="Arial"/>
          <w:color w:val="000000"/>
          <w:sz w:val="20"/>
          <w:u w:val="single"/>
        </w:rPr>
        <w:t>voting</w:t>
      </w:r>
      <w:r>
        <w:rPr>
          <w:rFonts w:ascii="Arial" w:eastAsia="Arial" w:hAnsi="Arial" w:cs="Arial"/>
          <w:color w:val="000000"/>
          <w:sz w:val="20"/>
        </w:rPr>
        <w:t xml:space="preserve">." </w:t>
      </w:r>
      <w:bookmarkStart w:id="3223" w:name="Bookmark_I6192TKC28T4RY0020000400"/>
      <w:bookmarkEnd w:id="3223"/>
      <w:r>
        <w:rPr>
          <w:rFonts w:ascii="Arial" w:eastAsia="Arial" w:hAnsi="Arial" w:cs="Arial"/>
          <w:color w:val="000000"/>
          <w:sz w:val="20"/>
        </w:rPr>
        <w:t xml:space="preserve">541 U.S. at 525, 124 S. Ct. at 1989 (emphases added). In </w:t>
      </w:r>
      <w:r>
        <w:rPr>
          <w:rFonts w:ascii="Arial" w:eastAsia="Arial" w:hAnsi="Arial" w:cs="Arial"/>
          <w:color w:val="000000"/>
          <w:sz w:val="20"/>
          <w:u w:val="single"/>
        </w:rPr>
        <w:t>Florida International</w:t>
      </w:r>
      <w:r>
        <w:rPr>
          <w:rFonts w:ascii="Arial" w:eastAsia="Arial" w:hAnsi="Arial" w:cs="Arial"/>
          <w:color w:val="000000"/>
          <w:sz w:val="20"/>
        </w:rPr>
        <w:t xml:space="preserve">, our Court noted that the Supreme Court's ruling in </w:t>
      </w:r>
      <w:r>
        <w:rPr>
          <w:rFonts w:ascii="Arial" w:eastAsia="Arial" w:hAnsi="Arial" w:cs="Arial"/>
          <w:color w:val="000000"/>
          <w:sz w:val="20"/>
          <w:u w:val="single"/>
        </w:rPr>
        <w:t>Lane [**15] </w:t>
      </w:r>
      <w:r>
        <w:rPr>
          <w:rFonts w:ascii="Arial" w:eastAsia="Arial" w:hAnsi="Arial" w:cs="Arial"/>
          <w:color w:val="000000"/>
          <w:sz w:val="20"/>
        </w:rPr>
        <w:t xml:space="preserve"> "considered the record supporting Title II </w:t>
      </w:r>
      <w:r>
        <w:rPr>
          <w:rFonts w:ascii="Arial" w:eastAsia="Arial" w:hAnsi="Arial" w:cs="Arial"/>
          <w:color w:val="000000"/>
          <w:sz w:val="20"/>
          <w:u w:val="single"/>
        </w:rPr>
        <w:t>as a whole</w:t>
      </w:r>
      <w:r>
        <w:rPr>
          <w:rFonts w:ascii="Arial" w:eastAsia="Arial" w:hAnsi="Arial" w:cs="Arial"/>
          <w:color w:val="000000"/>
          <w:sz w:val="20"/>
        </w:rPr>
        <w:t xml:space="preserve">, and conclusively held that Congress had documented a sufficient historical predicate of unconstitutional disability discrimination in the provision of public services to justify enactment of a prophylactic remedy . . . under Section 5 of the Fourteenth Amendment." </w:t>
      </w:r>
      <w:bookmarkStart w:id="3224" w:name="Bookmark_I6192TKC28T4RY0040000400"/>
      <w:bookmarkEnd w:id="3224"/>
      <w:r>
        <w:rPr>
          <w:rFonts w:ascii="Arial" w:eastAsia="Arial" w:hAnsi="Arial" w:cs="Arial"/>
          <w:color w:val="000000"/>
          <w:sz w:val="20"/>
        </w:rPr>
        <w:t xml:space="preserve">405 F.3d at 958. That finding was sufficient in </w:t>
      </w:r>
      <w:r>
        <w:rPr>
          <w:rFonts w:ascii="Arial" w:eastAsia="Arial" w:hAnsi="Arial" w:cs="Arial"/>
          <w:color w:val="000000"/>
          <w:sz w:val="20"/>
          <w:u w:val="single"/>
        </w:rPr>
        <w:t>Florida International</w:t>
      </w:r>
      <w:r>
        <w:rPr>
          <w:rFonts w:ascii="Arial" w:eastAsia="Arial" w:hAnsi="Arial" w:cs="Arial"/>
          <w:color w:val="000000"/>
          <w:sz w:val="20"/>
        </w:rPr>
        <w:t xml:space="preserve">. It necessarily follows that it is sufficient here as well. </w:t>
      </w:r>
      <w:bookmarkStart w:id="3225" w:name="Bookmark_LNHNREFclscc12_11"/>
      <w:bookmarkEnd w:id="3225"/>
      <w:r>
        <w:rPr>
          <w:rFonts w:ascii="Arial" w:eastAsia="Arial" w:hAnsi="Arial" w:cs="Arial"/>
          <w:color w:val="000000"/>
          <w:sz w:val="20"/>
        </w:rPr>
        <w:t xml:space="preserve">Congress's identification of discrimination in public services and voting establishes the necessary history of discrimination for the rights implicated here: access to public legislative information relevant to voting. </w:t>
      </w:r>
      <w:r>
        <w:rPr>
          <w:rFonts w:ascii="Arial" w:eastAsia="Arial" w:hAnsi="Arial" w:cs="Arial"/>
          <w:color w:val="000000"/>
          <w:sz w:val="20"/>
          <w:u w:val="single"/>
        </w:rPr>
        <w:t>See</w:t>
      </w:r>
      <w:r>
        <w:rPr>
          <w:rFonts w:ascii="Arial" w:eastAsia="Arial" w:hAnsi="Arial" w:cs="Arial"/>
          <w:color w:val="000000"/>
          <w:sz w:val="20"/>
        </w:rPr>
        <w:t xml:space="preserve"> 42 U.S.C. § 12101(a) ("The Congress finds that . . . discrimination against individuals with disabilities persists in such critical areas as . . . public accommodations . . . voting, and access to public services.").</w:t>
      </w:r>
    </w:p>
    <w:p w14:paraId="30EDDB40" w14:textId="77777777" w:rsidR="002B10A6" w:rsidRDefault="00000000">
      <w:pPr>
        <w:pStyle w:val="Normal20"/>
        <w:widowControl w:val="0"/>
        <w:spacing w:before="240" w:line="260" w:lineRule="atLeast"/>
      </w:pPr>
      <w:r>
        <w:br/>
      </w:r>
      <w:r>
        <w:rPr>
          <w:rFonts w:ascii="Arial" w:eastAsia="Arial" w:hAnsi="Arial" w:cs="Arial"/>
          <w:color w:val="000000"/>
          <w:sz w:val="20"/>
          <w:u w:val="single"/>
        </w:rPr>
        <w:t>3. Appropriate Response</w:t>
      </w:r>
    </w:p>
    <w:p w14:paraId="3000F454" w14:textId="77777777" w:rsidR="002B10A6" w:rsidRDefault="00000000">
      <w:pPr>
        <w:pStyle w:val="Normal20"/>
        <w:widowControl w:val="0"/>
        <w:spacing w:before="200" w:line="260" w:lineRule="atLeast"/>
        <w:jc w:val="both"/>
      </w:pPr>
      <w:bookmarkStart w:id="3226" w:name="Bookmark_para_29_12"/>
      <w:bookmarkStart w:id="3227" w:name="Bookmark_I6192TKC2HM6KT0020000400"/>
      <w:bookmarkStart w:id="3228" w:name="Bookmark_I6192TKC2HM6KT0040000400"/>
      <w:bookmarkStart w:id="3229" w:name="Bookmark_LNHNREFclscc13_9"/>
      <w:bookmarkEnd w:id="3226"/>
      <w:bookmarkEnd w:id="3227"/>
      <w:bookmarkEnd w:id="3228"/>
      <w:bookmarkEnd w:id="3229"/>
      <w:r>
        <w:rPr>
          <w:rFonts w:ascii="Arial" w:eastAsia="Arial" w:hAnsi="Arial" w:cs="Arial"/>
          <w:color w:val="000000"/>
          <w:sz w:val="20"/>
        </w:rPr>
        <w:t xml:space="preserve">The third and final step of our inquiry requires us to determine "whether Title II is an appropriate response to this history and pattern of unequal treatment." </w:t>
      </w:r>
      <w:bookmarkStart w:id="3230" w:name="Bookmark_I6192TKC2HM6KT0010000400"/>
      <w:bookmarkEnd w:id="3230"/>
      <w:r>
        <w:rPr>
          <w:rFonts w:ascii="Arial" w:eastAsia="Arial" w:hAnsi="Arial" w:cs="Arial"/>
          <w:color w:val="000000"/>
          <w:sz w:val="20"/>
          <w:u w:val="single"/>
        </w:rPr>
        <w:t>Fla. Int'l.</w:t>
      </w:r>
      <w:r>
        <w:rPr>
          <w:rFonts w:ascii="Arial" w:eastAsia="Arial" w:hAnsi="Arial" w:cs="Arial"/>
          <w:color w:val="000000"/>
          <w:sz w:val="20"/>
        </w:rPr>
        <w:t xml:space="preserve">, 405 F.3d at 957. Whether Title II was an appropriate response is judged on an "individual or 'as-applied' basis in light of the particular constitutional rights at stake in the relevant category of public services." [**16]  </w:t>
      </w:r>
      <w:bookmarkStart w:id="3231" w:name="Bookmark_I6192TKC2HM6KT0030000400"/>
      <w:bookmarkEnd w:id="3231"/>
      <w:r>
        <w:rPr>
          <w:rFonts w:ascii="Arial" w:eastAsia="Arial" w:hAnsi="Arial" w:cs="Arial"/>
          <w:color w:val="000000"/>
          <w:sz w:val="20"/>
          <w:u w:val="single"/>
        </w:rPr>
        <w:t>Id.</w:t>
      </w:r>
      <w:r>
        <w:rPr>
          <w:rFonts w:ascii="Arial" w:eastAsia="Arial" w:hAnsi="Arial" w:cs="Arial"/>
          <w:color w:val="000000"/>
          <w:sz w:val="20"/>
        </w:rPr>
        <w:t xml:space="preserve"> at 958.</w:t>
      </w:r>
    </w:p>
    <w:p w14:paraId="2FA9F855" w14:textId="77777777" w:rsidR="002B10A6" w:rsidRDefault="00000000">
      <w:pPr>
        <w:pStyle w:val="Normal20"/>
        <w:widowControl w:val="0"/>
        <w:spacing w:before="200" w:line="260" w:lineRule="atLeast"/>
        <w:jc w:val="both"/>
      </w:pPr>
      <w:bookmarkStart w:id="3232" w:name="Bookmark_para_30_11"/>
      <w:bookmarkStart w:id="3233" w:name="Bookmark_I6192TKC2SF8CK0010000400"/>
      <w:bookmarkStart w:id="3234" w:name="Bookmark_I6192TKC2SF8CK0030000400"/>
      <w:bookmarkStart w:id="3235" w:name="Bookmark_LNHNREFclscc14_9"/>
      <w:bookmarkEnd w:id="3232"/>
      <w:bookmarkEnd w:id="3233"/>
      <w:bookmarkEnd w:id="3234"/>
      <w:bookmarkEnd w:id="3235"/>
      <w:r>
        <w:rPr>
          <w:rFonts w:ascii="Arial" w:eastAsia="Arial" w:hAnsi="Arial" w:cs="Arial"/>
          <w:color w:val="000000"/>
          <w:sz w:val="20"/>
        </w:rPr>
        <w:t xml:space="preserve">Congress enacted the ADA in response to "pervasive unequal treatment in the administration of state services and programs." </w:t>
      </w:r>
      <w:bookmarkStart w:id="3236" w:name="Bookmark_I6192TKC2HM6KT0050000400"/>
      <w:bookmarkEnd w:id="3236"/>
      <w:r>
        <w:rPr>
          <w:rFonts w:ascii="Arial" w:eastAsia="Arial" w:hAnsi="Arial" w:cs="Arial"/>
          <w:color w:val="000000"/>
          <w:sz w:val="20"/>
          <w:u w:val="single"/>
        </w:rPr>
        <w:t>Lane</w:t>
      </w:r>
      <w:r>
        <w:rPr>
          <w:rFonts w:ascii="Arial" w:eastAsia="Arial" w:hAnsi="Arial" w:cs="Arial"/>
          <w:color w:val="000000"/>
          <w:sz w:val="20"/>
        </w:rPr>
        <w:t xml:space="preserve">, 541 U.S. at 524, 124 S. Ct. at 1989. The ADA is a "limited remedy" because (1) it "only prohibits" discrimination based on disability, </w:t>
      </w:r>
      <w:bookmarkStart w:id="3237" w:name="Bookmark_I6192TKC2SF8CK0020000400"/>
      <w:bookmarkEnd w:id="3237"/>
      <w:r>
        <w:rPr>
          <w:rFonts w:ascii="Arial" w:eastAsia="Arial" w:hAnsi="Arial" w:cs="Arial"/>
          <w:color w:val="000000"/>
          <w:sz w:val="20"/>
          <w:u w:val="single"/>
        </w:rPr>
        <w:t>Fla. Int'l</w:t>
      </w:r>
      <w:r>
        <w:rPr>
          <w:rFonts w:ascii="Arial" w:eastAsia="Arial" w:hAnsi="Arial" w:cs="Arial"/>
          <w:color w:val="000000"/>
          <w:sz w:val="20"/>
        </w:rPr>
        <w:t xml:space="preserve">, 405 F.3d at 959, (2) it only requires "'reasonable modifications' that would not fundamentally alter the nature of the service provided," </w:t>
      </w:r>
      <w:bookmarkStart w:id="3238" w:name="Bookmark_I6192TKC2SF8CK0040000400"/>
      <w:bookmarkEnd w:id="3238"/>
      <w:r>
        <w:rPr>
          <w:rFonts w:ascii="Arial" w:eastAsia="Arial" w:hAnsi="Arial" w:cs="Arial"/>
          <w:color w:val="000000"/>
          <w:sz w:val="20"/>
          <w:u w:val="single"/>
        </w:rPr>
        <w:t>Lane</w:t>
      </w:r>
      <w:r>
        <w:rPr>
          <w:rFonts w:ascii="Arial" w:eastAsia="Arial" w:hAnsi="Arial" w:cs="Arial"/>
          <w:color w:val="000000"/>
          <w:sz w:val="20"/>
        </w:rPr>
        <w:t xml:space="preserve">, 541 U.S. at 532, 124 S. Ct. at 1993 (quoting 42 U.S.C. § 12131(2)), and (3) it provides affirmative defenses to prevent overly burdening state actors, </w:t>
      </w:r>
      <w:bookmarkStart w:id="3239" w:name="Bookmark_I6192TKC2N1PY80010000400"/>
      <w:bookmarkEnd w:id="3239"/>
      <w:r>
        <w:rPr>
          <w:rFonts w:ascii="Arial" w:eastAsia="Arial" w:hAnsi="Arial" w:cs="Arial"/>
          <w:color w:val="000000"/>
          <w:sz w:val="20"/>
          <w:u w:val="single"/>
        </w:rPr>
        <w:t>Reininger v. Oklahoma</w:t>
      </w:r>
      <w:r>
        <w:rPr>
          <w:rFonts w:ascii="Arial" w:eastAsia="Arial" w:hAnsi="Arial" w:cs="Arial"/>
          <w:color w:val="000000"/>
          <w:sz w:val="20"/>
        </w:rPr>
        <w:t>, 292 F. Supp. 3d 1254, 1265 (W.D. Okla. 2017).</w:t>
      </w:r>
    </w:p>
    <w:p w14:paraId="26A8A91A" w14:textId="77777777" w:rsidR="002B10A6" w:rsidRDefault="00000000">
      <w:pPr>
        <w:pStyle w:val="Normal20"/>
        <w:widowControl w:val="0"/>
        <w:spacing w:before="200" w:line="260" w:lineRule="atLeast"/>
        <w:jc w:val="both"/>
      </w:pPr>
      <w:bookmarkStart w:id="3240" w:name="Bookmark_para_31_11"/>
      <w:bookmarkEnd w:id="3240"/>
      <w:r>
        <w:rPr>
          <w:rFonts w:ascii="Arial" w:eastAsia="Arial" w:hAnsi="Arial" w:cs="Arial"/>
          <w:color w:val="000000"/>
          <w:sz w:val="20"/>
        </w:rPr>
        <w:t>Here, Title II provides an appropriately limited response to remedy the history of unequal treatment. The burden of adding captioning to legislative videos—which are already provided to the public—removes a complete barrier to this information for a subset of citizens with a remedy we expect can be accomplished with limited cost and effort. In this way, the remedy is a proportionate and "reasonable modification" of a service that is already provided, and it does not change the "nature" of the service whatsoever. Finally, if the cost or effort should prove to be prohibitively burdensome, the Defendants have available the affirmative defenses in Title II.</w:t>
      </w:r>
    </w:p>
    <w:p w14:paraId="2F6C0437" w14:textId="77777777" w:rsidR="002B10A6" w:rsidRDefault="00000000">
      <w:pPr>
        <w:pStyle w:val="Normal20"/>
        <w:widowControl w:val="0"/>
        <w:spacing w:before="200" w:line="260" w:lineRule="atLeast"/>
        <w:jc w:val="both"/>
      </w:pPr>
      <w:bookmarkStart w:id="3241" w:name="Bookmark_para_32_11"/>
      <w:bookmarkStart w:id="3242" w:name="Bookmark_I6192TKC2N1PY80040000400"/>
      <w:bookmarkEnd w:id="3241"/>
      <w:bookmarkEnd w:id="3242"/>
      <w:r>
        <w:rPr>
          <w:rFonts w:ascii="Arial" w:eastAsia="Arial" w:hAnsi="Arial" w:cs="Arial"/>
          <w:color w:val="000000"/>
          <w:sz w:val="20"/>
        </w:rPr>
        <w:t xml:space="preserve">When it enacted Title II, Congress was confronted with evidence that deaf people often cannot [**17]  access government meetings either due to a lack of interpreters or other necessary accessibility features. </w:t>
      </w:r>
      <w:r>
        <w:rPr>
          <w:rFonts w:ascii="Arial" w:eastAsia="Arial" w:hAnsi="Arial" w:cs="Arial"/>
          <w:color w:val="000000"/>
          <w:sz w:val="20"/>
          <w:u w:val="single"/>
        </w:rPr>
        <w:t xml:space="preserve">See </w:t>
      </w:r>
      <w:bookmarkStart w:id="3243" w:name="Bookmark_I6192TKC2N1PY80030000400"/>
      <w:bookmarkEnd w:id="3243"/>
      <w:r>
        <w:rPr>
          <w:rFonts w:ascii="Arial" w:eastAsia="Arial" w:hAnsi="Arial" w:cs="Arial"/>
          <w:color w:val="000000"/>
          <w:sz w:val="20"/>
          <w:u w:val="single"/>
        </w:rPr>
        <w:t>Garrett</w:t>
      </w:r>
      <w:r>
        <w:rPr>
          <w:rFonts w:ascii="Arial" w:eastAsia="Arial" w:hAnsi="Arial" w:cs="Arial"/>
          <w:color w:val="000000"/>
          <w:sz w:val="20"/>
        </w:rPr>
        <w:t xml:space="preserve">, 531 U.S. at 391-424, 121 S. Ct. at 977-93 (App. C. to opinion of Breyer, J., dissenting) (noting that Congress received evidence of, among other things, (1) the "government fail[ing] to provide interpretive services for deaf people at [a] school budget hearing;" (2) "public functions fail[ing] to provide interpretive services for  [*774]  deaf people;" (3) "state and local government meetings fail[ing] to provide interpretive services for deaf people"). </w:t>
      </w:r>
      <w:bookmarkStart w:id="3244" w:name="Bookmark_I6192TKC28T4S10010000400"/>
      <w:bookmarkEnd w:id="3244"/>
      <w:r>
        <w:rPr>
          <w:rFonts w:ascii="Arial" w:eastAsia="Arial" w:hAnsi="Arial" w:cs="Arial"/>
          <w:color w:val="000000"/>
          <w:sz w:val="20"/>
        </w:rPr>
        <w:t xml:space="preserve">Given this evidence, and the limited nature of the remedy as applied here, we agree with the District Court. </w:t>
      </w:r>
      <w:bookmarkStart w:id="3245" w:name="Bookmark_I6192TKC28T4S10010000400_2"/>
      <w:bookmarkEnd w:id="3245"/>
      <w:r>
        <w:rPr>
          <w:rFonts w:ascii="Arial" w:eastAsia="Arial" w:hAnsi="Arial" w:cs="Arial"/>
          <w:color w:val="000000"/>
          <w:sz w:val="20"/>
        </w:rPr>
        <w:t xml:space="preserve">Congress validly abrogated sovereign immunity for this claim under the standard for important rights that nonetheless receive only rational basis review. </w:t>
      </w:r>
      <w:r>
        <w:rPr>
          <w:rFonts w:ascii="Arial" w:eastAsia="Arial" w:hAnsi="Arial" w:cs="Arial"/>
          <w:color w:val="000000"/>
          <w:sz w:val="20"/>
          <w:u w:val="single"/>
        </w:rPr>
        <w:t xml:space="preserve">See, e.g., </w:t>
      </w:r>
      <w:bookmarkStart w:id="3246" w:name="Bookmark_I6192TKC2N1PY80050000400"/>
      <w:bookmarkEnd w:id="3246"/>
      <w:r>
        <w:rPr>
          <w:rFonts w:ascii="Arial" w:eastAsia="Arial" w:hAnsi="Arial" w:cs="Arial"/>
          <w:color w:val="000000"/>
          <w:sz w:val="20"/>
          <w:u w:val="single"/>
        </w:rPr>
        <w:t>Fla. Int'l</w:t>
      </w:r>
      <w:r>
        <w:rPr>
          <w:rFonts w:ascii="Arial" w:eastAsia="Arial" w:hAnsi="Arial" w:cs="Arial"/>
          <w:color w:val="000000"/>
          <w:sz w:val="20"/>
        </w:rPr>
        <w:t>, 405 F.3d at 957-59.</w:t>
      </w:r>
    </w:p>
    <w:p w14:paraId="5DEA8D8B" w14:textId="77777777" w:rsidR="002B10A6" w:rsidRDefault="00000000">
      <w:pPr>
        <w:pStyle w:val="Normal20"/>
        <w:widowControl w:val="0"/>
        <w:spacing w:before="120" w:line="260" w:lineRule="atLeast"/>
      </w:pPr>
      <w:r>
        <w:rPr>
          <w:rFonts w:ascii="Arial" w:eastAsia="Arial" w:hAnsi="Arial" w:cs="Arial"/>
          <w:color w:val="000000"/>
          <w:sz w:val="20"/>
        </w:rPr>
        <w:t xml:space="preserve">C. </w:t>
      </w:r>
      <w:r>
        <w:rPr>
          <w:rFonts w:ascii="Arial" w:eastAsia="Arial" w:hAnsi="Arial" w:cs="Arial"/>
          <w:color w:val="000000"/>
          <w:sz w:val="20"/>
          <w:u w:val="single"/>
        </w:rPr>
        <w:t>EX PARTE YOUNG</w:t>
      </w:r>
    </w:p>
    <w:p w14:paraId="0A44E5FD" w14:textId="77777777" w:rsidR="002B10A6" w:rsidRDefault="00000000">
      <w:pPr>
        <w:pStyle w:val="Normal20"/>
        <w:widowControl w:val="0"/>
        <w:spacing w:before="200" w:line="260" w:lineRule="atLeast"/>
        <w:jc w:val="both"/>
      </w:pPr>
      <w:bookmarkStart w:id="3247" w:name="Bookmark_para_33_10"/>
      <w:bookmarkEnd w:id="3247"/>
      <w:r>
        <w:rPr>
          <w:rFonts w:ascii="Arial" w:eastAsia="Arial" w:hAnsi="Arial" w:cs="Arial"/>
          <w:color w:val="000000"/>
          <w:sz w:val="20"/>
        </w:rPr>
        <w:t xml:space="preserve">The District Court held that Plaintiffs were entitled to pursue injunctive relief under the doctrine of </w:t>
      </w:r>
      <w:r>
        <w:rPr>
          <w:rFonts w:ascii="Arial" w:eastAsia="Arial" w:hAnsi="Arial" w:cs="Arial"/>
          <w:color w:val="000000"/>
          <w:sz w:val="20"/>
          <w:u w:val="single"/>
        </w:rPr>
        <w:t>Ex parte Young</w:t>
      </w:r>
      <w:r>
        <w:rPr>
          <w:rFonts w:ascii="Arial" w:eastAsia="Arial" w:hAnsi="Arial" w:cs="Arial"/>
          <w:color w:val="000000"/>
          <w:sz w:val="20"/>
        </w:rPr>
        <w:t xml:space="preserve"> for allegedly ongoing violations of Title II. We affirm this ruling as well.</w:t>
      </w:r>
    </w:p>
    <w:p w14:paraId="1037E23F" w14:textId="77777777" w:rsidR="002B10A6" w:rsidRDefault="00000000">
      <w:pPr>
        <w:pStyle w:val="Normal20"/>
        <w:widowControl w:val="0"/>
        <w:spacing w:before="200" w:line="260" w:lineRule="atLeast"/>
        <w:jc w:val="both"/>
      </w:pPr>
      <w:bookmarkStart w:id="3248" w:name="Bookmark_para_34_9"/>
      <w:bookmarkStart w:id="3249" w:name="Bookmark_I6192TKC28T4S10030000400"/>
      <w:bookmarkStart w:id="3250" w:name="Bookmark_I6192TKC28T4S10050000400"/>
      <w:bookmarkStart w:id="3251" w:name="Bookmark_LNHNREFclscc15_7"/>
      <w:bookmarkEnd w:id="3248"/>
      <w:bookmarkEnd w:id="3249"/>
      <w:bookmarkEnd w:id="3250"/>
      <w:bookmarkEnd w:id="3251"/>
      <w:r>
        <w:rPr>
          <w:rFonts w:ascii="Arial" w:eastAsia="Arial" w:hAnsi="Arial" w:cs="Arial"/>
          <w:color w:val="000000"/>
          <w:sz w:val="20"/>
        </w:rPr>
        <w:t xml:space="preserve">When a plaintiff challenges a state official's action on federal grounds, </w:t>
      </w:r>
      <w:r>
        <w:rPr>
          <w:rFonts w:ascii="Arial" w:eastAsia="Arial" w:hAnsi="Arial" w:cs="Arial"/>
          <w:color w:val="000000"/>
          <w:sz w:val="20"/>
          <w:u w:val="single"/>
        </w:rPr>
        <w:t>Ex Parte Young</w:t>
      </w:r>
      <w:r>
        <w:rPr>
          <w:rFonts w:ascii="Arial" w:eastAsia="Arial" w:hAnsi="Arial" w:cs="Arial"/>
          <w:color w:val="000000"/>
          <w:sz w:val="20"/>
        </w:rPr>
        <w:t xml:space="preserve"> allows the plaintiff to seek prospective injunctive relief. </w:t>
      </w:r>
      <w:bookmarkStart w:id="3252" w:name="Bookmark_I6192TKC28T4S10020000400"/>
      <w:bookmarkEnd w:id="3252"/>
      <w:r>
        <w:rPr>
          <w:rFonts w:ascii="Arial" w:eastAsia="Arial" w:hAnsi="Arial" w:cs="Arial"/>
          <w:color w:val="000000"/>
          <w:sz w:val="20"/>
          <w:u w:val="single"/>
        </w:rPr>
        <w:t>Pennhurst State Sch. &amp; Hosp. v. Halderman</w:t>
      </w:r>
      <w:r>
        <w:rPr>
          <w:rFonts w:ascii="Arial" w:eastAsia="Arial" w:hAnsi="Arial" w:cs="Arial"/>
          <w:color w:val="000000"/>
          <w:sz w:val="20"/>
        </w:rPr>
        <w:t xml:space="preserve">, 465 U.S. 89, 102-03, 104 S. Ct. 900, 909, 79 L. Ed. 2d 67 (1984). However, the Supreme Court in </w:t>
      </w:r>
      <w:r>
        <w:rPr>
          <w:rFonts w:ascii="Arial" w:eastAsia="Arial" w:hAnsi="Arial" w:cs="Arial"/>
          <w:color w:val="000000"/>
          <w:sz w:val="20"/>
          <w:u w:val="single"/>
        </w:rPr>
        <w:t>Pennhurst</w:t>
      </w:r>
      <w:r>
        <w:rPr>
          <w:rFonts w:ascii="Arial" w:eastAsia="Arial" w:hAnsi="Arial" w:cs="Arial"/>
          <w:color w:val="000000"/>
          <w:sz w:val="20"/>
        </w:rPr>
        <w:t xml:space="preserve"> recognized [**18]  an exception to </w:t>
      </w:r>
      <w:r>
        <w:rPr>
          <w:rFonts w:ascii="Arial" w:eastAsia="Arial" w:hAnsi="Arial" w:cs="Arial"/>
          <w:color w:val="000000"/>
          <w:sz w:val="20"/>
          <w:u w:val="single"/>
        </w:rPr>
        <w:t>Ex parte Young</w:t>
      </w:r>
      <w:r>
        <w:rPr>
          <w:rFonts w:ascii="Arial" w:eastAsia="Arial" w:hAnsi="Arial" w:cs="Arial"/>
          <w:color w:val="000000"/>
          <w:sz w:val="20"/>
        </w:rPr>
        <w:t xml:space="preserve"> that prohibits a plaintiff from seeking injunctive relief when he alleges merely "that a state official has violated </w:t>
      </w:r>
      <w:r>
        <w:rPr>
          <w:rFonts w:ascii="Arial" w:eastAsia="Arial" w:hAnsi="Arial" w:cs="Arial"/>
          <w:color w:val="000000"/>
          <w:sz w:val="20"/>
          <w:u w:val="single"/>
        </w:rPr>
        <w:t>state</w:t>
      </w:r>
      <w:r>
        <w:rPr>
          <w:rFonts w:ascii="Arial" w:eastAsia="Arial" w:hAnsi="Arial" w:cs="Arial"/>
          <w:color w:val="000000"/>
          <w:sz w:val="20"/>
        </w:rPr>
        <w:t xml:space="preserve"> law." </w:t>
      </w:r>
      <w:bookmarkStart w:id="3253" w:name="Bookmark_I6192TKC28T4S10040000400"/>
      <w:bookmarkEnd w:id="3253"/>
      <w:r>
        <w:rPr>
          <w:rFonts w:ascii="Arial" w:eastAsia="Arial" w:hAnsi="Arial" w:cs="Arial"/>
          <w:color w:val="000000"/>
          <w:sz w:val="20"/>
          <w:u w:val="single"/>
        </w:rPr>
        <w:t>Id.</w:t>
      </w:r>
      <w:r>
        <w:rPr>
          <w:rFonts w:ascii="Arial" w:eastAsia="Arial" w:hAnsi="Arial" w:cs="Arial"/>
          <w:color w:val="000000"/>
          <w:sz w:val="20"/>
        </w:rPr>
        <w:t xml:space="preserve"> at 106, 104 S. Ct. at 911.</w:t>
      </w:r>
    </w:p>
    <w:p w14:paraId="4AEF3B5D" w14:textId="77777777" w:rsidR="002B10A6" w:rsidRDefault="00000000">
      <w:pPr>
        <w:pStyle w:val="Normal20"/>
        <w:widowControl w:val="0"/>
        <w:spacing w:before="200" w:line="260" w:lineRule="atLeast"/>
        <w:jc w:val="both"/>
      </w:pPr>
      <w:bookmarkStart w:id="3254" w:name="Bookmark_para_35_9"/>
      <w:bookmarkStart w:id="3255" w:name="Bookmark_I28D1FJ37SY00009NH50000N"/>
      <w:bookmarkStart w:id="3256" w:name="Bookmark_I6192TKC28T4S30020000400"/>
      <w:bookmarkStart w:id="3257" w:name="Bookmark_I6192TKC2HM6KY0010000400"/>
      <w:bookmarkStart w:id="3258" w:name="Bookmark_I28D1FJ3B7Y00009NH50000P"/>
      <w:bookmarkStart w:id="3259" w:name="Bookmark_I6192TKC2HM6KY0030000400"/>
      <w:bookmarkEnd w:id="3254"/>
      <w:bookmarkEnd w:id="3255"/>
      <w:bookmarkEnd w:id="3256"/>
      <w:bookmarkEnd w:id="3257"/>
      <w:bookmarkEnd w:id="3258"/>
      <w:bookmarkEnd w:id="3259"/>
      <w:r>
        <w:rPr>
          <w:rFonts w:ascii="Arial" w:eastAsia="Arial" w:hAnsi="Arial" w:cs="Arial"/>
          <w:color w:val="000000"/>
          <w:sz w:val="20"/>
        </w:rPr>
        <w:t xml:space="preserve">Plaintiffs here seek declaratory and prospective injunctive relief against state officials in their official capacities for their ongoing violation of Title II. Because the Plaintiffs seek an injunction based on violations of the ADA—a </w:t>
      </w:r>
      <w:r>
        <w:rPr>
          <w:rFonts w:ascii="Arial" w:eastAsia="Arial" w:hAnsi="Arial" w:cs="Arial"/>
          <w:color w:val="000000"/>
          <w:sz w:val="20"/>
          <w:u w:val="single"/>
        </w:rPr>
        <w:t>federal</w:t>
      </w:r>
      <w:r>
        <w:rPr>
          <w:rFonts w:ascii="Arial" w:eastAsia="Arial" w:hAnsi="Arial" w:cs="Arial"/>
          <w:color w:val="000000"/>
          <w:sz w:val="20"/>
        </w:rPr>
        <w:t xml:space="preserve"> statute—the</w:t>
      </w:r>
      <w:bookmarkStart w:id="3260" w:name="Bookmark_I6192TKC28T4S30010000400"/>
      <w:bookmarkEnd w:id="3260"/>
      <w:r>
        <w:rPr>
          <w:rFonts w:ascii="Arial" w:eastAsia="Arial" w:hAnsi="Arial" w:cs="Arial"/>
          <w:color w:val="000000"/>
          <w:sz w:val="20"/>
        </w:rPr>
        <w:t xml:space="preserve"> </w:t>
      </w:r>
      <w:r>
        <w:rPr>
          <w:rFonts w:ascii="Arial" w:eastAsia="Arial" w:hAnsi="Arial" w:cs="Arial"/>
          <w:color w:val="000000"/>
          <w:sz w:val="20"/>
          <w:u w:val="single"/>
        </w:rPr>
        <w:t>Pennhurst</w:t>
      </w:r>
      <w:r>
        <w:rPr>
          <w:rFonts w:ascii="Arial" w:eastAsia="Arial" w:hAnsi="Arial" w:cs="Arial"/>
          <w:color w:val="000000"/>
          <w:sz w:val="20"/>
        </w:rPr>
        <w:t xml:space="preserve"> exception does not apply to this case.</w:t>
      </w:r>
      <w:r>
        <w:rPr>
          <w:rFonts w:ascii="Arial" w:eastAsia="Arial" w:hAnsi="Arial" w:cs="Arial"/>
          <w:vertAlign w:val="superscript"/>
        </w:rPr>
        <w:footnoteReference w:customMarkFollows="1" w:id="145"/>
        <w:t>3</w:t>
      </w:r>
      <w:r>
        <w:rPr>
          <w:rFonts w:ascii="Arial" w:eastAsia="Arial" w:hAnsi="Arial" w:cs="Arial"/>
          <w:color w:val="000000"/>
          <w:sz w:val="20"/>
        </w:rPr>
        <w:t xml:space="preserve"> </w:t>
      </w:r>
      <w:r>
        <w:rPr>
          <w:rFonts w:ascii="Arial" w:eastAsia="Arial" w:hAnsi="Arial" w:cs="Arial"/>
          <w:color w:val="000000"/>
          <w:sz w:val="20"/>
          <w:u w:val="single"/>
        </w:rPr>
        <w:t xml:space="preserve">See, e.g., </w:t>
      </w:r>
      <w:bookmarkStart w:id="3268" w:name="Bookmark_I6192TKC28T4S30030000400"/>
      <w:bookmarkEnd w:id="3268"/>
      <w:r>
        <w:rPr>
          <w:rFonts w:ascii="Arial" w:eastAsia="Arial" w:hAnsi="Arial" w:cs="Arial"/>
          <w:color w:val="000000"/>
          <w:sz w:val="20"/>
          <w:u w:val="single"/>
        </w:rPr>
        <w:t>Garrett</w:t>
      </w:r>
      <w:r>
        <w:rPr>
          <w:rFonts w:ascii="Arial" w:eastAsia="Arial" w:hAnsi="Arial" w:cs="Arial"/>
          <w:color w:val="000000"/>
          <w:sz w:val="20"/>
        </w:rPr>
        <w:t xml:space="preserve">, 531 U.S. at 374 n.9, 121 S. Ct. at 968 n.9 (rejecting Congressional abrogation of state immunity for damages under Title I, but noting that "the ADA still prescribes standards applicable to the States. Those standards can be enforced by . . . private individuals in actions for injunctive relief under </w:t>
      </w:r>
      <w:r>
        <w:rPr>
          <w:rFonts w:ascii="Arial" w:eastAsia="Arial" w:hAnsi="Arial" w:cs="Arial"/>
          <w:color w:val="000000"/>
          <w:sz w:val="20"/>
          <w:u w:val="single"/>
        </w:rPr>
        <w:t>Ex parte Young</w:t>
      </w:r>
      <w:r>
        <w:rPr>
          <w:rFonts w:ascii="Arial" w:eastAsia="Arial" w:hAnsi="Arial" w:cs="Arial"/>
          <w:color w:val="000000"/>
          <w:sz w:val="20"/>
        </w:rPr>
        <w:t xml:space="preserve">."); </w:t>
      </w:r>
      <w:bookmarkStart w:id="3269" w:name="Bookmark_I6192TKC28T4S30050000400"/>
      <w:bookmarkEnd w:id="3269"/>
      <w:r>
        <w:rPr>
          <w:rFonts w:ascii="Arial" w:eastAsia="Arial" w:hAnsi="Arial" w:cs="Arial"/>
          <w:color w:val="000000"/>
          <w:sz w:val="20"/>
          <w:u w:val="single"/>
        </w:rPr>
        <w:t>Green v. Mansour</w:t>
      </w:r>
      <w:r>
        <w:rPr>
          <w:rFonts w:ascii="Arial" w:eastAsia="Arial" w:hAnsi="Arial" w:cs="Arial"/>
          <w:color w:val="000000"/>
          <w:sz w:val="20"/>
        </w:rPr>
        <w:t>, 474 U.S. 64, 68, 106 S. Ct. 423, 426, 88 L. Ed. 2d 371 (1985) ("Remedies designed to end a continuing violation of federal law are necessary to vindicate the federal interest in assuring the supremacy of that law."). This suit therefore falls squarely under the doctrine set forth in</w:t>
      </w:r>
      <w:bookmarkStart w:id="3270" w:name="Bookmark_I6192TKC2HM6KY0020000400"/>
      <w:bookmarkEnd w:id="3270"/>
      <w:r>
        <w:rPr>
          <w:rFonts w:ascii="Arial" w:eastAsia="Arial" w:hAnsi="Arial" w:cs="Arial"/>
          <w:color w:val="000000"/>
          <w:sz w:val="20"/>
        </w:rPr>
        <w:t xml:space="preserve"> </w:t>
      </w:r>
      <w:r>
        <w:rPr>
          <w:rFonts w:ascii="Arial" w:eastAsia="Arial" w:hAnsi="Arial" w:cs="Arial"/>
          <w:color w:val="000000"/>
          <w:sz w:val="20"/>
          <w:u w:val="single"/>
        </w:rPr>
        <w:t>Ex parte Young</w:t>
      </w:r>
      <w:r>
        <w:rPr>
          <w:rFonts w:ascii="Arial" w:eastAsia="Arial" w:hAnsi="Arial" w:cs="Arial"/>
          <w:color w:val="000000"/>
          <w:sz w:val="20"/>
        </w:rPr>
        <w:t>, and for that reason, the District Court properly held that Plaintiffs can seek declaratory and injunctive relief against state officials.</w:t>
      </w:r>
    </w:p>
    <w:p w14:paraId="56C54CA1" w14:textId="77777777" w:rsidR="002B10A6" w:rsidRDefault="00000000">
      <w:pPr>
        <w:pStyle w:val="Normal20"/>
        <w:widowControl w:val="0"/>
        <w:spacing w:before="120" w:line="260" w:lineRule="atLeast"/>
      </w:pPr>
      <w:r>
        <w:rPr>
          <w:rFonts w:ascii="Arial" w:eastAsia="Arial" w:hAnsi="Arial" w:cs="Arial"/>
          <w:color w:val="000000"/>
          <w:sz w:val="20"/>
        </w:rPr>
        <w:t>D. REHABILITATION ACT</w:t>
      </w:r>
    </w:p>
    <w:p w14:paraId="6A19A144" w14:textId="77777777" w:rsidR="002B10A6" w:rsidRDefault="00000000">
      <w:pPr>
        <w:pStyle w:val="Normal20"/>
        <w:widowControl w:val="0"/>
        <w:spacing w:before="200" w:line="260" w:lineRule="atLeast"/>
        <w:jc w:val="both"/>
      </w:pPr>
      <w:bookmarkStart w:id="3271" w:name="Bookmark_para_36_9"/>
      <w:bookmarkStart w:id="3272" w:name="Bookmark_I6192TKS2D6N070040000400"/>
      <w:bookmarkStart w:id="3273" w:name="Bookmark_LNHNREFclscc16_5"/>
      <w:bookmarkEnd w:id="3271"/>
      <w:bookmarkEnd w:id="3272"/>
      <w:bookmarkEnd w:id="3273"/>
      <w:r>
        <w:rPr>
          <w:rFonts w:ascii="Arial" w:eastAsia="Arial" w:hAnsi="Arial" w:cs="Arial"/>
          <w:color w:val="000000"/>
          <w:sz w:val="20"/>
        </w:rPr>
        <w:t xml:space="preserve">Under the Rehabilitation Act, a state waives [**19]  its sovereign immunity if it receives federal financial assistance. </w:t>
      </w:r>
      <w:bookmarkStart w:id="3274" w:name="Bookmark_I6192TKS2D6N070030000400"/>
      <w:bookmarkEnd w:id="3274"/>
      <w:r>
        <w:rPr>
          <w:rFonts w:ascii="Arial" w:eastAsia="Arial" w:hAnsi="Arial" w:cs="Arial"/>
          <w:color w:val="000000"/>
          <w:sz w:val="20"/>
          <w:u w:val="single"/>
        </w:rPr>
        <w:t>Garrett v. Univ. of Ala. Birmingham Bd. of Trs.</w:t>
      </w:r>
      <w:r>
        <w:rPr>
          <w:rFonts w:ascii="Arial" w:eastAsia="Arial" w:hAnsi="Arial" w:cs="Arial"/>
          <w:color w:val="000000"/>
          <w:sz w:val="20"/>
        </w:rPr>
        <w:t>, 344 F.3d 1288, 1290-91 (11th Cir. 2003) (per curiam); 42 U.S.C. § 2000d-7. Plaintiffs' complaint alleges the Legislative Defendants receive federal financial assistance. The Legislative Defendants responded with a Rule 12(b)(1) motion raising  [*775]  a "factual challenge" to District Court's jurisdiction over the Rehabilitation Act claim—namely that they did not receive federal funding. Attached to the motion was a declaration from Lisa Swindle, a Finance Director for the Florida Office of Legislative Services, averring that the Florida Senate and House had not received federal financial assistance since 1999.</w:t>
      </w:r>
    </w:p>
    <w:p w14:paraId="744C934E" w14:textId="77777777" w:rsidR="002B10A6" w:rsidRDefault="00000000">
      <w:pPr>
        <w:pStyle w:val="Normal20"/>
        <w:widowControl w:val="0"/>
        <w:spacing w:before="200" w:line="260" w:lineRule="atLeast"/>
        <w:jc w:val="both"/>
      </w:pPr>
      <w:bookmarkStart w:id="3275" w:name="Bookmark_para_37_8"/>
      <w:bookmarkEnd w:id="3275"/>
      <w:r>
        <w:rPr>
          <w:rFonts w:ascii="Arial" w:eastAsia="Arial" w:hAnsi="Arial" w:cs="Arial"/>
          <w:color w:val="000000"/>
          <w:sz w:val="20"/>
        </w:rPr>
        <w:t>In their opposition brief, Plaintiffs argued discovery was necessary to determine whether the Legislative Defendants had waived sovereign immunity. Federal funding is a fact-intensive question, Plaintiffs say, and they did not have access to the relevant financial information to challenge Ms. Swindle's "self-serving" affidavit. They also argued that indirect federal assistance could waive sovereign immunity under the Rehabilitation Act, and proceeded to identify "multiple leads" suggesting the Legislative Defendants receive this type of aid. According to Plaintiffs, discovery would be required [**20]  to further explore these leads.</w:t>
      </w:r>
    </w:p>
    <w:p w14:paraId="38BBFCDD" w14:textId="77777777" w:rsidR="002B10A6" w:rsidRDefault="00000000">
      <w:pPr>
        <w:pStyle w:val="Normal20"/>
        <w:widowControl w:val="0"/>
        <w:spacing w:before="200" w:line="260" w:lineRule="atLeast"/>
        <w:jc w:val="both"/>
      </w:pPr>
      <w:bookmarkStart w:id="3276" w:name="Bookmark_para_38_7"/>
      <w:bookmarkStart w:id="3277" w:name="Bookmark_I6192TKS2N1R1D0010000400"/>
      <w:bookmarkStart w:id="3278" w:name="Bookmark_I6192TKS2N1R1D0050000400"/>
      <w:bookmarkStart w:id="3279" w:name="Bookmark_LNHNREFclscc17_4"/>
      <w:bookmarkEnd w:id="3276"/>
      <w:bookmarkEnd w:id="3277"/>
      <w:bookmarkEnd w:id="3278"/>
      <w:bookmarkEnd w:id="3279"/>
      <w:r>
        <w:rPr>
          <w:rFonts w:ascii="Arial" w:eastAsia="Arial" w:hAnsi="Arial" w:cs="Arial"/>
          <w:color w:val="000000"/>
          <w:sz w:val="20"/>
        </w:rPr>
        <w:t xml:space="preserve">In cases involving factual challenges to the court's subject matter jurisdiction, "the district court must give the plaintiff an opportunity for discovery . . . that is appropriate to the nature of the motion to dismiss." </w:t>
      </w:r>
      <w:bookmarkStart w:id="3280" w:name="Bookmark_I6192TKS2D6N070050000400"/>
      <w:bookmarkEnd w:id="3280"/>
      <w:r>
        <w:rPr>
          <w:rFonts w:ascii="Arial" w:eastAsia="Arial" w:hAnsi="Arial" w:cs="Arial"/>
          <w:color w:val="000000"/>
          <w:sz w:val="20"/>
          <w:u w:val="single"/>
        </w:rPr>
        <w:t>Williamson v. Tucker</w:t>
      </w:r>
      <w:r>
        <w:rPr>
          <w:rFonts w:ascii="Arial" w:eastAsia="Arial" w:hAnsi="Arial" w:cs="Arial"/>
          <w:color w:val="000000"/>
          <w:sz w:val="20"/>
        </w:rPr>
        <w:t xml:space="preserve">, 645 F.2d 404, 414 (5th Cir. 1981); </w:t>
      </w:r>
      <w:r>
        <w:rPr>
          <w:rFonts w:ascii="Arial" w:eastAsia="Arial" w:hAnsi="Arial" w:cs="Arial"/>
          <w:color w:val="000000"/>
          <w:sz w:val="20"/>
          <w:u w:val="single"/>
        </w:rPr>
        <w:t xml:space="preserve">see also </w:t>
      </w:r>
      <w:bookmarkStart w:id="3281" w:name="Bookmark_I6192TKS2N1R1D0020000400"/>
      <w:bookmarkEnd w:id="3281"/>
      <w:r>
        <w:rPr>
          <w:rFonts w:ascii="Arial" w:eastAsia="Arial" w:hAnsi="Arial" w:cs="Arial"/>
          <w:color w:val="000000"/>
          <w:sz w:val="20"/>
          <w:u w:val="single"/>
        </w:rPr>
        <w:t>McElmurray v. Consol. Gov't of Augusta-Richmond Cty.</w:t>
      </w:r>
      <w:r>
        <w:rPr>
          <w:rFonts w:ascii="Arial" w:eastAsia="Arial" w:hAnsi="Arial" w:cs="Arial"/>
          <w:color w:val="000000"/>
          <w:sz w:val="20"/>
        </w:rPr>
        <w:t xml:space="preserve">, 501 F.3d 1244, 1251 (11th Cir. 2007) (recognizing discovery is required to resolve factual challenges to subject matter jurisdiction). </w:t>
      </w:r>
      <w:bookmarkStart w:id="3282" w:name="Bookmark_I6192TKT2HM6P30020000400"/>
      <w:bookmarkEnd w:id="3282"/>
      <w:r>
        <w:rPr>
          <w:rFonts w:ascii="Arial" w:eastAsia="Arial" w:hAnsi="Arial" w:cs="Arial"/>
          <w:color w:val="000000"/>
          <w:sz w:val="20"/>
        </w:rPr>
        <w:t xml:space="preserve">In the Eleventh Amendment context—where defendants often raise factual challenges on sovereign immunity grounds—a district court may order limited discovery before deciding whether sovereign immunity requires dismissal. </w:t>
      </w:r>
      <w:bookmarkStart w:id="3283" w:name="Bookmark_I6192TKS2N1R1D0040000400"/>
      <w:bookmarkEnd w:id="3283"/>
      <w:r>
        <w:rPr>
          <w:rFonts w:ascii="Arial" w:eastAsia="Arial" w:hAnsi="Arial" w:cs="Arial"/>
          <w:color w:val="000000"/>
          <w:sz w:val="20"/>
          <w:u w:val="single"/>
        </w:rPr>
        <w:t>Douglas v. United States</w:t>
      </w:r>
      <w:r>
        <w:rPr>
          <w:rFonts w:ascii="Arial" w:eastAsia="Arial" w:hAnsi="Arial" w:cs="Arial"/>
          <w:color w:val="000000"/>
          <w:sz w:val="20"/>
        </w:rPr>
        <w:t xml:space="preserve">, 814 F.3d 1268, 1281 (11th Cir. 2016). </w:t>
      </w:r>
      <w:bookmarkStart w:id="3284" w:name="Bookmark_I6192TKT2HM6P30020000400_2"/>
      <w:bookmarkEnd w:id="3284"/>
      <w:r>
        <w:rPr>
          <w:rFonts w:ascii="Arial" w:eastAsia="Arial" w:hAnsi="Arial" w:cs="Arial"/>
          <w:color w:val="000000"/>
          <w:sz w:val="20"/>
        </w:rPr>
        <w:t xml:space="preserve">Because this decision implicates the court's supervisory powers, it is "generally committed to the sound discretion of the district court." </w:t>
      </w:r>
      <w:bookmarkStart w:id="3285" w:name="Bookmark_I6192TKT2HM6P30010000400"/>
      <w:bookmarkEnd w:id="3285"/>
      <w:r>
        <w:rPr>
          <w:rFonts w:ascii="Arial" w:eastAsia="Arial" w:hAnsi="Arial" w:cs="Arial"/>
          <w:color w:val="000000"/>
          <w:sz w:val="20"/>
          <w:u w:val="single"/>
        </w:rPr>
        <w:t>Bouchard Transp. Co. v. Fla. Dep't of Envtl. Prot.</w:t>
      </w:r>
      <w:r>
        <w:rPr>
          <w:rFonts w:ascii="Arial" w:eastAsia="Arial" w:hAnsi="Arial" w:cs="Arial"/>
          <w:color w:val="000000"/>
          <w:sz w:val="20"/>
        </w:rPr>
        <w:t>, 91 F.3d 1445, 1448 (11th Cir. 1996) (per curiam). The question before us, therefore, is whether the District Court abused its discretion in ordering discovery prior to resolving the question of sovereign immunity. We conclude that it did not.</w:t>
      </w:r>
    </w:p>
    <w:p w14:paraId="1EE088EC" w14:textId="77777777" w:rsidR="002B10A6" w:rsidRDefault="00000000">
      <w:pPr>
        <w:pStyle w:val="Normal20"/>
        <w:widowControl w:val="0"/>
        <w:spacing w:before="200" w:line="260" w:lineRule="atLeast"/>
        <w:jc w:val="both"/>
      </w:pPr>
      <w:bookmarkStart w:id="3286" w:name="Bookmark_para_39_7"/>
      <w:bookmarkStart w:id="3287" w:name="Bookmark_I6192TKT2HM6P30040000400"/>
      <w:bookmarkEnd w:id="3286"/>
      <w:bookmarkEnd w:id="3287"/>
      <w:r>
        <w:rPr>
          <w:rFonts w:ascii="Arial" w:eastAsia="Arial" w:hAnsi="Arial" w:cs="Arial"/>
          <w:color w:val="000000"/>
          <w:sz w:val="20"/>
        </w:rPr>
        <w:t xml:space="preserve">When the District Court decided whether to grant the Legislative Defendants' Rule 12(b)(1) motion to dismiss, it had before it (1) a single affidavit from the Legislative Defendants disclaiming the receipt of </w:t>
      </w:r>
      <w:r>
        <w:rPr>
          <w:rFonts w:ascii="Arial" w:eastAsia="Arial" w:hAnsi="Arial" w:cs="Arial"/>
          <w:color w:val="000000"/>
          <w:sz w:val="20"/>
          <w:u w:val="single"/>
        </w:rPr>
        <w:t>direct</w:t>
      </w:r>
      <w:r>
        <w:rPr>
          <w:rFonts w:ascii="Arial" w:eastAsia="Arial" w:hAnsi="Arial" w:cs="Arial"/>
          <w:color w:val="000000"/>
          <w:sz w:val="20"/>
        </w:rPr>
        <w:t xml:space="preserve"> federal financial assistance; (2) Plaintiffs' proffered "multiple leads" suggesting [**21]  the Legislative Defendants receive </w:t>
      </w:r>
      <w:r>
        <w:rPr>
          <w:rFonts w:ascii="Arial" w:eastAsia="Arial" w:hAnsi="Arial" w:cs="Arial"/>
          <w:color w:val="000000"/>
          <w:sz w:val="20"/>
          <w:u w:val="single"/>
        </w:rPr>
        <w:t>indirect</w:t>
      </w:r>
      <w:r>
        <w:rPr>
          <w:rFonts w:ascii="Arial" w:eastAsia="Arial" w:hAnsi="Arial" w:cs="Arial"/>
          <w:color w:val="000000"/>
          <w:sz w:val="20"/>
        </w:rPr>
        <w:t xml:space="preserve"> federal financial assistance; and (3) Plaintiffs' argument that discovery was necessary to determine whether the Legislative Defendants receive federal funding of any sort. The District Court held:</w:t>
      </w:r>
    </w:p>
    <w:p w14:paraId="26F18906" w14:textId="77777777" w:rsidR="002B10A6" w:rsidRDefault="00000000">
      <w:pPr>
        <w:pStyle w:val="Normal20"/>
        <w:widowControl w:val="0"/>
        <w:spacing w:before="200" w:line="260" w:lineRule="atLeast"/>
        <w:ind w:left="400"/>
        <w:jc w:val="both"/>
      </w:pPr>
      <w:bookmarkStart w:id="3288" w:name="Bookmark_para_40_7"/>
      <w:bookmarkStart w:id="3289" w:name="Bookmark_I6192TKT2HM6P30040000400_2"/>
      <w:bookmarkEnd w:id="3288"/>
      <w:bookmarkEnd w:id="3289"/>
      <w:r>
        <w:rPr>
          <w:rFonts w:ascii="Arial" w:eastAsia="Arial" w:hAnsi="Arial" w:cs="Arial"/>
          <w:color w:val="000000"/>
          <w:sz w:val="20"/>
        </w:rPr>
        <w:t xml:space="preserve">The Court is not obligated to consider extrinsic facts, and for two reasons it will not do so here. </w:t>
      </w:r>
      <w:r>
        <w:rPr>
          <w:rFonts w:ascii="Arial" w:eastAsia="Arial" w:hAnsi="Arial" w:cs="Arial"/>
          <w:color w:val="000000"/>
          <w:sz w:val="20"/>
          <w:u w:val="single"/>
        </w:rPr>
        <w:t xml:space="preserve">See </w:t>
      </w:r>
      <w:bookmarkStart w:id="3290" w:name="Bookmark_I6192TKT2HM6P30030000400"/>
      <w:bookmarkEnd w:id="3290"/>
      <w:r>
        <w:rPr>
          <w:rFonts w:ascii="Arial" w:eastAsia="Arial" w:hAnsi="Arial" w:cs="Arial"/>
          <w:color w:val="000000"/>
          <w:sz w:val="20"/>
          <w:u w:val="single"/>
        </w:rPr>
        <w:t>Houston v. Marod Supermarkets, Inc.</w:t>
      </w:r>
      <w:r>
        <w:rPr>
          <w:rFonts w:ascii="Arial" w:eastAsia="Arial" w:hAnsi="Arial" w:cs="Arial"/>
          <w:color w:val="000000"/>
          <w:sz w:val="20"/>
        </w:rPr>
        <w:t>, 733 F.3d 1323, 1336 (11th Cir. 2013). First, the only evidence before the Court is a self-serving affidavit. And second, information about the Legislature's sources of financing may not be available to Plaintiffs absent discovery.</w:t>
      </w:r>
    </w:p>
    <w:p w14:paraId="1B226301" w14:textId="77777777" w:rsidR="002B10A6" w:rsidRDefault="00000000">
      <w:pPr>
        <w:pStyle w:val="Normal20"/>
        <w:widowControl w:val="0"/>
        <w:spacing w:line="260" w:lineRule="atLeast"/>
        <w:jc w:val="both"/>
      </w:pPr>
      <w:r>
        <w:rPr>
          <w:rFonts w:ascii="Arial" w:eastAsia="Arial" w:hAnsi="Arial" w:cs="Arial"/>
          <w:color w:val="000000"/>
          <w:sz w:val="20"/>
        </w:rPr>
        <w:t>On that basis, the District Court refused to dismiss the Plaintiffs' Rehabilitation Act claim, and ordered the Legislative Defendants to answer the complaint.</w:t>
      </w:r>
    </w:p>
    <w:p w14:paraId="113CDD35" w14:textId="77777777" w:rsidR="002B10A6" w:rsidRDefault="00000000">
      <w:pPr>
        <w:pStyle w:val="Normal20"/>
        <w:widowControl w:val="0"/>
        <w:spacing w:before="200" w:line="260" w:lineRule="atLeast"/>
        <w:jc w:val="both"/>
      </w:pPr>
      <w:bookmarkStart w:id="3291" w:name="Bookmark_para_41_7"/>
      <w:bookmarkStart w:id="3292" w:name="Bookmark_I6192TKT2N1R1N0010000400"/>
      <w:bookmarkEnd w:id="3291"/>
      <w:bookmarkEnd w:id="3292"/>
      <w:r>
        <w:rPr>
          <w:rFonts w:ascii="Arial" w:eastAsia="Arial" w:hAnsi="Arial" w:cs="Arial"/>
          <w:color w:val="000000"/>
          <w:sz w:val="20"/>
        </w:rPr>
        <w:t>The District Court appears to have adopted Plaintiffs' argument that dismissal was not warranted on the basis of a single "self-serving" affidavit, particularly one that Plaintiffs could not challenge absent [*776]  discovery.</w:t>
      </w:r>
      <w:r>
        <w:rPr>
          <w:rFonts w:ascii="Arial" w:eastAsia="Arial" w:hAnsi="Arial" w:cs="Arial"/>
          <w:vertAlign w:val="superscript"/>
        </w:rPr>
        <w:footnoteReference w:customMarkFollows="1" w:id="146"/>
        <w:t>4</w:t>
      </w:r>
      <w:r>
        <w:rPr>
          <w:rFonts w:ascii="Arial" w:eastAsia="Arial" w:hAnsi="Arial" w:cs="Arial"/>
          <w:color w:val="000000"/>
          <w:sz w:val="20"/>
        </w:rPr>
        <w:t xml:space="preserve"> </w:t>
      </w:r>
      <w:bookmarkStart w:id="3294" w:name="Bookmark_LNHNREFclscc18_1"/>
      <w:bookmarkEnd w:id="3294"/>
      <w:r>
        <w:rPr>
          <w:rFonts w:ascii="Arial" w:eastAsia="Arial" w:hAnsi="Arial" w:cs="Arial"/>
          <w:color w:val="000000"/>
          <w:sz w:val="20"/>
        </w:rPr>
        <w:t xml:space="preserve">This circuit generally requires that plaintiffs have an opportunity to conduct jurisdictional discovery prior to dismissal. </w:t>
      </w:r>
      <w:r>
        <w:rPr>
          <w:rFonts w:ascii="Arial" w:eastAsia="Arial" w:hAnsi="Arial" w:cs="Arial"/>
          <w:color w:val="000000"/>
          <w:sz w:val="20"/>
          <w:u w:val="single"/>
        </w:rPr>
        <w:t xml:space="preserve">See </w:t>
      </w:r>
      <w:bookmarkStart w:id="3295" w:name="Bookmark_I6192TKT2HM6P30050000400"/>
      <w:bookmarkEnd w:id="3295"/>
      <w:r>
        <w:rPr>
          <w:rFonts w:ascii="Arial" w:eastAsia="Arial" w:hAnsi="Arial" w:cs="Arial"/>
          <w:color w:val="000000"/>
          <w:sz w:val="20"/>
          <w:u w:val="single"/>
        </w:rPr>
        <w:t>Eaton v. Dorchester Dev., Inc.</w:t>
      </w:r>
      <w:r>
        <w:rPr>
          <w:rFonts w:ascii="Arial" w:eastAsia="Arial" w:hAnsi="Arial" w:cs="Arial"/>
          <w:color w:val="000000"/>
          <w:sz w:val="20"/>
        </w:rPr>
        <w:t>, 692 F.2d 727, 731 (11th Cir. 1982) ("[T]he rules entitle a plaintiff to elicit material through discovery before a claim may be dismissed for lack of jurisdiction." (quotation marks omitted)). [**22]  The District Court therefore did not abuse its discretion.</w:t>
      </w:r>
    </w:p>
    <w:p w14:paraId="66FEE470" w14:textId="77777777" w:rsidR="002B10A6" w:rsidRDefault="00000000">
      <w:pPr>
        <w:pStyle w:val="Normal20"/>
        <w:widowControl w:val="0"/>
        <w:spacing w:before="200" w:line="260" w:lineRule="atLeast"/>
        <w:jc w:val="both"/>
      </w:pPr>
      <w:bookmarkStart w:id="3296" w:name="Bookmark_para_42_7"/>
      <w:bookmarkStart w:id="3297" w:name="Bookmark_I6192TKT2N1R1N0030000400"/>
      <w:bookmarkEnd w:id="3296"/>
      <w:bookmarkEnd w:id="3297"/>
      <w:r>
        <w:rPr>
          <w:rFonts w:ascii="Arial" w:eastAsia="Arial" w:hAnsi="Arial" w:cs="Arial"/>
          <w:color w:val="000000"/>
          <w:sz w:val="20"/>
        </w:rPr>
        <w:t xml:space="preserve">We recognize the District Court's order did not merely grant jurisdictional discovery, but instead ordered the Legislative Defendants to answer the complaint. </w:t>
      </w:r>
      <w:bookmarkStart w:id="3298" w:name="Bookmark_I6192TKT2N1R1N0050000400"/>
      <w:bookmarkStart w:id="3299" w:name="Bookmark_LNHNREFclscc19_1"/>
      <w:bookmarkEnd w:id="3298"/>
      <w:bookmarkEnd w:id="3299"/>
      <w:r>
        <w:rPr>
          <w:rFonts w:ascii="Arial" w:eastAsia="Arial" w:hAnsi="Arial" w:cs="Arial"/>
          <w:color w:val="000000"/>
          <w:sz w:val="20"/>
        </w:rPr>
        <w:t xml:space="preserve">This would ordinarily raise concerns under our sovereign immunity jurisprudence, which provides that "a state's Eleventh Amendment immunity is an entitlement not to stand trial or face the other burdens of litigation." </w:t>
      </w:r>
      <w:bookmarkStart w:id="3300" w:name="Bookmark_I6192TKT2N1R1N0020000400"/>
      <w:bookmarkEnd w:id="3300"/>
      <w:r>
        <w:rPr>
          <w:rFonts w:ascii="Arial" w:eastAsia="Arial" w:hAnsi="Arial" w:cs="Arial"/>
          <w:color w:val="000000"/>
          <w:sz w:val="20"/>
          <w:u w:val="single"/>
        </w:rPr>
        <w:t>Bouchard</w:t>
      </w:r>
      <w:r>
        <w:rPr>
          <w:rFonts w:ascii="Arial" w:eastAsia="Arial" w:hAnsi="Arial" w:cs="Arial"/>
          <w:color w:val="000000"/>
          <w:sz w:val="20"/>
        </w:rPr>
        <w:t xml:space="preserve">, 91 F.3d at 1448 (quotation marks omitted). But those concerns are not present here. This opinion separately holds that the Legislative Defendants are not entitled to sovereign immunity against Plaintiffs' ADA claims, so they will be required to answer the complaint and provide discovery on Plaintiffs' ADA claims in any event. </w:t>
      </w:r>
      <w:bookmarkStart w:id="3301" w:name="Bookmark_I6192TKT2N1R1N0050000400_2"/>
      <w:bookmarkEnd w:id="3301"/>
      <w:r>
        <w:rPr>
          <w:rFonts w:ascii="Arial" w:eastAsia="Arial" w:hAnsi="Arial" w:cs="Arial"/>
          <w:color w:val="000000"/>
          <w:sz w:val="20"/>
        </w:rPr>
        <w:t xml:space="preserve">Given the substantial overlap between Plaintiffs' ADA and Rehabilitation Act claims, </w:t>
      </w:r>
      <w:r>
        <w:rPr>
          <w:rFonts w:ascii="Arial" w:eastAsia="Arial" w:hAnsi="Arial" w:cs="Arial"/>
          <w:color w:val="000000"/>
          <w:sz w:val="20"/>
          <w:u w:val="single"/>
        </w:rPr>
        <w:t xml:space="preserve">see </w:t>
      </w:r>
      <w:bookmarkStart w:id="3302" w:name="Bookmark_I6192TKT2N1R1N0040000400"/>
      <w:bookmarkEnd w:id="3302"/>
      <w:r>
        <w:rPr>
          <w:rFonts w:ascii="Arial" w:eastAsia="Arial" w:hAnsi="Arial" w:cs="Arial"/>
          <w:color w:val="000000"/>
          <w:sz w:val="20"/>
          <w:u w:val="single"/>
        </w:rPr>
        <w:t>Harrison v. Rubin</w:t>
      </w:r>
      <w:r>
        <w:rPr>
          <w:rFonts w:ascii="Arial" w:eastAsia="Arial" w:hAnsi="Arial" w:cs="Arial"/>
          <w:color w:val="000000"/>
          <w:sz w:val="20"/>
        </w:rPr>
        <w:t>, 174 F.3d 249, 253, 335 U.S. App. D.C. 413 (D.C. Cir. 1999) (observing that claims under the ADA and Rehabilitation Act "are virtually identical"), the District Court's order did not encroach on the Legislative Defendants' immunity.</w:t>
      </w:r>
    </w:p>
    <w:p w14:paraId="5B8E80A4" w14:textId="77777777" w:rsidR="002B10A6" w:rsidRDefault="00000000">
      <w:pPr>
        <w:pStyle w:val="Normal20"/>
        <w:widowControl w:val="0"/>
        <w:spacing w:before="240" w:line="260" w:lineRule="atLeast"/>
      </w:pPr>
      <w:r>
        <w:br/>
      </w:r>
      <w:r>
        <w:rPr>
          <w:rFonts w:ascii="Arial" w:eastAsia="Arial" w:hAnsi="Arial" w:cs="Arial"/>
          <w:b/>
          <w:color w:val="000000"/>
          <w:sz w:val="20"/>
        </w:rPr>
        <w:t>IV. CONCLUSION</w:t>
      </w:r>
    </w:p>
    <w:p w14:paraId="04E9F942" w14:textId="77777777" w:rsidR="002B10A6" w:rsidRDefault="00000000">
      <w:pPr>
        <w:pStyle w:val="Normal20"/>
        <w:widowControl w:val="0"/>
        <w:spacing w:before="200" w:line="260" w:lineRule="atLeast"/>
        <w:jc w:val="both"/>
      </w:pPr>
      <w:bookmarkStart w:id="3303" w:name="Bookmark_para_43_6"/>
      <w:bookmarkEnd w:id="3303"/>
      <w:r>
        <w:rPr>
          <w:rFonts w:ascii="Arial" w:eastAsia="Arial" w:hAnsi="Arial" w:cs="Arial"/>
          <w:color w:val="000000"/>
          <w:sz w:val="20"/>
        </w:rPr>
        <w:t xml:space="preserve">For these reasons, we </w:t>
      </w:r>
      <w:r>
        <w:rPr>
          <w:rFonts w:ascii="Arial" w:eastAsia="Arial" w:hAnsi="Arial" w:cs="Arial"/>
          <w:b/>
          <w:color w:val="000000"/>
          <w:sz w:val="20"/>
        </w:rPr>
        <w:t>AFFIRM</w:t>
      </w:r>
      <w:r>
        <w:rPr>
          <w:rFonts w:ascii="Arial" w:eastAsia="Arial" w:hAnsi="Arial" w:cs="Arial"/>
          <w:color w:val="000000"/>
          <w:sz w:val="20"/>
        </w:rPr>
        <w:t xml:space="preserve"> the District Court's order in full.</w:t>
      </w:r>
    </w:p>
    <w:p w14:paraId="1F0C1F1D" w14:textId="77777777" w:rsidR="002B10A6" w:rsidRDefault="00000000">
      <w:pPr>
        <w:pStyle w:val="Normal20"/>
        <w:widowControl w:val="0"/>
        <w:spacing w:before="240" w:line="260" w:lineRule="atLeast"/>
      </w:pPr>
      <w:bookmarkStart w:id="3304" w:name="Concur_by"/>
      <w:bookmarkEnd w:id="3304"/>
      <w:r>
        <w:rPr>
          <w:rFonts w:ascii="Arial" w:eastAsia="Arial" w:hAnsi="Arial" w:cs="Arial"/>
          <w:b/>
          <w:color w:val="000000"/>
          <w:sz w:val="20"/>
        </w:rPr>
        <w:t>Concur by:</w:t>
      </w:r>
      <w:r>
        <w:rPr>
          <w:rFonts w:ascii="Arial" w:eastAsia="Arial" w:hAnsi="Arial" w:cs="Arial"/>
          <w:color w:val="000000"/>
          <w:sz w:val="20"/>
        </w:rPr>
        <w:t> TJOFLAT (In Part)</w:t>
      </w:r>
    </w:p>
    <w:p w14:paraId="2F124F9D" w14:textId="77777777" w:rsidR="002B10A6" w:rsidRDefault="00000000">
      <w:pPr>
        <w:pStyle w:val="Normal20"/>
        <w:widowControl w:val="0"/>
        <w:spacing w:before="240" w:line="260" w:lineRule="atLeast"/>
      </w:pPr>
      <w:bookmarkStart w:id="3305" w:name="Dissent_by_0"/>
      <w:bookmarkEnd w:id="3305"/>
      <w:r>
        <w:rPr>
          <w:rFonts w:ascii="Arial" w:eastAsia="Arial" w:hAnsi="Arial" w:cs="Arial"/>
          <w:b/>
          <w:color w:val="000000"/>
          <w:sz w:val="20"/>
        </w:rPr>
        <w:t>Dissent by:</w:t>
      </w:r>
      <w:r>
        <w:rPr>
          <w:rFonts w:ascii="Arial" w:eastAsia="Arial" w:hAnsi="Arial" w:cs="Arial"/>
          <w:color w:val="000000"/>
          <w:sz w:val="20"/>
        </w:rPr>
        <w:t> TJOFLAT (In Part)</w:t>
      </w:r>
    </w:p>
    <w:p w14:paraId="6C84F6BA" w14:textId="77777777" w:rsidR="002B10A6" w:rsidRDefault="00000000">
      <w:pPr>
        <w:pStyle w:val="Normal20"/>
        <w:keepNext/>
        <w:widowControl w:val="0"/>
        <w:spacing w:before="240" w:line="340" w:lineRule="atLeast"/>
      </w:pPr>
      <w:bookmarkStart w:id="3306" w:name="Dissent_0"/>
      <w:bookmarkEnd w:id="3306"/>
      <w:r>
        <w:rPr>
          <w:rFonts w:ascii="Arial" w:eastAsia="Arial" w:hAnsi="Arial" w:cs="Arial"/>
          <w:b/>
          <w:color w:val="000000"/>
          <w:sz w:val="28"/>
        </w:rPr>
        <w:t>Dissent</w:t>
      </w:r>
    </w:p>
    <w:p w14:paraId="43FA1C5B" w14:textId="1C37A48B" w:rsidR="002B10A6" w:rsidRDefault="002D6974">
      <w:pPr>
        <w:pStyle w:val="Normal20"/>
        <w:spacing w:line="60" w:lineRule="exact"/>
      </w:pPr>
      <w:r>
        <w:rPr>
          <w:noProof/>
        </w:rPr>
        <mc:AlternateContent>
          <mc:Choice Requires="wps">
            <w:drawing>
              <wp:anchor distT="0" distB="0" distL="114300" distR="114300" simplePos="0" relativeHeight="251701248" behindDoc="0" locked="0" layoutInCell="1" allowOverlap="1" wp14:anchorId="0B52E038" wp14:editId="05800B21">
                <wp:simplePos x="0" y="0"/>
                <wp:positionH relativeFrom="column">
                  <wp:posOffset>0</wp:posOffset>
                </wp:positionH>
                <wp:positionV relativeFrom="paragraph">
                  <wp:posOffset>25400</wp:posOffset>
                </wp:positionV>
                <wp:extent cx="3187700" cy="0"/>
                <wp:effectExtent l="19050" t="15875" r="12700" b="12700"/>
                <wp:wrapTopAndBottom/>
                <wp:docPr id="96816482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06750" id="Line 4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D1EA05A" w14:textId="77777777" w:rsidR="002B10A6" w:rsidRDefault="002B10A6">
      <w:pPr>
        <w:pStyle w:val="Normal20"/>
      </w:pPr>
    </w:p>
    <w:p w14:paraId="4AFA9FF8" w14:textId="77777777" w:rsidR="002B10A6" w:rsidRDefault="00000000">
      <w:pPr>
        <w:pStyle w:val="Normal20"/>
        <w:widowControl w:val="0"/>
        <w:spacing w:before="200" w:line="260" w:lineRule="atLeast"/>
        <w:jc w:val="both"/>
      </w:pPr>
      <w:bookmarkStart w:id="3307" w:name="Bookmark_para_44_6"/>
      <w:bookmarkEnd w:id="3307"/>
      <w:r>
        <w:rPr>
          <w:rFonts w:ascii="Arial" w:eastAsia="Arial" w:hAnsi="Arial" w:cs="Arial"/>
          <w:color w:val="000000"/>
          <w:sz w:val="20"/>
        </w:rPr>
        <w:t>TJOFLAT, Circuit Judge, concurring in part and dissenting in part:</w:t>
      </w:r>
    </w:p>
    <w:p w14:paraId="0BD7CFED" w14:textId="77777777" w:rsidR="002B10A6" w:rsidRDefault="00000000">
      <w:pPr>
        <w:pStyle w:val="Normal20"/>
        <w:widowControl w:val="0"/>
        <w:spacing w:before="200" w:line="260" w:lineRule="atLeast"/>
        <w:jc w:val="both"/>
      </w:pPr>
      <w:bookmarkStart w:id="3308" w:name="Bookmark_para_45_6"/>
      <w:bookmarkStart w:id="3309" w:name="Bookmark_I28D1FJ3JYK00009NH50000V"/>
      <w:bookmarkStart w:id="3310" w:name="Bookmark_I6192TKW2N1R200020000400"/>
      <w:bookmarkEnd w:id="3308"/>
      <w:bookmarkEnd w:id="3309"/>
      <w:bookmarkEnd w:id="3310"/>
      <w:r>
        <w:rPr>
          <w:rFonts w:ascii="Arial" w:eastAsia="Arial" w:hAnsi="Arial" w:cs="Arial"/>
          <w:color w:val="000000"/>
          <w:sz w:val="20"/>
        </w:rPr>
        <w:t xml:space="preserve">I concur with the Court that [**23]  Congress validly abrogated sovereign immunity with respect to Plaintiffs' Title II claims, regardless of whether the right implicated in this case is deemed "fundamental." I also concur that the Plaintiffs were entitled to pursue injunctive relief under </w:t>
      </w:r>
      <w:bookmarkStart w:id="3311" w:name="Bookmark_I6192TKW2N1R200010000400"/>
      <w:bookmarkEnd w:id="3311"/>
      <w:r>
        <w:rPr>
          <w:rFonts w:ascii="Arial" w:eastAsia="Arial" w:hAnsi="Arial" w:cs="Arial"/>
          <w:color w:val="000000"/>
          <w:sz w:val="20"/>
          <w:u w:val="single"/>
        </w:rPr>
        <w:t>Ex Parte Young</w:t>
      </w:r>
      <w:r>
        <w:rPr>
          <w:rFonts w:ascii="Arial" w:eastAsia="Arial" w:hAnsi="Arial" w:cs="Arial"/>
          <w:color w:val="000000"/>
          <w:sz w:val="20"/>
        </w:rPr>
        <w:t>, 209 U.S. 123, 28 S. Ct. 441, 52 L. Ed. 714 (1908).</w:t>
      </w:r>
    </w:p>
    <w:p w14:paraId="715080F9" w14:textId="77777777" w:rsidR="002B10A6" w:rsidRDefault="00000000">
      <w:pPr>
        <w:pStyle w:val="Normal20"/>
        <w:widowControl w:val="0"/>
        <w:spacing w:before="200" w:line="260" w:lineRule="atLeast"/>
        <w:jc w:val="both"/>
      </w:pPr>
      <w:bookmarkStart w:id="3312" w:name="Bookmark_para_46_5"/>
      <w:bookmarkEnd w:id="3312"/>
      <w:r>
        <w:rPr>
          <w:rFonts w:ascii="Arial" w:eastAsia="Arial" w:hAnsi="Arial" w:cs="Arial"/>
          <w:color w:val="000000"/>
          <w:sz w:val="20"/>
        </w:rPr>
        <w:t>I write separately because I believe the District Court did not adequately explain its reasons for denying the Legislative Defendants' Rule 12(b)(1) motion regarding the Plaintiffs' Rehabilitation Act claims. Therefore, I do not think we can properly determine whether the District Court abused its discretion when it denied the motion. I would remand to the District Court for further explanation before deciding whether to affirm its ruling.</w:t>
      </w:r>
    </w:p>
    <w:p w14:paraId="3870D468" w14:textId="77777777" w:rsidR="002B10A6" w:rsidRDefault="00000000">
      <w:pPr>
        <w:pStyle w:val="Normal20"/>
        <w:widowControl w:val="0"/>
        <w:spacing w:before="200" w:line="260" w:lineRule="atLeast"/>
        <w:jc w:val="both"/>
      </w:pPr>
      <w:bookmarkStart w:id="3313" w:name="Bookmark_para_47_5"/>
      <w:bookmarkEnd w:id="3313"/>
      <w:r>
        <w:rPr>
          <w:rFonts w:ascii="Arial" w:eastAsia="Arial" w:hAnsi="Arial" w:cs="Arial"/>
          <w:color w:val="000000"/>
          <w:sz w:val="20"/>
        </w:rPr>
        <w:t>Below, the Plaintiffs asserted two theories of federal financial assistance: (1) direct and (2) indirect. The Legislative Defendants challenged the viability of both theories. However, the District Court did not explain with any specificity why either of those challenges failed. As the majority notes, the District Court's analysis for denying the Legislative Defendants' Rule 12(b)(1) motion was sparse:</w:t>
      </w:r>
    </w:p>
    <w:p w14:paraId="5B916EAC" w14:textId="77777777" w:rsidR="002B10A6" w:rsidRDefault="00000000">
      <w:pPr>
        <w:pStyle w:val="Normal20"/>
        <w:widowControl w:val="0"/>
        <w:spacing w:before="200" w:line="260" w:lineRule="atLeast"/>
        <w:ind w:left="400"/>
        <w:jc w:val="both"/>
      </w:pPr>
      <w:bookmarkStart w:id="3314" w:name="Bookmark_para_48_5"/>
      <w:bookmarkEnd w:id="3314"/>
      <w:r>
        <w:rPr>
          <w:rFonts w:ascii="Arial" w:eastAsia="Arial" w:hAnsi="Arial" w:cs="Arial"/>
          <w:color w:val="000000"/>
          <w:sz w:val="20"/>
        </w:rPr>
        <w:t>"The Court is not obligated to consider extrinsic facts, and for two reasons it will not do so here. First, the only evidence [**24]  before the Court is a self-serving affidavit. And second, information about the Legislature's sources of financing may not be available to Plaintiffs absent discovery. The Court will not, therefore,  [*777]  dismiss the Rehabilitation Act claim at this time."</w:t>
      </w:r>
    </w:p>
    <w:p w14:paraId="754FB4F7" w14:textId="77777777" w:rsidR="002B10A6" w:rsidRDefault="00000000">
      <w:pPr>
        <w:pStyle w:val="Normal20"/>
        <w:widowControl w:val="0"/>
        <w:spacing w:before="200" w:line="260" w:lineRule="atLeast"/>
        <w:jc w:val="both"/>
      </w:pPr>
      <w:bookmarkStart w:id="3315" w:name="Bookmark_para_49_4"/>
      <w:bookmarkStart w:id="3316" w:name="Bookmark_I28D1FJ3NBK00009NH50000W"/>
      <w:bookmarkStart w:id="3317" w:name="Bookmark_I28D1FJ3RBF00009NH50000X"/>
      <w:bookmarkStart w:id="3318" w:name="Bookmark_I28D1FJ3SSD00009NH50000Y"/>
      <w:bookmarkStart w:id="3319" w:name="Bookmark_I6192TKW2N1R200040000400"/>
      <w:bookmarkEnd w:id="3315"/>
      <w:bookmarkEnd w:id="3316"/>
      <w:bookmarkEnd w:id="3317"/>
      <w:bookmarkEnd w:id="3318"/>
      <w:bookmarkEnd w:id="3319"/>
      <w:r>
        <w:rPr>
          <w:rFonts w:ascii="Arial" w:eastAsia="Arial" w:hAnsi="Arial" w:cs="Arial"/>
          <w:color w:val="000000"/>
          <w:sz w:val="20"/>
        </w:rPr>
        <w:t xml:space="preserve">In my view, this analysis was inadequate. First, the Court should not have suggested that it was making only a temporary ruling that might be revisited in the future—issues of immunity should be resolved at the earliest possible stage. </w:t>
      </w:r>
      <w:r>
        <w:rPr>
          <w:rFonts w:ascii="Arial" w:eastAsia="Arial" w:hAnsi="Arial" w:cs="Arial"/>
          <w:color w:val="000000"/>
          <w:sz w:val="20"/>
          <w:u w:val="single"/>
        </w:rPr>
        <w:t xml:space="preserve">See </w:t>
      </w:r>
      <w:bookmarkStart w:id="3320" w:name="Bookmark_I6192TKW2N1R200030000400"/>
      <w:bookmarkEnd w:id="3320"/>
      <w:r>
        <w:rPr>
          <w:rFonts w:ascii="Arial" w:eastAsia="Arial" w:hAnsi="Arial" w:cs="Arial"/>
          <w:color w:val="000000"/>
          <w:sz w:val="20"/>
          <w:u w:val="single"/>
        </w:rPr>
        <w:t>Bouchard Transp. Co. v. Fla. Dep't of Envtl. Prot.</w:t>
      </w:r>
      <w:r>
        <w:rPr>
          <w:rFonts w:ascii="Arial" w:eastAsia="Arial" w:hAnsi="Arial" w:cs="Arial"/>
          <w:color w:val="000000"/>
          <w:sz w:val="20"/>
        </w:rPr>
        <w:t xml:space="preserve">, 91 F.3d 1445, 1448 (11th Cir. 1996) ("[A] state's Eleventh Amendment immunity is 'an entitlement not to stand trial or face the burdens of litigation.'" (quoting </w:t>
      </w:r>
      <w:bookmarkStart w:id="3321" w:name="Bookmark_I6192TKW2N1R200050000400"/>
      <w:bookmarkEnd w:id="3321"/>
      <w:r>
        <w:rPr>
          <w:rFonts w:ascii="Arial" w:eastAsia="Arial" w:hAnsi="Arial" w:cs="Arial"/>
          <w:color w:val="000000"/>
          <w:sz w:val="20"/>
          <w:u w:val="single"/>
        </w:rPr>
        <w:t>Mitchell v. Forsyth</w:t>
      </w:r>
      <w:r>
        <w:rPr>
          <w:rFonts w:ascii="Arial" w:eastAsia="Arial" w:hAnsi="Arial" w:cs="Arial"/>
          <w:color w:val="000000"/>
          <w:sz w:val="20"/>
        </w:rPr>
        <w:t xml:space="preserve">, 472 U.S. 511, 526, 105 S. Ct. 2806, 2815, 86 L. Ed. 2d 411 (1985))); </w:t>
      </w:r>
      <w:bookmarkStart w:id="3322" w:name="Bookmark_I6192TKX2HM6PM0020000400"/>
      <w:bookmarkEnd w:id="3322"/>
      <w:r>
        <w:rPr>
          <w:rFonts w:ascii="Arial" w:eastAsia="Arial" w:hAnsi="Arial" w:cs="Arial"/>
          <w:color w:val="000000"/>
          <w:sz w:val="20"/>
          <w:u w:val="single"/>
        </w:rPr>
        <w:t>Harlow v. Fitzgerald</w:t>
      </w:r>
      <w:r>
        <w:rPr>
          <w:rFonts w:ascii="Arial" w:eastAsia="Arial" w:hAnsi="Arial" w:cs="Arial"/>
          <w:color w:val="000000"/>
          <w:sz w:val="20"/>
        </w:rPr>
        <w:t>, 457 U.S. 800, 818, 102 S. Ct. 2727, 2738, 73 L. Ed. 2d 396 (1982) (noting the importance of resolving threshold questions of immunity). Second, the Court completely ignored the Legislative Defendants' affidavit regarding direct financial assistance as "self-serving"—as all affidavits are—and it did not mention the Legislative Defendants' arguments refuting the Plaintiffs' claims of indirect financial assistance. Therefore, I believe the proper course would be a limited remand on the Rehabilitation Act claim for further explanation of the District Court's reasoning for denying the Legislative Defendants' motion. Without such an explanation, I do not believe [**25]  we can properly decide whether the District Court abused its discretion.</w:t>
      </w:r>
    </w:p>
    <w:p w14:paraId="0DDE6AEF" w14:textId="77777777" w:rsidR="002B10A6" w:rsidRDefault="002B10A6">
      <w:pPr>
        <w:pStyle w:val="Normal20"/>
      </w:pPr>
    </w:p>
    <w:p w14:paraId="28B90866" w14:textId="2BA2C25C" w:rsidR="002B10A6" w:rsidRDefault="00000000">
      <w:pPr>
        <w:pStyle w:val="Normal20"/>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02272" behindDoc="0" locked="0" layoutInCell="1" allowOverlap="1" wp14:anchorId="05706C0F" wp14:editId="42615911">
                <wp:simplePos x="0" y="0"/>
                <wp:positionH relativeFrom="column">
                  <wp:posOffset>0</wp:posOffset>
                </wp:positionH>
                <wp:positionV relativeFrom="paragraph">
                  <wp:posOffset>127000</wp:posOffset>
                </wp:positionV>
                <wp:extent cx="6502400" cy="0"/>
                <wp:effectExtent l="9525" t="12700" r="12700" b="6350"/>
                <wp:wrapNone/>
                <wp:docPr id="48077956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6EE85" id="Line 44"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D840606" w14:textId="77777777" w:rsidR="002B10A6" w:rsidRDefault="002B10A6">
      <w:pPr>
        <w:pStyle w:val="Normal21"/>
        <w:sectPr w:rsidR="002B10A6">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gutter="0"/>
          <w:cols w:space="720"/>
          <w:titlePg/>
        </w:sectPr>
      </w:pPr>
    </w:p>
    <w:p w14:paraId="2CE7ED45" w14:textId="77777777" w:rsidR="002B10A6" w:rsidRDefault="002B10A6">
      <w:pPr>
        <w:pStyle w:val="Normal21"/>
      </w:pPr>
    </w:p>
    <w:p w14:paraId="588648C8" w14:textId="77777777" w:rsidR="002B10A6" w:rsidRDefault="00000000">
      <w:pPr>
        <w:pStyle w:val="Heading120"/>
        <w:keepNext w:val="0"/>
        <w:widowControl w:val="0"/>
        <w:spacing w:after="200" w:line="340" w:lineRule="atLeast"/>
        <w:jc w:val="center"/>
      </w:pPr>
      <w:r>
        <w:rPr>
          <w:rFonts w:eastAsia="Arial"/>
          <w:color w:val="000000"/>
          <w:sz w:val="28"/>
        </w:rPr>
        <w:t>Rossley v. Drake Univ.</w:t>
      </w:r>
    </w:p>
    <w:p w14:paraId="32A2FCE5" w14:textId="77777777" w:rsidR="002B10A6" w:rsidRDefault="00000000">
      <w:pPr>
        <w:pStyle w:val="Normal21"/>
        <w:widowControl w:val="0"/>
        <w:spacing w:before="120" w:line="260" w:lineRule="atLeast"/>
        <w:jc w:val="center"/>
      </w:pPr>
      <w:r>
        <w:rPr>
          <w:rFonts w:ascii="Arial" w:eastAsia="Arial" w:hAnsi="Arial" w:cs="Arial"/>
          <w:color w:val="000000"/>
          <w:sz w:val="20"/>
        </w:rPr>
        <w:t>United States Court of Appeals for the Eighth Circuit</w:t>
      </w:r>
    </w:p>
    <w:p w14:paraId="31CCA7AC" w14:textId="77777777" w:rsidR="002B10A6" w:rsidRDefault="00000000">
      <w:pPr>
        <w:pStyle w:val="Normal21"/>
        <w:widowControl w:val="0"/>
        <w:spacing w:before="120" w:line="260" w:lineRule="atLeast"/>
        <w:jc w:val="center"/>
      </w:pPr>
      <w:r>
        <w:rPr>
          <w:rFonts w:ascii="Arial" w:eastAsia="Arial" w:hAnsi="Arial" w:cs="Arial"/>
          <w:color w:val="000000"/>
          <w:sz w:val="20"/>
        </w:rPr>
        <w:t>November 12, 2019, Submitted; November 5, 2020, Filed</w:t>
      </w:r>
    </w:p>
    <w:p w14:paraId="13493A18" w14:textId="77777777" w:rsidR="002B10A6" w:rsidRDefault="00000000">
      <w:pPr>
        <w:pStyle w:val="Normal21"/>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18-3258</w:t>
      </w:r>
    </w:p>
    <w:p w14:paraId="7B465E91" w14:textId="77777777" w:rsidR="002B10A6" w:rsidRDefault="002B10A6">
      <w:pPr>
        <w:pStyle w:val="Normal21"/>
        <w:widowControl w:val="0"/>
        <w:spacing w:line="240" w:lineRule="atLeast"/>
        <w:jc w:val="both"/>
      </w:pPr>
      <w:bookmarkStart w:id="3323" w:name="Bookmark_22"/>
      <w:bookmarkEnd w:id="3323"/>
    </w:p>
    <w:p w14:paraId="55A6D530" w14:textId="77777777" w:rsidR="002B10A6" w:rsidRDefault="00000000">
      <w:pPr>
        <w:pStyle w:val="Normal21"/>
        <w:widowControl w:val="0"/>
        <w:spacing w:before="200" w:line="240" w:lineRule="atLeast"/>
      </w:pPr>
      <w:bookmarkStart w:id="3324" w:name="Reporter_20"/>
      <w:bookmarkEnd w:id="3324"/>
      <w:r>
        <w:rPr>
          <w:rFonts w:ascii="Arial" w:eastAsia="Arial" w:hAnsi="Arial" w:cs="Arial"/>
          <w:b/>
          <w:color w:val="000000"/>
          <w:sz w:val="18"/>
        </w:rPr>
        <w:t>Reporter</w:t>
      </w:r>
    </w:p>
    <w:p w14:paraId="7C4D7DA8" w14:textId="77777777" w:rsidR="002B10A6" w:rsidRDefault="00000000">
      <w:pPr>
        <w:pStyle w:val="Normal21"/>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979 F.3d 1184 *; 2020 U.S. App. LEXIS 35025 **</w:t>
      </w:r>
    </w:p>
    <w:p w14:paraId="43DA9376" w14:textId="77777777" w:rsidR="002B10A6" w:rsidRDefault="00000000">
      <w:pPr>
        <w:pStyle w:val="Normal21"/>
        <w:widowControl w:val="0"/>
        <w:spacing w:before="120" w:line="260" w:lineRule="atLeast"/>
      </w:pPr>
      <w:r>
        <w:rPr>
          <w:rFonts w:ascii="Arial" w:eastAsia="Arial" w:hAnsi="Arial" w:cs="Arial"/>
          <w:color w:val="000000"/>
          <w:sz w:val="20"/>
        </w:rPr>
        <w:t>Thomas Rossley, Jr., Plaintiff - Appellee v. Drake University, et al., Defendant - Appellant</w:t>
      </w:r>
    </w:p>
    <w:p w14:paraId="3357F268" w14:textId="77777777" w:rsidR="002B10A6" w:rsidRDefault="00000000">
      <w:pPr>
        <w:pStyle w:val="Normal21"/>
        <w:widowControl w:val="0"/>
        <w:spacing w:before="240" w:line="260" w:lineRule="atLeast"/>
      </w:pPr>
      <w:bookmarkStart w:id="3325" w:name="Subsequent_History_5"/>
      <w:bookmarkEnd w:id="3325"/>
      <w:r>
        <w:rPr>
          <w:rFonts w:ascii="Arial" w:eastAsia="Arial" w:hAnsi="Arial" w:cs="Arial"/>
          <w:b/>
          <w:color w:val="000000"/>
          <w:sz w:val="20"/>
        </w:rPr>
        <w:t>Subsequent History:</w:t>
      </w:r>
      <w:r>
        <w:rPr>
          <w:rFonts w:ascii="Arial" w:eastAsia="Arial" w:hAnsi="Arial" w:cs="Arial"/>
          <w:color w:val="000000"/>
          <w:sz w:val="20"/>
        </w:rPr>
        <w:t> US Supreme Court certiorari denied by Rossley v. Drake Univ., 2021 U.S. LEXIS 1589 (U.S., Mar. 22, 2021)</w:t>
      </w:r>
    </w:p>
    <w:p w14:paraId="4FFB3FC5" w14:textId="77777777" w:rsidR="002B10A6" w:rsidRDefault="00000000">
      <w:pPr>
        <w:pStyle w:val="Normal21"/>
        <w:widowControl w:val="0"/>
        <w:spacing w:before="240" w:line="260" w:lineRule="atLeast"/>
        <w:jc w:val="both"/>
      </w:pPr>
      <w:bookmarkStart w:id="3326" w:name="Prior_History_20"/>
      <w:bookmarkEnd w:id="3326"/>
      <w:r>
        <w:rPr>
          <w:rFonts w:ascii="Arial" w:eastAsia="Arial" w:hAnsi="Arial" w:cs="Arial"/>
          <w:b/>
          <w:color w:val="000000"/>
          <w:sz w:val="20"/>
        </w:rPr>
        <w:t>Prior History:</w:t>
      </w:r>
      <w:r>
        <w:rPr>
          <w:rFonts w:ascii="Arial" w:eastAsia="Arial" w:hAnsi="Arial" w:cs="Arial"/>
          <w:color w:val="000000"/>
          <w:sz w:val="20"/>
        </w:rPr>
        <w:t> </w:t>
      </w:r>
      <w:bookmarkStart w:id="3327" w:name="Bookmark_para_1_20"/>
      <w:bookmarkEnd w:id="3327"/>
      <w:r>
        <w:rPr>
          <w:rFonts w:ascii="Arial" w:eastAsia="Arial" w:hAnsi="Arial" w:cs="Arial"/>
          <w:color w:val="000000"/>
          <w:sz w:val="20"/>
        </w:rPr>
        <w:t> [**1] Appeal from United States District Court for the Southern District of Iowa - Des Moines.</w:t>
      </w:r>
    </w:p>
    <w:p w14:paraId="74CA470C" w14:textId="77777777" w:rsidR="002B10A6" w:rsidRDefault="00000000">
      <w:pPr>
        <w:pStyle w:val="Normal21"/>
        <w:widowControl w:val="0"/>
        <w:spacing w:before="120" w:line="260" w:lineRule="atLeast"/>
      </w:pPr>
      <w:r>
        <w:rPr>
          <w:rFonts w:ascii="Arial" w:eastAsia="Arial" w:hAnsi="Arial" w:cs="Arial"/>
          <w:color w:val="000000"/>
          <w:sz w:val="20"/>
        </w:rPr>
        <w:t>Rossley v. Drake Univ., 342 F. Supp. 3d 904, 2018 U.S. Dist. LEXIS 184836 (S.D. Iowa, Oct. 12, 2018)</w:t>
      </w:r>
    </w:p>
    <w:p w14:paraId="0F149970" w14:textId="77777777" w:rsidR="002B10A6" w:rsidRDefault="00000000">
      <w:pPr>
        <w:pStyle w:val="Normal21"/>
        <w:widowControl w:val="0"/>
        <w:spacing w:before="240" w:line="260" w:lineRule="atLeast"/>
      </w:pPr>
      <w:bookmarkStart w:id="3328" w:name="Counsel_20"/>
      <w:bookmarkEnd w:id="3328"/>
      <w:r>
        <w:rPr>
          <w:rFonts w:ascii="Arial" w:eastAsia="Arial" w:hAnsi="Arial" w:cs="Arial"/>
          <w:b/>
          <w:color w:val="000000"/>
          <w:sz w:val="20"/>
        </w:rPr>
        <w:t>Counsel:</w:t>
      </w:r>
      <w:r>
        <w:rPr>
          <w:rFonts w:ascii="Arial" w:eastAsia="Arial" w:hAnsi="Arial" w:cs="Arial"/>
          <w:color w:val="000000"/>
          <w:sz w:val="20"/>
        </w:rPr>
        <w:t> For Thomas Rossley, Jr., Plaintiff - Appellant: Philip Arwood Byler, Andrew Miltenberg, Nesenoff &amp; Miltenberg, New York, NY; David Harris Goldman, Babich &amp; Goldman, Des Moines, IA.</w:t>
      </w:r>
    </w:p>
    <w:p w14:paraId="244F1DC1" w14:textId="77777777" w:rsidR="002B10A6" w:rsidRDefault="00000000">
      <w:pPr>
        <w:pStyle w:val="Normal21"/>
        <w:widowControl w:val="0"/>
        <w:spacing w:before="120" w:line="260" w:lineRule="atLeast"/>
      </w:pPr>
      <w:r>
        <w:rPr>
          <w:rFonts w:ascii="Arial" w:eastAsia="Arial" w:hAnsi="Arial" w:cs="Arial"/>
          <w:color w:val="000000"/>
          <w:sz w:val="20"/>
        </w:rPr>
        <w:t>For Drake University, Drake University Board of Trustees, Defendant - Appellees: Mary Elizabeth Funk, Frank Boyd Harty, Nyemaster &amp; Goode, Des Moines, IA; Frances M. Haas, Attorney, Nyemaster &amp; Goode, Cedar Rapids, IA.</w:t>
      </w:r>
    </w:p>
    <w:p w14:paraId="0A353435" w14:textId="77777777" w:rsidR="002B10A6" w:rsidRDefault="00000000">
      <w:pPr>
        <w:pStyle w:val="Normal21"/>
        <w:widowControl w:val="0"/>
        <w:spacing w:before="240" w:line="260" w:lineRule="atLeast"/>
      </w:pPr>
      <w:bookmarkStart w:id="3329" w:name="Judges_20"/>
      <w:bookmarkEnd w:id="3329"/>
      <w:r>
        <w:rPr>
          <w:rFonts w:ascii="Arial" w:eastAsia="Arial" w:hAnsi="Arial" w:cs="Arial"/>
          <w:b/>
          <w:color w:val="000000"/>
          <w:sz w:val="20"/>
        </w:rPr>
        <w:t>Judges:</w:t>
      </w:r>
      <w:r>
        <w:rPr>
          <w:rFonts w:ascii="Arial" w:eastAsia="Arial" w:hAnsi="Arial" w:cs="Arial"/>
          <w:color w:val="000000"/>
          <w:sz w:val="20"/>
        </w:rPr>
        <w:t> Before COLLOTON, WOLLMAN, and BENTON, Circuit Judges.</w:t>
      </w:r>
    </w:p>
    <w:p w14:paraId="3620867C" w14:textId="77777777" w:rsidR="002B10A6" w:rsidRDefault="00000000">
      <w:pPr>
        <w:pStyle w:val="Normal21"/>
        <w:widowControl w:val="0"/>
        <w:spacing w:before="240" w:line="260" w:lineRule="atLeast"/>
      </w:pPr>
      <w:bookmarkStart w:id="3330" w:name="Opinion_by_15"/>
      <w:bookmarkEnd w:id="3330"/>
      <w:r>
        <w:rPr>
          <w:rFonts w:ascii="Arial" w:eastAsia="Arial" w:hAnsi="Arial" w:cs="Arial"/>
          <w:b/>
          <w:color w:val="000000"/>
          <w:sz w:val="20"/>
        </w:rPr>
        <w:t>Opinion by:</w:t>
      </w:r>
      <w:r>
        <w:rPr>
          <w:rFonts w:ascii="Arial" w:eastAsia="Arial" w:hAnsi="Arial" w:cs="Arial"/>
          <w:color w:val="000000"/>
          <w:sz w:val="20"/>
        </w:rPr>
        <w:t> WOLLMAN</w:t>
      </w:r>
    </w:p>
    <w:p w14:paraId="18D4037D" w14:textId="77777777" w:rsidR="002B10A6" w:rsidRDefault="00000000">
      <w:pPr>
        <w:pStyle w:val="Normal21"/>
        <w:keepNext/>
        <w:widowControl w:val="0"/>
        <w:spacing w:before="240" w:line="340" w:lineRule="atLeast"/>
      </w:pPr>
      <w:bookmarkStart w:id="3331" w:name="Opinion_20"/>
      <w:bookmarkEnd w:id="3331"/>
      <w:r>
        <w:rPr>
          <w:rFonts w:ascii="Arial" w:eastAsia="Arial" w:hAnsi="Arial" w:cs="Arial"/>
          <w:b/>
          <w:color w:val="000000"/>
          <w:sz w:val="28"/>
        </w:rPr>
        <w:t>Opinion</w:t>
      </w:r>
    </w:p>
    <w:p w14:paraId="18968DFB" w14:textId="13F00F5F" w:rsidR="002B10A6" w:rsidRDefault="002D6974">
      <w:pPr>
        <w:pStyle w:val="Normal21"/>
        <w:spacing w:line="60" w:lineRule="exact"/>
      </w:pPr>
      <w:r>
        <w:rPr>
          <w:noProof/>
        </w:rPr>
        <mc:AlternateContent>
          <mc:Choice Requires="wps">
            <w:drawing>
              <wp:anchor distT="0" distB="0" distL="114300" distR="114300" simplePos="0" relativeHeight="251703296" behindDoc="0" locked="0" layoutInCell="1" allowOverlap="1" wp14:anchorId="44EE3944" wp14:editId="394B2C52">
                <wp:simplePos x="0" y="0"/>
                <wp:positionH relativeFrom="column">
                  <wp:posOffset>0</wp:posOffset>
                </wp:positionH>
                <wp:positionV relativeFrom="paragraph">
                  <wp:posOffset>25400</wp:posOffset>
                </wp:positionV>
                <wp:extent cx="3187700" cy="0"/>
                <wp:effectExtent l="19050" t="15875" r="12700" b="12700"/>
                <wp:wrapTopAndBottom/>
                <wp:docPr id="1014208200"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329ED"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2D1992B" w14:textId="77777777" w:rsidR="002B10A6" w:rsidRDefault="002B10A6">
      <w:pPr>
        <w:pStyle w:val="Normal21"/>
      </w:pPr>
    </w:p>
    <w:p w14:paraId="1DEDEF4C" w14:textId="77777777" w:rsidR="002B10A6" w:rsidRDefault="00000000">
      <w:pPr>
        <w:pStyle w:val="Normal21"/>
        <w:widowControl w:val="0"/>
        <w:spacing w:before="200" w:line="260" w:lineRule="atLeast"/>
        <w:jc w:val="both"/>
      </w:pPr>
      <w:bookmarkStart w:id="3332" w:name="Bookmark_para_2_20"/>
      <w:bookmarkEnd w:id="3332"/>
      <w:r>
        <w:rPr>
          <w:rFonts w:ascii="Arial" w:eastAsia="Arial" w:hAnsi="Arial" w:cs="Arial"/>
          <w:color w:val="000000"/>
          <w:sz w:val="20"/>
        </w:rPr>
        <w:t> [*1185]  WOLLMAN, Circuit Judge.</w:t>
      </w:r>
    </w:p>
    <w:p w14:paraId="4C0206EF" w14:textId="77777777" w:rsidR="002B10A6" w:rsidRDefault="00000000">
      <w:pPr>
        <w:pStyle w:val="Normal21"/>
        <w:widowControl w:val="0"/>
        <w:spacing w:before="200" w:line="260" w:lineRule="atLeast"/>
        <w:jc w:val="both"/>
      </w:pPr>
      <w:bookmarkStart w:id="3333" w:name="Bookmark_para_3_20"/>
      <w:bookmarkStart w:id="3334" w:name="Bookmark_I6180YKJ2SF8B10020000400"/>
      <w:bookmarkEnd w:id="3333"/>
      <w:bookmarkEnd w:id="3334"/>
      <w:r>
        <w:rPr>
          <w:rFonts w:ascii="Arial" w:eastAsia="Arial" w:hAnsi="Arial" w:cs="Arial"/>
          <w:color w:val="000000"/>
          <w:sz w:val="20"/>
        </w:rPr>
        <w:t>Drake University and its Board of Trustees (Drake) expelled student Thomas Rossley, Jr. after university officials found that he had sexually assaulted a female student (hereinafter referred to as Jane Doe or Doe). Rossley sued Drake in an eight-count complaint, which alleged, as  [*1186]  relevant here, violations of Title IX and the Americans with Disabilities (ADA), as well as claims related to breach of contract. The district court</w:t>
      </w:r>
      <w:r>
        <w:rPr>
          <w:rFonts w:ascii="Arial" w:eastAsia="Arial" w:hAnsi="Arial" w:cs="Arial"/>
          <w:vertAlign w:val="superscript"/>
        </w:rPr>
        <w:footnoteReference w:customMarkFollows="1" w:id="147"/>
        <w:t>1</w:t>
      </w:r>
      <w:r>
        <w:rPr>
          <w:rFonts w:ascii="Arial" w:eastAsia="Arial" w:hAnsi="Arial" w:cs="Arial"/>
          <w:color w:val="000000"/>
          <w:sz w:val="20"/>
        </w:rPr>
        <w:t xml:space="preserve"> granted summary judgment in favor of Drake on all but Rossley's Title IX claim based on a selective enforcement theory and his breach of contract claim based on Drake's failure to investigate his allegation [**2]  of sexual misconduct on Doe's part. </w:t>
      </w:r>
      <w:bookmarkStart w:id="3336" w:name="Bookmark_I6180YKJ2SF8B10010000400"/>
      <w:bookmarkEnd w:id="3336"/>
      <w:r>
        <w:rPr>
          <w:rFonts w:ascii="Arial" w:eastAsia="Arial" w:hAnsi="Arial" w:cs="Arial"/>
          <w:color w:val="000000"/>
          <w:sz w:val="20"/>
          <w:u w:val="single"/>
        </w:rPr>
        <w:t>Rossley v. Drake Univ.</w:t>
      </w:r>
      <w:r>
        <w:rPr>
          <w:rFonts w:ascii="Arial" w:eastAsia="Arial" w:hAnsi="Arial" w:cs="Arial"/>
          <w:color w:val="000000"/>
          <w:sz w:val="20"/>
        </w:rPr>
        <w:t>, 342 F. Supp. 3d 904 (S.D. Iowa 2018). Following the district court's ruling, the parties stipulated to the dismissal without prejudice of those two claims. On appeal, Rossley challenges the district court's grant of summary judgment on his Title IX claim based on an erroneous outcome theory, his ADA claim, and his breach of implied duty of good faith and promissory estoppel claims.</w:t>
      </w:r>
    </w:p>
    <w:p w14:paraId="04D0CDE1" w14:textId="77777777" w:rsidR="002B10A6" w:rsidRDefault="00000000">
      <w:pPr>
        <w:pStyle w:val="Normal21"/>
        <w:widowControl w:val="0"/>
        <w:spacing w:before="200" w:line="260" w:lineRule="atLeast"/>
        <w:jc w:val="both"/>
      </w:pPr>
      <w:bookmarkStart w:id="3337" w:name="Bookmark_para_4_20"/>
      <w:bookmarkStart w:id="3338" w:name="Bookmark_I6180YKJ2SF8B10040000400"/>
      <w:bookmarkEnd w:id="3337"/>
      <w:bookmarkEnd w:id="3338"/>
      <w:r>
        <w:rPr>
          <w:rFonts w:ascii="Arial" w:eastAsia="Arial" w:hAnsi="Arial" w:cs="Arial"/>
          <w:color w:val="000000"/>
          <w:sz w:val="20"/>
        </w:rPr>
        <w:t xml:space="preserve">We address first whether we have jurisdiction to review Rossley's appeal in light of the stipulated dismissal of the two above-described claims. </w:t>
      </w:r>
      <w:bookmarkStart w:id="3339" w:name="Bookmark_I6180YKK2D6MVM0010000400"/>
      <w:bookmarkStart w:id="3340" w:name="Bookmark_LNHNREFclscc1_17"/>
      <w:bookmarkEnd w:id="3339"/>
      <w:bookmarkEnd w:id="3340"/>
      <w:r>
        <w:rPr>
          <w:rFonts w:ascii="Arial" w:eastAsia="Arial" w:hAnsi="Arial" w:cs="Arial"/>
          <w:color w:val="000000"/>
          <w:sz w:val="20"/>
        </w:rPr>
        <w:t xml:space="preserve">We have "jurisdiction of appeals from all final decisions of the district courts." 28 U.S.C. § 1291; </w:t>
      </w:r>
      <w:r>
        <w:rPr>
          <w:rFonts w:ascii="Arial" w:eastAsia="Arial" w:hAnsi="Arial" w:cs="Arial"/>
          <w:color w:val="000000"/>
          <w:sz w:val="20"/>
          <w:u w:val="single"/>
        </w:rPr>
        <w:t xml:space="preserve">see </w:t>
      </w:r>
      <w:bookmarkStart w:id="3341" w:name="Bookmark_I6180YKJ2SF8B10030000400"/>
      <w:bookmarkEnd w:id="3341"/>
      <w:r>
        <w:rPr>
          <w:rFonts w:ascii="Arial" w:eastAsia="Arial" w:hAnsi="Arial" w:cs="Arial"/>
          <w:color w:val="000000"/>
          <w:sz w:val="20"/>
          <w:u w:val="single"/>
        </w:rPr>
        <w:t>Ruppert v. Principal Life Ins. Co.</w:t>
      </w:r>
      <w:r>
        <w:rPr>
          <w:rFonts w:ascii="Arial" w:eastAsia="Arial" w:hAnsi="Arial" w:cs="Arial"/>
          <w:color w:val="000000"/>
          <w:sz w:val="20"/>
        </w:rPr>
        <w:t>, 705 F.3d 839, 842-43 (8th Cir. 2013). When a district court dismisses a claim "</w:t>
      </w:r>
      <w:r>
        <w:rPr>
          <w:rFonts w:ascii="Arial" w:eastAsia="Arial" w:hAnsi="Arial" w:cs="Arial"/>
          <w:i/>
          <w:color w:val="000000"/>
          <w:sz w:val="20"/>
        </w:rPr>
        <w:t>without</w:t>
      </w:r>
      <w:r>
        <w:rPr>
          <w:rFonts w:ascii="Arial" w:eastAsia="Arial" w:hAnsi="Arial" w:cs="Arial"/>
          <w:color w:val="000000"/>
          <w:sz w:val="20"/>
        </w:rPr>
        <w:t xml:space="preserve"> prejudice pursuant to the parties' stipulation," there is "no final decision" for purposes of appellate jurisdiction. </w:t>
      </w:r>
      <w:bookmarkStart w:id="3342" w:name="Bookmark_I6180YKK2D6MVM0010000400_2"/>
      <w:bookmarkStart w:id="3343" w:name="Bookmark_I6180YKJ2SF8B10050000400"/>
      <w:bookmarkEnd w:id="3342"/>
      <w:bookmarkEnd w:id="3343"/>
      <w:r>
        <w:rPr>
          <w:rFonts w:ascii="Arial" w:eastAsia="Arial" w:hAnsi="Arial" w:cs="Arial"/>
          <w:color w:val="000000"/>
          <w:sz w:val="20"/>
          <w:u w:val="single"/>
        </w:rPr>
        <w:t>W. Am. Ins. Co. v. RLI Ins. Co.</w:t>
      </w:r>
      <w:r>
        <w:rPr>
          <w:rFonts w:ascii="Arial" w:eastAsia="Arial" w:hAnsi="Arial" w:cs="Arial"/>
          <w:color w:val="000000"/>
          <w:sz w:val="20"/>
        </w:rPr>
        <w:t xml:space="preserve">, 698 F.3d 1069, 1071 n.1 (8th Cir. 2012). </w:t>
      </w:r>
      <w:bookmarkStart w:id="3344" w:name="Bookmark_I6180YKK2D6MVM0030000400"/>
      <w:bookmarkEnd w:id="3344"/>
      <w:r>
        <w:rPr>
          <w:rFonts w:ascii="Arial" w:eastAsia="Arial" w:hAnsi="Arial" w:cs="Arial"/>
          <w:color w:val="000000"/>
          <w:sz w:val="20"/>
        </w:rPr>
        <w:t xml:space="preserve">During oral argument before us, however, Rossley agreed to dismiss these claims with prejudice. We accordingly conclude that we have jurisdiction to consider the appeal. </w:t>
      </w:r>
      <w:r>
        <w:rPr>
          <w:rFonts w:ascii="Arial" w:eastAsia="Arial" w:hAnsi="Arial" w:cs="Arial"/>
          <w:color w:val="000000"/>
          <w:sz w:val="20"/>
          <w:u w:val="single"/>
        </w:rPr>
        <w:t xml:space="preserve">See </w:t>
      </w:r>
      <w:bookmarkStart w:id="3345" w:name="Bookmark_I6180YKK2D6MVM0020000400"/>
      <w:bookmarkEnd w:id="3345"/>
      <w:r>
        <w:rPr>
          <w:rFonts w:ascii="Arial" w:eastAsia="Arial" w:hAnsi="Arial" w:cs="Arial"/>
          <w:color w:val="000000"/>
          <w:sz w:val="20"/>
          <w:u w:val="single"/>
        </w:rPr>
        <w:t>Ruppert</w:t>
      </w:r>
      <w:r>
        <w:rPr>
          <w:rFonts w:ascii="Arial" w:eastAsia="Arial" w:hAnsi="Arial" w:cs="Arial"/>
          <w:color w:val="000000"/>
          <w:sz w:val="20"/>
        </w:rPr>
        <w:t>, 705 F.3d at 843 (</w:t>
      </w:r>
      <w:bookmarkStart w:id="3346" w:name="Bookmark_LNHNREFclscc2_17"/>
      <w:bookmarkEnd w:id="3346"/>
      <w:r>
        <w:rPr>
          <w:rFonts w:ascii="Arial" w:eastAsia="Arial" w:hAnsi="Arial" w:cs="Arial"/>
          <w:color w:val="000000"/>
          <w:sz w:val="20"/>
        </w:rPr>
        <w:t>"[U]nless the appellant's claims are unequivocally dismissed with prejudice, there is no final appealable decision.").</w:t>
      </w:r>
    </w:p>
    <w:p w14:paraId="5976D60D" w14:textId="77777777" w:rsidR="002B10A6" w:rsidRDefault="00000000">
      <w:pPr>
        <w:pStyle w:val="Normal21"/>
        <w:widowControl w:val="0"/>
        <w:spacing w:before="200" w:line="260" w:lineRule="atLeast"/>
        <w:jc w:val="both"/>
      </w:pPr>
      <w:bookmarkStart w:id="3347" w:name="Bookmark_para_5_20"/>
      <w:bookmarkStart w:id="3348" w:name="Bookmark_I6180YKK2D6MVM0050000400"/>
      <w:bookmarkStart w:id="3349" w:name="Bookmark_I6180YKM2SF8B60020000400"/>
      <w:bookmarkStart w:id="3350" w:name="Bookmark_LNHNREFclscc3_17"/>
      <w:bookmarkEnd w:id="3347"/>
      <w:bookmarkEnd w:id="3348"/>
      <w:bookmarkEnd w:id="3349"/>
      <w:bookmarkEnd w:id="3350"/>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district court's grant of summary judgment dismissing Rossley's Title IX, ADA, breach of implied [**3]  duty of good faith, and promissory estoppel claims. </w:t>
      </w:r>
      <w:bookmarkStart w:id="3351" w:name="Bookmark_I6180YKM2SF8B60040000400"/>
      <w:bookmarkEnd w:id="3351"/>
      <w:r>
        <w:rPr>
          <w:rFonts w:ascii="Arial" w:eastAsia="Arial" w:hAnsi="Arial" w:cs="Arial"/>
          <w:color w:val="000000"/>
          <w:sz w:val="20"/>
          <w:u w:val="single"/>
        </w:rPr>
        <w:t xml:space="preserve">See </w:t>
      </w:r>
      <w:bookmarkStart w:id="3352" w:name="Bookmark_I6180YKK2D6MVM0040000400"/>
      <w:bookmarkEnd w:id="3352"/>
      <w:r>
        <w:rPr>
          <w:rFonts w:ascii="Arial" w:eastAsia="Arial" w:hAnsi="Arial" w:cs="Arial"/>
          <w:color w:val="000000"/>
          <w:sz w:val="20"/>
          <w:u w:val="single"/>
        </w:rPr>
        <w:t>Quinn v. St. Louis Cty.</w:t>
      </w:r>
      <w:r>
        <w:rPr>
          <w:rFonts w:ascii="Arial" w:eastAsia="Arial" w:hAnsi="Arial" w:cs="Arial"/>
          <w:color w:val="000000"/>
          <w:sz w:val="20"/>
        </w:rPr>
        <w:t xml:space="preserve">, 653 F.3d 745, 750 (8th Cir. 2011) (standard of review). Summary judgment is appropriate if, when the record is viewed in the light most favorable to the nonmoving party, there are no genuine disputes of material fact and the moving party is entitled to judgment as a matter of law. </w:t>
      </w:r>
      <w:bookmarkStart w:id="3353" w:name="Bookmark_I6180YKM2SF8B60010000400"/>
      <w:bookmarkEnd w:id="3353"/>
      <w:r>
        <w:rPr>
          <w:rFonts w:ascii="Arial" w:eastAsia="Arial" w:hAnsi="Arial" w:cs="Arial"/>
          <w:color w:val="000000"/>
          <w:sz w:val="20"/>
          <w:u w:val="single"/>
        </w:rPr>
        <w:t>Woods v. DaimlerChrysler Corp.</w:t>
      </w:r>
      <w:r>
        <w:rPr>
          <w:rFonts w:ascii="Arial" w:eastAsia="Arial" w:hAnsi="Arial" w:cs="Arial"/>
          <w:color w:val="000000"/>
          <w:sz w:val="20"/>
        </w:rPr>
        <w:t xml:space="preserve">, 409 F.3d 984, 990 (8th Cir. 2005). </w:t>
      </w:r>
      <w:bookmarkStart w:id="3354" w:name="Bookmark_I6180YKM2SF8B60040000400_2"/>
      <w:bookmarkEnd w:id="3354"/>
      <w:r>
        <w:rPr>
          <w:rFonts w:ascii="Arial" w:eastAsia="Arial" w:hAnsi="Arial" w:cs="Arial"/>
          <w:color w:val="000000"/>
          <w:sz w:val="20"/>
        </w:rPr>
        <w:t xml:space="preserve">"An issue of fact is genuine when 'a reasonable jury could return a verdict for the nonmoving party' on the question." </w:t>
      </w:r>
      <w:r>
        <w:rPr>
          <w:rFonts w:ascii="Arial" w:eastAsia="Arial" w:hAnsi="Arial" w:cs="Arial"/>
          <w:color w:val="000000"/>
          <w:sz w:val="20"/>
          <w:u w:val="single"/>
        </w:rPr>
        <w:t>Id.</w:t>
      </w:r>
      <w:r>
        <w:rPr>
          <w:rFonts w:ascii="Arial" w:eastAsia="Arial" w:hAnsi="Arial" w:cs="Arial"/>
          <w:color w:val="000000"/>
          <w:sz w:val="20"/>
        </w:rPr>
        <w:t xml:space="preserve"> (quoting </w:t>
      </w:r>
      <w:bookmarkStart w:id="3355" w:name="Bookmark_I6180YKM2SF8B60030000400"/>
      <w:bookmarkEnd w:id="3355"/>
      <w:r>
        <w:rPr>
          <w:rFonts w:ascii="Arial" w:eastAsia="Arial" w:hAnsi="Arial" w:cs="Arial"/>
          <w:color w:val="000000"/>
          <w:sz w:val="20"/>
          <w:u w:val="single"/>
        </w:rPr>
        <w:t>Anderson v. Liberty Lobby, Inc.</w:t>
      </w:r>
      <w:r>
        <w:rPr>
          <w:rFonts w:ascii="Arial" w:eastAsia="Arial" w:hAnsi="Arial" w:cs="Arial"/>
          <w:color w:val="000000"/>
          <w:sz w:val="20"/>
        </w:rPr>
        <w:t xml:space="preserve">, 477 U.S. 242, 248, 106 S. Ct. 2505, 91 L. Ed. 2d 202 (1986)). "We may affirm the district court's grant of summary judgment on any ground supported by the record." </w:t>
      </w:r>
      <w:r>
        <w:rPr>
          <w:rFonts w:ascii="Arial" w:eastAsia="Arial" w:hAnsi="Arial" w:cs="Arial"/>
          <w:color w:val="000000"/>
          <w:sz w:val="20"/>
          <w:u w:val="single"/>
        </w:rPr>
        <w:t>Id.</w:t>
      </w:r>
    </w:p>
    <w:p w14:paraId="3EFE9C18" w14:textId="77777777" w:rsidR="002B10A6" w:rsidRDefault="00000000">
      <w:pPr>
        <w:pStyle w:val="Normal21"/>
        <w:widowControl w:val="0"/>
        <w:spacing w:before="200" w:line="260" w:lineRule="atLeast"/>
        <w:jc w:val="both"/>
      </w:pPr>
      <w:bookmarkStart w:id="3356" w:name="Bookmark_para_6_20"/>
      <w:bookmarkEnd w:id="3356"/>
      <w:r>
        <w:rPr>
          <w:rFonts w:ascii="Arial" w:eastAsia="Arial" w:hAnsi="Arial" w:cs="Arial"/>
          <w:color w:val="000000"/>
          <w:sz w:val="20"/>
        </w:rPr>
        <w:t>Drake, a private university in Des Moines, Iowa, receives federal funding. Two documents govern Drake's sexual assault investigations and disciplinary hearings: the Code of Student Conduct (Code) and the Sexual and Interpersonal Misconduct Policy and Notification of Complainant's Rights (Policy). The Code proscribes certain forms of misconduct, including sexual misconduct. It states that Drake may "take whatever disciplinary action is appropriate (up to and including expulsion from the University) to protect the safety and well-being of students." The Policy addresses Drake's policies and procedures relating to sexual and interpersonal misconduct [**4]  and is "intended to ensure that [these policies] are interpreted and applied consistently with Title . . . IX." The Policy also "notif[ies] victims/survivors of their rights and resources that are available to  [*1187]  them" and "explains the investigatory and disciplinary procedures . . . and possible sanctions" Drake may impose.</w:t>
      </w:r>
    </w:p>
    <w:p w14:paraId="48B729B9" w14:textId="77777777" w:rsidR="002B10A6" w:rsidRDefault="00000000">
      <w:pPr>
        <w:pStyle w:val="Normal21"/>
        <w:widowControl w:val="0"/>
        <w:spacing w:before="200" w:line="260" w:lineRule="atLeast"/>
        <w:jc w:val="both"/>
      </w:pPr>
      <w:bookmarkStart w:id="3357" w:name="Bookmark_para_7_20"/>
      <w:bookmarkEnd w:id="3357"/>
      <w:r>
        <w:rPr>
          <w:rFonts w:ascii="Arial" w:eastAsia="Arial" w:hAnsi="Arial" w:cs="Arial"/>
          <w:color w:val="000000"/>
          <w:sz w:val="20"/>
        </w:rPr>
        <w:t>The Code and Policy define sexual assault as "an extreme form of sexual misconduct ranging from forcible rape to nonphysical forms of pressure that compel individuals to engage in sexual activity against their will." Sexual assault includes "[e]ngaging in sexual activity with a person who is unable to provide consent due to the influence of drugs, alcohol, or other condition[s]." The Policy defines "consent" in the context of sexual activity as "clear, unambiguous action, agreeing, giving permission or saying 'yes' to sexual activity with someone else." The Policy states that "an individual cannot give consent if incapacitated from doing so due to the influence of . . . alcohol."</w:t>
      </w:r>
    </w:p>
    <w:p w14:paraId="35C8725A" w14:textId="77777777" w:rsidR="002B10A6" w:rsidRDefault="00000000">
      <w:pPr>
        <w:pStyle w:val="Normal21"/>
        <w:widowControl w:val="0"/>
        <w:spacing w:before="200" w:line="260" w:lineRule="atLeast"/>
        <w:jc w:val="both"/>
      </w:pPr>
      <w:bookmarkStart w:id="3358" w:name="Bookmark_para_8_20"/>
      <w:bookmarkEnd w:id="3358"/>
      <w:r>
        <w:rPr>
          <w:rFonts w:ascii="Arial" w:eastAsia="Arial" w:hAnsi="Arial" w:cs="Arial"/>
          <w:color w:val="000000"/>
          <w:sz w:val="20"/>
        </w:rPr>
        <w:t>The Code provides that any student or staff member may file a complaint against a student suspected of sexual misconduct by contacting the Dean of Students Office or the Title IX Coordinator. [**5]  The Dean of Students is assigned the responsibility of overseeing the investigation of the complaint. The individuals who coordinate and investigate the complaint shall have "received special training or have experience in (1) handling complaints of sexual and/or interpersonal misconduct; and (2) applicable confidentiality requirements." Both the complainant and the accused student are advised that they may have a "personal advisor" present "at any stage of the process," including at "any meeting or hearing." Formal disciplinary proceedings may be initiated if the Dean forms a "reasonable belief that the charge . . . can be proven by a preponderance of the evidence.</w:t>
      </w:r>
    </w:p>
    <w:p w14:paraId="65D7BFDC" w14:textId="77777777" w:rsidR="002B10A6" w:rsidRDefault="00000000">
      <w:pPr>
        <w:pStyle w:val="Normal21"/>
        <w:widowControl w:val="0"/>
        <w:spacing w:before="200" w:line="260" w:lineRule="atLeast"/>
        <w:jc w:val="both"/>
      </w:pPr>
      <w:bookmarkStart w:id="3359" w:name="Bookmark_para_9_20"/>
      <w:bookmarkEnd w:id="3359"/>
      <w:r>
        <w:rPr>
          <w:rFonts w:ascii="Arial" w:eastAsia="Arial" w:hAnsi="Arial" w:cs="Arial"/>
          <w:color w:val="000000"/>
          <w:sz w:val="20"/>
        </w:rPr>
        <w:t>The hearing officer at the disciplinary hearing "shall determine (1) whether a preponderance of the evidence establishes the accused student engaged in . . . misconduct; and (2) recommended disciplinary sanction(s), if any." "The accused, the complainant and Dean/designee may call witnesses, conduct cross-examination, and may answer any evidence presented by others through rebuttal." The accused's personal representative's sole role is to "provide counsel and advice." An attorney personal representative may "make an opening [**6]  statement, a closing argument and may present written questions to be read by the hearing officer to a witness." The complainant and accused may cross-examine witnesses, but may not cross-examine one another. Rather, the hearing officer will pose to the adverse party the questions that each party has submitted, as well as asking such questions as the hearing officer may decide to pose at any time. The hearing officer will provide to all parties a post-hearing written opinion.</w:t>
      </w:r>
    </w:p>
    <w:p w14:paraId="20E83A9C" w14:textId="77777777" w:rsidR="002B10A6" w:rsidRDefault="00000000">
      <w:pPr>
        <w:pStyle w:val="Normal21"/>
        <w:widowControl w:val="0"/>
        <w:spacing w:before="200" w:line="260" w:lineRule="atLeast"/>
        <w:jc w:val="both"/>
      </w:pPr>
      <w:bookmarkStart w:id="3360" w:name="Bookmark_para_10_20"/>
      <w:bookmarkEnd w:id="3360"/>
      <w:r>
        <w:rPr>
          <w:rFonts w:ascii="Arial" w:eastAsia="Arial" w:hAnsi="Arial" w:cs="Arial"/>
          <w:color w:val="000000"/>
          <w:sz w:val="20"/>
        </w:rPr>
        <w:t>The accused student may appeal any adverse finding and proposed sanction by requesting a hearing before a three-member appeals panel, at which the appeals panel will "meet with the appealing and responding parties (and their personal representatives, if any) for the purpose of hearing argument." If the appeals panel determines that none of the enumerated grounds for an appeal has been shown, the appeal is dismissed and the hearing officer's decision becomes final. If the appeals panel finds a showing of grounds for an appeal, the panel may affirm or reverse the hearing officer's decision or modify the sanction imposed. If the President of Drake concurs with the panel's findings, the Dean "shall have the authority [**7]  to impose the sanction of expulsion," and only the President "may recommend readmission."</w:t>
      </w:r>
    </w:p>
    <w:p w14:paraId="081D246E" w14:textId="77777777" w:rsidR="002B10A6" w:rsidRDefault="00000000">
      <w:pPr>
        <w:pStyle w:val="Normal21"/>
        <w:widowControl w:val="0"/>
        <w:spacing w:before="200" w:line="260" w:lineRule="atLeast"/>
        <w:jc w:val="both"/>
      </w:pPr>
      <w:bookmarkStart w:id="3361" w:name="Bookmark_para_11_17"/>
      <w:bookmarkEnd w:id="3361"/>
      <w:r>
        <w:rPr>
          <w:rFonts w:ascii="Arial" w:eastAsia="Arial" w:hAnsi="Arial" w:cs="Arial"/>
          <w:color w:val="000000"/>
          <w:sz w:val="20"/>
        </w:rPr>
        <w:t>The district court's comprehensive opinion sets forth a detailed account of the interactions between Rossley and Jane Doe that resulted in the expulsion from  [*1188]  Drake that led to this appeal. Our summary of those events follows.</w:t>
      </w:r>
    </w:p>
    <w:p w14:paraId="610B3473" w14:textId="77777777" w:rsidR="002B10A6" w:rsidRDefault="00000000">
      <w:pPr>
        <w:pStyle w:val="Normal21"/>
        <w:widowControl w:val="0"/>
        <w:spacing w:before="200" w:line="260" w:lineRule="atLeast"/>
        <w:jc w:val="both"/>
      </w:pPr>
      <w:bookmarkStart w:id="3362" w:name="Bookmark_para_12_16"/>
      <w:bookmarkEnd w:id="3362"/>
      <w:r>
        <w:rPr>
          <w:rFonts w:ascii="Arial" w:eastAsia="Arial" w:hAnsi="Arial" w:cs="Arial"/>
          <w:color w:val="000000"/>
          <w:sz w:val="20"/>
        </w:rPr>
        <w:t>Jane Doe, a female student at Drake, contacted Drake Public Safety on October 9, 2015, to report that Rossley had sexually assaulted her earlier that morning. She reported that she had consumed a large amount of alcohol, "blacked out" for an "unknown amount of time," and next remembered being on a bean bag chair in Rossley's room, with Rossley being on top of and having intercourse with her. Drake Public Safety filed Doe's report with Gerald Parker, the acting Dean of Students. Rossley was sent a letter notifying him of the complaint of sexual misconduct and requiring him to attend a later-scheduled meeting regarding the complaint, to which he could "bring a personal representative." Because Dean Parker was ill at the time, Drake employed Mary Howell Sirna to serve as the lead investigator. Sirna had been a prosecutor for thirteen years, during which time she prosecuted sexual [**8]  violence crimes and served as Iowa State University's interim Title IX coordinator. She had also received training on handling students' complaints of sexual assault. Sirna worked with similarly trained Tricia McKinney, Drake's Assistant Director of Public Safety, in conducting the investigation.</w:t>
      </w:r>
    </w:p>
    <w:p w14:paraId="05E80B3A" w14:textId="77777777" w:rsidR="002B10A6" w:rsidRDefault="00000000">
      <w:pPr>
        <w:pStyle w:val="Normal21"/>
        <w:widowControl w:val="0"/>
        <w:spacing w:before="200" w:line="260" w:lineRule="atLeast"/>
        <w:jc w:val="both"/>
      </w:pPr>
      <w:bookmarkStart w:id="3363" w:name="Bookmark_para_13_16"/>
      <w:bookmarkEnd w:id="3363"/>
      <w:r>
        <w:rPr>
          <w:rFonts w:ascii="Arial" w:eastAsia="Arial" w:hAnsi="Arial" w:cs="Arial"/>
          <w:color w:val="000000"/>
          <w:sz w:val="20"/>
        </w:rPr>
        <w:t>Sirna and McKinney interviewed Doe and Rossley separately on October 23, 2015. Rossley did not bring a personal representative with him to the meeting and admitted that he had not finished reading the email that informed him of his right to do so. Sirna questioned Rossley about the evening of October 8 and early morning of October 9. Sirna and McKinney interviewed twelve witnesses and collected documentary evidence during the course of their investigation. Sirna chose not to interview any additional witnesses, believing that their statements might be duplicative.</w:t>
      </w:r>
    </w:p>
    <w:p w14:paraId="320375AE" w14:textId="77777777" w:rsidR="002B10A6" w:rsidRDefault="00000000">
      <w:pPr>
        <w:pStyle w:val="Normal21"/>
        <w:widowControl w:val="0"/>
        <w:spacing w:before="200" w:line="260" w:lineRule="atLeast"/>
        <w:jc w:val="both"/>
      </w:pPr>
      <w:bookmarkStart w:id="3364" w:name="Bookmark_para_14_16"/>
      <w:bookmarkEnd w:id="3364"/>
      <w:r>
        <w:rPr>
          <w:rFonts w:ascii="Arial" w:eastAsia="Arial" w:hAnsi="Arial" w:cs="Arial"/>
          <w:color w:val="000000"/>
          <w:sz w:val="20"/>
        </w:rPr>
        <w:t>Dean Parker and Drake's Title IX Coordinator met with Rossley a month later. Rossley said that a friend had told him that Rossley might have been a victim of sexual assault, as Rossley himself did not remember the event. At a meeting with Sirna and McKinney the following day, Rossley reiterated that perhaps he had been a victim of sexual [**9]  assault. Sirna asked Rossley if he wanted to file a sexual assault charge against Doe, to which Rossley replied, "I'm not doing that right now. I'm just verbalizing the issue."</w:t>
      </w:r>
    </w:p>
    <w:p w14:paraId="49C6643C" w14:textId="77777777" w:rsidR="002B10A6" w:rsidRDefault="00000000">
      <w:pPr>
        <w:pStyle w:val="Normal21"/>
        <w:widowControl w:val="0"/>
        <w:spacing w:before="200" w:line="260" w:lineRule="atLeast"/>
        <w:jc w:val="both"/>
      </w:pPr>
      <w:bookmarkStart w:id="3365" w:name="Bookmark_para_15_16"/>
      <w:bookmarkEnd w:id="3365"/>
      <w:r>
        <w:rPr>
          <w:rFonts w:ascii="Arial" w:eastAsia="Arial" w:hAnsi="Arial" w:cs="Arial"/>
          <w:color w:val="000000"/>
          <w:sz w:val="20"/>
        </w:rPr>
        <w:t>Sirna's investigative report to Parker, Rossley, and Doe set forth the following account: Rossley said that he and Doe had exchanged text messages and were friends, but had not "hung out one on one." To help him focus on an assignment that he was working on the evening of October 8, Rossley took his prescribed ADHD/dyslexia medication. After completing the assignment, Rossley played a drinking game with friends, resulting in his becoming "pretty drunk." Rossley explained that his medication often extends his sobriety, lowers his sex drive, and exacerbates the severity of any resulting blackout.</w:t>
      </w:r>
    </w:p>
    <w:p w14:paraId="5B002B56" w14:textId="77777777" w:rsidR="002B10A6" w:rsidRDefault="00000000">
      <w:pPr>
        <w:pStyle w:val="Normal21"/>
        <w:widowControl w:val="0"/>
        <w:spacing w:before="200" w:line="260" w:lineRule="atLeast"/>
        <w:jc w:val="both"/>
      </w:pPr>
      <w:bookmarkStart w:id="3366" w:name="Bookmark_para_16_14"/>
      <w:bookmarkEnd w:id="3366"/>
      <w:r>
        <w:rPr>
          <w:rFonts w:ascii="Arial" w:eastAsia="Arial" w:hAnsi="Arial" w:cs="Arial"/>
          <w:color w:val="000000"/>
          <w:sz w:val="20"/>
        </w:rPr>
        <w:t>Sirna and McKinney found that Doe believed that she was intoxicated when she arrived at the bar at which she had met Rossley on the evening of October 8. Bar witnesses stated that Doe was noticeably drunk, including a bartender who recalled having refused to serve Doe because of her intoxicated condition. Rossley recalled thinking that he himself was "more drunk tha[n] [Doe] was" and that Doe was acting in a "flirty way" [**10]  towards him. Doe agreed with Rossley's suggestion that they leave the bar. A fraternity brother (the driver of the "sober cab," whose bounden duty it was to transport his intoxicated brethren to the fraternity house) picked them up at Rossley's request. Doe stated that once she and Rossley left the bar, things became  [*1189]  "blurry." Rossley stated that he could not remember what had happened in the car, but a witness reported seeing him and Doe "making out." Rossley alleges, and the fraternity brother so stated, that Doe asked to go to the fraternity house at which Rossley resided.</w:t>
      </w:r>
    </w:p>
    <w:p w14:paraId="308B5E68" w14:textId="77777777" w:rsidR="002B10A6" w:rsidRDefault="00000000">
      <w:pPr>
        <w:pStyle w:val="Normal21"/>
        <w:widowControl w:val="0"/>
        <w:spacing w:before="200" w:line="260" w:lineRule="atLeast"/>
        <w:jc w:val="both"/>
      </w:pPr>
      <w:bookmarkStart w:id="3367" w:name="Bookmark_para_17_14"/>
      <w:bookmarkEnd w:id="3367"/>
      <w:r>
        <w:rPr>
          <w:rFonts w:ascii="Arial" w:eastAsia="Arial" w:hAnsi="Arial" w:cs="Arial"/>
          <w:color w:val="000000"/>
          <w:sz w:val="20"/>
        </w:rPr>
        <w:t>Witnesses observed Doe "stumbling over herself" when she and Rossley reached the fraternity house. Doe remembered throwing up upon entering the house, after which point "everything [went] black." Doe and Rossley then went to Rossley's room, where they found two fraternity members playing video games. Rossley stated that Doe asked if he had a car and suggested that the two go there. Rossley remembered Doe's performing oral sex on him in the car before he blacked out. He stated that he did not believe he had ejaculated. Doe and Rossley then left the car and returned to the fraternity house.</w:t>
      </w:r>
    </w:p>
    <w:p w14:paraId="6DB17F4A" w14:textId="77777777" w:rsidR="002B10A6" w:rsidRDefault="00000000">
      <w:pPr>
        <w:pStyle w:val="Normal21"/>
        <w:widowControl w:val="0"/>
        <w:spacing w:before="200" w:line="260" w:lineRule="atLeast"/>
        <w:jc w:val="both"/>
      </w:pPr>
      <w:bookmarkStart w:id="3368" w:name="Bookmark_para_18_14"/>
      <w:bookmarkEnd w:id="3368"/>
      <w:r>
        <w:rPr>
          <w:rFonts w:ascii="Arial" w:eastAsia="Arial" w:hAnsi="Arial" w:cs="Arial"/>
          <w:color w:val="000000"/>
          <w:sz w:val="20"/>
        </w:rPr>
        <w:t>Rossley stated that his [**11]  last memory involving Doe once they were back in his room was her standing on a chair near his bed. He remembered her kissing him good night and leaving. He stated that he was "confused about the situation" and did not "know what happened" or whether they "had sex." He stated that his night with Doe did not result in the post-intercourse pain he suffers as a result of a back injury. Rossley also stated that Doe had complained to a friend about Rossley's inability to ejaculate. Rossley's roommate, who was present in the room during the alleged assault, reported that he remembered Rossley and a girl walking into the room, but did not recall hearing anything indicative of sexual activity.</w:t>
      </w:r>
    </w:p>
    <w:p w14:paraId="4D6D2CF9" w14:textId="77777777" w:rsidR="002B10A6" w:rsidRDefault="00000000">
      <w:pPr>
        <w:pStyle w:val="Normal21"/>
        <w:widowControl w:val="0"/>
        <w:spacing w:before="200" w:line="260" w:lineRule="atLeast"/>
        <w:jc w:val="both"/>
      </w:pPr>
      <w:bookmarkStart w:id="3369" w:name="Bookmark_para_19_13"/>
      <w:bookmarkEnd w:id="3369"/>
      <w:r>
        <w:rPr>
          <w:rFonts w:ascii="Arial" w:eastAsia="Arial" w:hAnsi="Arial" w:cs="Arial"/>
          <w:color w:val="000000"/>
          <w:sz w:val="20"/>
        </w:rPr>
        <w:t>Sirna and McKinney's report stated that Doe next remembered waking up to Rossley's being "on top of [her] and assaulting [her]." She reported as having been confused and asking herself, "How did I get here," as well as thinking that she was "not passed out and [Rossley's] having sex with me." She remembered that they were having penetrative intercourse, as she had felt his weight on her. After pushing him off her body, she noticed that he was wearing a yellow condom, that her pants were pushed down, and [**12]  that her underwear had been "pushed to the side." Doe remembered telling Rossley to "get off of [her]" and his saying, "Fine. I've got whiskey dick anyway." Rossley told Doe not to leave, to which she responded by saying, "I'm going to be sick" and running to the bathroom.</w:t>
      </w:r>
    </w:p>
    <w:p w14:paraId="7063264B" w14:textId="77777777" w:rsidR="002B10A6" w:rsidRDefault="00000000">
      <w:pPr>
        <w:pStyle w:val="Normal21"/>
        <w:widowControl w:val="0"/>
        <w:spacing w:before="200" w:line="260" w:lineRule="atLeast"/>
        <w:jc w:val="both"/>
      </w:pPr>
      <w:bookmarkStart w:id="3370" w:name="Bookmark_para_20_13"/>
      <w:bookmarkEnd w:id="3370"/>
      <w:r>
        <w:rPr>
          <w:rFonts w:ascii="Arial" w:eastAsia="Arial" w:hAnsi="Arial" w:cs="Arial"/>
          <w:color w:val="000000"/>
          <w:sz w:val="20"/>
        </w:rPr>
        <w:t>Doe recalled sending a text message to another witness while in the bathroom, asking if she could sleep on his couch. Receiving no response, she went to the witness's house and started kissing him. The witness recalled that Doe appeared to be intoxicated, but not "overly intoxicated." Doe expressed having felt "weird around [Rossley]" and that Rossley "was being weird." At 3:59 a.m., October 9, Rossley sent a "Make it back?" text to Doe, to which she responded, "Yeah I'm good thx babe."</w:t>
      </w:r>
    </w:p>
    <w:p w14:paraId="26C10348" w14:textId="77777777" w:rsidR="002B10A6" w:rsidRDefault="00000000">
      <w:pPr>
        <w:pStyle w:val="Normal21"/>
        <w:widowControl w:val="0"/>
        <w:spacing w:before="200" w:line="260" w:lineRule="atLeast"/>
        <w:jc w:val="both"/>
      </w:pPr>
      <w:bookmarkStart w:id="3371" w:name="Bookmark_para_21_13"/>
      <w:bookmarkEnd w:id="3371"/>
      <w:r>
        <w:rPr>
          <w:rFonts w:ascii="Arial" w:eastAsia="Arial" w:hAnsi="Arial" w:cs="Arial"/>
          <w:color w:val="000000"/>
          <w:sz w:val="20"/>
        </w:rPr>
        <w:t>Upon returning to her apartment, Doe asked friends to help her recreate the events of the previous evening and the remainder of the night. At midmorning, she filed a report against Rossley with Drake Public Safety and went to Mercy Hospital, where she received a preliminary exam. She reported "freaking out" and doubting herself, wondering whether she had consented, if she was wrong, or had made a mistake. She declined to undergo a forensic [**13]  exam. When asked about her doubts, Doe replied that she did not recall giving consent and did not think she was capable of doing so. She stated that she had noticed blood stains on the underwear that she was wearing that night. Neither the underwear nor Doe's medical record  [*1190]  was made available to Sirna during the investigation.</w:t>
      </w:r>
    </w:p>
    <w:p w14:paraId="55A7BAB2" w14:textId="77777777" w:rsidR="002B10A6" w:rsidRDefault="00000000">
      <w:pPr>
        <w:pStyle w:val="Normal21"/>
        <w:widowControl w:val="0"/>
        <w:spacing w:before="200" w:line="260" w:lineRule="atLeast"/>
        <w:jc w:val="both"/>
      </w:pPr>
      <w:bookmarkStart w:id="3372" w:name="Bookmark_para_22_13"/>
      <w:bookmarkEnd w:id="3372"/>
      <w:r>
        <w:rPr>
          <w:rFonts w:ascii="Arial" w:eastAsia="Arial" w:hAnsi="Arial" w:cs="Arial"/>
          <w:color w:val="000000"/>
          <w:sz w:val="20"/>
        </w:rPr>
        <w:t>When asked by Sirna about Doe's account, Rossley replied that in addition to the oral sex in the car, he remembered only Doe's kissing him goodbye. A witness reported, however, that Rossley had said that he had "hook[ed] up" with Doe and had "wasted a condom" because he could not ejaculate.</w:t>
      </w:r>
    </w:p>
    <w:p w14:paraId="1EB21AD4" w14:textId="77777777" w:rsidR="002B10A6" w:rsidRDefault="00000000">
      <w:pPr>
        <w:pStyle w:val="Normal21"/>
        <w:widowControl w:val="0"/>
        <w:spacing w:before="200" w:line="260" w:lineRule="atLeast"/>
        <w:jc w:val="both"/>
      </w:pPr>
      <w:bookmarkStart w:id="3373" w:name="Bookmark_para_23_13"/>
      <w:bookmarkEnd w:id="3373"/>
      <w:r>
        <w:rPr>
          <w:rFonts w:ascii="Arial" w:eastAsia="Arial" w:hAnsi="Arial" w:cs="Arial"/>
          <w:color w:val="000000"/>
          <w:sz w:val="20"/>
        </w:rPr>
        <w:t>Sirna determined that a reasonable person could conclude "based on the preponderance of the evidence" that Rossley had engaged in the sex act alleged in Doe's complaint. Sirna wrote that "given that there are no eye witnesses to the event, and [Rossley] claims not to recall the event we then must turn to the evidence provided by [Doe]." She pointed to the testimony regarding Doe's incapacitated state, as well as to Rossley's contradictory admission to a friend that he had had intercourse with Doe despite his inability to ejaculate—an admission supported by Doe's recollection [**14]  of Rossley's statement that he was suffering from alcohol-induced erectile dysfunction. Sirna also noted that Rossley seemed to have been less incapacitated than Doe. Moreover, she found Doe credible in light of the statements she had made to investigators "against her own interest," including her expression of self-doubt and the fact that she had engaged in sexual activity with a different person after the assault. Sirna's report mentioned Rossley's thought that he himself might have been a victim of sexual assault, but she made no findings regarding that allegation. After reviewing Sirna's report, Dean Parker determined that a disciplinary hearing was warranted and so informed Rossley.</w:t>
      </w:r>
    </w:p>
    <w:p w14:paraId="31BBFA87" w14:textId="77777777" w:rsidR="002B10A6" w:rsidRDefault="00000000">
      <w:pPr>
        <w:pStyle w:val="Normal21"/>
        <w:widowControl w:val="0"/>
        <w:spacing w:before="200" w:line="260" w:lineRule="atLeast"/>
        <w:jc w:val="both"/>
      </w:pPr>
      <w:bookmarkStart w:id="3374" w:name="Bookmark_para_24_13"/>
      <w:bookmarkEnd w:id="3374"/>
      <w:r>
        <w:rPr>
          <w:rFonts w:ascii="Arial" w:eastAsia="Arial" w:hAnsi="Arial" w:cs="Arial"/>
          <w:color w:val="000000"/>
          <w:sz w:val="20"/>
        </w:rPr>
        <w:t>Later that month, Rossley's father, then a Drake Trustee, called Parker, who told him that Rossley's case would be moving to a formal hearing. Rossley's father expressed concern that the investigators had refused to investigate his son's claim of having been sexually assaulted on the ground that it would have constituted a retaliatory action. He demanded that Parker accommodate Rossley's disabilities during the upcoming hearing.</w:t>
      </w:r>
    </w:p>
    <w:p w14:paraId="1386D9C6" w14:textId="77777777" w:rsidR="002B10A6" w:rsidRDefault="00000000">
      <w:pPr>
        <w:pStyle w:val="Normal21"/>
        <w:widowControl w:val="0"/>
        <w:spacing w:before="200" w:line="260" w:lineRule="atLeast"/>
        <w:jc w:val="both"/>
      </w:pPr>
      <w:bookmarkStart w:id="3375" w:name="Bookmark_para_25_13"/>
      <w:bookmarkEnd w:id="3375"/>
      <w:r>
        <w:rPr>
          <w:rFonts w:ascii="Arial" w:eastAsia="Arial" w:hAnsi="Arial" w:cs="Arial"/>
          <w:color w:val="000000"/>
          <w:sz w:val="20"/>
        </w:rPr>
        <w:t>Jerry Foxhoven, who had received training on sexual misconduct investigations, [**15]  was Drake's hearing officer at the time. Foxhoven determined that there would be three parties at the hearing: Rossley, Doe, and Parker, who would be acting as the Dean. Rossley argued through his representative that because Parker and Doe were on the same "side," it was unfair to give equal time to all parties. Foxhoven ruled that Doe and Rossley could have five minutes for opening statements and ten minutes for closing statements, while Parker could have five minutes for opening and closing but could not make statements that were cumulative of Doe's.</w:t>
      </w:r>
    </w:p>
    <w:p w14:paraId="375D3468" w14:textId="77777777" w:rsidR="002B10A6" w:rsidRDefault="00000000">
      <w:pPr>
        <w:pStyle w:val="Normal21"/>
        <w:widowControl w:val="0"/>
        <w:spacing w:before="200" w:line="260" w:lineRule="atLeast"/>
        <w:jc w:val="both"/>
      </w:pPr>
      <w:bookmarkStart w:id="3376" w:name="Bookmark_para_26_13"/>
      <w:bookmarkEnd w:id="3376"/>
      <w:r>
        <w:rPr>
          <w:rFonts w:ascii="Arial" w:eastAsia="Arial" w:hAnsi="Arial" w:cs="Arial"/>
          <w:color w:val="000000"/>
          <w:sz w:val="20"/>
        </w:rPr>
        <w:t>Foxhoven notified the parties and their representatives that he would not admit "any testimony or evidence of the prior sexual conduct or mental health issues of either" Doe or Rossley. Rossley's representative argued that evidence regarding Doe's post-Rossley encounter performance of oral sex on another person should be admissible as probative of her state of mind on that night and her capacity to consent mere hours earlier. Foxhoven then ruled that this evidence would be admitted.</w:t>
      </w:r>
    </w:p>
    <w:p w14:paraId="0DB04B75" w14:textId="77777777" w:rsidR="002B10A6" w:rsidRDefault="00000000">
      <w:pPr>
        <w:pStyle w:val="Normal21"/>
        <w:widowControl w:val="0"/>
        <w:spacing w:before="200" w:line="260" w:lineRule="atLeast"/>
        <w:jc w:val="both"/>
      </w:pPr>
      <w:bookmarkStart w:id="3377" w:name="Bookmark_para_27_13"/>
      <w:bookmarkEnd w:id="3377"/>
      <w:r>
        <w:rPr>
          <w:rFonts w:ascii="Arial" w:eastAsia="Arial" w:hAnsi="Arial" w:cs="Arial"/>
          <w:color w:val="000000"/>
          <w:sz w:val="20"/>
        </w:rPr>
        <w:t>Parker stated during his opening statement at the disciplinary hearing that the Dean of Students Office had "found [Doe's] account of this incident as being [**16]  more credible" and recommended that "the appropriate sanction be expulsion." Rossley's representative argued during his opening statement that "the two people involved were both blackout drunk," but later during the statement argued that "we can know that [Doe] was not incapacitated."  [*1191]  Foxhoven interpreted the opening statement as an admission by Rossley that Doe was incapacitated during the time in question, rending the extent of her incapacitation uncontestible. Foxhoven accordingly amended his previous order by precluding any testimony and evidence regarding Doe's actions after leaving Rossley's room.</w:t>
      </w:r>
    </w:p>
    <w:p w14:paraId="3F4B7A88" w14:textId="77777777" w:rsidR="002B10A6" w:rsidRDefault="00000000">
      <w:pPr>
        <w:pStyle w:val="Normal21"/>
        <w:widowControl w:val="0"/>
        <w:spacing w:before="200" w:line="260" w:lineRule="atLeast"/>
        <w:jc w:val="both"/>
      </w:pPr>
      <w:bookmarkStart w:id="3378" w:name="Bookmark_para_28_13"/>
      <w:bookmarkEnd w:id="3378"/>
      <w:r>
        <w:rPr>
          <w:rFonts w:ascii="Arial" w:eastAsia="Arial" w:hAnsi="Arial" w:cs="Arial"/>
          <w:color w:val="000000"/>
          <w:sz w:val="20"/>
        </w:rPr>
        <w:t>In addition to Doe's and Rossley's testimony, eleven witnesses testified and were cross-examined during the hearing, with Foxhoven reading Doe's and Rossley's respectively submitted questions. In addition to reiterating that which she had told investigators regarding the events of October 8 and 9, Doe testified that in an attempt to persuade Rossley to take her to her home, she had provided that which she knew he wanted by "giving him oral sex" while the two were in the back seat of his car. She denied having initiated or consented to having vaginal intercourse.</w:t>
      </w:r>
    </w:p>
    <w:p w14:paraId="4DA881A2" w14:textId="77777777" w:rsidR="002B10A6" w:rsidRDefault="00000000">
      <w:pPr>
        <w:pStyle w:val="Normal21"/>
        <w:widowControl w:val="0"/>
        <w:spacing w:before="200" w:line="260" w:lineRule="atLeast"/>
        <w:jc w:val="both"/>
      </w:pPr>
      <w:bookmarkStart w:id="3379" w:name="Bookmark_para_29_13"/>
      <w:bookmarkEnd w:id="3379"/>
      <w:r>
        <w:rPr>
          <w:rFonts w:ascii="Arial" w:eastAsia="Arial" w:hAnsi="Arial" w:cs="Arial"/>
          <w:color w:val="000000"/>
          <w:sz w:val="20"/>
        </w:rPr>
        <w:t>Foxhoven's order stated [**17]  that sufficient evidence existed to support a finding of sexual misconduct. Although he noted "a lack of definitive evidence" in light of the absence of corroboration, as well as the lack of any test conducted on Doe's underwear, Foxhoven ultimately concluded that the remaining evidence was sufficiently probative of his findings. He first determined that "a preponderance of evidence supports the fact that vaginal intercourse between [Doe] and [Rossley] was either attempted or completed on the evening in question," noting that the Code provides that contact with genitals without consent constitutes sexual assault. Foxhoven pointed to Doe's not being "conscious during the assault," awakening to Rossley's "violating" her while her pants were off, later remembering Rossley's mentioning his alcohol-induced erectile dysfunction, and her stating that "walking was painful in a way that indicated to her that she had been subjected to vaginal sex." Foxhoven also determined that "a preponderance of evidence supports the fact that [Doe] did not give her consent to the sexual contact in question" because she was "so intoxicated . . . that she was rendered unable to give her consent." He pointed [**18]  to Doe's pain-resulting experiences with penetrative sex, to the testimony from numerous witnesses, and to Rossley's representative's statement that both Rossley and Doe were "blackout drunk on the night in question."</w:t>
      </w:r>
    </w:p>
    <w:p w14:paraId="5481EF9A" w14:textId="77777777" w:rsidR="002B10A6" w:rsidRDefault="00000000">
      <w:pPr>
        <w:pStyle w:val="Normal21"/>
        <w:widowControl w:val="0"/>
        <w:spacing w:before="200" w:line="260" w:lineRule="atLeast"/>
        <w:jc w:val="both"/>
      </w:pPr>
      <w:bookmarkStart w:id="3380" w:name="Bookmark_para_30_12"/>
      <w:bookmarkEnd w:id="3380"/>
      <w:r>
        <w:rPr>
          <w:rFonts w:ascii="Arial" w:eastAsia="Arial" w:hAnsi="Arial" w:cs="Arial"/>
          <w:color w:val="000000"/>
          <w:sz w:val="20"/>
        </w:rPr>
        <w:t>Foxhoven rejected Rossley's argument that he should not be responsible for his conduct because he was "blacked out." Foxhoven concluded that the evidence showed that Rossley was "clearly more in control of himself than [Doe was]" and that he was aware of her level of intoxication. Foxhoven did not address Rossley's allegation that he had not consented to Doe's performance of oral sex on him before his alleged assault on her.</w:t>
      </w:r>
    </w:p>
    <w:p w14:paraId="17D1D94A" w14:textId="77777777" w:rsidR="002B10A6" w:rsidRDefault="00000000">
      <w:pPr>
        <w:pStyle w:val="Normal21"/>
        <w:widowControl w:val="0"/>
        <w:spacing w:before="200" w:line="260" w:lineRule="atLeast"/>
        <w:jc w:val="both"/>
      </w:pPr>
      <w:bookmarkStart w:id="3381" w:name="Bookmark_para_31_12"/>
      <w:bookmarkEnd w:id="3381"/>
      <w:r>
        <w:rPr>
          <w:rFonts w:ascii="Arial" w:eastAsia="Arial" w:hAnsi="Arial" w:cs="Arial"/>
          <w:color w:val="000000"/>
          <w:sz w:val="20"/>
        </w:rPr>
        <w:t>Foxhoven recommended that Rossley be expelled, rejecting Rossley's representative's request that Rossley be allowed to graduate as planned just a month later and emphasizing Rossley's awareness of Doe's intoxicated state.</w:t>
      </w:r>
    </w:p>
    <w:p w14:paraId="6889A666" w14:textId="77777777" w:rsidR="002B10A6" w:rsidRDefault="00000000">
      <w:pPr>
        <w:pStyle w:val="Normal21"/>
        <w:widowControl w:val="0"/>
        <w:spacing w:before="200" w:line="260" w:lineRule="atLeast"/>
        <w:jc w:val="both"/>
      </w:pPr>
      <w:bookmarkStart w:id="3382" w:name="Bookmark_para_32_12"/>
      <w:bookmarkEnd w:id="3382"/>
      <w:r>
        <w:rPr>
          <w:rFonts w:ascii="Arial" w:eastAsia="Arial" w:hAnsi="Arial" w:cs="Arial"/>
          <w:color w:val="000000"/>
          <w:sz w:val="20"/>
        </w:rPr>
        <w:t>Upon receiving Rossley's notice of appeal, the appeals panel scheduled a hearing, following which the panel affirmed Foxhoven's findings and recommended expulsion. Parker notified Rossley of the panel's decision and of Drake's President's concurrence therein, as well as of Rossley's immediate expulsion from the university. Rossley then [**19]  filed the action that gave rise to this appeal.</w:t>
      </w:r>
    </w:p>
    <w:p w14:paraId="03C191F1" w14:textId="77777777" w:rsidR="002B10A6" w:rsidRDefault="00000000">
      <w:pPr>
        <w:pStyle w:val="Normal21"/>
        <w:widowControl w:val="0"/>
        <w:spacing w:before="200" w:line="260" w:lineRule="atLeast"/>
        <w:jc w:val="both"/>
      </w:pPr>
      <w:bookmarkStart w:id="3383" w:name="Bookmark_para_33_11"/>
      <w:bookmarkStart w:id="3384" w:name="Bookmark_I6180YKM2D6MVS0010000400"/>
      <w:bookmarkStart w:id="3385" w:name="Bookmark_I6180YKM2D6MVS0030000400"/>
      <w:bookmarkStart w:id="3386" w:name="Bookmark_I6180YKM2D6MVS0050000400"/>
      <w:bookmarkStart w:id="3387" w:name="Bookmark_LNHNREFclscc4_17"/>
      <w:bookmarkEnd w:id="3383"/>
      <w:bookmarkEnd w:id="3384"/>
      <w:bookmarkEnd w:id="3385"/>
      <w:bookmarkEnd w:id="3386"/>
      <w:bookmarkEnd w:id="3387"/>
      <w:r>
        <w:rPr>
          <w:rFonts w:ascii="Arial" w:eastAsia="Arial" w:hAnsi="Arial" w:cs="Arial"/>
          <w:color w:val="000000"/>
          <w:sz w:val="20"/>
        </w:rPr>
        <w:t xml:space="preserve">Title IX prohibits federally funded universities from discriminating against students on the basis of sex. </w:t>
      </w:r>
      <w:r>
        <w:rPr>
          <w:rFonts w:ascii="Arial" w:eastAsia="Arial" w:hAnsi="Arial" w:cs="Arial"/>
          <w:color w:val="000000"/>
          <w:sz w:val="20"/>
          <w:u w:val="single"/>
        </w:rPr>
        <w:t>See</w:t>
      </w:r>
      <w:r>
        <w:rPr>
          <w:rFonts w:ascii="Arial" w:eastAsia="Arial" w:hAnsi="Arial" w:cs="Arial"/>
          <w:color w:val="000000"/>
          <w:sz w:val="20"/>
        </w:rPr>
        <w:t xml:space="preserve"> 20 U.S.C. § 1681(a). As relevant here, Rossley pursued his Title IX claim under the two categories set forth in </w:t>
      </w:r>
      <w:bookmarkStart w:id="3388" w:name="Bookmark_I6180YKM2SF8B60050000400"/>
      <w:bookmarkEnd w:id="3388"/>
      <w:r>
        <w:rPr>
          <w:rFonts w:ascii="Arial" w:eastAsia="Arial" w:hAnsi="Arial" w:cs="Arial"/>
          <w:color w:val="000000"/>
          <w:sz w:val="20"/>
          <w:u w:val="single"/>
        </w:rPr>
        <w:t>Yusuf v. Vassar College</w:t>
      </w:r>
      <w:r>
        <w:rPr>
          <w:rFonts w:ascii="Arial" w:eastAsia="Arial" w:hAnsi="Arial" w:cs="Arial"/>
          <w:color w:val="000000"/>
          <w:sz w:val="20"/>
        </w:rPr>
        <w:t>, 35 F.3d 709, 715 (2d Cir. 1994)—"selective enforcement" and "erroneous  [*1192]  outcome."</w:t>
      </w:r>
      <w:r>
        <w:rPr>
          <w:rFonts w:ascii="Arial" w:eastAsia="Arial" w:hAnsi="Arial" w:cs="Arial"/>
          <w:vertAlign w:val="superscript"/>
        </w:rPr>
        <w:footnoteReference w:customMarkFollows="1" w:id="148"/>
        <w:t>2</w:t>
      </w:r>
      <w:r>
        <w:rPr>
          <w:rFonts w:ascii="Arial" w:eastAsia="Arial" w:hAnsi="Arial" w:cs="Arial"/>
          <w:color w:val="000000"/>
          <w:sz w:val="20"/>
        </w:rPr>
        <w:t xml:space="preserve"> With respect to erroneous outcome, Rossley argued that there was a genuine dispute of material fact whether gender bias had resulted in an erroneous outcome in his disciplinary proceedings. </w:t>
      </w:r>
      <w:r>
        <w:rPr>
          <w:rFonts w:ascii="Arial" w:eastAsia="Arial" w:hAnsi="Arial" w:cs="Arial"/>
          <w:color w:val="000000"/>
          <w:sz w:val="20"/>
          <w:u w:val="single"/>
        </w:rPr>
        <w:t xml:space="preserve">See </w:t>
      </w:r>
      <w:bookmarkStart w:id="3397" w:name="Bookmark_I6180YKM2D6MVS0020000400"/>
      <w:bookmarkEnd w:id="3397"/>
      <w:r>
        <w:rPr>
          <w:rFonts w:ascii="Arial" w:eastAsia="Arial" w:hAnsi="Arial" w:cs="Arial"/>
          <w:color w:val="000000"/>
          <w:sz w:val="20"/>
          <w:u w:val="single"/>
        </w:rPr>
        <w:t>id.</w:t>
      </w:r>
      <w:r>
        <w:rPr>
          <w:rFonts w:ascii="Arial" w:eastAsia="Arial" w:hAnsi="Arial" w:cs="Arial"/>
          <w:color w:val="000000"/>
          <w:sz w:val="20"/>
        </w:rPr>
        <w:t xml:space="preserve"> at 715 (explaining that the erroneous outcome category involves claims that "the plaintiff was innocent and wrongly found to have committed the offense"). The district court applied </w:t>
      </w:r>
      <w:r>
        <w:rPr>
          <w:rFonts w:ascii="Arial" w:eastAsia="Arial" w:hAnsi="Arial" w:cs="Arial"/>
          <w:color w:val="000000"/>
          <w:sz w:val="20"/>
          <w:u w:val="single"/>
        </w:rPr>
        <w:t>Yusuf</w:t>
      </w:r>
      <w:r>
        <w:rPr>
          <w:rFonts w:ascii="Arial" w:eastAsia="Arial" w:hAnsi="Arial" w:cs="Arial"/>
          <w:color w:val="000000"/>
          <w:sz w:val="20"/>
        </w:rPr>
        <w:t xml:space="preserve"> and dismissed Rossley's Title IX claim to the extent it was based on an erroneous outcome theory. As set forth above, Rossley decided to dismiss with prejudice the remainder of his Title IX claim so that he could obtain final judgment and appellate jurisdiction.</w:t>
      </w:r>
    </w:p>
    <w:p w14:paraId="340879D5" w14:textId="77777777" w:rsidR="002B10A6" w:rsidRDefault="00000000">
      <w:pPr>
        <w:pStyle w:val="Normal21"/>
        <w:widowControl w:val="0"/>
        <w:spacing w:before="200" w:line="260" w:lineRule="atLeast"/>
        <w:jc w:val="both"/>
      </w:pPr>
      <w:bookmarkStart w:id="3398" w:name="Bookmark_para_34_10"/>
      <w:bookmarkStart w:id="3399" w:name="Bookmark_I6180YKP2N1PX40040000400"/>
      <w:bookmarkStart w:id="3400" w:name="Bookmark_I6180YKP2SF8BH0010000400"/>
      <w:bookmarkStart w:id="3401" w:name="Bookmark_I6180YKP2SF8BH0050000400"/>
      <w:bookmarkEnd w:id="3398"/>
      <w:bookmarkEnd w:id="3399"/>
      <w:bookmarkEnd w:id="3400"/>
      <w:bookmarkEnd w:id="3401"/>
      <w:r>
        <w:rPr>
          <w:rFonts w:ascii="Arial" w:eastAsia="Arial" w:hAnsi="Arial" w:cs="Arial"/>
          <w:color w:val="000000"/>
          <w:sz w:val="20"/>
        </w:rPr>
        <w:t xml:space="preserve">Subsequent to the submission of Rossley's appeal, we announced </w:t>
      </w:r>
      <w:bookmarkStart w:id="3402" w:name="Bookmark_LNHNREFclscc5_17"/>
      <w:bookmarkEnd w:id="3402"/>
      <w:r>
        <w:rPr>
          <w:rFonts w:ascii="Arial" w:eastAsia="Arial" w:hAnsi="Arial" w:cs="Arial"/>
          <w:color w:val="000000"/>
          <w:sz w:val="20"/>
        </w:rPr>
        <w:t xml:space="preserve">the following pleading standard for Title IX claims: a plaintiff "must allege adequately that the University disciplined [the plaintiff] on the basis of sex—that is, because he is a male." [**20]  </w:t>
      </w:r>
      <w:bookmarkStart w:id="3403" w:name="Bookmark_I6180YKP2N1PX40030000400"/>
      <w:bookmarkEnd w:id="3403"/>
      <w:r>
        <w:rPr>
          <w:rFonts w:ascii="Arial" w:eastAsia="Arial" w:hAnsi="Arial" w:cs="Arial"/>
          <w:color w:val="000000"/>
          <w:sz w:val="20"/>
          <w:u w:val="single"/>
        </w:rPr>
        <w:t>Doe v. Univ. of Ark.-Fayetteville</w:t>
      </w:r>
      <w:r>
        <w:rPr>
          <w:rFonts w:ascii="Arial" w:eastAsia="Arial" w:hAnsi="Arial" w:cs="Arial"/>
          <w:color w:val="000000"/>
          <w:sz w:val="20"/>
        </w:rPr>
        <w:t xml:space="preserve">, 974 F.3d 858, 864 (8th Cir. 2020). In so holding, we cited the Seventh Circuit's decision in </w:t>
      </w:r>
      <w:bookmarkStart w:id="3404" w:name="Bookmark_I6180YKP2N1PX40050000400"/>
      <w:bookmarkEnd w:id="3404"/>
      <w:r>
        <w:rPr>
          <w:rFonts w:ascii="Arial" w:eastAsia="Arial" w:hAnsi="Arial" w:cs="Arial"/>
          <w:color w:val="000000"/>
          <w:sz w:val="20"/>
          <w:u w:val="single"/>
        </w:rPr>
        <w:t>Doe v. Purdue University</w:t>
      </w:r>
      <w:r>
        <w:rPr>
          <w:rFonts w:ascii="Arial" w:eastAsia="Arial" w:hAnsi="Arial" w:cs="Arial"/>
          <w:color w:val="000000"/>
          <w:sz w:val="20"/>
        </w:rPr>
        <w:t xml:space="preserve">, 928 F.3d 652, 667-68 (7th Cir. 2019), which rejected </w:t>
      </w:r>
      <w:r>
        <w:rPr>
          <w:rFonts w:ascii="Arial" w:eastAsia="Arial" w:hAnsi="Arial" w:cs="Arial"/>
          <w:color w:val="000000"/>
          <w:sz w:val="20"/>
          <w:u w:val="single"/>
        </w:rPr>
        <w:t>Yusuf's</w:t>
      </w:r>
      <w:r>
        <w:rPr>
          <w:rFonts w:ascii="Arial" w:eastAsia="Arial" w:hAnsi="Arial" w:cs="Arial"/>
          <w:color w:val="000000"/>
          <w:sz w:val="20"/>
        </w:rPr>
        <w:t xml:space="preserve"> categories of Title IX claims and asked instead whether "the alleged facts, if true, raise a plausible inference that the university discriminated against [the plaintiff] 'on the basis of sex.'" The court explained that </w:t>
      </w:r>
      <w:r>
        <w:rPr>
          <w:rFonts w:ascii="Arial" w:eastAsia="Arial" w:hAnsi="Arial" w:cs="Arial"/>
          <w:color w:val="000000"/>
          <w:sz w:val="20"/>
          <w:u w:val="single"/>
        </w:rPr>
        <w:t>Yusuf's</w:t>
      </w:r>
      <w:r>
        <w:rPr>
          <w:rFonts w:ascii="Arial" w:eastAsia="Arial" w:hAnsi="Arial" w:cs="Arial"/>
          <w:color w:val="000000"/>
          <w:sz w:val="20"/>
        </w:rPr>
        <w:t xml:space="preserve"> categories "simply describe ways in which a plaintiff might show that sex was a motivating factor in a university's decision to discipline a student." </w:t>
      </w:r>
      <w:bookmarkStart w:id="3405" w:name="Bookmark_I6180YKP2SF8BH0020000400"/>
      <w:bookmarkEnd w:id="3405"/>
      <w:r>
        <w:rPr>
          <w:rFonts w:ascii="Arial" w:eastAsia="Arial" w:hAnsi="Arial" w:cs="Arial"/>
          <w:color w:val="000000"/>
          <w:sz w:val="20"/>
          <w:u w:val="single"/>
        </w:rPr>
        <w:t>Doe v. Purdue Univ.</w:t>
      </w:r>
      <w:r>
        <w:rPr>
          <w:rFonts w:ascii="Arial" w:eastAsia="Arial" w:hAnsi="Arial" w:cs="Arial"/>
          <w:color w:val="000000"/>
          <w:sz w:val="20"/>
        </w:rPr>
        <w:t>, 928 F.3d at 667.</w:t>
      </w:r>
      <w:r>
        <w:rPr>
          <w:rFonts w:ascii="Arial" w:eastAsia="Arial" w:hAnsi="Arial" w:cs="Arial"/>
          <w:vertAlign w:val="superscript"/>
        </w:rPr>
        <w:footnoteReference w:customMarkFollows="1" w:id="149"/>
        <w:t>3</w:t>
      </w:r>
    </w:p>
    <w:p w14:paraId="4436AB75" w14:textId="77777777" w:rsidR="002B10A6" w:rsidRDefault="00000000">
      <w:pPr>
        <w:pStyle w:val="Normal21"/>
        <w:widowControl w:val="0"/>
        <w:spacing w:before="200" w:line="260" w:lineRule="atLeast"/>
        <w:jc w:val="both"/>
      </w:pPr>
      <w:bookmarkStart w:id="3410" w:name="Bookmark_para_35_10"/>
      <w:bookmarkStart w:id="3411" w:name="Bookmark_I6180YKR28T4R00010000400"/>
      <w:bookmarkStart w:id="3412" w:name="Bookmark_I6180YKR28T4R00030000400"/>
      <w:bookmarkEnd w:id="3410"/>
      <w:bookmarkEnd w:id="3411"/>
      <w:bookmarkEnd w:id="3412"/>
      <w:r>
        <w:rPr>
          <w:rFonts w:ascii="Arial" w:eastAsia="Arial" w:hAnsi="Arial" w:cs="Arial"/>
          <w:color w:val="000000"/>
          <w:sz w:val="20"/>
        </w:rPr>
        <w:t xml:space="preserve">To survive summary judgment, then, Rossley was required to set forth sufficient evidence to allow a reasonable jury to find that Drake disciplined him on the basis of sex. </w:t>
      </w:r>
      <w:r>
        <w:rPr>
          <w:rFonts w:ascii="Arial" w:eastAsia="Arial" w:hAnsi="Arial" w:cs="Arial"/>
          <w:color w:val="000000"/>
          <w:sz w:val="20"/>
          <w:u w:val="single"/>
        </w:rPr>
        <w:t xml:space="preserve">See id.; </w:t>
      </w:r>
      <w:bookmarkStart w:id="3413" w:name="Bookmark_I6180YKR2N1PX70050000400"/>
      <w:bookmarkEnd w:id="3413"/>
      <w:r>
        <w:rPr>
          <w:rFonts w:ascii="Arial" w:eastAsia="Arial" w:hAnsi="Arial" w:cs="Arial"/>
          <w:color w:val="000000"/>
          <w:sz w:val="20"/>
          <w:u w:val="single"/>
        </w:rPr>
        <w:t>Doe v. Univ. of Ark.-Fayetteville</w:t>
      </w:r>
      <w:r>
        <w:rPr>
          <w:rFonts w:ascii="Arial" w:eastAsia="Arial" w:hAnsi="Arial" w:cs="Arial"/>
          <w:color w:val="000000"/>
          <w:sz w:val="20"/>
        </w:rPr>
        <w:t xml:space="preserve">, 974 F.3d at 864. The district court's application of </w:t>
      </w:r>
      <w:r>
        <w:rPr>
          <w:rFonts w:ascii="Arial" w:eastAsia="Arial" w:hAnsi="Arial" w:cs="Arial"/>
          <w:color w:val="000000"/>
          <w:sz w:val="20"/>
          <w:u w:val="single"/>
        </w:rPr>
        <w:t>Yusuf</w:t>
      </w:r>
      <w:r>
        <w:rPr>
          <w:rFonts w:ascii="Arial" w:eastAsia="Arial" w:hAnsi="Arial" w:cs="Arial"/>
          <w:color w:val="000000"/>
          <w:sz w:val="20"/>
        </w:rPr>
        <w:t xml:space="preserve"> is of no consequence, however, in light of its ultimate conclusion that no reasonable jury could find that Drake's "actions were motivated by gender bias." </w:t>
      </w:r>
      <w:bookmarkStart w:id="3414" w:name="Bookmark_I6180YKR28T4R00020000400"/>
      <w:bookmarkEnd w:id="3414"/>
      <w:r>
        <w:rPr>
          <w:rFonts w:ascii="Arial" w:eastAsia="Arial" w:hAnsi="Arial" w:cs="Arial"/>
          <w:color w:val="000000"/>
          <w:sz w:val="20"/>
          <w:u w:val="single"/>
        </w:rPr>
        <w:t>Rossley</w:t>
      </w:r>
      <w:r>
        <w:rPr>
          <w:rFonts w:ascii="Arial" w:eastAsia="Arial" w:hAnsi="Arial" w:cs="Arial"/>
          <w:color w:val="000000"/>
          <w:sz w:val="20"/>
        </w:rPr>
        <w:t>, 342 F. Supp. 3d at 926. As explained below, we similarly conclude that there is no genuine dispute of material fact whether being male was a motivating factor for Rossley's expulsion from Drake.</w:t>
      </w:r>
    </w:p>
    <w:p w14:paraId="005C817F" w14:textId="77777777" w:rsidR="002B10A6" w:rsidRDefault="00000000">
      <w:pPr>
        <w:pStyle w:val="Normal21"/>
        <w:widowControl w:val="0"/>
        <w:spacing w:before="200" w:line="260" w:lineRule="atLeast"/>
        <w:jc w:val="both"/>
      </w:pPr>
      <w:bookmarkStart w:id="3415" w:name="Bookmark_para_36_10"/>
      <w:bookmarkEnd w:id="3415"/>
      <w:r>
        <w:rPr>
          <w:rFonts w:ascii="Arial" w:eastAsia="Arial" w:hAnsi="Arial" w:cs="Arial"/>
          <w:color w:val="000000"/>
          <w:sz w:val="20"/>
        </w:rPr>
        <w:t>Rossley advances several theories in support of his argument to the contrary. Specifically, he contends that: (1) Drake countenanced various procedural flaws in the investigation, [**21]  disciplinary hearing, and appeals process and reached a decision against the weight of the evidence; (2) Drake's "victim-centered" approach punishes male respondents; (3) gender-specific data of those accused of sexual misconduct at Drake reveals gender bias; and (4) the Department of Education's guidance document (the "Dear Colleague" letter—of  [*1193]  which more later) pressured Drake to protect female victims at the cost of erring against accused male students.</w:t>
      </w:r>
    </w:p>
    <w:p w14:paraId="77E09E61" w14:textId="77777777" w:rsidR="002B10A6" w:rsidRDefault="00000000">
      <w:pPr>
        <w:pStyle w:val="Normal21"/>
        <w:widowControl w:val="0"/>
        <w:spacing w:before="200" w:line="260" w:lineRule="atLeast"/>
        <w:jc w:val="both"/>
      </w:pPr>
      <w:bookmarkStart w:id="3416" w:name="Bookmark_para_37_9"/>
      <w:bookmarkEnd w:id="3416"/>
      <w:r>
        <w:rPr>
          <w:rFonts w:ascii="Arial" w:eastAsia="Arial" w:hAnsi="Arial" w:cs="Arial"/>
          <w:color w:val="000000"/>
          <w:sz w:val="20"/>
        </w:rPr>
        <w:t>Rossley argues that he has shown a genuine dispute whether Drake's actions during the investigation and disciplinary hearing were motivated by gender bias. He points to alleged flaws in Drake's decisions throughout the disciplinary process, including Foxhoven's decision allowing Doe and Drake separate time in the hearing, the requirement that Rossley and Doe conduct their own cross-examination of certain witnesses, and Foxhoven's reliance on Doe's unverified statements regarding intercourse-induced pain. He argues that the appeals panel failed to take into account his imminent graduation date, condoned the decision to allow both Doe and Drake to proceed against him, and viewed only the evidence presented to it.</w:t>
      </w:r>
    </w:p>
    <w:p w14:paraId="7F28E6BF" w14:textId="77777777" w:rsidR="002B10A6" w:rsidRDefault="00000000">
      <w:pPr>
        <w:pStyle w:val="Normal21"/>
        <w:widowControl w:val="0"/>
        <w:spacing w:before="200" w:line="260" w:lineRule="atLeast"/>
        <w:jc w:val="both"/>
      </w:pPr>
      <w:bookmarkStart w:id="3417" w:name="Bookmark_para_38_8"/>
      <w:bookmarkEnd w:id="3417"/>
      <w:r>
        <w:rPr>
          <w:rFonts w:ascii="Arial" w:eastAsia="Arial" w:hAnsi="Arial" w:cs="Arial"/>
          <w:color w:val="000000"/>
          <w:sz w:val="20"/>
        </w:rPr>
        <w:t>The Code and Policy [**22]  processes Rossley challenges use gender-neutral language. As recounted above, the Policy allows the accused student's representative to be present during the disciplinary hearing for the purpose of making opening and closing statements and presenting questions to the hearing officer. The accused student is given the opportunity to submit a written response to the complaint. We conclude that these procedures, although not equivalent to those provided in nonacademic settings, are not reflective of gender bias, either in statement or in application.</w:t>
      </w:r>
    </w:p>
    <w:p w14:paraId="5F29312F" w14:textId="77777777" w:rsidR="002B10A6" w:rsidRDefault="00000000">
      <w:pPr>
        <w:pStyle w:val="Normal21"/>
        <w:widowControl w:val="0"/>
        <w:spacing w:before="200" w:line="260" w:lineRule="atLeast"/>
        <w:jc w:val="both"/>
      </w:pPr>
      <w:bookmarkStart w:id="3418" w:name="Bookmark_para_39_8"/>
      <w:bookmarkEnd w:id="3418"/>
      <w:r>
        <w:rPr>
          <w:rFonts w:ascii="Arial" w:eastAsia="Arial" w:hAnsi="Arial" w:cs="Arial"/>
          <w:color w:val="000000"/>
          <w:sz w:val="20"/>
        </w:rPr>
        <w:t xml:space="preserve">Rossley contends that the hearing panel reached decisions contrary to the weight of the evidence, which he argues demonstrates that gender bias permeated the investigation, the hearing, and the decision that resulted in his expulsion. He points to Sirna's decision to not interview certain witnesses, her reliance on hearsay, and her finding that Rossley's roommate lacked credibility. He points also to Foxhoven's and the appeals panel's reliance on the alleged erroneous findings that flowed from Sirna's flawed investigation. </w:t>
      </w:r>
      <w:bookmarkStart w:id="3419" w:name="Bookmark_I2P6MVJJ30B00008YSJ0000B"/>
      <w:bookmarkStart w:id="3420" w:name="Bookmark_I6180YKR28T4R00050000400"/>
      <w:bookmarkEnd w:id="3419"/>
      <w:bookmarkEnd w:id="3420"/>
      <w:r>
        <w:rPr>
          <w:rFonts w:ascii="Arial" w:eastAsia="Arial" w:hAnsi="Arial" w:cs="Arial"/>
          <w:color w:val="000000"/>
          <w:sz w:val="20"/>
        </w:rPr>
        <w:t xml:space="preserve">We conclude, however, that whatever the deficiencies in Sirna's investigation, they did not result in findings so devoid [**23]  of substantive content as to be unworthy of credence. As pointed out earlier, for example, Sirna's decision not to interview certain witnesses was based on her belief that such an effort might prove to be duplicative of her other interviews. Likewise, the alleged deficiencies did not rise to the level of the "clear procedural irregularities" that occurred in </w:t>
      </w:r>
      <w:bookmarkStart w:id="3421" w:name="Bookmark_I6180YKR28T4R00040000400"/>
      <w:bookmarkEnd w:id="3421"/>
      <w:r>
        <w:rPr>
          <w:rFonts w:ascii="Arial" w:eastAsia="Arial" w:hAnsi="Arial" w:cs="Arial"/>
          <w:color w:val="000000"/>
          <w:sz w:val="20"/>
          <w:u w:val="single"/>
        </w:rPr>
        <w:t>Menaker v. Hofstra University</w:t>
      </w:r>
      <w:r>
        <w:rPr>
          <w:rFonts w:ascii="Arial" w:eastAsia="Arial" w:hAnsi="Arial" w:cs="Arial"/>
          <w:color w:val="000000"/>
          <w:sz w:val="20"/>
        </w:rPr>
        <w:t>, 935 F.3d 20, 35 (2nd Cir. 2019).</w:t>
      </w:r>
    </w:p>
    <w:p w14:paraId="4A50C565" w14:textId="77777777" w:rsidR="002B10A6" w:rsidRDefault="00000000">
      <w:pPr>
        <w:pStyle w:val="Normal21"/>
        <w:widowControl w:val="0"/>
        <w:spacing w:before="200" w:line="260" w:lineRule="atLeast"/>
        <w:jc w:val="both"/>
      </w:pPr>
      <w:bookmarkStart w:id="3422" w:name="Bookmark_para_40_8"/>
      <w:bookmarkStart w:id="3423" w:name="Bookmark_I2P6MVJJ56100008YSJ0000C"/>
      <w:bookmarkStart w:id="3424" w:name="Bookmark_I6180YKR2D6MW50020000400"/>
      <w:bookmarkEnd w:id="3422"/>
      <w:bookmarkEnd w:id="3423"/>
      <w:bookmarkEnd w:id="3424"/>
      <w:r>
        <w:rPr>
          <w:rFonts w:ascii="Arial" w:eastAsia="Arial" w:hAnsi="Arial" w:cs="Arial"/>
          <w:color w:val="000000"/>
          <w:sz w:val="20"/>
        </w:rPr>
        <w:t xml:space="preserve">We also find to be without merit Rossley's argument that the decision regarding Doe's alcohol-impaired decision-making capacity was contrary to the substantial weight of the evidence. True enough, as was also the case in </w:t>
      </w:r>
      <w:bookmarkStart w:id="3425" w:name="Bookmark_I6180YKR2D6MW50010000400"/>
      <w:bookmarkEnd w:id="3425"/>
      <w:r>
        <w:rPr>
          <w:rFonts w:ascii="Arial" w:eastAsia="Arial" w:hAnsi="Arial" w:cs="Arial"/>
          <w:color w:val="000000"/>
          <w:sz w:val="20"/>
          <w:u w:val="single"/>
        </w:rPr>
        <w:t>Doe v. University of Arkansas-Fayetteville</w:t>
      </w:r>
      <w:r>
        <w:rPr>
          <w:rFonts w:ascii="Arial" w:eastAsia="Arial" w:hAnsi="Arial" w:cs="Arial"/>
          <w:color w:val="000000"/>
          <w:sz w:val="20"/>
        </w:rPr>
        <w:t>, 974 F.3d at 864-65, Doe was able to converse, to send text messages (including a post-encounter thank-you reply), and to return safely to her apartment, but there was also substantial, if indeed not overwhelming evidence of her intoxication that greatly exceeded that which existed in the Arkansas case.</w:t>
      </w:r>
    </w:p>
    <w:p w14:paraId="17B18E0F" w14:textId="77777777" w:rsidR="002B10A6" w:rsidRDefault="00000000">
      <w:pPr>
        <w:pStyle w:val="Normal21"/>
        <w:widowControl w:val="0"/>
        <w:spacing w:before="200" w:line="260" w:lineRule="atLeast"/>
        <w:jc w:val="both"/>
      </w:pPr>
      <w:bookmarkStart w:id="3426" w:name="Bookmark_para_41_8"/>
      <w:bookmarkStart w:id="3427" w:name="Bookmark_I2P6MVJJ7PY00008YSJ0000D"/>
      <w:bookmarkStart w:id="3428" w:name="Bookmark_I2P6MVJJ9WR00008YSJ0000F"/>
      <w:bookmarkStart w:id="3429" w:name="Bookmark_I2P6MVJJCX100008YSJ0000G"/>
      <w:bookmarkStart w:id="3430" w:name="Bookmark_I6180YKR2D6MW50040000400"/>
      <w:bookmarkEnd w:id="3426"/>
      <w:bookmarkEnd w:id="3427"/>
      <w:bookmarkEnd w:id="3428"/>
      <w:bookmarkEnd w:id="3429"/>
      <w:bookmarkEnd w:id="3430"/>
      <w:r>
        <w:rPr>
          <w:rFonts w:ascii="Arial" w:eastAsia="Arial" w:hAnsi="Arial" w:cs="Arial"/>
          <w:color w:val="000000"/>
          <w:sz w:val="20"/>
        </w:rPr>
        <w:t xml:space="preserve">Rossley argues that a university official's actions during a disciplinary process can raise a plausible inference of gender bias. </w:t>
      </w:r>
      <w:r>
        <w:rPr>
          <w:rFonts w:ascii="Arial" w:eastAsia="Arial" w:hAnsi="Arial" w:cs="Arial"/>
          <w:color w:val="000000"/>
          <w:sz w:val="20"/>
          <w:u w:val="single"/>
        </w:rPr>
        <w:t xml:space="preserve">See, e.g., </w:t>
      </w:r>
      <w:bookmarkStart w:id="3431" w:name="Bookmark_I6180YKR2D6MW50030000400"/>
      <w:bookmarkEnd w:id="3431"/>
      <w:r>
        <w:rPr>
          <w:rFonts w:ascii="Arial" w:eastAsia="Arial" w:hAnsi="Arial" w:cs="Arial"/>
          <w:color w:val="000000"/>
          <w:sz w:val="20"/>
          <w:u w:val="single"/>
        </w:rPr>
        <w:t>Doe v. Purdue Univ.</w:t>
      </w:r>
      <w:r>
        <w:rPr>
          <w:rFonts w:ascii="Arial" w:eastAsia="Arial" w:hAnsi="Arial" w:cs="Arial"/>
          <w:color w:val="000000"/>
          <w:sz w:val="20"/>
        </w:rPr>
        <w:t xml:space="preserve">, 928 F.3d at 669 (crediting female accuser "on her accusation alone" and taking "no other evidence into account" raised a plausible inference of gender bias); </w:t>
      </w:r>
      <w:bookmarkStart w:id="3432" w:name="Bookmark_I6180YKR2D6MW50050000400"/>
      <w:bookmarkEnd w:id="3432"/>
      <w:r>
        <w:rPr>
          <w:rFonts w:ascii="Arial" w:eastAsia="Arial" w:hAnsi="Arial" w:cs="Arial"/>
          <w:color w:val="000000"/>
          <w:sz w:val="20"/>
          <w:u w:val="single"/>
        </w:rPr>
        <w:t>Doe v. Columbia Univ.</w:t>
      </w:r>
      <w:r>
        <w:rPr>
          <w:rFonts w:ascii="Arial" w:eastAsia="Arial" w:hAnsi="Arial" w:cs="Arial"/>
          <w:color w:val="000000"/>
          <w:sz w:val="20"/>
        </w:rPr>
        <w:t xml:space="preserve">, 831 F.3d 46, 57 (2d Cir. 2016) ("When the evidence substantially favors one party's [**24]  version of a disputed matter, but an evaluator forms a conclusion in favor of the other side (without an apparent reason based in the evidence), it is plausible to infer . . . that the evaluator has been influenced by bias."); </w:t>
      </w:r>
      <w:r>
        <w:rPr>
          <w:rFonts w:ascii="Arial" w:eastAsia="Arial" w:hAnsi="Arial" w:cs="Arial"/>
          <w:color w:val="000000"/>
          <w:sz w:val="20"/>
          <w:u w:val="single"/>
        </w:rPr>
        <w:t>Prasad v. Cornell Univ.</w:t>
      </w:r>
      <w:r>
        <w:rPr>
          <w:rFonts w:ascii="Arial" w:eastAsia="Arial" w:hAnsi="Arial" w:cs="Arial"/>
          <w:color w:val="000000"/>
          <w:sz w:val="20"/>
        </w:rPr>
        <w:t xml:space="preserve">, No. 5:15-cv-322, 2016 U.S. Dist. LEXIS 161297, 2016 WL  [*1194]  3212079, at *17 (N.D.N.Y. Feb. 24, 2016) (holding that allegations of a slanted investigative report, a drastic change in position by one investigator, and a possibility that male respondents are invariably found guilty at the university "plausibly establishes a causal connection between gender bias and the outcome of [plaintiff's] disciplinary proceeding"); </w:t>
      </w:r>
      <w:bookmarkStart w:id="3433" w:name="Bookmark_I6180YKR2SF8BN0020000400"/>
      <w:bookmarkEnd w:id="3433"/>
      <w:r>
        <w:rPr>
          <w:rFonts w:ascii="Arial" w:eastAsia="Arial" w:hAnsi="Arial" w:cs="Arial"/>
          <w:color w:val="000000"/>
          <w:sz w:val="20"/>
          <w:u w:val="single"/>
        </w:rPr>
        <w:t>Doe v. Washington &amp; Lee Univ.</w:t>
      </w:r>
      <w:r>
        <w:rPr>
          <w:rFonts w:ascii="Arial" w:eastAsia="Arial" w:hAnsi="Arial" w:cs="Arial"/>
          <w:color w:val="000000"/>
          <w:sz w:val="20"/>
        </w:rPr>
        <w:t>, No. 6:14-CV-00052, 2015 U.S. Dist. LEXIS 102426, 2015 WL 4647996, at *10 (W.D. Va. Aug. 5, 2015) (holding that investigators' omissions in witness summaries and failure to consider evidence of plaintiff and accuser's post-incident consensual sexual encounter "plausibly established a causal link between [plaintiff's] expulsion and gender bias"). Whatever force similar arguments might have in a given case, we conclude that Rossley has failed to make a sufficient showing that the procedural or substantive deficiencies that he alleges occurred in his case were the equivalent of those in these cases.</w:t>
      </w:r>
    </w:p>
    <w:p w14:paraId="11A38B2D" w14:textId="77777777" w:rsidR="002B10A6" w:rsidRDefault="00000000">
      <w:pPr>
        <w:pStyle w:val="Normal21"/>
        <w:widowControl w:val="0"/>
        <w:spacing w:before="200" w:line="260" w:lineRule="atLeast"/>
        <w:jc w:val="both"/>
      </w:pPr>
      <w:bookmarkStart w:id="3434" w:name="Bookmark_para_42_8"/>
      <w:bookmarkStart w:id="3435" w:name="Bookmark_I6180YKR2SF8BN0050000400"/>
      <w:bookmarkStart w:id="3436" w:name="Bookmark_I6180YKS28T4R30020000400"/>
      <w:bookmarkEnd w:id="3434"/>
      <w:bookmarkEnd w:id="3435"/>
      <w:bookmarkEnd w:id="3436"/>
      <w:r>
        <w:rPr>
          <w:rFonts w:ascii="Arial" w:eastAsia="Arial" w:hAnsi="Arial" w:cs="Arial"/>
          <w:color w:val="000000"/>
          <w:sz w:val="20"/>
        </w:rPr>
        <w:t xml:space="preserve">As was also the situation in </w:t>
      </w:r>
      <w:r>
        <w:rPr>
          <w:rFonts w:ascii="Arial" w:eastAsia="Arial" w:hAnsi="Arial" w:cs="Arial"/>
          <w:color w:val="000000"/>
          <w:sz w:val="20"/>
          <w:u w:val="single"/>
        </w:rPr>
        <w:t>Doe v. University of Arkansas-Fayetteville [**25] </w:t>
      </w:r>
      <w:r>
        <w:rPr>
          <w:rFonts w:ascii="Arial" w:eastAsia="Arial" w:hAnsi="Arial" w:cs="Arial"/>
          <w:color w:val="000000"/>
          <w:sz w:val="20"/>
        </w:rPr>
        <w:t xml:space="preserve">, the cases Rossley cites were being considered at the pleadings stage of the proceedings. </w:t>
      </w:r>
      <w:bookmarkStart w:id="3437" w:name="Bookmark_I6180YKS28T4R30040000400"/>
      <w:bookmarkEnd w:id="3437"/>
      <w:r>
        <w:rPr>
          <w:rFonts w:ascii="Arial" w:eastAsia="Arial" w:hAnsi="Arial" w:cs="Arial"/>
          <w:color w:val="000000"/>
          <w:sz w:val="20"/>
        </w:rPr>
        <w:t xml:space="preserve">They also concerned allegations more probative of gender bias than any of the evidence Rossley points to here. In </w:t>
      </w:r>
      <w:r>
        <w:rPr>
          <w:rFonts w:ascii="Arial" w:eastAsia="Arial" w:hAnsi="Arial" w:cs="Arial"/>
          <w:color w:val="000000"/>
          <w:sz w:val="20"/>
          <w:u w:val="single"/>
        </w:rPr>
        <w:t>Doe v. Columbia University</w:t>
      </w:r>
      <w:r>
        <w:rPr>
          <w:rFonts w:ascii="Arial" w:eastAsia="Arial" w:hAnsi="Arial" w:cs="Arial"/>
          <w:color w:val="000000"/>
          <w:sz w:val="20"/>
        </w:rPr>
        <w:t xml:space="preserve">, the court noted that "substantial criticism" attacking the manner in which the university treated female accusers could motivate officials "to refute those criticisms by siding with the accusing female and against the accused male." </w:t>
      </w:r>
      <w:bookmarkStart w:id="3438" w:name="Bookmark_I6180YKR2SF8BN0040000400"/>
      <w:bookmarkEnd w:id="3438"/>
      <w:r>
        <w:rPr>
          <w:rFonts w:ascii="Arial" w:eastAsia="Arial" w:hAnsi="Arial" w:cs="Arial"/>
          <w:color w:val="000000"/>
          <w:sz w:val="20"/>
        </w:rPr>
        <w:t xml:space="preserve">831 F.3d at 57-58. </w:t>
      </w:r>
      <w:bookmarkStart w:id="3439" w:name="Bookmark_I6180YKS2D6MW70010000400"/>
      <w:bookmarkEnd w:id="3439"/>
      <w:r>
        <w:rPr>
          <w:rFonts w:ascii="Arial" w:eastAsia="Arial" w:hAnsi="Arial" w:cs="Arial"/>
          <w:color w:val="000000"/>
          <w:sz w:val="20"/>
        </w:rPr>
        <w:t xml:space="preserve">In </w:t>
      </w:r>
      <w:r>
        <w:rPr>
          <w:rFonts w:ascii="Arial" w:eastAsia="Arial" w:hAnsi="Arial" w:cs="Arial"/>
          <w:color w:val="000000"/>
          <w:sz w:val="20"/>
          <w:u w:val="single"/>
        </w:rPr>
        <w:t>Doe v. Purdue University</w:t>
      </w:r>
      <w:r>
        <w:rPr>
          <w:rFonts w:ascii="Arial" w:eastAsia="Arial" w:hAnsi="Arial" w:cs="Arial"/>
          <w:color w:val="000000"/>
          <w:sz w:val="20"/>
        </w:rPr>
        <w:t xml:space="preserve">, the dean of students and Title IX Coordinator reached a decision without ever having spoken with the complainant, and the university center dedicated to supporting victims of sexual violence had posted an article insinuating that men were "the cause of campus sexual assault." </w:t>
      </w:r>
      <w:bookmarkStart w:id="3440" w:name="Bookmark_I6180YKS28T4R30010000400"/>
      <w:bookmarkEnd w:id="3440"/>
      <w:r>
        <w:rPr>
          <w:rFonts w:ascii="Arial" w:eastAsia="Arial" w:hAnsi="Arial" w:cs="Arial"/>
          <w:color w:val="000000"/>
          <w:sz w:val="20"/>
        </w:rPr>
        <w:t xml:space="preserve">928 F.3d at 669. </w:t>
      </w:r>
      <w:bookmarkStart w:id="3441" w:name="Bookmark_I6180YKS2D6MW70010000400_2"/>
      <w:bookmarkStart w:id="3442" w:name="Bookmark_I6180YKS28T4R30040000400_2"/>
      <w:bookmarkEnd w:id="3441"/>
      <w:bookmarkEnd w:id="3442"/>
      <w:r>
        <w:rPr>
          <w:rFonts w:ascii="Arial" w:eastAsia="Arial" w:hAnsi="Arial" w:cs="Arial"/>
          <w:color w:val="000000"/>
          <w:sz w:val="20"/>
        </w:rPr>
        <w:t xml:space="preserve">Similarly, in </w:t>
      </w:r>
      <w:r>
        <w:rPr>
          <w:rFonts w:ascii="Arial" w:eastAsia="Arial" w:hAnsi="Arial" w:cs="Arial"/>
          <w:color w:val="000000"/>
          <w:sz w:val="20"/>
          <w:u w:val="single"/>
        </w:rPr>
        <w:t>Doe v. Washington &amp; Lee University</w:t>
      </w:r>
      <w:r>
        <w:rPr>
          <w:rFonts w:ascii="Arial" w:eastAsia="Arial" w:hAnsi="Arial" w:cs="Arial"/>
          <w:color w:val="000000"/>
          <w:sz w:val="20"/>
        </w:rPr>
        <w:t xml:space="preserve">, the court held that "gender bias could be inferred" from the Title IX Coordinator's hosting a presentation that endorsed the idea "[a]lmost [e]very [g]irl" experiences non-consensual sex. </w:t>
      </w:r>
      <w:bookmarkStart w:id="3443" w:name="Bookmark_I6180YKS28T4R30030000400"/>
      <w:bookmarkEnd w:id="3443"/>
      <w:r>
        <w:rPr>
          <w:rFonts w:ascii="Arial" w:eastAsia="Arial" w:hAnsi="Arial" w:cs="Arial"/>
          <w:color w:val="000000"/>
          <w:sz w:val="20"/>
        </w:rPr>
        <w:t xml:space="preserve">2015 U.S. Dist. LEXIS 102426, 2015 WL 4647996, at *10. In </w:t>
      </w:r>
      <w:r>
        <w:rPr>
          <w:rFonts w:ascii="Arial" w:eastAsia="Arial" w:hAnsi="Arial" w:cs="Arial"/>
          <w:color w:val="000000"/>
          <w:sz w:val="20"/>
          <w:u w:val="single"/>
        </w:rPr>
        <w:t>Prasad v. Cornell University</w:t>
      </w:r>
      <w:r>
        <w:rPr>
          <w:rFonts w:ascii="Arial" w:eastAsia="Arial" w:hAnsi="Arial" w:cs="Arial"/>
          <w:color w:val="000000"/>
          <w:sz w:val="20"/>
        </w:rPr>
        <w:t xml:space="preserve">, the district court noted that it had to accept as true plaintiff's allegation of "a gender stereotype adverse to males charged with sexual assaults . . [**26]  . at Cornell causing . . . disciplinary proceedings to 'invariably' end adversely to male respondents." </w:t>
      </w:r>
      <w:bookmarkStart w:id="3444" w:name="Bookmark_I6180YKS28T4R30050000400"/>
      <w:bookmarkEnd w:id="3444"/>
      <w:r>
        <w:rPr>
          <w:rFonts w:ascii="Arial" w:eastAsia="Arial" w:hAnsi="Arial" w:cs="Arial"/>
          <w:color w:val="000000"/>
          <w:sz w:val="20"/>
        </w:rPr>
        <w:t>2016 U.S. Dist. LEXIS 161297, 2016 WL 3212079, at *16. We conclude that Rossley has not established the existence of any comparatively similar facts in his case.</w:t>
      </w:r>
    </w:p>
    <w:p w14:paraId="4A1EF9E4" w14:textId="77777777" w:rsidR="002B10A6" w:rsidRDefault="00000000">
      <w:pPr>
        <w:pStyle w:val="Normal21"/>
        <w:widowControl w:val="0"/>
        <w:spacing w:before="200" w:line="260" w:lineRule="atLeast"/>
        <w:jc w:val="both"/>
      </w:pPr>
      <w:bookmarkStart w:id="3445" w:name="Bookmark_para_43_7"/>
      <w:bookmarkStart w:id="3446" w:name="Bookmark_I6180YKS2D6MW70030000400"/>
      <w:bookmarkEnd w:id="3445"/>
      <w:bookmarkEnd w:id="3446"/>
      <w:r>
        <w:rPr>
          <w:rFonts w:ascii="Arial" w:eastAsia="Arial" w:hAnsi="Arial" w:cs="Arial"/>
          <w:color w:val="000000"/>
          <w:sz w:val="20"/>
        </w:rPr>
        <w:t xml:space="preserve">Rossley contends that in addressing allegations of sexual misconduct, Drake officials employ a "victim-centered approach" rooted in "bad science," in which they "rationalize away" behavior "plainly inconsistent with a sexual assault having occurred." </w:t>
      </w:r>
      <w:bookmarkStart w:id="3447" w:name="Bookmark_I6180YKS2D6MW70020000400"/>
      <w:bookmarkEnd w:id="3447"/>
      <w:r>
        <w:rPr>
          <w:rFonts w:ascii="Arial" w:eastAsia="Arial" w:hAnsi="Arial" w:cs="Arial"/>
          <w:color w:val="000000"/>
          <w:sz w:val="20"/>
          <w:u w:val="single"/>
        </w:rPr>
        <w:t>Rossley</w:t>
      </w:r>
      <w:r>
        <w:rPr>
          <w:rFonts w:ascii="Arial" w:eastAsia="Arial" w:hAnsi="Arial" w:cs="Arial"/>
          <w:color w:val="000000"/>
          <w:sz w:val="20"/>
        </w:rPr>
        <w:t xml:space="preserve">, 342 F. Supp. 3d at 927 (citing Rossley's brief in opposition to summary judgment). Although Drake itself does not use the term "victim-centered," Rossley infers its existence from the literature Drake provides on resources for sexual assault survivors, as well as from the Policy's information on prevention and awareness of assault. </w:t>
      </w:r>
      <w:bookmarkStart w:id="3448" w:name="Bookmark_I6180YKS2D6MW70050000400"/>
      <w:bookmarkEnd w:id="3448"/>
      <w:r>
        <w:rPr>
          <w:rFonts w:ascii="Arial" w:eastAsia="Arial" w:hAnsi="Arial" w:cs="Arial"/>
          <w:color w:val="000000"/>
          <w:sz w:val="20"/>
        </w:rPr>
        <w:t xml:space="preserve">As the district court observed, however, the language in the Policy is gender-neutral and Sirna and McKinney used gender-neutral language in describing why victims may engage in counterintuitive behavior following a sexual assault. </w:t>
      </w:r>
      <w:bookmarkStart w:id="3449" w:name="Bookmark_I6180YKS2D6MW70050000400_2"/>
      <w:bookmarkEnd w:id="3449"/>
      <w:r>
        <w:rPr>
          <w:rFonts w:ascii="Arial" w:eastAsia="Arial" w:hAnsi="Arial" w:cs="Arial"/>
          <w:color w:val="000000"/>
          <w:sz w:val="20"/>
        </w:rPr>
        <w:t xml:space="preserve">Whatever descriptive phraseology one might use to characterize Drake's approach in dealing with sexual misconduct cases, we do not believe that it can fairly be found to be inherently gender-biased. [**27]  </w:t>
      </w:r>
      <w:r>
        <w:rPr>
          <w:rFonts w:ascii="Arial" w:eastAsia="Arial" w:hAnsi="Arial" w:cs="Arial"/>
          <w:color w:val="000000"/>
          <w:sz w:val="20"/>
          <w:u w:val="single"/>
        </w:rPr>
        <w:t xml:space="preserve">See </w:t>
      </w:r>
      <w:bookmarkStart w:id="3450" w:name="Bookmark_I6180YKS2D6MW70040000400"/>
      <w:bookmarkEnd w:id="3450"/>
      <w:r>
        <w:rPr>
          <w:rFonts w:ascii="Arial" w:eastAsia="Arial" w:hAnsi="Arial" w:cs="Arial"/>
          <w:color w:val="000000"/>
          <w:sz w:val="20"/>
          <w:u w:val="single"/>
        </w:rPr>
        <w:t>Sahm v. Miami Univ.</w:t>
      </w:r>
      <w:r>
        <w:rPr>
          <w:rFonts w:ascii="Arial" w:eastAsia="Arial" w:hAnsi="Arial" w:cs="Arial"/>
          <w:color w:val="000000"/>
          <w:sz w:val="20"/>
        </w:rPr>
        <w:t xml:space="preserve">, 110 F. Supp. 3d 774, 778 (S.D. Ohio 2015) ("Demonstrating that a university official is biased in favor of the alleged victims of sexual assault claims, and against the alleged perpetrators, is not the equivalent of  [*1195]  demonstrating bias against male students."); </w:t>
      </w:r>
      <w:bookmarkStart w:id="3451" w:name="Bookmark_I6180YKS28T4R50010000400"/>
      <w:bookmarkEnd w:id="3451"/>
      <w:r>
        <w:rPr>
          <w:rFonts w:ascii="Arial" w:eastAsia="Arial" w:hAnsi="Arial" w:cs="Arial"/>
          <w:color w:val="000000"/>
          <w:sz w:val="20"/>
          <w:u w:val="single"/>
        </w:rPr>
        <w:t>Haley v. Va. Commonwealth Univ.</w:t>
      </w:r>
      <w:r>
        <w:rPr>
          <w:rFonts w:ascii="Arial" w:eastAsia="Arial" w:hAnsi="Arial" w:cs="Arial"/>
          <w:color w:val="000000"/>
          <w:sz w:val="20"/>
        </w:rPr>
        <w:t>, 948 F. Supp. 573, 579 (E.D. Va. 1996) (explaining that certain allegations "at best reflect bias against people accused of sexual harassment and in favor of victims and indicate nothing about gender discrimination").</w:t>
      </w:r>
    </w:p>
    <w:p w14:paraId="216570AE" w14:textId="77777777" w:rsidR="002B10A6" w:rsidRDefault="00000000">
      <w:pPr>
        <w:pStyle w:val="Normal21"/>
        <w:widowControl w:val="0"/>
        <w:spacing w:before="200" w:line="260" w:lineRule="atLeast"/>
        <w:jc w:val="both"/>
      </w:pPr>
      <w:bookmarkStart w:id="3452" w:name="Bookmark_para_44_7"/>
      <w:bookmarkEnd w:id="3452"/>
      <w:r>
        <w:rPr>
          <w:rFonts w:ascii="Arial" w:eastAsia="Arial" w:hAnsi="Arial" w:cs="Arial"/>
          <w:color w:val="000000"/>
          <w:sz w:val="20"/>
        </w:rPr>
        <w:t>Rossley asserts that the "norm" of female complainant and male accused at Drake and nationwide show gender bias. Rossley alleges that all fifty-one persons accused of sexual misconduct at Drake during the 2015-16 academic year were male. Although Drake points out that in several of the cases there is no evidence regarding the accused student's gender, we agree with the district court that even assuming that all of the cases involved males, the data does not demonstrate gender bias.</w:t>
      </w:r>
    </w:p>
    <w:p w14:paraId="4BA07650" w14:textId="77777777" w:rsidR="002B10A6" w:rsidRDefault="00000000">
      <w:pPr>
        <w:pStyle w:val="Normal21"/>
        <w:widowControl w:val="0"/>
        <w:spacing w:before="200" w:line="260" w:lineRule="atLeast"/>
        <w:jc w:val="both"/>
      </w:pPr>
      <w:bookmarkStart w:id="3453" w:name="Bookmark_para_45_7"/>
      <w:bookmarkStart w:id="3454" w:name="Bookmark_I6180YKS28T4R50040000400"/>
      <w:bookmarkEnd w:id="3453"/>
      <w:bookmarkEnd w:id="3454"/>
      <w:r>
        <w:rPr>
          <w:rFonts w:ascii="Arial" w:eastAsia="Arial" w:hAnsi="Arial" w:cs="Arial"/>
          <w:color w:val="000000"/>
          <w:sz w:val="20"/>
        </w:rPr>
        <w:t xml:space="preserve">Again, Rossley bases his argument on cases that were being considered at the pleadings stage of the proceedings. </w:t>
      </w:r>
      <w:bookmarkStart w:id="3455" w:name="Bookmark_I2P6MVJJG3B00008YSJ0000H"/>
      <w:bookmarkStart w:id="3456" w:name="Bookmark_I6180YKS2SF8BT0010000400"/>
      <w:bookmarkEnd w:id="3455"/>
      <w:bookmarkEnd w:id="3456"/>
      <w:r>
        <w:rPr>
          <w:rFonts w:ascii="Arial" w:eastAsia="Arial" w:hAnsi="Arial" w:cs="Arial"/>
          <w:color w:val="000000"/>
          <w:sz w:val="20"/>
        </w:rPr>
        <w:t xml:space="preserve">In </w:t>
      </w:r>
      <w:r>
        <w:rPr>
          <w:rFonts w:ascii="Arial" w:eastAsia="Arial" w:hAnsi="Arial" w:cs="Arial"/>
          <w:color w:val="000000"/>
          <w:sz w:val="20"/>
          <w:u w:val="single"/>
        </w:rPr>
        <w:t>Doe v. Miami University</w:t>
      </w:r>
      <w:r>
        <w:rPr>
          <w:rFonts w:ascii="Arial" w:eastAsia="Arial" w:hAnsi="Arial" w:cs="Arial"/>
          <w:color w:val="000000"/>
          <w:sz w:val="20"/>
        </w:rPr>
        <w:t xml:space="preserve">, the Sixth Circuit held that it was plausible to infer gender bias from the evidence that every male student accused of sexual misconduct had been found responsible for the [**28]  alleged sexual misconduct, from the fact that ninety percent of the students found responsible for such conduct between 2011 and 2014 had male names, and from an attorney's affidavit that the university pursued investigations involving only male students. </w:t>
      </w:r>
      <w:bookmarkStart w:id="3457" w:name="Bookmark_I6180YKS28T4R50030000400"/>
      <w:bookmarkEnd w:id="3457"/>
      <w:r>
        <w:rPr>
          <w:rFonts w:ascii="Arial" w:eastAsia="Arial" w:hAnsi="Arial" w:cs="Arial"/>
          <w:color w:val="000000"/>
          <w:sz w:val="20"/>
        </w:rPr>
        <w:t xml:space="preserve">882 F.3d at 593-94. The Sixth Circuit also expressed its cautiousness, however, observing that "[d]iscovery may reveal that the alleged patterns of gender-based decision-making do not, in fact, exist. </w:t>
      </w:r>
      <w:bookmarkStart w:id="3458" w:name="Bookmark_I6180YKS2SF8BT0010000400_2"/>
      <w:bookmarkStart w:id="3459" w:name="Bookmark_I2P6MVJJP8400008YSJ0000K"/>
      <w:bookmarkStart w:id="3460" w:name="Bookmark_I6180YKS2SF8BT0030000400"/>
      <w:bookmarkEnd w:id="3458"/>
      <w:bookmarkEnd w:id="3459"/>
      <w:bookmarkEnd w:id="3460"/>
      <w:r>
        <w:rPr>
          <w:rFonts w:ascii="Arial" w:eastAsia="Arial" w:hAnsi="Arial" w:cs="Arial"/>
          <w:color w:val="000000"/>
          <w:sz w:val="20"/>
        </w:rPr>
        <w:t xml:space="preserve">That information, however, is currently controlled by the defendants." </w:t>
      </w:r>
      <w:bookmarkStart w:id="3461" w:name="Bookmark_I6180YKS28T4R50050000400"/>
      <w:bookmarkEnd w:id="3461"/>
      <w:r>
        <w:rPr>
          <w:rFonts w:ascii="Arial" w:eastAsia="Arial" w:hAnsi="Arial" w:cs="Arial"/>
          <w:color w:val="000000"/>
          <w:sz w:val="20"/>
          <w:u w:val="single"/>
        </w:rPr>
        <w:t>Id.</w:t>
      </w:r>
      <w:r>
        <w:rPr>
          <w:rFonts w:ascii="Arial" w:eastAsia="Arial" w:hAnsi="Arial" w:cs="Arial"/>
          <w:color w:val="000000"/>
          <w:sz w:val="20"/>
        </w:rPr>
        <w:t xml:space="preserve"> at 594. </w:t>
      </w:r>
      <w:bookmarkStart w:id="3462" w:name="Bookmark_I6180YKS2SF8BT0030000400_2"/>
      <w:bookmarkEnd w:id="3462"/>
      <w:r>
        <w:rPr>
          <w:rFonts w:ascii="Arial" w:eastAsia="Arial" w:hAnsi="Arial" w:cs="Arial"/>
          <w:color w:val="000000"/>
          <w:sz w:val="20"/>
        </w:rPr>
        <w:t xml:space="preserve">Drake has produced its evidence, however, and the statistical account does not on its own, nor in conjunction with Drake's "victim-centered" approach and the hereinafter discussed "Dear Colleague" letter, demonstrate a pattern of preordained gender-based decision-making. </w:t>
      </w:r>
      <w:bookmarkStart w:id="3463" w:name="Bookmark_I2P6MVJJVGK00008YSJ0000N"/>
      <w:bookmarkStart w:id="3464" w:name="Bookmark_I6180YKS2SF8BT0050000400"/>
      <w:bookmarkEnd w:id="3463"/>
      <w:bookmarkEnd w:id="3464"/>
      <w:r>
        <w:rPr>
          <w:rFonts w:ascii="Arial" w:eastAsia="Arial" w:hAnsi="Arial" w:cs="Arial"/>
          <w:color w:val="000000"/>
          <w:sz w:val="20"/>
        </w:rPr>
        <w:t xml:space="preserve">We concur in the First Circuit's assessment in </w:t>
      </w:r>
      <w:r>
        <w:rPr>
          <w:rFonts w:ascii="Arial" w:eastAsia="Arial" w:hAnsi="Arial" w:cs="Arial"/>
          <w:color w:val="000000"/>
          <w:sz w:val="20"/>
          <w:u w:val="single"/>
        </w:rPr>
        <w:t>Doe v. Trustees of Boston College</w:t>
      </w:r>
      <w:r>
        <w:rPr>
          <w:rFonts w:ascii="Arial" w:eastAsia="Arial" w:hAnsi="Arial" w:cs="Arial"/>
          <w:color w:val="000000"/>
          <w:sz w:val="20"/>
        </w:rPr>
        <w:t xml:space="preserve"> that "[i]t is unreasonable to draw such an inference from this information rather than recognize that other non-biased reasons may support the gender makeup of the sexual misconduct cases at [the university]." </w:t>
      </w:r>
      <w:bookmarkStart w:id="3465" w:name="Bookmark_I6180YKS2SF8BT0020000400"/>
      <w:bookmarkEnd w:id="3465"/>
      <w:r>
        <w:rPr>
          <w:rFonts w:ascii="Arial" w:eastAsia="Arial" w:hAnsi="Arial" w:cs="Arial"/>
          <w:color w:val="000000"/>
          <w:sz w:val="20"/>
        </w:rPr>
        <w:t xml:space="preserve">892 F.3d at 92. </w:t>
      </w:r>
      <w:bookmarkStart w:id="3466" w:name="Bookmark_I6180YKS2SF8BT0050000400_2"/>
      <w:bookmarkEnd w:id="3466"/>
      <w:r>
        <w:rPr>
          <w:rFonts w:ascii="Arial" w:eastAsia="Arial" w:hAnsi="Arial" w:cs="Arial"/>
          <w:color w:val="000000"/>
          <w:sz w:val="20"/>
        </w:rPr>
        <w:t xml:space="preserve">We also concur in that court's observation that the statistical "data fail to address an array of alternative explanations" [**29]  for the disparity between the number of males and females charged with sexual assault. </w:t>
      </w:r>
      <w:bookmarkStart w:id="3467" w:name="Bookmark_I6180YKS2SF8BT0040000400"/>
      <w:bookmarkEnd w:id="3467"/>
      <w:r>
        <w:rPr>
          <w:rFonts w:ascii="Arial" w:eastAsia="Arial" w:hAnsi="Arial" w:cs="Arial"/>
          <w:color w:val="000000"/>
          <w:sz w:val="20"/>
          <w:u w:val="single"/>
        </w:rPr>
        <w:t>Haidak v. Univ. of Mass.-Amherst</w:t>
      </w:r>
      <w:r>
        <w:rPr>
          <w:rFonts w:ascii="Arial" w:eastAsia="Arial" w:hAnsi="Arial" w:cs="Arial"/>
          <w:color w:val="000000"/>
          <w:sz w:val="20"/>
        </w:rPr>
        <w:t xml:space="preserve">, 933 F.3d 56, 75 (1st Cir. 2019); </w:t>
      </w:r>
      <w:r>
        <w:rPr>
          <w:rFonts w:ascii="Arial" w:eastAsia="Arial" w:hAnsi="Arial" w:cs="Arial"/>
          <w:color w:val="000000"/>
          <w:sz w:val="20"/>
          <w:u w:val="single"/>
        </w:rPr>
        <w:t xml:space="preserve">see also </w:t>
      </w:r>
      <w:bookmarkStart w:id="3468" w:name="Bookmark_I6180YKT2HM6K40010000400"/>
      <w:bookmarkEnd w:id="3468"/>
      <w:r>
        <w:rPr>
          <w:rFonts w:ascii="Arial" w:eastAsia="Arial" w:hAnsi="Arial" w:cs="Arial"/>
          <w:color w:val="000000"/>
          <w:sz w:val="20"/>
          <w:u w:val="single"/>
        </w:rPr>
        <w:t>Doe v. Univ. of Denver</w:t>
      </w:r>
      <w:r>
        <w:rPr>
          <w:rFonts w:ascii="Arial" w:eastAsia="Arial" w:hAnsi="Arial" w:cs="Arial"/>
          <w:color w:val="000000"/>
          <w:sz w:val="20"/>
        </w:rPr>
        <w:t>, 952 F.3d at 1193-94.</w:t>
      </w:r>
    </w:p>
    <w:p w14:paraId="65E7B041" w14:textId="77777777" w:rsidR="002B10A6" w:rsidRDefault="00000000">
      <w:pPr>
        <w:pStyle w:val="Normal21"/>
        <w:widowControl w:val="0"/>
        <w:spacing w:before="200" w:line="260" w:lineRule="atLeast"/>
        <w:jc w:val="both"/>
      </w:pPr>
      <w:bookmarkStart w:id="3469" w:name="Bookmark_para_46_6"/>
      <w:bookmarkEnd w:id="3469"/>
      <w:r>
        <w:rPr>
          <w:rFonts w:ascii="Arial" w:eastAsia="Arial" w:hAnsi="Arial" w:cs="Arial"/>
          <w:color w:val="000000"/>
          <w:sz w:val="20"/>
        </w:rPr>
        <w:t xml:space="preserve">We turn, then, to the then-governing "Dear Colleague" Letter, which provided guidance on how universities may comply with Title IX's requirements pertaining to sexual harassment and violence. Department of Education, Dear Colleague Letter (Apr. 4, 2011), https://www2.ed.gov/about/offices/list/ocr/letters/colleague-201104.pdf p. 1. It cited a statistic that one in five women are victims of sexual assault or attempted sexual assault while in college, together with a statistic that 6.1 percent of males were also "victims of completed or attempted sexual assault during college." </w:t>
      </w:r>
      <w:r>
        <w:rPr>
          <w:rFonts w:ascii="Arial" w:eastAsia="Arial" w:hAnsi="Arial" w:cs="Arial"/>
          <w:color w:val="000000"/>
          <w:sz w:val="20"/>
          <w:u w:val="single"/>
        </w:rPr>
        <w:t>Id.</w:t>
      </w:r>
      <w:r>
        <w:rPr>
          <w:rFonts w:ascii="Arial" w:eastAsia="Arial" w:hAnsi="Arial" w:cs="Arial"/>
          <w:color w:val="000000"/>
          <w:sz w:val="20"/>
        </w:rPr>
        <w:t xml:space="preserve"> at 2. </w:t>
      </w:r>
      <w:bookmarkStart w:id="3470" w:name="Bookmark_I6180YKT2HM6K40040000400"/>
      <w:bookmarkEnd w:id="3470"/>
      <w:r>
        <w:rPr>
          <w:rFonts w:ascii="Arial" w:eastAsia="Arial" w:hAnsi="Arial" w:cs="Arial"/>
          <w:color w:val="000000"/>
          <w:sz w:val="20"/>
        </w:rPr>
        <w:t xml:space="preserve">It then discussed the relevant enforcement mechanisms in gender-neutral terms, referring to "students," "harassers," "victims," and characterizing complainants as male or female ("his or her" complaint, name, etc.). </w:t>
      </w:r>
      <w:r>
        <w:rPr>
          <w:rFonts w:ascii="Arial" w:eastAsia="Arial" w:hAnsi="Arial" w:cs="Arial"/>
          <w:color w:val="000000"/>
          <w:sz w:val="20"/>
          <w:u w:val="single"/>
        </w:rPr>
        <w:t>Id.</w:t>
      </w:r>
      <w:r>
        <w:rPr>
          <w:rFonts w:ascii="Arial" w:eastAsia="Arial" w:hAnsi="Arial" w:cs="Arial"/>
          <w:color w:val="000000"/>
          <w:sz w:val="20"/>
        </w:rPr>
        <w:t xml:space="preserve"> at 4. The letter explicitly stated that Title IX "prohibits gender-based harassment, which may include . . . hostility based on sex or sex-stereotyping." </w:t>
      </w:r>
      <w:r>
        <w:rPr>
          <w:rFonts w:ascii="Arial" w:eastAsia="Arial" w:hAnsi="Arial" w:cs="Arial"/>
          <w:color w:val="000000"/>
          <w:sz w:val="20"/>
          <w:u w:val="single"/>
        </w:rPr>
        <w:t>Id.</w:t>
      </w:r>
      <w:r>
        <w:rPr>
          <w:rFonts w:ascii="Arial" w:eastAsia="Arial" w:hAnsi="Arial" w:cs="Arial"/>
          <w:color w:val="000000"/>
          <w:sz w:val="20"/>
        </w:rPr>
        <w:t xml:space="preserve"> at 3 n.9.</w:t>
      </w:r>
      <w:r>
        <w:rPr>
          <w:rFonts w:ascii="Arial" w:eastAsia="Arial" w:hAnsi="Arial" w:cs="Arial"/>
          <w:vertAlign w:val="superscript"/>
        </w:rPr>
        <w:footnoteReference w:customMarkFollows="1" w:id="150"/>
        <w:t>4</w:t>
      </w:r>
    </w:p>
    <w:p w14:paraId="04619B9D" w14:textId="77777777" w:rsidR="002B10A6" w:rsidRDefault="00000000">
      <w:pPr>
        <w:pStyle w:val="Normal21"/>
        <w:widowControl w:val="0"/>
        <w:spacing w:before="200" w:line="260" w:lineRule="atLeast"/>
        <w:jc w:val="both"/>
      </w:pPr>
      <w:bookmarkStart w:id="3473" w:name="Bookmark_para_47_6"/>
      <w:bookmarkEnd w:id="3473"/>
      <w:r>
        <w:rPr>
          <w:rFonts w:ascii="Arial" w:eastAsia="Arial" w:hAnsi="Arial" w:cs="Arial"/>
          <w:color w:val="000000"/>
          <w:sz w:val="20"/>
        </w:rPr>
        <w:t xml:space="preserve"> [*1196]  </w:t>
      </w:r>
      <w:bookmarkStart w:id="3474" w:name="Bookmark_I6180YKT2N1PXK0010000400"/>
      <w:bookmarkEnd w:id="3474"/>
      <w:r>
        <w:rPr>
          <w:rFonts w:ascii="Arial" w:eastAsia="Arial" w:hAnsi="Arial" w:cs="Arial"/>
          <w:color w:val="000000"/>
          <w:sz w:val="20"/>
        </w:rPr>
        <w:t xml:space="preserve">The letter, aptly characterized as the "now-famous 'Dear Colleague' letter . . . 'ushered in a more rigorous approach to campus sexual misconduct allegations' [**30]  by defining '"sexual harassment" more broadly than in comparable contexts' and requiring that 'schools prioritize the investigation and resolution of harassment claims' and adopt a lower burden of proof when adjudicating claims of sexual misconduct." </w:t>
      </w:r>
      <w:bookmarkStart w:id="3475" w:name="Bookmark_I6180YKT2HM6K40050000400"/>
      <w:bookmarkEnd w:id="3475"/>
      <w:r>
        <w:rPr>
          <w:rFonts w:ascii="Arial" w:eastAsia="Arial" w:hAnsi="Arial" w:cs="Arial"/>
          <w:color w:val="000000"/>
          <w:sz w:val="20"/>
          <w:u w:val="single"/>
        </w:rPr>
        <w:t>Menaker</w:t>
      </w:r>
      <w:r>
        <w:rPr>
          <w:rFonts w:ascii="Arial" w:eastAsia="Arial" w:hAnsi="Arial" w:cs="Arial"/>
          <w:color w:val="000000"/>
          <w:sz w:val="20"/>
        </w:rPr>
        <w:t xml:space="preserve">, 935 F.3d at 26 (quoting </w:t>
      </w:r>
      <w:bookmarkStart w:id="3476" w:name="Bookmark_I6180YKT2N1PXK0020000400"/>
      <w:bookmarkEnd w:id="3476"/>
      <w:r>
        <w:rPr>
          <w:rFonts w:ascii="Arial" w:eastAsia="Arial" w:hAnsi="Arial" w:cs="Arial"/>
          <w:color w:val="000000"/>
          <w:sz w:val="20"/>
          <w:u w:val="single"/>
        </w:rPr>
        <w:t>Doe v. Purdue Univ.</w:t>
      </w:r>
      <w:r>
        <w:rPr>
          <w:rFonts w:ascii="Arial" w:eastAsia="Arial" w:hAnsi="Arial" w:cs="Arial"/>
          <w:color w:val="000000"/>
          <w:sz w:val="20"/>
        </w:rPr>
        <w:t xml:space="preserve">, 928 F.3d at 668); </w:t>
      </w:r>
      <w:r>
        <w:rPr>
          <w:rFonts w:ascii="Arial" w:eastAsia="Arial" w:hAnsi="Arial" w:cs="Arial"/>
          <w:color w:val="000000"/>
          <w:sz w:val="20"/>
          <w:u w:val="single"/>
        </w:rPr>
        <w:t xml:space="preserve">see also, e.g., </w:t>
      </w:r>
      <w:bookmarkStart w:id="3477" w:name="Bookmark_I6180YKT2N1PXK0040000400"/>
      <w:bookmarkEnd w:id="3477"/>
      <w:r>
        <w:rPr>
          <w:rFonts w:ascii="Arial" w:eastAsia="Arial" w:hAnsi="Arial" w:cs="Arial"/>
          <w:color w:val="000000"/>
          <w:sz w:val="20"/>
          <w:u w:val="single"/>
        </w:rPr>
        <w:t>Doe v. Univ. of the Scis.</w:t>
      </w:r>
      <w:r>
        <w:rPr>
          <w:rFonts w:ascii="Arial" w:eastAsia="Arial" w:hAnsi="Arial" w:cs="Arial"/>
          <w:color w:val="000000"/>
          <w:sz w:val="20"/>
        </w:rPr>
        <w:t xml:space="preserve">, 961 F.3d at 213-14 (discussing potentially ruinous loss of federal funds that might result from noncompliance with the letter's requirements); </w:t>
      </w:r>
      <w:bookmarkStart w:id="3478" w:name="Bookmark_I6180YKT28T4R80010000400"/>
      <w:bookmarkEnd w:id="3478"/>
      <w:r>
        <w:rPr>
          <w:rFonts w:ascii="Arial" w:eastAsia="Arial" w:hAnsi="Arial" w:cs="Arial"/>
          <w:color w:val="000000"/>
          <w:sz w:val="20"/>
          <w:u w:val="single"/>
        </w:rPr>
        <w:t>Doe v. Univ. of Denver</w:t>
      </w:r>
      <w:r>
        <w:rPr>
          <w:rFonts w:ascii="Arial" w:eastAsia="Arial" w:hAnsi="Arial" w:cs="Arial"/>
          <w:color w:val="000000"/>
          <w:sz w:val="20"/>
        </w:rPr>
        <w:t>, 952 F.3d at 1192 ("[A]s other plaintiffs have in recent years, Plaintiff sets the stage for his Title IX claim by shining a spotlight on the 2011 Dear Colleague Letter . . . .").</w:t>
      </w:r>
    </w:p>
    <w:p w14:paraId="2F9B7C06" w14:textId="77777777" w:rsidR="002B10A6" w:rsidRDefault="00000000">
      <w:pPr>
        <w:pStyle w:val="Normal21"/>
        <w:widowControl w:val="0"/>
        <w:spacing w:before="200" w:line="260" w:lineRule="atLeast"/>
        <w:jc w:val="both"/>
      </w:pPr>
      <w:bookmarkStart w:id="3479" w:name="Bookmark_para_48_6"/>
      <w:bookmarkEnd w:id="3479"/>
      <w:r>
        <w:rPr>
          <w:rFonts w:ascii="Arial" w:eastAsia="Arial" w:hAnsi="Arial" w:cs="Arial"/>
          <w:color w:val="000000"/>
          <w:sz w:val="20"/>
        </w:rPr>
        <w:t xml:space="preserve">Rossley argues that a reasonable juror could conclude that the letter coerced Drake into pursuing punitive, one-sided investigations of male respondents in sexual misconduct disciplinary cases. He argues that the letter's false statement that one in five women on campus are victims of sexual assault led to the establishment of tribunals and procedures specifically geared to the prosecution of cases of sexual assaults against women. Whatever the validity of Rossley's allegation that the letter's statistics are inaccurate, his argument ignores the letter's data that both men and women have been victims of campus sexual assault, [**31]  as well as the letter's use of gender-neutral language. </w:t>
      </w:r>
      <w:bookmarkStart w:id="3480" w:name="Bookmark_I2P6MVJK18B00008YSJ0000R"/>
      <w:bookmarkStart w:id="3481" w:name="Bookmark_I2P6MVJK3JW00008YSJ0000S"/>
      <w:bookmarkStart w:id="3482" w:name="Bookmark_I2P6MVJKTXP00008YSJ00013"/>
      <w:bookmarkStart w:id="3483" w:name="Bookmark_I6180YKT28T4R80040000400"/>
      <w:bookmarkEnd w:id="3480"/>
      <w:bookmarkEnd w:id="3481"/>
      <w:bookmarkEnd w:id="3482"/>
      <w:bookmarkEnd w:id="3483"/>
      <w:r>
        <w:rPr>
          <w:rFonts w:ascii="Arial" w:eastAsia="Arial" w:hAnsi="Arial" w:cs="Arial"/>
          <w:color w:val="000000"/>
          <w:sz w:val="20"/>
        </w:rPr>
        <w:t xml:space="preserve">We thus do not accept Rossley's argument that, influenced by the "Dear Colleague" letter's </w:t>
      </w:r>
      <w:r>
        <w:rPr>
          <w:rFonts w:ascii="Arial" w:eastAsia="Arial" w:hAnsi="Arial" w:cs="Arial"/>
          <w:i/>
          <w:color w:val="000000"/>
          <w:sz w:val="20"/>
        </w:rPr>
        <w:t>in terrorem</w:t>
      </w:r>
      <w:r>
        <w:rPr>
          <w:rFonts w:ascii="Arial" w:eastAsia="Arial" w:hAnsi="Arial" w:cs="Arial"/>
          <w:color w:val="000000"/>
          <w:sz w:val="20"/>
        </w:rPr>
        <w:t xml:space="preserve"> effect, Drake "did not attend to what is required for fairness to male respondents." Appellant's Brief 53. We instead affirm the district court's grant of summary judgment on Rossley's Title IX claim. In so holding, we note that the pressure that was being put on Drake to investigate and adjudicate IX complaints by females against males does not appear to have approached that described in </w:t>
      </w:r>
      <w:bookmarkStart w:id="3484" w:name="Bookmark_I6180YKT28T4R80030000400"/>
      <w:bookmarkEnd w:id="3484"/>
      <w:r>
        <w:rPr>
          <w:rFonts w:ascii="Arial" w:eastAsia="Arial" w:hAnsi="Arial" w:cs="Arial"/>
          <w:color w:val="000000"/>
          <w:sz w:val="20"/>
          <w:u w:val="single"/>
        </w:rPr>
        <w:t>Doe v. University of Arkansas-Fayetteville</w:t>
      </w:r>
      <w:r>
        <w:rPr>
          <w:rFonts w:ascii="Arial" w:eastAsia="Arial" w:hAnsi="Arial" w:cs="Arial"/>
          <w:color w:val="000000"/>
          <w:sz w:val="20"/>
        </w:rPr>
        <w:t xml:space="preserve">, 974 F.3d at 865, nor was it combined with the clearly irregular investigative and adjudicative processes that were found to support a </w:t>
      </w:r>
      <w:r>
        <w:rPr>
          <w:rFonts w:ascii="Arial" w:eastAsia="Arial" w:hAnsi="Arial" w:cs="Arial"/>
          <w:i/>
          <w:color w:val="000000"/>
          <w:sz w:val="20"/>
        </w:rPr>
        <w:t>prima facie</w:t>
      </w:r>
      <w:r>
        <w:rPr>
          <w:rFonts w:ascii="Arial" w:eastAsia="Arial" w:hAnsi="Arial" w:cs="Arial"/>
          <w:color w:val="000000"/>
          <w:sz w:val="20"/>
        </w:rPr>
        <w:t xml:space="preserve"> claim of sex discrimination in </w:t>
      </w:r>
      <w:bookmarkStart w:id="3485" w:name="Bookmark_I6180YKT28T4R80050000400"/>
      <w:bookmarkEnd w:id="3485"/>
      <w:r>
        <w:rPr>
          <w:rFonts w:ascii="Arial" w:eastAsia="Arial" w:hAnsi="Arial" w:cs="Arial"/>
          <w:color w:val="000000"/>
          <w:sz w:val="20"/>
          <w:u w:val="single"/>
        </w:rPr>
        <w:t>Doe v. Columbia University</w:t>
      </w:r>
      <w:r>
        <w:rPr>
          <w:rFonts w:ascii="Arial" w:eastAsia="Arial" w:hAnsi="Arial" w:cs="Arial"/>
          <w:color w:val="000000"/>
          <w:sz w:val="20"/>
        </w:rPr>
        <w:t xml:space="preserve">, 831 F.3d at 56-57, and in </w:t>
      </w:r>
      <w:bookmarkStart w:id="3486" w:name="Bookmark_I6180YKT2SF8BX0020000400"/>
      <w:bookmarkEnd w:id="3486"/>
      <w:r>
        <w:rPr>
          <w:rFonts w:ascii="Arial" w:eastAsia="Arial" w:hAnsi="Arial" w:cs="Arial"/>
          <w:color w:val="000000"/>
          <w:sz w:val="20"/>
          <w:u w:val="single"/>
        </w:rPr>
        <w:t>Menaker</w:t>
      </w:r>
      <w:r>
        <w:rPr>
          <w:rFonts w:ascii="Arial" w:eastAsia="Arial" w:hAnsi="Arial" w:cs="Arial"/>
          <w:color w:val="000000"/>
          <w:sz w:val="20"/>
        </w:rPr>
        <w:t>, 935 F.3d at 34-37.</w:t>
      </w:r>
    </w:p>
    <w:p w14:paraId="7AF1CF89" w14:textId="77777777" w:rsidR="002B10A6" w:rsidRDefault="00000000">
      <w:pPr>
        <w:pStyle w:val="Normal21"/>
        <w:widowControl w:val="0"/>
        <w:spacing w:before="200" w:line="260" w:lineRule="atLeast"/>
        <w:jc w:val="both"/>
      </w:pPr>
      <w:bookmarkStart w:id="3487" w:name="Bookmark_para_49_5"/>
      <w:bookmarkStart w:id="3488" w:name="Bookmark_I6180YKT2SF8BX0050000400"/>
      <w:bookmarkEnd w:id="3487"/>
      <w:bookmarkEnd w:id="3488"/>
      <w:r>
        <w:rPr>
          <w:rFonts w:ascii="Arial" w:eastAsia="Arial" w:hAnsi="Arial" w:cs="Arial"/>
          <w:color w:val="000000"/>
          <w:sz w:val="20"/>
        </w:rPr>
        <w:t xml:space="preserve">Rossley argues that the district court erred in granting summary judgment on his claim that Drake failed to accommodate his ADHD, dyslexia, and word-retrieval issues during the investigation, disciplinary hearing, and appeals hearing. </w:t>
      </w:r>
      <w:bookmarkStart w:id="3489" w:name="Bookmark_I2P6MVJK5SD00008YSJ0000T"/>
      <w:bookmarkStart w:id="3490" w:name="Bookmark_I2P6MVJKDR300008YSJ0000X"/>
      <w:bookmarkStart w:id="3491" w:name="Bookmark_I6180YKT2SF8BY0020000400"/>
      <w:bookmarkStart w:id="3492" w:name="Bookmark_LNHNREFclscc6_15"/>
      <w:bookmarkEnd w:id="3489"/>
      <w:bookmarkEnd w:id="3490"/>
      <w:bookmarkEnd w:id="3491"/>
      <w:bookmarkEnd w:id="3492"/>
      <w:r>
        <w:rPr>
          <w:rFonts w:ascii="Arial" w:eastAsia="Arial" w:hAnsi="Arial" w:cs="Arial"/>
          <w:color w:val="000000"/>
          <w:sz w:val="20"/>
        </w:rPr>
        <w:t xml:space="preserve">Title III of the ADA "prohibit[s] public accommodations from discriminating against individuals because of their disabilities." </w:t>
      </w:r>
      <w:bookmarkStart w:id="3493" w:name="Bookmark_I6180YKT2SF8BX0040000400"/>
      <w:bookmarkEnd w:id="3493"/>
      <w:r>
        <w:rPr>
          <w:rFonts w:ascii="Arial" w:eastAsia="Arial" w:hAnsi="Arial" w:cs="Arial"/>
          <w:color w:val="000000"/>
          <w:sz w:val="20"/>
          <w:u w:val="single"/>
        </w:rPr>
        <w:t>PGA Tour, Inc. v. Martin</w:t>
      </w:r>
      <w:r>
        <w:rPr>
          <w:rFonts w:ascii="Arial" w:eastAsia="Arial" w:hAnsi="Arial" w:cs="Arial"/>
          <w:color w:val="000000"/>
          <w:sz w:val="20"/>
        </w:rPr>
        <w:t xml:space="preserve">, 532 U.S. 661, 681-82, 121 S. Ct. 1879, 149 L. Ed. 2d 904 (2001); </w:t>
      </w:r>
      <w:r>
        <w:rPr>
          <w:rFonts w:ascii="Arial" w:eastAsia="Arial" w:hAnsi="Arial" w:cs="Arial"/>
          <w:color w:val="000000"/>
          <w:sz w:val="20"/>
          <w:u w:val="single"/>
        </w:rPr>
        <w:t>see also</w:t>
      </w:r>
      <w:r>
        <w:rPr>
          <w:rFonts w:ascii="Arial" w:eastAsia="Arial" w:hAnsi="Arial" w:cs="Arial"/>
          <w:color w:val="000000"/>
          <w:sz w:val="20"/>
        </w:rPr>
        <w:t xml:space="preserve"> 42 U.S.C. § 12182(a).</w:t>
      </w:r>
    </w:p>
    <w:p w14:paraId="29B3C769" w14:textId="77777777" w:rsidR="002B10A6" w:rsidRDefault="00000000">
      <w:pPr>
        <w:pStyle w:val="Normal21"/>
        <w:widowControl w:val="0"/>
        <w:spacing w:before="200" w:line="260" w:lineRule="atLeast"/>
        <w:ind w:left="400"/>
        <w:jc w:val="both"/>
      </w:pPr>
      <w:bookmarkStart w:id="3494" w:name="Bookmark_para_50_4"/>
      <w:bookmarkStart w:id="3495" w:name="Bookmark_I6180YKT2SF8BY0020000400_2"/>
      <w:bookmarkStart w:id="3496" w:name="Bookmark_I6180YKT2SF8BX0050000400_2"/>
      <w:bookmarkEnd w:id="3494"/>
      <w:bookmarkEnd w:id="3495"/>
      <w:bookmarkEnd w:id="3496"/>
      <w:r>
        <w:rPr>
          <w:rFonts w:ascii="Arial" w:eastAsia="Arial" w:hAnsi="Arial" w:cs="Arial"/>
          <w:color w:val="000000"/>
          <w:sz w:val="20"/>
        </w:rPr>
        <w:t>[I]n the higher education context, a person alleging a failure to accommodate under Title III . . . must [**32]  show (1) that the plaintiff is disabled and otherwise qualified academically, (2) that the defendant is a private entity that owns, leases or operates a place of public accommodation . . . , and (3) "that the defendant failed to make reasonable modifications that would accommodate the plaintiff's disability without fundamentally altering the nature of the public accommodation."</w:t>
      </w:r>
    </w:p>
    <w:p w14:paraId="70F5DEBC" w14:textId="77777777" w:rsidR="002B10A6" w:rsidRDefault="00000000">
      <w:pPr>
        <w:pStyle w:val="Normal21"/>
        <w:widowControl w:val="0"/>
        <w:spacing w:before="200" w:line="260" w:lineRule="atLeast"/>
        <w:jc w:val="both"/>
      </w:pPr>
      <w:bookmarkStart w:id="3497" w:name="Bookmark_I6180YKT2SF8BY0020000400_3"/>
      <w:bookmarkStart w:id="3498" w:name="Bookmark_I6180YKV2N1PXT0010000400"/>
      <w:bookmarkStart w:id="3499" w:name="Bookmark_I6180YKT2SF8BY0010000400"/>
      <w:bookmarkEnd w:id="3497"/>
      <w:bookmarkEnd w:id="3498"/>
      <w:bookmarkEnd w:id="3499"/>
      <w:r>
        <w:rPr>
          <w:rFonts w:ascii="Arial" w:eastAsia="Arial" w:hAnsi="Arial" w:cs="Arial"/>
          <w:color w:val="000000"/>
          <w:sz w:val="20"/>
          <w:u w:val="single"/>
        </w:rPr>
        <w:t>Mershon v. St. Louis Univ.</w:t>
      </w:r>
      <w:r>
        <w:rPr>
          <w:rFonts w:ascii="Arial" w:eastAsia="Arial" w:hAnsi="Arial" w:cs="Arial"/>
          <w:color w:val="000000"/>
          <w:sz w:val="20"/>
        </w:rPr>
        <w:t xml:space="preserve">, 442 F.3d 1069, 1076 (8th Cir. 2006) (quoting </w:t>
      </w:r>
      <w:bookmarkStart w:id="3500" w:name="Bookmark_I6180YKT2SF8BY0030000400"/>
      <w:bookmarkEnd w:id="3500"/>
      <w:r>
        <w:rPr>
          <w:rFonts w:ascii="Arial" w:eastAsia="Arial" w:hAnsi="Arial" w:cs="Arial"/>
          <w:color w:val="000000"/>
          <w:sz w:val="20"/>
          <w:u w:val="single"/>
        </w:rPr>
        <w:t>Amir v. St. Louis Univ.</w:t>
      </w:r>
      <w:r>
        <w:rPr>
          <w:rFonts w:ascii="Arial" w:eastAsia="Arial" w:hAnsi="Arial" w:cs="Arial"/>
          <w:color w:val="000000"/>
          <w:sz w:val="20"/>
        </w:rPr>
        <w:t xml:space="preserve">, 184 F.3d 1017, 1027 (8th Cir. 1999)). </w:t>
      </w:r>
      <w:bookmarkStart w:id="3501" w:name="Bookmark_I6180YKV2N1PXT0010000400_2"/>
      <w:bookmarkStart w:id="3502" w:name="Bookmark_I6180YKV2N1PXT0030000400"/>
      <w:bookmarkEnd w:id="3501"/>
      <w:bookmarkEnd w:id="3502"/>
      <w:r>
        <w:rPr>
          <w:rFonts w:ascii="Arial" w:eastAsia="Arial" w:hAnsi="Arial" w:cs="Arial"/>
          <w:color w:val="000000"/>
          <w:sz w:val="20"/>
        </w:rPr>
        <w:t xml:space="preserve">Drake does not dispute that Rossley can establish the first two elements of a Title III claim. </w:t>
      </w:r>
      <w:bookmarkStart w:id="3503" w:name="Bookmark_I6180YKT2SF8BY0050000400"/>
      <w:bookmarkEnd w:id="3503"/>
      <w:r>
        <w:rPr>
          <w:rFonts w:ascii="Arial" w:eastAsia="Arial" w:hAnsi="Arial" w:cs="Arial"/>
          <w:color w:val="000000"/>
          <w:sz w:val="20"/>
          <w:u w:val="single"/>
        </w:rPr>
        <w:t>Rossley</w:t>
      </w:r>
      <w:r>
        <w:rPr>
          <w:rFonts w:ascii="Arial" w:eastAsia="Arial" w:hAnsi="Arial" w:cs="Arial"/>
          <w:color w:val="000000"/>
          <w:sz w:val="20"/>
        </w:rPr>
        <w:t xml:space="preserve">, 342 F. Supp. 3d  [*1197]  at 936. </w:t>
      </w:r>
      <w:bookmarkStart w:id="3504" w:name="Bookmark_I6180YKV2N1PXT0030000400_2"/>
      <w:bookmarkStart w:id="3505" w:name="Bookmark_LNHNREFclscc7_15"/>
      <w:bookmarkEnd w:id="3504"/>
      <w:bookmarkEnd w:id="3505"/>
      <w:r>
        <w:rPr>
          <w:rFonts w:ascii="Arial" w:eastAsia="Arial" w:hAnsi="Arial" w:cs="Arial"/>
          <w:color w:val="000000"/>
          <w:sz w:val="20"/>
        </w:rPr>
        <w:t xml:space="preserve">On the third element, the plaintiff "bears the initial burden of demonstrating that he requested reasonable accommodations." </w:t>
      </w:r>
      <w:bookmarkStart w:id="3506" w:name="Bookmark_I6180YKV2N1PXT0020000400"/>
      <w:bookmarkEnd w:id="3506"/>
      <w:r>
        <w:rPr>
          <w:rFonts w:ascii="Arial" w:eastAsia="Arial" w:hAnsi="Arial" w:cs="Arial"/>
          <w:color w:val="000000"/>
          <w:sz w:val="20"/>
          <w:u w:val="single"/>
        </w:rPr>
        <w:t>Mershon</w:t>
      </w:r>
      <w:r>
        <w:rPr>
          <w:rFonts w:ascii="Arial" w:eastAsia="Arial" w:hAnsi="Arial" w:cs="Arial"/>
          <w:color w:val="000000"/>
          <w:sz w:val="20"/>
        </w:rPr>
        <w:t xml:space="preserve">, 442 F.3d at 1077. Additionally, the plaintiff must "explain how each requested accommodation was necessary to enable him to participate in light of his disabilities." </w:t>
      </w:r>
      <w:r>
        <w:rPr>
          <w:rFonts w:ascii="Arial" w:eastAsia="Arial" w:hAnsi="Arial" w:cs="Arial"/>
          <w:color w:val="000000"/>
          <w:sz w:val="20"/>
          <w:u w:val="single"/>
        </w:rPr>
        <w:t>Id.</w:t>
      </w:r>
      <w:r>
        <w:rPr>
          <w:rFonts w:ascii="Arial" w:eastAsia="Arial" w:hAnsi="Arial" w:cs="Arial"/>
          <w:color w:val="000000"/>
          <w:sz w:val="20"/>
        </w:rPr>
        <w:t xml:space="preserve"> Drake argues that Rossley failed to produce evidence that he—or anyone on his behalf—adequately requested an accommodation for his disabilities during the disciplinary process.</w:t>
      </w:r>
    </w:p>
    <w:p w14:paraId="236EB91A" w14:textId="77777777" w:rsidR="002B10A6" w:rsidRDefault="00000000">
      <w:pPr>
        <w:pStyle w:val="Normal21"/>
        <w:widowControl w:val="0"/>
        <w:spacing w:before="200" w:line="260" w:lineRule="atLeast"/>
        <w:jc w:val="both"/>
      </w:pPr>
      <w:bookmarkStart w:id="3507" w:name="Bookmark_para_51_4"/>
      <w:bookmarkEnd w:id="3507"/>
      <w:r>
        <w:rPr>
          <w:rFonts w:ascii="Arial" w:eastAsia="Arial" w:hAnsi="Arial" w:cs="Arial"/>
          <w:color w:val="000000"/>
          <w:sz w:val="20"/>
        </w:rPr>
        <w:t>To accommodate Rossley's dyslexia, ADHD, and word-retrieval difficulties, Drake had previously provided him "time and a half" for exams, as well as other accommodations "var[ying] from class to class" based on his discussions with professors. Rossley alleges [**33]  that he had made Sirna, McKinney, Foxhoven, and Parker aware of his disabilities. Rossley concedes, however, that neither he nor his representative explicitly requested that he be provided accommodations during the disciplinary process. He instead alleges that legally sufficient requests were made (1) constructively, because Drake was aware of his academic accommodations, which he mentioned during the hearing, and (2) in-fact, when his father asked a university official to accommodate those disabilities.</w:t>
      </w:r>
    </w:p>
    <w:p w14:paraId="69BFD603" w14:textId="77777777" w:rsidR="002B10A6" w:rsidRDefault="00000000">
      <w:pPr>
        <w:pStyle w:val="Normal21"/>
        <w:widowControl w:val="0"/>
        <w:spacing w:before="200" w:line="260" w:lineRule="atLeast"/>
        <w:jc w:val="both"/>
      </w:pPr>
      <w:bookmarkStart w:id="3508" w:name="Bookmark_para_52_4"/>
      <w:bookmarkStart w:id="3509" w:name="Bookmark_I6180YKV2N1PXT0050000400"/>
      <w:bookmarkStart w:id="3510" w:name="Bookmark_I2P6MVJKNGM00008YSJ00011"/>
      <w:bookmarkStart w:id="3511" w:name="Bookmark_I6180YKW2D6MWP0040000400"/>
      <w:bookmarkStart w:id="3512" w:name="Bookmark_I2P6MVJKRTV00008YSJ00012"/>
      <w:bookmarkStart w:id="3513" w:name="Bookmark_I6180YKW2D6MWS0010000400"/>
      <w:bookmarkEnd w:id="3508"/>
      <w:bookmarkEnd w:id="3509"/>
      <w:bookmarkEnd w:id="3510"/>
      <w:bookmarkEnd w:id="3511"/>
      <w:bookmarkEnd w:id="3512"/>
      <w:bookmarkEnd w:id="3513"/>
      <w:r>
        <w:rPr>
          <w:rFonts w:ascii="Arial" w:eastAsia="Arial" w:hAnsi="Arial" w:cs="Arial"/>
          <w:color w:val="000000"/>
          <w:sz w:val="20"/>
        </w:rPr>
        <w:t xml:space="preserve">Rossley relies on </w:t>
      </w:r>
      <w:bookmarkStart w:id="3514" w:name="Bookmark_I6180YKV2N1PXT0040000400"/>
      <w:bookmarkEnd w:id="3514"/>
      <w:r>
        <w:rPr>
          <w:rFonts w:ascii="Arial" w:eastAsia="Arial" w:hAnsi="Arial" w:cs="Arial"/>
          <w:color w:val="000000"/>
          <w:sz w:val="20"/>
          <w:u w:val="single"/>
        </w:rPr>
        <w:t>Nathanson v. Medical College of Pennsylvania</w:t>
      </w:r>
      <w:r>
        <w:rPr>
          <w:rFonts w:ascii="Arial" w:eastAsia="Arial" w:hAnsi="Arial" w:cs="Arial"/>
          <w:color w:val="000000"/>
          <w:sz w:val="20"/>
        </w:rPr>
        <w:t xml:space="preserve">, 926 F.2d 1368, 1382-83 (3d Cir. 1991), and </w:t>
      </w:r>
      <w:bookmarkStart w:id="3515" w:name="Bookmark_I6180YKW2D6MWP0010000400"/>
      <w:bookmarkEnd w:id="3515"/>
      <w:r>
        <w:rPr>
          <w:rFonts w:ascii="Arial" w:eastAsia="Arial" w:hAnsi="Arial" w:cs="Arial"/>
          <w:color w:val="000000"/>
          <w:sz w:val="20"/>
          <w:u w:val="single"/>
        </w:rPr>
        <w:t>Redding v. Nova Southeastern University, Inc.</w:t>
      </w:r>
      <w:r>
        <w:rPr>
          <w:rFonts w:ascii="Arial" w:eastAsia="Arial" w:hAnsi="Arial" w:cs="Arial"/>
          <w:color w:val="000000"/>
          <w:sz w:val="20"/>
        </w:rPr>
        <w:t xml:space="preserve">, 165 F. Supp. 3d 1274, 1293-94 (S.D. Fla. 2016), in support of his constructive-notice argument. In </w:t>
      </w:r>
      <w:r>
        <w:rPr>
          <w:rFonts w:ascii="Arial" w:eastAsia="Arial" w:hAnsi="Arial" w:cs="Arial"/>
          <w:color w:val="000000"/>
          <w:sz w:val="20"/>
          <w:u w:val="single"/>
        </w:rPr>
        <w:t>Nathanson</w:t>
      </w:r>
      <w:r>
        <w:rPr>
          <w:rFonts w:ascii="Arial" w:eastAsia="Arial" w:hAnsi="Arial" w:cs="Arial"/>
          <w:color w:val="000000"/>
          <w:sz w:val="20"/>
        </w:rPr>
        <w:t xml:space="preserve">, the court determined that plaintiff had shown that she had requested a specific kind of chair to accommodate her disability. </w:t>
      </w:r>
      <w:bookmarkStart w:id="3516" w:name="Bookmark_I6180YKW2D6MWP0030000400"/>
      <w:bookmarkEnd w:id="3516"/>
      <w:r>
        <w:rPr>
          <w:rFonts w:ascii="Arial" w:eastAsia="Arial" w:hAnsi="Arial" w:cs="Arial"/>
          <w:color w:val="000000"/>
          <w:sz w:val="20"/>
        </w:rPr>
        <w:t xml:space="preserve">926 F.2d at 1382. In </w:t>
      </w:r>
      <w:r>
        <w:rPr>
          <w:rFonts w:ascii="Arial" w:eastAsia="Arial" w:hAnsi="Arial" w:cs="Arial"/>
          <w:color w:val="000000"/>
          <w:sz w:val="20"/>
          <w:u w:val="single"/>
        </w:rPr>
        <w:t>Redding</w:t>
      </w:r>
      <w:r>
        <w:rPr>
          <w:rFonts w:ascii="Arial" w:eastAsia="Arial" w:hAnsi="Arial" w:cs="Arial"/>
          <w:color w:val="000000"/>
          <w:sz w:val="20"/>
        </w:rPr>
        <w:t xml:space="preserve">, the plaintiff made a specific, albeit informal request for accommodation. </w:t>
      </w:r>
      <w:bookmarkStart w:id="3517" w:name="Bookmark_I6180YKW2D6MWP0050000400"/>
      <w:bookmarkEnd w:id="3517"/>
      <w:r>
        <w:rPr>
          <w:rFonts w:ascii="Arial" w:eastAsia="Arial" w:hAnsi="Arial" w:cs="Arial"/>
          <w:color w:val="000000"/>
          <w:sz w:val="20"/>
        </w:rPr>
        <w:t>165 F. Supp. 3d at 1296. Here, however, Rossley made no specific request, formal or informal, for an accommodation.</w:t>
      </w:r>
    </w:p>
    <w:p w14:paraId="7F821A6F" w14:textId="77777777" w:rsidR="002B10A6" w:rsidRDefault="00000000">
      <w:pPr>
        <w:pStyle w:val="Normal21"/>
        <w:widowControl w:val="0"/>
        <w:spacing w:before="200" w:line="260" w:lineRule="atLeast"/>
        <w:jc w:val="both"/>
      </w:pPr>
      <w:bookmarkStart w:id="3518" w:name="Bookmark_para_53_4"/>
      <w:bookmarkStart w:id="3519" w:name="Bookmark_I6180YKW2D6MWS0030000400"/>
      <w:bookmarkStart w:id="3520" w:name="Bookmark_I6180YKW2D6MWS0050000400"/>
      <w:bookmarkEnd w:id="3518"/>
      <w:bookmarkEnd w:id="3519"/>
      <w:bookmarkEnd w:id="3520"/>
      <w:r>
        <w:rPr>
          <w:rFonts w:ascii="Arial" w:eastAsia="Arial" w:hAnsi="Arial" w:cs="Arial"/>
          <w:color w:val="000000"/>
          <w:sz w:val="20"/>
        </w:rPr>
        <w:t xml:space="preserve">Rossley argues that </w:t>
      </w:r>
      <w:r>
        <w:rPr>
          <w:rFonts w:ascii="Arial" w:eastAsia="Arial" w:hAnsi="Arial" w:cs="Arial"/>
          <w:color w:val="000000"/>
          <w:sz w:val="20"/>
          <w:u w:val="single"/>
        </w:rPr>
        <w:t>Mershon v. St. Louis University</w:t>
      </w:r>
      <w:r>
        <w:rPr>
          <w:rFonts w:ascii="Arial" w:eastAsia="Arial" w:hAnsi="Arial" w:cs="Arial"/>
          <w:color w:val="000000"/>
          <w:sz w:val="20"/>
        </w:rPr>
        <w:t xml:space="preserve"> does not foreclose his constructive notice argument. </w:t>
      </w:r>
      <w:bookmarkStart w:id="3521" w:name="Bookmark_I6180YKW2HM6KF0020000400"/>
      <w:bookmarkStart w:id="3522" w:name="Bookmark_LNHNREFclscc8_14"/>
      <w:bookmarkEnd w:id="3521"/>
      <w:bookmarkEnd w:id="3522"/>
      <w:r>
        <w:rPr>
          <w:rFonts w:ascii="Arial" w:eastAsia="Arial" w:hAnsi="Arial" w:cs="Arial"/>
          <w:color w:val="000000"/>
          <w:sz w:val="20"/>
          <w:u w:val="single"/>
        </w:rPr>
        <w:t>Mershon</w:t>
      </w:r>
      <w:r>
        <w:rPr>
          <w:rFonts w:ascii="Arial" w:eastAsia="Arial" w:hAnsi="Arial" w:cs="Arial"/>
          <w:color w:val="000000"/>
          <w:sz w:val="20"/>
        </w:rPr>
        <w:t xml:space="preserve"> nonetheless requires a plaintiff to connect a request to the stated disability by explaining "how each requested accommodation was necessary to enable him to participate in light of his [**34]  disabilities." </w:t>
      </w:r>
      <w:bookmarkStart w:id="3523" w:name="Bookmark_I6180YKW2D6MWS0020000400"/>
      <w:bookmarkEnd w:id="3523"/>
      <w:r>
        <w:rPr>
          <w:rFonts w:ascii="Arial" w:eastAsia="Arial" w:hAnsi="Arial" w:cs="Arial"/>
          <w:color w:val="000000"/>
          <w:sz w:val="20"/>
        </w:rPr>
        <w:t xml:space="preserve">442 F.3d at 1077. Rossley's requests for extra time during the disciplinary hearing "were consistently raised as an issue of procedural fairness." </w:t>
      </w:r>
      <w:bookmarkStart w:id="3524" w:name="Bookmark_I6180YKW2D6MWS0040000400"/>
      <w:bookmarkEnd w:id="3524"/>
      <w:r>
        <w:rPr>
          <w:rFonts w:ascii="Arial" w:eastAsia="Arial" w:hAnsi="Arial" w:cs="Arial"/>
          <w:color w:val="000000"/>
          <w:sz w:val="20"/>
          <w:u w:val="single"/>
        </w:rPr>
        <w:t>Rossley</w:t>
      </w:r>
      <w:r>
        <w:rPr>
          <w:rFonts w:ascii="Arial" w:eastAsia="Arial" w:hAnsi="Arial" w:cs="Arial"/>
          <w:color w:val="000000"/>
          <w:sz w:val="20"/>
        </w:rPr>
        <w:t xml:space="preserve">, 342 F. Supp. 3d at 937. </w:t>
      </w:r>
      <w:bookmarkStart w:id="3525" w:name="Bookmark_I6180YKW2HM6KF0020000400_2"/>
      <w:bookmarkEnd w:id="3525"/>
      <w:r>
        <w:rPr>
          <w:rFonts w:ascii="Arial" w:eastAsia="Arial" w:hAnsi="Arial" w:cs="Arial"/>
          <w:color w:val="000000"/>
          <w:sz w:val="20"/>
        </w:rPr>
        <w:t xml:space="preserve">Rossley's demand that he "deserved time and a half for anything and everything" or "double anything" did not "explain how each requested accommodation was necessary to enable him to participate in light of his disabilities." </w:t>
      </w:r>
      <w:bookmarkStart w:id="3526" w:name="Bookmark_I6180YKW2HM6KF0010000400"/>
      <w:bookmarkEnd w:id="3526"/>
      <w:r>
        <w:rPr>
          <w:rFonts w:ascii="Arial" w:eastAsia="Arial" w:hAnsi="Arial" w:cs="Arial"/>
          <w:color w:val="000000"/>
          <w:sz w:val="20"/>
          <w:u w:val="single"/>
        </w:rPr>
        <w:t>Mershon</w:t>
      </w:r>
      <w:r>
        <w:rPr>
          <w:rFonts w:ascii="Arial" w:eastAsia="Arial" w:hAnsi="Arial" w:cs="Arial"/>
          <w:color w:val="000000"/>
          <w:sz w:val="20"/>
        </w:rPr>
        <w:t>, 442 F.3d at 1077. Rossley thus failed to connect his demands to his disability, nor did he allege that he could not participate effectively in the disciplinary proceedings without those accommodations.</w:t>
      </w:r>
    </w:p>
    <w:p w14:paraId="3D3D235D" w14:textId="77777777" w:rsidR="002B10A6" w:rsidRDefault="00000000">
      <w:pPr>
        <w:pStyle w:val="Normal21"/>
        <w:widowControl w:val="0"/>
        <w:spacing w:before="200" w:line="260" w:lineRule="atLeast"/>
        <w:jc w:val="both"/>
      </w:pPr>
      <w:bookmarkStart w:id="3527" w:name="Bookmark_para_54_4"/>
      <w:bookmarkEnd w:id="3527"/>
      <w:r>
        <w:rPr>
          <w:rFonts w:ascii="Arial" w:eastAsia="Arial" w:hAnsi="Arial" w:cs="Arial"/>
          <w:color w:val="000000"/>
          <w:sz w:val="20"/>
        </w:rPr>
        <w:t>Rossley argues that his father requested reasonable accommodations during his December 2015 phone call with Dean Parker. Putting aside the question whether third-party requests are cognizable, Rossley's father did not request any specific accommodation and did not explain how an accommodation would enable Rossley to better participate in the hearings. We therefore affirm the district court's ruling that no genuine issue of material fact existed regarding Rossley's need for accommodations.</w:t>
      </w:r>
    </w:p>
    <w:p w14:paraId="6D82772E" w14:textId="77777777" w:rsidR="002B10A6" w:rsidRDefault="00000000">
      <w:pPr>
        <w:pStyle w:val="Normal21"/>
        <w:widowControl w:val="0"/>
        <w:spacing w:before="200" w:line="260" w:lineRule="atLeast"/>
        <w:jc w:val="both"/>
      </w:pPr>
      <w:bookmarkStart w:id="3528" w:name="Bookmark_para_55_3"/>
      <w:bookmarkEnd w:id="3528"/>
      <w:r>
        <w:rPr>
          <w:rFonts w:ascii="Arial" w:eastAsia="Arial" w:hAnsi="Arial" w:cs="Arial"/>
          <w:color w:val="000000"/>
          <w:sz w:val="20"/>
        </w:rPr>
        <w:t>We have considered Rossley's argument that the district court erred in granting summary judgment on his breach of implied duty of good faith and promissory [**35]  estoppel claims and conclude that it did not err in ruling as it did.</w:t>
      </w:r>
    </w:p>
    <w:p w14:paraId="41231C18" w14:textId="77777777" w:rsidR="002B10A6" w:rsidRDefault="00000000">
      <w:pPr>
        <w:pStyle w:val="Normal21"/>
        <w:widowControl w:val="0"/>
        <w:spacing w:before="200" w:line="260" w:lineRule="atLeast"/>
        <w:jc w:val="both"/>
      </w:pPr>
      <w:bookmarkStart w:id="3529" w:name="Bookmark_para_56_3"/>
      <w:bookmarkEnd w:id="3529"/>
      <w:r>
        <w:rPr>
          <w:rFonts w:ascii="Arial" w:eastAsia="Arial" w:hAnsi="Arial" w:cs="Arial"/>
          <w:color w:val="000000"/>
          <w:sz w:val="20"/>
        </w:rPr>
        <w:t>We affirm the district court's grant of summary judgment in favor of Drake and remand with instructions to dismiss with prejudice the claims that had previously  [*1198]  been dismissed without prejudice by stipulation.</w:t>
      </w:r>
    </w:p>
    <w:p w14:paraId="7AF98C46" w14:textId="77777777" w:rsidR="002B10A6" w:rsidRDefault="002B10A6">
      <w:pPr>
        <w:pStyle w:val="Normal21"/>
      </w:pPr>
    </w:p>
    <w:p w14:paraId="5287452D" w14:textId="0F504398" w:rsidR="002B10A6" w:rsidRDefault="00000000">
      <w:pPr>
        <w:pStyle w:val="Normal21"/>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04320" behindDoc="0" locked="0" layoutInCell="1" allowOverlap="1" wp14:anchorId="0217B9ED" wp14:editId="41F5D745">
                <wp:simplePos x="0" y="0"/>
                <wp:positionH relativeFrom="column">
                  <wp:posOffset>0</wp:posOffset>
                </wp:positionH>
                <wp:positionV relativeFrom="paragraph">
                  <wp:posOffset>127000</wp:posOffset>
                </wp:positionV>
                <wp:extent cx="6502400" cy="0"/>
                <wp:effectExtent l="9525" t="12700" r="12700" b="6350"/>
                <wp:wrapNone/>
                <wp:docPr id="103747181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9B5E1" id="Line 4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A75B0FB" w14:textId="77777777" w:rsidR="002B10A6" w:rsidRDefault="002B10A6">
      <w:pPr>
        <w:pStyle w:val="Normal22"/>
        <w:sectPr w:rsidR="002B10A6">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gutter="0"/>
          <w:cols w:space="720"/>
          <w:titlePg/>
        </w:sectPr>
      </w:pPr>
    </w:p>
    <w:p w14:paraId="00135AAA" w14:textId="77777777" w:rsidR="002B10A6" w:rsidRDefault="002B10A6">
      <w:pPr>
        <w:pStyle w:val="Normal22"/>
      </w:pPr>
    </w:p>
    <w:p w14:paraId="0189D832" w14:textId="77777777" w:rsidR="002B10A6" w:rsidRDefault="00000000">
      <w:pPr>
        <w:pStyle w:val="Heading121"/>
        <w:keepNext w:val="0"/>
        <w:widowControl w:val="0"/>
        <w:spacing w:after="200" w:line="340" w:lineRule="atLeast"/>
        <w:jc w:val="center"/>
      </w:pPr>
      <w:r>
        <w:rPr>
          <w:rFonts w:eastAsia="Arial"/>
          <w:color w:val="000000"/>
          <w:sz w:val="28"/>
        </w:rPr>
        <w:t>Waskul v. Washtenaw Cty. Cmty. Mental Health</w:t>
      </w:r>
    </w:p>
    <w:p w14:paraId="20379EA1" w14:textId="77777777" w:rsidR="002B10A6" w:rsidRDefault="00000000">
      <w:pPr>
        <w:pStyle w:val="Normal22"/>
        <w:widowControl w:val="0"/>
        <w:spacing w:before="120" w:line="260" w:lineRule="atLeast"/>
        <w:jc w:val="center"/>
      </w:pPr>
      <w:r>
        <w:rPr>
          <w:rFonts w:ascii="Arial" w:eastAsia="Arial" w:hAnsi="Arial" w:cs="Arial"/>
          <w:color w:val="000000"/>
          <w:sz w:val="20"/>
        </w:rPr>
        <w:t>United States Court of Appeals for the Sixth Circuit</w:t>
      </w:r>
    </w:p>
    <w:p w14:paraId="10CD4AEB" w14:textId="77777777" w:rsidR="002B10A6" w:rsidRDefault="00000000">
      <w:pPr>
        <w:pStyle w:val="Normal22"/>
        <w:widowControl w:val="0"/>
        <w:spacing w:before="120" w:line="260" w:lineRule="atLeast"/>
        <w:jc w:val="center"/>
      </w:pPr>
      <w:r>
        <w:rPr>
          <w:rFonts w:ascii="Arial" w:eastAsia="Arial" w:hAnsi="Arial" w:cs="Arial"/>
          <w:color w:val="000000"/>
          <w:sz w:val="20"/>
        </w:rPr>
        <w:t>June 11, 2020, Argued; October 29, 2020, Decided; October 29, 2020, Filed</w:t>
      </w:r>
    </w:p>
    <w:p w14:paraId="2EBFD9A9" w14:textId="77777777" w:rsidR="002B10A6" w:rsidRDefault="00000000">
      <w:pPr>
        <w:pStyle w:val="Normal22"/>
        <w:widowControl w:val="0"/>
        <w:spacing w:before="120" w:line="260" w:lineRule="atLeast"/>
        <w:jc w:val="center"/>
      </w:pPr>
      <w:r>
        <w:rPr>
          <w:rFonts w:ascii="Arial" w:eastAsia="Arial" w:hAnsi="Arial" w:cs="Arial"/>
          <w:color w:val="000000"/>
          <w:sz w:val="20"/>
        </w:rPr>
        <w:t>File Name: 20a0346p.06</w:t>
      </w:r>
    </w:p>
    <w:p w14:paraId="110DFC64" w14:textId="77777777" w:rsidR="002B10A6" w:rsidRDefault="00000000">
      <w:pPr>
        <w:pStyle w:val="Normal22"/>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19-1400</w:t>
      </w:r>
    </w:p>
    <w:p w14:paraId="6098538E" w14:textId="77777777" w:rsidR="002B10A6" w:rsidRDefault="002B10A6">
      <w:pPr>
        <w:pStyle w:val="Normal22"/>
        <w:widowControl w:val="0"/>
        <w:spacing w:line="240" w:lineRule="atLeast"/>
        <w:jc w:val="both"/>
      </w:pPr>
      <w:bookmarkStart w:id="3530" w:name="Bookmark_23"/>
      <w:bookmarkEnd w:id="3530"/>
    </w:p>
    <w:p w14:paraId="4ECA5683" w14:textId="77777777" w:rsidR="002B10A6" w:rsidRDefault="00000000">
      <w:pPr>
        <w:pStyle w:val="Normal22"/>
        <w:widowControl w:val="0"/>
        <w:spacing w:before="200" w:line="240" w:lineRule="atLeast"/>
      </w:pPr>
      <w:bookmarkStart w:id="3531" w:name="Reporter_21"/>
      <w:bookmarkEnd w:id="3531"/>
      <w:r>
        <w:rPr>
          <w:rFonts w:ascii="Arial" w:eastAsia="Arial" w:hAnsi="Arial" w:cs="Arial"/>
          <w:b/>
          <w:color w:val="000000"/>
          <w:sz w:val="18"/>
        </w:rPr>
        <w:t>Reporter</w:t>
      </w:r>
    </w:p>
    <w:p w14:paraId="4365B6F5" w14:textId="77777777" w:rsidR="002B10A6" w:rsidRDefault="00000000">
      <w:pPr>
        <w:pStyle w:val="Normal22"/>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979 F.3d 426 *; 2020 U.S. App. LEXIS 34203 **; 2020 FED App. 0346P (6th Cir.) ***</w:t>
      </w:r>
    </w:p>
    <w:p w14:paraId="3028A6E7" w14:textId="77777777" w:rsidR="002B10A6" w:rsidRDefault="00000000">
      <w:pPr>
        <w:pStyle w:val="Normal22"/>
        <w:widowControl w:val="0"/>
        <w:spacing w:before="120" w:line="260" w:lineRule="atLeast"/>
      </w:pPr>
      <w:r>
        <w:rPr>
          <w:rFonts w:ascii="Arial" w:eastAsia="Arial" w:hAnsi="Arial" w:cs="Arial"/>
          <w:color w:val="000000"/>
          <w:sz w:val="20"/>
        </w:rPr>
        <w:t>DEREK WASKUL, by his guardian, Cynthia Waskul; CORY SCHNEIDER, by his guardians, Martha and Wendy Schneider; KEVIN WIESNER, by his guardian, Kerry Kafafian; WASHTENAW ASSOCIATION FOR COMMUNITY ADVOCACY; LINDSAY TRABUE, by her guardian, Kristin Kill; HANNAH ERNST, by her guardians, Susan and Robert Ernst, Plaintiffs-Appellants, v. WASHTENAW COUNTY COMMUNITY MENTAL HEALTH; TRISH CORTES, in her official capacity as Director of Washtenaw County Community Mental Health; COMMUNITY MENTAL HEALTH PARTNERSHIP OF SOUTHEAST MICHIGAN; JANE TERWILLIGER, in her official capacity as director of Community Mental Health Partnership of Southeast Michigan; MICHIGAN DEPARTMENT OF HEALTH AND HUMAN SERVICES; ROBERT GORDON, in his official capacity as Director of Michigan Department of Health and Human Services, Defendants-Appellees.</w:t>
      </w:r>
    </w:p>
    <w:p w14:paraId="2297B3DA" w14:textId="77777777" w:rsidR="002B10A6" w:rsidRDefault="00000000">
      <w:pPr>
        <w:pStyle w:val="Normal22"/>
        <w:widowControl w:val="0"/>
        <w:spacing w:before="240" w:line="260" w:lineRule="atLeast"/>
      </w:pPr>
      <w:bookmarkStart w:id="3532" w:name="Subsequent_History_6"/>
      <w:bookmarkEnd w:id="3532"/>
      <w:r>
        <w:rPr>
          <w:rFonts w:ascii="Arial" w:eastAsia="Arial" w:hAnsi="Arial" w:cs="Arial"/>
          <w:b/>
          <w:color w:val="000000"/>
          <w:sz w:val="20"/>
        </w:rPr>
        <w:t>Subsequent History:</w:t>
      </w:r>
      <w:r>
        <w:rPr>
          <w:rFonts w:ascii="Arial" w:eastAsia="Arial" w:hAnsi="Arial" w:cs="Arial"/>
          <w:color w:val="000000"/>
          <w:sz w:val="20"/>
        </w:rPr>
        <w:t> Motion denied by Waskul v. Washtenaw Cty. Cmty. Mental Health, 2021 U.S. Dist. LEXIS 148361, 2021 WL 3489720 ( E.D. Mich., Aug. 9, 2021)</w:t>
      </w:r>
    </w:p>
    <w:p w14:paraId="30DB740F" w14:textId="77777777" w:rsidR="002B10A6" w:rsidRDefault="00000000">
      <w:pPr>
        <w:pStyle w:val="Normal22"/>
        <w:widowControl w:val="0"/>
        <w:spacing w:before="120" w:line="260" w:lineRule="atLeast"/>
      </w:pPr>
      <w:r>
        <w:rPr>
          <w:rFonts w:ascii="Arial" w:eastAsia="Arial" w:hAnsi="Arial" w:cs="Arial"/>
          <w:color w:val="000000"/>
          <w:sz w:val="20"/>
        </w:rPr>
        <w:t>Sanctions allowed by, Objection overruled by, Request granted Waskul v. Washtenaw County Cmty. Mental Health, 2021 U.S. Dist. LEXIS 209859 ( E.D. Mich., Oct. 31, 2021)</w:t>
      </w:r>
    </w:p>
    <w:p w14:paraId="6E003053" w14:textId="77777777" w:rsidR="002B10A6" w:rsidRDefault="00000000">
      <w:pPr>
        <w:pStyle w:val="Normal22"/>
        <w:widowControl w:val="0"/>
        <w:spacing w:before="240" w:line="260" w:lineRule="atLeast"/>
        <w:jc w:val="both"/>
      </w:pPr>
      <w:bookmarkStart w:id="3533" w:name="Prior_History_21"/>
      <w:bookmarkEnd w:id="3533"/>
      <w:r>
        <w:rPr>
          <w:rFonts w:ascii="Arial" w:eastAsia="Arial" w:hAnsi="Arial" w:cs="Arial"/>
          <w:b/>
          <w:color w:val="000000"/>
          <w:sz w:val="20"/>
        </w:rPr>
        <w:t>Prior History:</w:t>
      </w:r>
      <w:r>
        <w:rPr>
          <w:rFonts w:ascii="Arial" w:eastAsia="Arial" w:hAnsi="Arial" w:cs="Arial"/>
          <w:color w:val="000000"/>
          <w:sz w:val="20"/>
        </w:rPr>
        <w:t> </w:t>
      </w:r>
      <w:bookmarkStart w:id="3534" w:name="Bookmark_para_1_21"/>
      <w:bookmarkEnd w:id="3534"/>
      <w:r>
        <w:rPr>
          <w:rFonts w:ascii="Arial" w:eastAsia="Arial" w:hAnsi="Arial" w:cs="Arial"/>
          <w:color w:val="000000"/>
          <w:sz w:val="20"/>
        </w:rPr>
        <w:t> [**1] Appeal from the United States District Court for the Eastern District of Michigan at Detroit. No. 2:16-cv-10936—Arthur J. Tarnow, District Judge.</w:t>
      </w:r>
    </w:p>
    <w:p w14:paraId="184AC7EE" w14:textId="77777777" w:rsidR="002B10A6" w:rsidRDefault="00000000">
      <w:pPr>
        <w:pStyle w:val="Normal22"/>
        <w:widowControl w:val="0"/>
        <w:spacing w:before="120" w:line="260" w:lineRule="atLeast"/>
      </w:pPr>
      <w:r>
        <w:rPr>
          <w:rFonts w:ascii="Arial" w:eastAsia="Arial" w:hAnsi="Arial" w:cs="Arial"/>
          <w:color w:val="000000"/>
          <w:sz w:val="20"/>
        </w:rPr>
        <w:t>Waskul v. Washtenaw Cty. Cmty. Mental Health, 2019 U.S. Dist. LEXIS 45703, 2019 WL 1281957 ( E.D. Mich., Mar. 20, 2019)</w:t>
      </w:r>
    </w:p>
    <w:p w14:paraId="07E4BEF8" w14:textId="77777777" w:rsidR="002B10A6" w:rsidRDefault="00000000">
      <w:pPr>
        <w:pStyle w:val="Normal22"/>
        <w:widowControl w:val="0"/>
        <w:spacing w:before="240" w:line="260" w:lineRule="atLeast"/>
      </w:pPr>
      <w:bookmarkStart w:id="3535" w:name="Counsel_21"/>
      <w:bookmarkEnd w:id="3535"/>
      <w:r>
        <w:rPr>
          <w:rFonts w:ascii="Arial" w:eastAsia="Arial" w:hAnsi="Arial" w:cs="Arial"/>
          <w:b/>
          <w:color w:val="000000"/>
          <w:sz w:val="20"/>
        </w:rPr>
        <w:t>Counsel:</w:t>
      </w:r>
      <w:r>
        <w:rPr>
          <w:rFonts w:ascii="Arial" w:eastAsia="Arial" w:hAnsi="Arial" w:cs="Arial"/>
          <w:color w:val="000000"/>
          <w:sz w:val="20"/>
        </w:rPr>
        <w:t> ARGUED: Edward P. Krugman, NATIONAL CENTER FOR LAW AND ECONOMIC JUSTICE, New York, New York, for Appellants.</w:t>
      </w:r>
    </w:p>
    <w:p w14:paraId="6D7EEAD6" w14:textId="77777777" w:rsidR="002B10A6" w:rsidRDefault="00000000">
      <w:pPr>
        <w:pStyle w:val="Normal22"/>
        <w:widowControl w:val="0"/>
        <w:spacing w:before="120" w:line="260" w:lineRule="atLeast"/>
      </w:pPr>
      <w:r>
        <w:rPr>
          <w:rFonts w:ascii="Arial" w:eastAsia="Arial" w:hAnsi="Arial" w:cs="Arial"/>
          <w:color w:val="000000"/>
          <w:sz w:val="20"/>
        </w:rPr>
        <w:t>Stefani A. Carter, STEFANI A. CARTER, PLLC, Ypsilanti, Michigan, for Appellees Washtenaw County Community Mental Health and Trish Cortes.</w:t>
      </w:r>
    </w:p>
    <w:p w14:paraId="3903FD2B" w14:textId="77777777" w:rsidR="002B10A6" w:rsidRDefault="00000000">
      <w:pPr>
        <w:pStyle w:val="Normal22"/>
        <w:widowControl w:val="0"/>
        <w:spacing w:before="120" w:line="260" w:lineRule="atLeast"/>
      </w:pPr>
      <w:r>
        <w:rPr>
          <w:rFonts w:ascii="Arial" w:eastAsia="Arial" w:hAnsi="Arial" w:cs="Arial"/>
          <w:color w:val="000000"/>
          <w:sz w:val="20"/>
        </w:rPr>
        <w:t>Marcelyn A. Stepanski, ROSATI SCHULTZ JOPPICH &amp; AMTSBUECHLER PC, Farmington Hills, Michigan, for Appellees Community Mental Health Partnership of Southeast Michigan and Jane Terwilliger.</w:t>
      </w:r>
    </w:p>
    <w:p w14:paraId="691423F9" w14:textId="77777777" w:rsidR="002B10A6" w:rsidRDefault="00000000">
      <w:pPr>
        <w:pStyle w:val="Normal22"/>
        <w:widowControl w:val="0"/>
        <w:spacing w:before="120" w:line="260" w:lineRule="atLeast"/>
      </w:pPr>
      <w:r>
        <w:rPr>
          <w:rFonts w:ascii="Arial" w:eastAsia="Arial" w:hAnsi="Arial" w:cs="Arial"/>
          <w:color w:val="000000"/>
          <w:sz w:val="20"/>
        </w:rPr>
        <w:t>Tracy E. Van den Bergh, MICHIGAN DEPARTMENT OF ATTORNEY GENERAL, Lansing, Michigan for Appellees Michigan Department of Health and Human Services and Robert Gordon.</w:t>
      </w:r>
    </w:p>
    <w:p w14:paraId="44B500FE" w14:textId="77777777" w:rsidR="002B10A6" w:rsidRDefault="00000000">
      <w:pPr>
        <w:pStyle w:val="Normal22"/>
        <w:widowControl w:val="0"/>
        <w:spacing w:before="120" w:line="260" w:lineRule="atLeast"/>
      </w:pPr>
      <w:r>
        <w:rPr>
          <w:rFonts w:ascii="Arial" w:eastAsia="Arial" w:hAnsi="Arial" w:cs="Arial"/>
          <w:color w:val="000000"/>
          <w:sz w:val="20"/>
        </w:rPr>
        <w:t>ON BRIEF: Edward P. Krugman, NATIONAL CENTER FOR LAW AND ECONOMIC JUSTICE, New York, New York, Nicholas A. Gable, LEGAL SERVICES OF SOUTH CENTRAL MICHIGAN, Ypsilanti, Michigan, Lisa Ruby, MICHIGAN POVERTY LAW PROGRAM, Ypsilanti, Michigan, for Appellants.</w:t>
      </w:r>
    </w:p>
    <w:p w14:paraId="6EF3DB93" w14:textId="77777777" w:rsidR="002B10A6" w:rsidRDefault="00000000">
      <w:pPr>
        <w:pStyle w:val="Normal22"/>
        <w:widowControl w:val="0"/>
        <w:spacing w:before="120" w:line="260" w:lineRule="atLeast"/>
      </w:pPr>
      <w:r>
        <w:rPr>
          <w:rFonts w:ascii="Arial" w:eastAsia="Arial" w:hAnsi="Arial" w:cs="Arial"/>
          <w:color w:val="000000"/>
          <w:sz w:val="20"/>
        </w:rPr>
        <w:t>Stefani A. Carter, STEFANI A. CARTER, PLLC, Ypsilanti, Michigan, for Appellees Washtenaw County Community Mental Health and Trish Cortes.</w:t>
      </w:r>
    </w:p>
    <w:p w14:paraId="1C3B854C" w14:textId="77777777" w:rsidR="002B10A6" w:rsidRDefault="00000000">
      <w:pPr>
        <w:pStyle w:val="Normal22"/>
        <w:widowControl w:val="0"/>
        <w:spacing w:before="120" w:line="260" w:lineRule="atLeast"/>
      </w:pPr>
      <w:r>
        <w:rPr>
          <w:rFonts w:ascii="Arial" w:eastAsia="Arial" w:hAnsi="Arial" w:cs="Arial"/>
          <w:color w:val="000000"/>
          <w:sz w:val="20"/>
        </w:rPr>
        <w:t>Marcelyn A. Stepanski, ROSATI SCHULTZ JOPPICH &amp; AMTSBUECHLER [**2]  PC, Farmington Hills, Michigan, for Appellees Community Mental Health Partnership of Southeast Michigan and Jane Terwilliger.</w:t>
      </w:r>
    </w:p>
    <w:p w14:paraId="327587DB" w14:textId="77777777" w:rsidR="002B10A6" w:rsidRDefault="00000000">
      <w:pPr>
        <w:pStyle w:val="Normal22"/>
        <w:widowControl w:val="0"/>
        <w:spacing w:before="120" w:line="260" w:lineRule="atLeast"/>
      </w:pPr>
      <w:r>
        <w:rPr>
          <w:rFonts w:ascii="Arial" w:eastAsia="Arial" w:hAnsi="Arial" w:cs="Arial"/>
          <w:color w:val="000000"/>
          <w:sz w:val="20"/>
        </w:rPr>
        <w:t>Kristin M. Heyse, William Morris, MICHIGAN DEPARTMENT OF ATTORNEY GENERAL, Lansing, Michigan for Appellees Michigan Department of Health and Human Services and Robert Gordon.</w:t>
      </w:r>
    </w:p>
    <w:p w14:paraId="61E9AED4" w14:textId="77777777" w:rsidR="002B10A6" w:rsidRDefault="00000000">
      <w:pPr>
        <w:pStyle w:val="Normal22"/>
        <w:widowControl w:val="0"/>
        <w:spacing w:before="240" w:line="260" w:lineRule="atLeast"/>
      </w:pPr>
      <w:bookmarkStart w:id="3536" w:name="Judges_21"/>
      <w:bookmarkEnd w:id="3536"/>
      <w:r>
        <w:rPr>
          <w:rFonts w:ascii="Arial" w:eastAsia="Arial" w:hAnsi="Arial" w:cs="Arial"/>
          <w:b/>
          <w:color w:val="000000"/>
          <w:sz w:val="20"/>
        </w:rPr>
        <w:t>Judges:</w:t>
      </w:r>
      <w:r>
        <w:rPr>
          <w:rFonts w:ascii="Arial" w:eastAsia="Arial" w:hAnsi="Arial" w:cs="Arial"/>
          <w:color w:val="000000"/>
          <w:sz w:val="20"/>
        </w:rPr>
        <w:t> Before: CLAY, WHITE, and READLER, Circuit Judges. CLAY, J., delivered the opinion of the court in which WHITE, J., joined. READLER, J. (pp. 46-54), delivered a separate opinion concurring in part and dissenting in part.</w:t>
      </w:r>
    </w:p>
    <w:p w14:paraId="5CE4E5C9" w14:textId="77777777" w:rsidR="002B10A6" w:rsidRDefault="00000000">
      <w:pPr>
        <w:pStyle w:val="Normal22"/>
        <w:widowControl w:val="0"/>
        <w:spacing w:before="240" w:line="260" w:lineRule="atLeast"/>
      </w:pPr>
      <w:bookmarkStart w:id="3537" w:name="Opinion_by_16"/>
      <w:bookmarkEnd w:id="3537"/>
      <w:r>
        <w:rPr>
          <w:rFonts w:ascii="Arial" w:eastAsia="Arial" w:hAnsi="Arial" w:cs="Arial"/>
          <w:b/>
          <w:color w:val="000000"/>
          <w:sz w:val="20"/>
        </w:rPr>
        <w:t>Opinion by:</w:t>
      </w:r>
      <w:r>
        <w:rPr>
          <w:rFonts w:ascii="Arial" w:eastAsia="Arial" w:hAnsi="Arial" w:cs="Arial"/>
          <w:color w:val="000000"/>
          <w:sz w:val="20"/>
        </w:rPr>
        <w:t> CLAY</w:t>
      </w:r>
    </w:p>
    <w:p w14:paraId="54504A00" w14:textId="77777777" w:rsidR="002B10A6" w:rsidRDefault="00000000">
      <w:pPr>
        <w:pStyle w:val="Normal22"/>
        <w:keepNext/>
        <w:widowControl w:val="0"/>
        <w:spacing w:before="240" w:line="340" w:lineRule="atLeast"/>
      </w:pPr>
      <w:bookmarkStart w:id="3538" w:name="Opinion_21"/>
      <w:bookmarkEnd w:id="3538"/>
      <w:r>
        <w:rPr>
          <w:rFonts w:ascii="Arial" w:eastAsia="Arial" w:hAnsi="Arial" w:cs="Arial"/>
          <w:b/>
          <w:color w:val="000000"/>
          <w:sz w:val="28"/>
        </w:rPr>
        <w:t>Opinion</w:t>
      </w:r>
    </w:p>
    <w:p w14:paraId="2733D71D" w14:textId="71D2DFBE" w:rsidR="002B10A6" w:rsidRDefault="002D6974">
      <w:pPr>
        <w:pStyle w:val="Normal22"/>
        <w:spacing w:line="60" w:lineRule="exact"/>
      </w:pPr>
      <w:r>
        <w:rPr>
          <w:noProof/>
        </w:rPr>
        <mc:AlternateContent>
          <mc:Choice Requires="wps">
            <w:drawing>
              <wp:anchor distT="0" distB="0" distL="114300" distR="114300" simplePos="0" relativeHeight="251705344" behindDoc="0" locked="0" layoutInCell="1" allowOverlap="1" wp14:anchorId="634472DE" wp14:editId="2F33D082">
                <wp:simplePos x="0" y="0"/>
                <wp:positionH relativeFrom="column">
                  <wp:posOffset>0</wp:posOffset>
                </wp:positionH>
                <wp:positionV relativeFrom="paragraph">
                  <wp:posOffset>25400</wp:posOffset>
                </wp:positionV>
                <wp:extent cx="3187700" cy="0"/>
                <wp:effectExtent l="19050" t="15875" r="12700" b="12700"/>
                <wp:wrapTopAndBottom/>
                <wp:docPr id="1124135537"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E228B" id="Line 47"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AD049B5" w14:textId="77777777" w:rsidR="002B10A6" w:rsidRDefault="002B10A6">
      <w:pPr>
        <w:pStyle w:val="Normal22"/>
      </w:pPr>
    </w:p>
    <w:p w14:paraId="73A853E2" w14:textId="77777777" w:rsidR="002B10A6" w:rsidRDefault="00000000">
      <w:pPr>
        <w:pStyle w:val="Normal22"/>
        <w:widowControl w:val="0"/>
        <w:spacing w:before="200" w:line="260" w:lineRule="atLeast"/>
        <w:jc w:val="both"/>
      </w:pPr>
      <w:bookmarkStart w:id="3539" w:name="Bookmark_para_2_21"/>
      <w:bookmarkEnd w:id="3539"/>
      <w:r>
        <w:rPr>
          <w:rFonts w:ascii="Arial" w:eastAsia="Arial" w:hAnsi="Arial" w:cs="Arial"/>
          <w:color w:val="000000"/>
          <w:sz w:val="20"/>
        </w:rPr>
        <w:t xml:space="preserve"> [*435]  [***2]  CLAY, Circuit Judge. In 2015, a predecessor to Defendant Washtenaw County Community Mental Health modified the methodology through which it allocated funding to individuals with disabilities receiving community living support services pursuant to a Medicaid waiver received by the State of Michigan. Plaintiffs, five individuals receiving those services, together with the Washtenaw Association for Community Advocacy, challenge that methodology in this case against Defendants the Michigan Department of Health and Human Services, Community Mental Health Partnership of Southeast Michigan, Washtenaw County Community Mental Health, and the directors of these organizations. </w:t>
      </w:r>
      <w:bookmarkStart w:id="3540" w:name="Bookmark_I640DFM82D6N2T0010000400"/>
      <w:bookmarkStart w:id="3541" w:name="Bookmark_24F5TRF3RT00005N1700001"/>
      <w:bookmarkEnd w:id="3540"/>
      <w:bookmarkEnd w:id="3541"/>
      <w:r>
        <w:rPr>
          <w:rFonts w:ascii="Arial" w:eastAsia="Arial" w:hAnsi="Arial" w:cs="Arial"/>
          <w:color w:val="000000"/>
          <w:sz w:val="20"/>
        </w:rPr>
        <w:t>In [**3]  particular, Plaintiffs assert that by implementing or allowing implementation of this new methodology, Defendants violated provisions of the Medicaid Act, 42 U.S.C. §§ 1396a(a)(8), (a)(10)(A), (a)(10)(B),  [***3]  1396n(c)(2)(A) and (C); Title II of the Americans with Disabilities Act ("ADA"), 42 U.S.C. § 12132; § 504 of the Rehabilitation Act, 29 U.S.C. § 794; the Michigan Mental Health Code, Mich. Comp. Laws § 330.1722; and the terms of Michigan's Medicaid Habilitation Supports Waiver and the contracts implementing it. The district court dismissed Plaintiffs' claims in full.</w:t>
      </w:r>
    </w:p>
    <w:p w14:paraId="1BA6E89C" w14:textId="77777777" w:rsidR="002B10A6" w:rsidRDefault="00000000">
      <w:pPr>
        <w:pStyle w:val="Normal22"/>
        <w:widowControl w:val="0"/>
        <w:spacing w:before="200" w:line="260" w:lineRule="atLeast"/>
        <w:jc w:val="both"/>
      </w:pPr>
      <w:bookmarkStart w:id="3542" w:name="Bookmark_para_3_21"/>
      <w:bookmarkEnd w:id="3542"/>
      <w:r>
        <w:rPr>
          <w:rFonts w:ascii="Arial" w:eastAsia="Arial" w:hAnsi="Arial" w:cs="Arial"/>
          <w:color w:val="000000"/>
          <w:sz w:val="20"/>
        </w:rPr>
        <w:t xml:space="preserve">For the reasons set forth in this opinion, we </w:t>
      </w:r>
      <w:r>
        <w:rPr>
          <w:rFonts w:ascii="Arial" w:eastAsia="Arial" w:hAnsi="Arial" w:cs="Arial"/>
          <w:b/>
          <w:color w:val="000000"/>
          <w:sz w:val="20"/>
        </w:rPr>
        <w:t>REVERSE</w:t>
      </w:r>
      <w:r>
        <w:rPr>
          <w:rFonts w:ascii="Arial" w:eastAsia="Arial" w:hAnsi="Arial" w:cs="Arial"/>
          <w:color w:val="000000"/>
          <w:sz w:val="20"/>
        </w:rPr>
        <w:t xml:space="preserve"> the district court's decision and </w:t>
      </w:r>
      <w:r>
        <w:rPr>
          <w:rFonts w:ascii="Arial" w:eastAsia="Arial" w:hAnsi="Arial" w:cs="Arial"/>
          <w:b/>
          <w:color w:val="000000"/>
          <w:sz w:val="20"/>
        </w:rPr>
        <w:t>REMAND</w:t>
      </w:r>
      <w:r>
        <w:rPr>
          <w:rFonts w:ascii="Arial" w:eastAsia="Arial" w:hAnsi="Arial" w:cs="Arial"/>
          <w:color w:val="000000"/>
          <w:sz w:val="20"/>
        </w:rPr>
        <w:t xml:space="preserve"> for further proceedings consistent with this opinion.</w:t>
      </w:r>
    </w:p>
    <w:p w14:paraId="6D36648A" w14:textId="77777777" w:rsidR="002B10A6" w:rsidRDefault="00000000">
      <w:pPr>
        <w:pStyle w:val="Normal22"/>
        <w:widowControl w:val="0"/>
        <w:spacing w:before="240" w:line="260" w:lineRule="atLeast"/>
      </w:pPr>
      <w:r>
        <w:br/>
      </w:r>
      <w:r>
        <w:rPr>
          <w:rFonts w:ascii="Arial" w:eastAsia="Arial" w:hAnsi="Arial" w:cs="Arial"/>
          <w:b/>
          <w:color w:val="000000"/>
          <w:sz w:val="20"/>
        </w:rPr>
        <w:t>BACKGROUND</w:t>
      </w:r>
    </w:p>
    <w:p w14:paraId="5ABBE0FE" w14:textId="77777777" w:rsidR="002B10A6" w:rsidRDefault="00000000">
      <w:pPr>
        <w:pStyle w:val="Normal22"/>
        <w:widowControl w:val="0"/>
        <w:spacing w:before="240" w:line="260" w:lineRule="atLeast"/>
      </w:pPr>
      <w:r>
        <w:br/>
      </w:r>
      <w:r>
        <w:rPr>
          <w:rFonts w:ascii="Arial" w:eastAsia="Arial" w:hAnsi="Arial" w:cs="Arial"/>
          <w:b/>
          <w:color w:val="000000"/>
          <w:sz w:val="20"/>
        </w:rPr>
        <w:t>Factual Background</w:t>
      </w:r>
    </w:p>
    <w:p w14:paraId="74B3489C" w14:textId="77777777" w:rsidR="002B10A6" w:rsidRDefault="00000000">
      <w:pPr>
        <w:pStyle w:val="Normal22"/>
        <w:widowControl w:val="0"/>
        <w:spacing w:before="200" w:line="260" w:lineRule="atLeast"/>
        <w:jc w:val="both"/>
      </w:pPr>
      <w:bookmarkStart w:id="3543" w:name="Bookmark_para_4_21"/>
      <w:bookmarkEnd w:id="3543"/>
      <w:r>
        <w:rPr>
          <w:rFonts w:ascii="Arial" w:eastAsia="Arial" w:hAnsi="Arial" w:cs="Arial"/>
          <w:color w:val="000000"/>
          <w:sz w:val="20"/>
        </w:rPr>
        <w:t>The State of Michigan offers funding and support to qualifying individuals with disabilities to aid them in living independently in their own home communities, rather than in institutionalized care facilities, pursuant to a Medicaid waiver (the "Habilitation Supports Waiver" or the "Waiver") obtained from the federal government.  [*436]  This Community Living Support ("CLS") program furthers those individuals' self-determination by allowing them to structure their own support services based on their medical needs.</w:t>
      </w:r>
    </w:p>
    <w:p w14:paraId="1CF58ECC" w14:textId="77777777" w:rsidR="002B10A6" w:rsidRDefault="00000000">
      <w:pPr>
        <w:pStyle w:val="Normal22"/>
        <w:widowControl w:val="0"/>
        <w:spacing w:before="200" w:line="260" w:lineRule="atLeast"/>
        <w:jc w:val="both"/>
      </w:pPr>
      <w:bookmarkStart w:id="3544" w:name="Bookmark_para_5_21"/>
      <w:bookmarkEnd w:id="3544"/>
      <w:r>
        <w:rPr>
          <w:rFonts w:ascii="Arial" w:eastAsia="Arial" w:hAnsi="Arial" w:cs="Arial"/>
          <w:color w:val="000000"/>
          <w:sz w:val="20"/>
        </w:rPr>
        <w:t>Plaintiffs in this case are five individuals who [**4]  participate in Michigan's CLS program and the Washtenaw Association for Community Advocacy ("WACA"), a non-profit organization of which the individual Plaintiffs are members that advocates for support services for individuals with developmental disabilities. Plaintiff Derek Waskul has severe cognitive impairment and autism and requires 24/7 supervision. Plaintiff Cory Schneider has autism, a developmental disability, and an undiagnosed behavior disorder that also require 24/7 care. Plaintiff Kevin Wiesner has severe developmental disabilities and suffers from seizures. Plaintiff Lindsay Trabue has Down syndrome and is non-verbal. She has only very basic functional skills and also requires 24/7 care. Finally, Plaintiff Hannah Ernst has been diagnosed with Angelman syndrome, a seizure disorder, and cognitive impairment.</w:t>
      </w:r>
    </w:p>
    <w:p w14:paraId="1373E0FC" w14:textId="77777777" w:rsidR="002B10A6" w:rsidRDefault="00000000">
      <w:pPr>
        <w:pStyle w:val="Normal22"/>
        <w:widowControl w:val="0"/>
        <w:spacing w:before="200" w:line="260" w:lineRule="atLeast"/>
        <w:jc w:val="both"/>
      </w:pPr>
      <w:bookmarkStart w:id="3545" w:name="Bookmark_para_6_21"/>
      <w:bookmarkEnd w:id="3545"/>
      <w:r>
        <w:rPr>
          <w:rFonts w:ascii="Arial" w:eastAsia="Arial" w:hAnsi="Arial" w:cs="Arial"/>
          <w:color w:val="000000"/>
          <w:sz w:val="20"/>
        </w:rPr>
        <w:t>At bottom, Plaintiffs allege that a change in the method through which their CLS budgets are calculated has prevented them from receiving required services and support, in violation of federal and state law and Defendants' contracts with one another. Plaintiffs' claims hinge on  [***4] </w:t>
      </w:r>
    </w:p>
    <w:p w14:paraId="5F8AD1DA" w14:textId="77777777" w:rsidR="002B10A6" w:rsidRDefault="00000000">
      <w:pPr>
        <w:pStyle w:val="Normal22"/>
        <w:widowControl w:val="0"/>
        <w:spacing w:before="200" w:line="260" w:lineRule="atLeast"/>
        <w:jc w:val="both"/>
      </w:pPr>
      <w:bookmarkStart w:id="3546" w:name="Bookmark_para_7_21"/>
      <w:bookmarkEnd w:id="3546"/>
      <w:r>
        <w:rPr>
          <w:rFonts w:ascii="Arial" w:eastAsia="Arial" w:hAnsi="Arial" w:cs="Arial"/>
          <w:color w:val="000000"/>
          <w:sz w:val="20"/>
        </w:rPr>
        <w:t>Medicaid requirements and funding mechanisms, and so we must begin by surveying Michigan's Medicaid [**5]  framework.</w:t>
      </w:r>
    </w:p>
    <w:p w14:paraId="6BA17BC6" w14:textId="77777777" w:rsidR="002B10A6" w:rsidRDefault="00000000">
      <w:pPr>
        <w:pStyle w:val="Normal22"/>
        <w:widowControl w:val="0"/>
        <w:spacing w:before="240" w:line="260" w:lineRule="atLeast"/>
      </w:pPr>
      <w:r>
        <w:br/>
      </w:r>
      <w:r>
        <w:rPr>
          <w:rFonts w:ascii="Arial" w:eastAsia="Arial" w:hAnsi="Arial" w:cs="Arial"/>
          <w:b/>
          <w:color w:val="000000"/>
          <w:sz w:val="20"/>
        </w:rPr>
        <w:t>A. Michigan's Medicaid Framework</w:t>
      </w:r>
    </w:p>
    <w:p w14:paraId="2D164421" w14:textId="77777777" w:rsidR="002B10A6" w:rsidRDefault="00000000">
      <w:pPr>
        <w:pStyle w:val="Normal22"/>
        <w:widowControl w:val="0"/>
        <w:spacing w:before="200" w:line="260" w:lineRule="atLeast"/>
        <w:jc w:val="both"/>
      </w:pPr>
      <w:bookmarkStart w:id="3547" w:name="Bookmark_para_8_21"/>
      <w:bookmarkEnd w:id="3547"/>
      <w:r>
        <w:rPr>
          <w:rFonts w:ascii="Arial" w:eastAsia="Arial" w:hAnsi="Arial" w:cs="Arial"/>
          <w:color w:val="000000"/>
          <w:sz w:val="20"/>
        </w:rPr>
        <w:t xml:space="preserve">The joint federal-state Medicaid program provides medical assistance to qualifying individuals who are unable to pay or do not have private insurance, pursuant to Title XIX of the Social Security Act, 42 U.S.C. § 1396 </w:t>
      </w:r>
      <w:r>
        <w:rPr>
          <w:rFonts w:ascii="Arial" w:eastAsia="Arial" w:hAnsi="Arial" w:cs="Arial"/>
          <w:i/>
          <w:color w:val="000000"/>
          <w:sz w:val="20"/>
        </w:rPr>
        <w:t>et seq.</w:t>
      </w:r>
      <w:r>
        <w:rPr>
          <w:rFonts w:ascii="Arial" w:eastAsia="Arial" w:hAnsi="Arial" w:cs="Arial"/>
          <w:color w:val="000000"/>
          <w:sz w:val="20"/>
        </w:rPr>
        <w:t xml:space="preserve"> (the "Medicaid Act"). </w:t>
      </w:r>
      <w:bookmarkStart w:id="3548" w:name="Bookmark_LNHNREFclscc1_18"/>
      <w:bookmarkEnd w:id="3548"/>
      <w:r>
        <w:rPr>
          <w:rFonts w:ascii="Arial" w:eastAsia="Arial" w:hAnsi="Arial" w:cs="Arial"/>
          <w:color w:val="000000"/>
          <w:sz w:val="20"/>
        </w:rPr>
        <w:t xml:space="preserve">In order to receive federal Medicaid funds, states must develop a plan to administer their program in compliance with federal statutory and regulatory requirements. 42 U.S.C. § 1396a(a); 42 C.F.R. § 430.10. Once their plan is approved by the Centers for Medicare and Medicaid Services ("CMS"), states receive federal funds to supplement state spending on Medicaid-covered services. </w:t>
      </w:r>
      <w:r>
        <w:rPr>
          <w:rFonts w:ascii="Arial" w:eastAsia="Arial" w:hAnsi="Arial" w:cs="Arial"/>
          <w:i/>
          <w:color w:val="000000"/>
          <w:sz w:val="20"/>
        </w:rPr>
        <w:t>See</w:t>
      </w:r>
      <w:r>
        <w:rPr>
          <w:rFonts w:ascii="Arial" w:eastAsia="Arial" w:hAnsi="Arial" w:cs="Arial"/>
          <w:color w:val="000000"/>
          <w:sz w:val="20"/>
        </w:rPr>
        <w:t xml:space="preserve"> 42 U.S.C. § 1396b(a).</w:t>
      </w:r>
    </w:p>
    <w:p w14:paraId="4A4080BA" w14:textId="77777777" w:rsidR="002B10A6" w:rsidRDefault="00000000">
      <w:pPr>
        <w:pStyle w:val="Normal22"/>
        <w:widowControl w:val="0"/>
        <w:spacing w:before="200" w:line="260" w:lineRule="atLeast"/>
        <w:jc w:val="both"/>
      </w:pPr>
      <w:bookmarkStart w:id="3549" w:name="Bookmark_para_9_21"/>
      <w:bookmarkStart w:id="3550" w:name="Bookmark_LNHNREFclscc2_18"/>
      <w:bookmarkEnd w:id="3549"/>
      <w:bookmarkEnd w:id="3550"/>
      <w:r>
        <w:rPr>
          <w:rFonts w:ascii="Arial" w:eastAsia="Arial" w:hAnsi="Arial" w:cs="Arial"/>
          <w:color w:val="000000"/>
          <w:sz w:val="20"/>
        </w:rPr>
        <w:t>Michigan's Medicaid program is administered by Defendant Michigan Department of Health and Human Services ("the Department"), which is led by Defendant Robert Gordon, its director (collectively, "State Defendants"). 42 U.S.C. § 1396a(a)(5) (requiring that each state "provide for the establishment or designation of a single State agency to administer or to supervise the administration of" their plan); 42 C.F.R. § 431.10(b)(1). The Department then contracts with regional prepaid inpatient health plans ("PIHPs"), which are public managed care organizations that receive funding and arrange and pay for Medicaid services. 42 U.S.C. § 1396u-2(a)(1)(B); Mich. Comp. Laws § 400.109f. Defendant [**6]  Community Mental Health Partnership of Southeast Michigan ("CMHPSM") is the PIHP responsible for Washtenaw County, and is led by Defendant Jane Terwilliger, its executive officer (collectively, "PIHP Defendants").</w:t>
      </w:r>
      <w:r>
        <w:rPr>
          <w:rFonts w:ascii="Arial" w:eastAsia="Arial" w:hAnsi="Arial" w:cs="Arial"/>
          <w:vertAlign w:val="superscript"/>
        </w:rPr>
        <w:footnoteReference w:customMarkFollows="1" w:id="151"/>
        <w:t>1</w:t>
      </w:r>
      <w:r>
        <w:rPr>
          <w:rFonts w:ascii="Arial" w:eastAsia="Arial" w:hAnsi="Arial" w:cs="Arial"/>
          <w:color w:val="000000"/>
          <w:sz w:val="20"/>
        </w:rPr>
        <w:t xml:space="preserve"> The Department has supervisory and policymaking authority over the PIHPs and must ensure that PIHPs retain oversight and accountability over any subcontractors. PIHPs subcontract with community organizations that provide or arrange for mental health services for recipients, including  [*437]  Defendant Washtenaw County Community Mental Health ("WCCMH"). WCCMH is the public community mental health authority for Washtenaw County and is led by Defendant Trish Cortes, its director (collectively, "County Defendants"). The relationships  [***5]  between the Department, CMHPSM, and WCCMH are governed by federal and state law, in addition to specific contracts. </w:t>
      </w:r>
      <w:r>
        <w:rPr>
          <w:rFonts w:ascii="Arial" w:eastAsia="Arial" w:hAnsi="Arial" w:cs="Arial"/>
          <w:i/>
          <w:color w:val="000000"/>
          <w:sz w:val="20"/>
        </w:rPr>
        <w:t>See, e.g.</w:t>
      </w:r>
      <w:r>
        <w:rPr>
          <w:rFonts w:ascii="Arial" w:eastAsia="Arial" w:hAnsi="Arial" w:cs="Arial"/>
          <w:color w:val="000000"/>
          <w:sz w:val="20"/>
        </w:rPr>
        <w:t>, 42 U.S.C. § 1396u-2(a)(1)(B); Mich. Comp. Laws §§ 330.1100a(18), 400.109f.</w:t>
      </w:r>
    </w:p>
    <w:p w14:paraId="27973823" w14:textId="77777777" w:rsidR="002B10A6" w:rsidRDefault="00000000">
      <w:pPr>
        <w:pStyle w:val="Normal22"/>
        <w:widowControl w:val="0"/>
        <w:spacing w:before="240" w:line="260" w:lineRule="atLeast"/>
      </w:pPr>
      <w:r>
        <w:br/>
      </w:r>
      <w:r>
        <w:rPr>
          <w:rFonts w:ascii="Arial" w:eastAsia="Arial" w:hAnsi="Arial" w:cs="Arial"/>
          <w:b/>
          <w:color w:val="000000"/>
          <w:sz w:val="20"/>
        </w:rPr>
        <w:t>B. The Community Living Support Program Framework</w:t>
      </w:r>
    </w:p>
    <w:p w14:paraId="6F516503" w14:textId="77777777" w:rsidR="002B10A6" w:rsidRDefault="00000000">
      <w:pPr>
        <w:pStyle w:val="Normal22"/>
        <w:widowControl w:val="0"/>
        <w:spacing w:before="200" w:line="260" w:lineRule="atLeast"/>
        <w:jc w:val="both"/>
      </w:pPr>
      <w:bookmarkStart w:id="3552" w:name="Bookmark_para_10_21"/>
      <w:bookmarkEnd w:id="3552"/>
      <w:r>
        <w:rPr>
          <w:rFonts w:ascii="Arial" w:eastAsia="Arial" w:hAnsi="Arial" w:cs="Arial"/>
          <w:color w:val="000000"/>
          <w:sz w:val="20"/>
        </w:rPr>
        <w:t xml:space="preserve">Under this framework, Defendants work together to ensure CLS services are provided to qualifying recipients, including the individual Plaintiffs, pursuant to the terms of Michigan's Habilitation Supports Waiver. That waiver is financed through so-called "capitation procedures." [**7]  This means that the federal government provides the relevant entity—here the PIHP, Defendant CMHPSM—with a fixed amount of funding for each person participating in the CLS program, regardless of how many services the entity ultimately provides to the recipient. The PIHP then determines how to allocate these funds to recipients. (Am. Compl., R. 146 at PageID #3718; Application for Habilitation Supports Waiver, MI.0167.R04.00, at 5-6 (Oct. 1, 2010) (hereinafter, "Waiver"), </w:t>
      </w:r>
      <w:r>
        <w:rPr>
          <w:rFonts w:ascii="Arial" w:eastAsia="Arial" w:hAnsi="Arial" w:cs="Arial"/>
          <w:i/>
          <w:color w:val="000000"/>
          <w:sz w:val="20"/>
        </w:rPr>
        <w:t>available at</w:t>
      </w:r>
      <w:r>
        <w:rPr>
          <w:rFonts w:ascii="Arial" w:eastAsia="Arial" w:hAnsi="Arial" w:cs="Arial"/>
          <w:color w:val="000000"/>
          <w:sz w:val="20"/>
        </w:rPr>
        <w:t xml:space="preserve"> https://www.michigan.gov/documents/mdch/Habilation_Supports_Waiver_340749_7.pdf.) PIHPs can make or lose money depending on how the amount they receive in capitation funds compares to the amount of funding they provide recipients, but they must ensure that the services they provide comply with the terms of their contract with the State, which itself must ensure that it complies with the terms of the Medicaid Act, federal regulations, and the Waiver.</w:t>
      </w:r>
    </w:p>
    <w:p w14:paraId="209D1D2D" w14:textId="77777777" w:rsidR="002B10A6" w:rsidRDefault="00000000">
      <w:pPr>
        <w:pStyle w:val="Normal22"/>
        <w:widowControl w:val="0"/>
        <w:spacing w:before="200" w:line="260" w:lineRule="atLeast"/>
        <w:jc w:val="both"/>
      </w:pPr>
      <w:bookmarkStart w:id="3553" w:name="Bookmark_para_11_18"/>
      <w:bookmarkEnd w:id="3553"/>
      <w:r>
        <w:rPr>
          <w:rFonts w:ascii="Arial" w:eastAsia="Arial" w:hAnsi="Arial" w:cs="Arial"/>
          <w:color w:val="000000"/>
          <w:sz w:val="20"/>
        </w:rPr>
        <w:t xml:space="preserve">Once an individual has elected to receive CLS services, they go through what is known as a person-centered planning ("PCP") process, during which an individual plan of service ("IPOS") and corresponding budget for CLS services is developed. Mich. Dep't of Health &amp; Human Servs., Medicaid Provider Manual at 328 (hereinafter "Mich. [**8]  Medicaid Provider Manual"), </w:t>
      </w:r>
      <w:r>
        <w:rPr>
          <w:rFonts w:ascii="Arial" w:eastAsia="Arial" w:hAnsi="Arial" w:cs="Arial"/>
          <w:i/>
          <w:color w:val="000000"/>
          <w:sz w:val="20"/>
        </w:rPr>
        <w:t>available at</w:t>
      </w:r>
      <w:r>
        <w:rPr>
          <w:rFonts w:ascii="Arial" w:eastAsia="Arial" w:hAnsi="Arial" w:cs="Arial"/>
          <w:color w:val="000000"/>
          <w:sz w:val="20"/>
        </w:rPr>
        <w:t xml:space="preserve"> http://www.mdch.state.mi.us/dch-medicaid/manuals/MedicaidProviderManual.pdf), </w:t>
      </w:r>
      <w:r>
        <w:rPr>
          <w:rFonts w:ascii="Arial" w:eastAsia="Arial" w:hAnsi="Arial" w:cs="Arial"/>
          <w:i/>
          <w:color w:val="000000"/>
          <w:sz w:val="20"/>
        </w:rPr>
        <w:t>see</w:t>
      </w:r>
      <w:r>
        <w:rPr>
          <w:rFonts w:ascii="Arial" w:eastAsia="Arial" w:hAnsi="Arial" w:cs="Arial"/>
          <w:color w:val="000000"/>
          <w:sz w:val="20"/>
        </w:rPr>
        <w:t xml:space="preserve"> 42 C.F.R. § 441.301(b)(1)(i). The IPOS describes the services that have been deemed "medically necessary" for each recipient based on criteria defined in Michigan's Medicaid Provider Manual. (Am. Compl., R. 146 at PageID #3713; Mich. Medicaid Provider Manual at 337 ("The determination of a medically necessary support, service or treatment must be . . . [d]ocumented in the individual plan of service.").) Michigan's Waiver application, later approved by CMS, explained:  [***6] </w:t>
      </w:r>
    </w:p>
    <w:p w14:paraId="46750F34" w14:textId="77777777" w:rsidR="002B10A6" w:rsidRDefault="00000000">
      <w:pPr>
        <w:pStyle w:val="Normal22"/>
        <w:widowControl w:val="0"/>
        <w:spacing w:before="200" w:line="260" w:lineRule="atLeast"/>
        <w:ind w:left="400"/>
        <w:jc w:val="both"/>
      </w:pPr>
      <w:bookmarkStart w:id="3554" w:name="Bookmark_para_12_17"/>
      <w:bookmarkEnd w:id="3554"/>
      <w:r>
        <w:rPr>
          <w:rFonts w:ascii="Arial" w:eastAsia="Arial" w:hAnsi="Arial" w:cs="Arial"/>
          <w:color w:val="000000"/>
          <w:sz w:val="20"/>
        </w:rPr>
        <w:t>An individual budget includes the expected or estimated costs of . . . obtaining the mental health services and supports included in the IPOS. . . . Once the IPOS is developed, the amount of funding needed to obtain the identified services and supports is determined collectively by the participant, the mental health agency (PIHP or designee), and others participating in the PCP process. This process involves costing out the services and supports using the rates for providers chosen by the participant and the number of hours authorized in the IPOS. . . . The individual budget is authorized in the amount of that total cost of all services and supports in the IPOS. [**9] </w:t>
      </w:r>
    </w:p>
    <w:p w14:paraId="13D51F27" w14:textId="77777777" w:rsidR="002B10A6" w:rsidRDefault="00000000">
      <w:pPr>
        <w:pStyle w:val="Normal22"/>
        <w:widowControl w:val="0"/>
        <w:spacing w:before="200" w:line="260" w:lineRule="atLeast"/>
        <w:jc w:val="both"/>
      </w:pPr>
      <w:r>
        <w:rPr>
          <w:rFonts w:ascii="Arial" w:eastAsia="Arial" w:hAnsi="Arial" w:cs="Arial"/>
          <w:color w:val="000000"/>
          <w:sz w:val="20"/>
        </w:rPr>
        <w:t>(Waiver at 134.) The individual then enters a "self-determination arrangement" with their local community mental health service program. (</w:t>
      </w:r>
      <w:r>
        <w:rPr>
          <w:rFonts w:ascii="Arial" w:eastAsia="Arial" w:hAnsi="Arial" w:cs="Arial"/>
          <w:i/>
          <w:color w:val="000000"/>
          <w:sz w:val="20"/>
        </w:rPr>
        <w:t>Id.</w:t>
      </w:r>
      <w:r>
        <w:rPr>
          <w:rFonts w:ascii="Arial" w:eastAsia="Arial" w:hAnsi="Arial" w:cs="Arial"/>
          <w:color w:val="000000"/>
          <w:sz w:val="20"/>
        </w:rPr>
        <w:t xml:space="preserve"> at 135.) Under that arrangement, the individual determines how to use the funds in their budget to  [*438]  execute their IPOS. This includes hiring, scheduling, and paying staff, as well as selecting, arranging, and paying for services, supports, and treatments listed in the IPOS. A fiscal intermediary actually holds the funds and pays bills directed to them.</w:t>
      </w:r>
    </w:p>
    <w:p w14:paraId="7218C5CD" w14:textId="77777777" w:rsidR="002B10A6" w:rsidRDefault="00000000">
      <w:pPr>
        <w:pStyle w:val="Normal22"/>
        <w:widowControl w:val="0"/>
        <w:spacing w:before="240" w:line="260" w:lineRule="atLeast"/>
      </w:pPr>
      <w:r>
        <w:br/>
      </w:r>
      <w:r>
        <w:rPr>
          <w:rFonts w:ascii="Arial" w:eastAsia="Arial" w:hAnsi="Arial" w:cs="Arial"/>
          <w:b/>
          <w:color w:val="000000"/>
          <w:sz w:val="20"/>
        </w:rPr>
        <w:t>C. WCCMH's Budget Methodology</w:t>
      </w:r>
    </w:p>
    <w:p w14:paraId="3B6930E0" w14:textId="77777777" w:rsidR="002B10A6" w:rsidRDefault="00000000">
      <w:pPr>
        <w:pStyle w:val="Normal22"/>
        <w:widowControl w:val="0"/>
        <w:spacing w:before="200" w:line="260" w:lineRule="atLeast"/>
        <w:jc w:val="both"/>
      </w:pPr>
      <w:bookmarkStart w:id="3555" w:name="Bookmark_para_13_17"/>
      <w:bookmarkEnd w:id="3555"/>
      <w:r>
        <w:rPr>
          <w:rFonts w:ascii="Arial" w:eastAsia="Arial" w:hAnsi="Arial" w:cs="Arial"/>
          <w:color w:val="000000"/>
          <w:sz w:val="20"/>
        </w:rPr>
        <w:t>This brings us to the change in budget methodology that prompted this case. Budgets for CLS services are calculated by multiplying how many hours of services a participant's IPOS calls for by a specific rate. Starting in at least April 2012, the CLS budget for recipients in Washtenaw County was developed by providing a rate for staff or providers and then allowing billing of other services and supports (</w:t>
      </w:r>
      <w:r>
        <w:rPr>
          <w:rFonts w:ascii="Arial" w:eastAsia="Arial" w:hAnsi="Arial" w:cs="Arial"/>
          <w:i/>
          <w:color w:val="000000"/>
          <w:sz w:val="20"/>
        </w:rPr>
        <w:t>e.g.</w:t>
      </w:r>
      <w:r>
        <w:rPr>
          <w:rFonts w:ascii="Arial" w:eastAsia="Arial" w:hAnsi="Arial" w:cs="Arial"/>
          <w:color w:val="000000"/>
          <w:sz w:val="20"/>
        </w:rPr>
        <w:t>, workers' compensation, staff training, and transportation) as separate line items. In 2015, the predecessor to WCCMH, Washtenaw Community Health Organization ("WCHO"), shifted to a budget methodology under which it provided a single, all-inclusive rate to cover both staff and services.</w:t>
      </w:r>
      <w:r>
        <w:rPr>
          <w:rFonts w:ascii="Arial" w:eastAsia="Arial" w:hAnsi="Arial" w:cs="Arial"/>
          <w:vertAlign w:val="superscript"/>
        </w:rPr>
        <w:footnoteReference w:customMarkFollows="1" w:id="152"/>
        <w:t>2</w:t>
      </w:r>
      <w:r>
        <w:rPr>
          <w:rFonts w:ascii="Arial" w:eastAsia="Arial" w:hAnsi="Arial" w:cs="Arial"/>
          <w:color w:val="000000"/>
          <w:sz w:val="20"/>
        </w:rPr>
        <w:t> [**10]  WCCMH now operates under this methodology.</w:t>
      </w:r>
    </w:p>
    <w:p w14:paraId="4D84CE53" w14:textId="77777777" w:rsidR="002B10A6" w:rsidRDefault="00000000">
      <w:pPr>
        <w:pStyle w:val="Normal22"/>
        <w:widowControl w:val="0"/>
        <w:spacing w:before="200" w:line="260" w:lineRule="atLeast"/>
        <w:jc w:val="both"/>
      </w:pPr>
      <w:bookmarkStart w:id="3562" w:name="Bookmark_para_14_17"/>
      <w:bookmarkEnd w:id="3562"/>
      <w:r>
        <w:rPr>
          <w:rFonts w:ascii="Arial" w:eastAsia="Arial" w:hAnsi="Arial" w:cs="Arial"/>
          <w:color w:val="000000"/>
          <w:sz w:val="20"/>
        </w:rPr>
        <w:t> [***7]  As this Court explained in a previous opinion in this case,</w:t>
      </w:r>
    </w:p>
    <w:p w14:paraId="7AEC34E5" w14:textId="77777777" w:rsidR="002B10A6" w:rsidRDefault="00000000">
      <w:pPr>
        <w:pStyle w:val="Normal22"/>
        <w:widowControl w:val="0"/>
        <w:spacing w:line="260" w:lineRule="atLeast"/>
        <w:ind w:left="400"/>
        <w:jc w:val="both"/>
      </w:pPr>
      <w:bookmarkStart w:id="3563" w:name="Bookmark_para_15_17"/>
      <w:bookmarkEnd w:id="3563"/>
      <w:r>
        <w:rPr>
          <w:rFonts w:ascii="Arial" w:eastAsia="Arial" w:hAnsi="Arial" w:cs="Arial"/>
          <w:color w:val="000000"/>
          <w:sz w:val="20"/>
        </w:rPr>
        <w:t xml:space="preserve">The budgeting change did not reduce the total number of service hours recipients were authorized to receive. The effect of utilizing an all-inclusive rate, however, was to reduce the total budget amount for each recipient. </w:t>
      </w:r>
      <w:bookmarkStart w:id="3564" w:name="Bookmark_I61CDHXF2HM6C30010000400"/>
      <w:bookmarkEnd w:id="3564"/>
      <w:r>
        <w:rPr>
          <w:rFonts w:ascii="Arial" w:eastAsia="Arial" w:hAnsi="Arial" w:cs="Arial"/>
          <w:color w:val="000000"/>
          <w:sz w:val="20"/>
        </w:rPr>
        <w:t>As a practical matter, service recipients had to reduce the hourly rate they paid service providers to maintain the level of hours authorized prior to the budget change. The notice to recipients acknowledged this reality, stating that "[w]hile this is not a reduction in your current level of services, it may reduce the amount you can pay your staff."</w:t>
      </w:r>
    </w:p>
    <w:p w14:paraId="52B620DD" w14:textId="77777777" w:rsidR="002B10A6" w:rsidRDefault="00000000">
      <w:pPr>
        <w:pStyle w:val="Normal22"/>
        <w:widowControl w:val="0"/>
        <w:spacing w:before="200" w:line="260" w:lineRule="atLeast"/>
        <w:jc w:val="both"/>
      </w:pPr>
      <w:bookmarkStart w:id="3565" w:name="Bookmark_I61CDHXF2HM6C30010000400_2"/>
      <w:bookmarkStart w:id="3566" w:name="Bookmark_I61CDHXD28T4H50050000400"/>
      <w:bookmarkEnd w:id="3565"/>
      <w:bookmarkEnd w:id="3566"/>
      <w:r>
        <w:rPr>
          <w:rFonts w:ascii="Arial" w:eastAsia="Arial" w:hAnsi="Arial" w:cs="Arial"/>
          <w:i/>
          <w:color w:val="000000"/>
          <w:sz w:val="20"/>
        </w:rPr>
        <w:t>Waskul v. Washtenaw Cty. Cmty. Mental Health</w:t>
      </w:r>
      <w:r>
        <w:rPr>
          <w:rFonts w:ascii="Arial" w:eastAsia="Arial" w:hAnsi="Arial" w:cs="Arial"/>
          <w:color w:val="000000"/>
          <w:sz w:val="20"/>
        </w:rPr>
        <w:t>, 900 F.3d 250, 254 (6th Cir. 2018). CLS recipients like the individual Plaintiffs now had to begin budgeting from the fixed all-inclusive rate (then $13.88 per hour) and subtract out the costs of non-staff services and supports in order to determine the amount they could pay staff. Plaintiffs Waskul, Schneider, and Wiesner challenged the resulting reductions in their budgets in Medicaid Fair Hearings through the Michigan Administrative Hearing System. An administrative law judge ruled in their favor, and their budgets  [*439]  were increased, but the [**11]  budget methodology was not changed.</w:t>
      </w:r>
    </w:p>
    <w:p w14:paraId="301798E0" w14:textId="77777777" w:rsidR="002B10A6" w:rsidRDefault="00000000">
      <w:pPr>
        <w:pStyle w:val="Normal22"/>
        <w:widowControl w:val="0"/>
        <w:spacing w:before="200" w:line="260" w:lineRule="atLeast"/>
        <w:jc w:val="both"/>
      </w:pPr>
      <w:bookmarkStart w:id="3567" w:name="Bookmark_para_16_15"/>
      <w:bookmarkEnd w:id="3567"/>
      <w:r>
        <w:rPr>
          <w:rFonts w:ascii="Arial" w:eastAsia="Arial" w:hAnsi="Arial" w:cs="Arial"/>
          <w:color w:val="000000"/>
          <w:sz w:val="20"/>
        </w:rPr>
        <w:t>Plaintiffs allege that, due to this change in the budget methodology, the funding they receive no longer suffices to cover the services required by their IPOSs. In particular, they say that they cannot find sufficient CLS providers willing to work at the low rates they must pay under the new budgeting method and that, in order to pay providers more, they are now compelled to pay for supports and services themselves and hire family members at below-market rates. As a result of the reduction in support, they allege that they have not been able to receive all of the services identified in their IPOSs and their conditions have deteriorated.</w:t>
      </w:r>
    </w:p>
    <w:p w14:paraId="14509402" w14:textId="77777777" w:rsidR="002B10A6" w:rsidRDefault="00000000">
      <w:pPr>
        <w:pStyle w:val="Normal22"/>
        <w:widowControl w:val="0"/>
        <w:spacing w:before="240" w:line="260" w:lineRule="atLeast"/>
      </w:pPr>
      <w:r>
        <w:br/>
      </w:r>
      <w:r>
        <w:rPr>
          <w:rFonts w:ascii="Arial" w:eastAsia="Arial" w:hAnsi="Arial" w:cs="Arial"/>
          <w:b/>
          <w:color w:val="000000"/>
          <w:sz w:val="20"/>
        </w:rPr>
        <w:t>Procedural Background</w:t>
      </w:r>
    </w:p>
    <w:p w14:paraId="724AC0E7" w14:textId="77777777" w:rsidR="002B10A6" w:rsidRDefault="00000000">
      <w:pPr>
        <w:pStyle w:val="Normal22"/>
        <w:widowControl w:val="0"/>
        <w:spacing w:before="200" w:line="260" w:lineRule="atLeast"/>
        <w:jc w:val="both"/>
      </w:pPr>
      <w:bookmarkStart w:id="3568" w:name="Bookmark_para_17_15"/>
      <w:bookmarkEnd w:id="3568"/>
      <w:r>
        <w:rPr>
          <w:rFonts w:ascii="Arial" w:eastAsia="Arial" w:hAnsi="Arial" w:cs="Arial"/>
          <w:color w:val="000000"/>
          <w:sz w:val="20"/>
        </w:rPr>
        <w:t>In 2016, Plaintiffs Waskul, Wiesner, Schneider and WACA filed the original complaint in this case ("</w:t>
      </w:r>
      <w:r>
        <w:rPr>
          <w:rFonts w:ascii="Arial" w:eastAsia="Arial" w:hAnsi="Arial" w:cs="Arial"/>
          <w:i/>
          <w:color w:val="000000"/>
          <w:sz w:val="20"/>
        </w:rPr>
        <w:t>Waskul I</w:t>
      </w:r>
      <w:r>
        <w:rPr>
          <w:rFonts w:ascii="Arial" w:eastAsia="Arial" w:hAnsi="Arial" w:cs="Arial"/>
          <w:color w:val="000000"/>
          <w:sz w:val="20"/>
        </w:rPr>
        <w:t>"), asserting five claims, including violations of constitutional and statutory due process, the Medicaid Act, and the Michigan Mental Health Code. Plaintiffs then  [***8]  moved for a preliminary injunction, which the district court denied, finding that WACA lacked standing, that the individual Plaintiffs could not show the required irreparable harm on their due process claims because they had received [**12]  hearings following the change in budget methodology, and that they could not show a likelihood of success on their remaining claims because the prior budgeting method to which Plaintiffs sought to return violated Medicaid requirements. Plaintiffs only appealed the district court's decision as to WACA's standing, and on appeal sought only preliminary injunctive relief of "fresh notices and hearing rights" for the unnamed members of the organization. (</w:t>
      </w:r>
      <w:r>
        <w:rPr>
          <w:rFonts w:ascii="Arial" w:eastAsia="Arial" w:hAnsi="Arial" w:cs="Arial"/>
          <w:i/>
          <w:color w:val="000000"/>
          <w:sz w:val="20"/>
        </w:rPr>
        <w:t>Waskul v. Washtenaw Cnty. Cmty. Mental Health</w:t>
      </w:r>
      <w:r>
        <w:rPr>
          <w:rFonts w:ascii="Arial" w:eastAsia="Arial" w:hAnsi="Arial" w:cs="Arial"/>
          <w:color w:val="000000"/>
          <w:sz w:val="20"/>
        </w:rPr>
        <w:t>, No. 16-2742, Pls.' Br., Doc. No. 18 at 48.)</w:t>
      </w:r>
    </w:p>
    <w:p w14:paraId="38D75641" w14:textId="77777777" w:rsidR="002B10A6" w:rsidRDefault="00000000">
      <w:pPr>
        <w:pStyle w:val="Normal22"/>
        <w:widowControl w:val="0"/>
        <w:spacing w:before="200" w:line="260" w:lineRule="atLeast"/>
        <w:jc w:val="both"/>
      </w:pPr>
      <w:bookmarkStart w:id="3569" w:name="Bookmark_para_18_15"/>
      <w:bookmarkEnd w:id="3569"/>
      <w:r>
        <w:rPr>
          <w:rFonts w:ascii="Arial" w:eastAsia="Arial" w:hAnsi="Arial" w:cs="Arial"/>
          <w:color w:val="000000"/>
          <w:sz w:val="20"/>
        </w:rPr>
        <w:t>While that appeal was pending, Plaintiffs filed a new case in the district court (</w:t>
      </w:r>
      <w:r>
        <w:rPr>
          <w:rFonts w:ascii="Arial" w:eastAsia="Arial" w:hAnsi="Arial" w:cs="Arial"/>
          <w:i/>
          <w:color w:val="000000"/>
          <w:sz w:val="20"/>
        </w:rPr>
        <w:t>Waskul II</w:t>
      </w:r>
      <w:r>
        <w:rPr>
          <w:rFonts w:ascii="Arial" w:eastAsia="Arial" w:hAnsi="Arial" w:cs="Arial"/>
          <w:color w:val="000000"/>
          <w:sz w:val="20"/>
        </w:rPr>
        <w:t xml:space="preserve">, E.D. Mich. No. 17-cv-12355), adding Plaintiffs Trabue and Ernst and asserting five new claims. The new complaint also responded to the preliminary injunction ruling by attempting to show that the prior budgeting method did not violate Medicaid requirements. Plaintiffs moved to consolidate the two cases and for leave to file an amended complaint conforming the original complaint in </w:t>
      </w:r>
      <w:r>
        <w:rPr>
          <w:rFonts w:ascii="Arial" w:eastAsia="Arial" w:hAnsi="Arial" w:cs="Arial"/>
          <w:i/>
          <w:color w:val="000000"/>
          <w:sz w:val="20"/>
        </w:rPr>
        <w:t>Waskul I</w:t>
      </w:r>
      <w:r>
        <w:rPr>
          <w:rFonts w:ascii="Arial" w:eastAsia="Arial" w:hAnsi="Arial" w:cs="Arial"/>
          <w:color w:val="000000"/>
          <w:sz w:val="20"/>
        </w:rPr>
        <w:t xml:space="preserve"> to that in </w:t>
      </w:r>
      <w:r>
        <w:rPr>
          <w:rFonts w:ascii="Arial" w:eastAsia="Arial" w:hAnsi="Arial" w:cs="Arial"/>
          <w:i/>
          <w:color w:val="000000"/>
          <w:sz w:val="20"/>
        </w:rPr>
        <w:t>Waskul II</w:t>
      </w:r>
      <w:r>
        <w:rPr>
          <w:rFonts w:ascii="Arial" w:eastAsia="Arial" w:hAnsi="Arial" w:cs="Arial"/>
          <w:color w:val="000000"/>
          <w:sz w:val="20"/>
        </w:rPr>
        <w:t xml:space="preserve">. The district court granted the motion to consolidate, but held the motion for leave to amend in abeyance pending the resolution of Plaintiffs' appeal [**13]  to this Court. Defendants moved to dismiss the </w:t>
      </w:r>
      <w:r>
        <w:rPr>
          <w:rFonts w:ascii="Arial" w:eastAsia="Arial" w:hAnsi="Arial" w:cs="Arial"/>
          <w:i/>
          <w:color w:val="000000"/>
          <w:sz w:val="20"/>
        </w:rPr>
        <w:t>Waskul II</w:t>
      </w:r>
      <w:r>
        <w:rPr>
          <w:rFonts w:ascii="Arial" w:eastAsia="Arial" w:hAnsi="Arial" w:cs="Arial"/>
          <w:color w:val="000000"/>
          <w:sz w:val="20"/>
        </w:rPr>
        <w:t xml:space="preserve"> complaint or for judgment on the pleadings. The district court stayed proceedings in full until resolution of the appeal. Following that stay, Plaintiff Schneider filed a motion for leave to file a second motion for a preliminary injunction.</w:t>
      </w:r>
    </w:p>
    <w:p w14:paraId="3814CAAA" w14:textId="77777777" w:rsidR="002B10A6" w:rsidRDefault="00000000">
      <w:pPr>
        <w:pStyle w:val="Normal22"/>
        <w:widowControl w:val="0"/>
        <w:spacing w:before="200" w:line="260" w:lineRule="atLeast"/>
        <w:jc w:val="both"/>
      </w:pPr>
      <w:bookmarkStart w:id="3570" w:name="Bookmark_para_19_14"/>
      <w:bookmarkStart w:id="3571" w:name="Bookmark_I61CDHXF2HM6C30030000400"/>
      <w:bookmarkEnd w:id="3570"/>
      <w:bookmarkEnd w:id="3571"/>
      <w:r>
        <w:rPr>
          <w:rFonts w:ascii="Arial" w:eastAsia="Arial" w:hAnsi="Arial" w:cs="Arial"/>
          <w:color w:val="000000"/>
          <w:sz w:val="20"/>
        </w:rPr>
        <w:t xml:space="preserve">On August 14, 2018, this Court issued its decision regarding Plaintiffs' appeal. </w:t>
      </w:r>
      <w:bookmarkStart w:id="3572" w:name="Bookmark_I61CDHXF2HM6C30050000400"/>
      <w:bookmarkStart w:id="3573" w:name="Bookmark_I61CDHXF2HM6C30020000400"/>
      <w:bookmarkEnd w:id="3572"/>
      <w:bookmarkEnd w:id="3573"/>
      <w:r>
        <w:rPr>
          <w:rFonts w:ascii="Arial" w:eastAsia="Arial" w:hAnsi="Arial" w:cs="Arial"/>
          <w:i/>
          <w:color w:val="000000"/>
          <w:sz w:val="20"/>
        </w:rPr>
        <w:t>Waskul</w:t>
      </w:r>
      <w:r>
        <w:rPr>
          <w:rFonts w:ascii="Arial" w:eastAsia="Arial" w:hAnsi="Arial" w:cs="Arial"/>
          <w:color w:val="000000"/>
          <w:sz w:val="20"/>
        </w:rPr>
        <w:t xml:space="preserve">, 900 F.3d at 250. </w:t>
      </w:r>
      <w:bookmarkStart w:id="3574" w:name="Bookmark_I61CDHXF2N1PPK0020000400"/>
      <w:bookmarkEnd w:id="3574"/>
      <w:r>
        <w:rPr>
          <w:rFonts w:ascii="Arial" w:eastAsia="Arial" w:hAnsi="Arial" w:cs="Arial"/>
          <w:color w:val="000000"/>
          <w:sz w:val="20"/>
        </w:rPr>
        <w:t xml:space="preserve">It found that WACA lacked standing to seek the relief it requested on appeal—namely, "(1) 'fresh notices,' and (2) 'hearing rights with respect to the reduction in their CLS budgets'"—because its three named members had already received that relief prior to the complaint being filed and because Plaintiffs could not identify any other members that would benefit from that relief. </w:t>
      </w:r>
      <w:bookmarkStart w:id="3575" w:name="Bookmark_I61CDHXF2N1PPK0020000400_2"/>
      <w:bookmarkStart w:id="3576" w:name="Bookmark_I61CDHXF2HM6C30050000400_2"/>
      <w:bookmarkStart w:id="3577" w:name="Bookmark_I61CDHXF2HM6C30040000400"/>
      <w:bookmarkEnd w:id="3575"/>
      <w:bookmarkEnd w:id="3576"/>
      <w:bookmarkEnd w:id="3577"/>
      <w:r>
        <w:rPr>
          <w:rFonts w:ascii="Arial" w:eastAsia="Arial" w:hAnsi="Arial" w:cs="Arial"/>
          <w:i/>
          <w:color w:val="000000"/>
          <w:sz w:val="20"/>
        </w:rPr>
        <w:t>Id.</w:t>
      </w:r>
      <w:r>
        <w:rPr>
          <w:rFonts w:ascii="Arial" w:eastAsia="Arial" w:hAnsi="Arial" w:cs="Arial"/>
          <w:color w:val="000000"/>
          <w:sz w:val="20"/>
        </w:rPr>
        <w:t xml:space="preserve"> at 256-58. </w:t>
      </w:r>
      <w:r>
        <w:rPr>
          <w:rFonts w:ascii="Arial" w:eastAsia="Arial" w:hAnsi="Arial" w:cs="Arial"/>
          <w:i/>
          <w:color w:val="000000"/>
          <w:sz w:val="20"/>
        </w:rPr>
        <w:t xml:space="preserve">But see </w:t>
      </w:r>
      <w:bookmarkStart w:id="3578" w:name="Bookmark_I61CDHXF2N1PPK0010000400"/>
      <w:bookmarkEnd w:id="3578"/>
      <w:r>
        <w:rPr>
          <w:rFonts w:ascii="Arial" w:eastAsia="Arial" w:hAnsi="Arial" w:cs="Arial"/>
          <w:i/>
          <w:color w:val="000000"/>
          <w:sz w:val="20"/>
        </w:rPr>
        <w:t>id.</w:t>
      </w:r>
      <w:r>
        <w:rPr>
          <w:rFonts w:ascii="Arial" w:eastAsia="Arial" w:hAnsi="Arial" w:cs="Arial"/>
          <w:color w:val="000000"/>
          <w:sz w:val="20"/>
        </w:rPr>
        <w:t xml:space="preserve"> at 258-60 (Stranch, J., concurring in the judgment) (concluding that WACA had sufficiently shown standing, but concurring because "[o]n the record before us, we cannot conclude that either of the budget calculation methods at  [***9]  issue is required or prohibited by the statute or regulation and, therefore, the district court did not abuse its discretion in determining there was 'not a high likelihood of success'").</w:t>
      </w:r>
    </w:p>
    <w:p w14:paraId="10AFA770" w14:textId="77777777" w:rsidR="002B10A6" w:rsidRDefault="00000000">
      <w:pPr>
        <w:pStyle w:val="Normal22"/>
        <w:widowControl w:val="0"/>
        <w:spacing w:before="200" w:line="260" w:lineRule="atLeast"/>
        <w:jc w:val="both"/>
      </w:pPr>
      <w:bookmarkStart w:id="3579" w:name="Bookmark_para_20_14"/>
      <w:bookmarkEnd w:id="3579"/>
      <w:r>
        <w:rPr>
          <w:rFonts w:ascii="Arial" w:eastAsia="Arial" w:hAnsi="Arial" w:cs="Arial"/>
          <w:color w:val="000000"/>
          <w:sz w:val="20"/>
        </w:rPr>
        <w:t xml:space="preserve"> [*440]  After this Court's decision, [**14]  the district court lifted the stay and requested supplemental briefing on the pending motions in </w:t>
      </w:r>
      <w:r>
        <w:rPr>
          <w:rFonts w:ascii="Arial" w:eastAsia="Arial" w:hAnsi="Arial" w:cs="Arial"/>
          <w:i/>
          <w:color w:val="000000"/>
          <w:sz w:val="20"/>
        </w:rPr>
        <w:t>Waskul II</w:t>
      </w:r>
      <w:r>
        <w:rPr>
          <w:rFonts w:ascii="Arial" w:eastAsia="Arial" w:hAnsi="Arial" w:cs="Arial"/>
          <w:color w:val="000000"/>
          <w:sz w:val="20"/>
        </w:rPr>
        <w:t>. The parties agreed to withdraw pending motions and refile them with modified arguments as desired. Plaintiffs responded to those motions, and Defendants replied. Plaintiff Schneider then renewed his motion for a preliminary injunction. At the motion hearing, the district court granted Plaintiffs' longstanding request for leave to file the amended complaint and agreed to treat the pending motions as directed at the amended complaint.</w:t>
      </w:r>
    </w:p>
    <w:p w14:paraId="3DB738B2" w14:textId="77777777" w:rsidR="002B10A6" w:rsidRDefault="00000000">
      <w:pPr>
        <w:pStyle w:val="Normal22"/>
        <w:widowControl w:val="0"/>
        <w:spacing w:before="200" w:line="260" w:lineRule="atLeast"/>
        <w:jc w:val="both"/>
      </w:pPr>
      <w:bookmarkStart w:id="3580" w:name="Bookmark_para_21_14"/>
      <w:bookmarkEnd w:id="3580"/>
      <w:r>
        <w:rPr>
          <w:rFonts w:ascii="Arial" w:eastAsia="Arial" w:hAnsi="Arial" w:cs="Arial"/>
          <w:color w:val="000000"/>
          <w:sz w:val="20"/>
        </w:rPr>
        <w:t>On March 20, 2019, the district court issued an order construing Defendants' motions as motions to dismiss and dismissing Plaintiffs' claims in their entirety. This timely appeal followed.</w:t>
      </w:r>
    </w:p>
    <w:p w14:paraId="3906E9AB" w14:textId="77777777" w:rsidR="002B10A6" w:rsidRDefault="00000000">
      <w:pPr>
        <w:pStyle w:val="Normal22"/>
        <w:widowControl w:val="0"/>
        <w:spacing w:before="240" w:line="260" w:lineRule="atLeast"/>
      </w:pPr>
      <w:r>
        <w:br/>
      </w:r>
      <w:r>
        <w:rPr>
          <w:rFonts w:ascii="Arial" w:eastAsia="Arial" w:hAnsi="Arial" w:cs="Arial"/>
          <w:b/>
          <w:color w:val="000000"/>
          <w:sz w:val="20"/>
        </w:rPr>
        <w:t>DISCUSSION</w:t>
      </w:r>
    </w:p>
    <w:p w14:paraId="593F1944" w14:textId="77777777" w:rsidR="002B10A6" w:rsidRDefault="00000000">
      <w:pPr>
        <w:pStyle w:val="Normal22"/>
        <w:widowControl w:val="0"/>
        <w:spacing w:before="240" w:line="260" w:lineRule="atLeast"/>
      </w:pPr>
      <w:r>
        <w:br/>
      </w:r>
      <w:r>
        <w:rPr>
          <w:rFonts w:ascii="Arial" w:eastAsia="Arial" w:hAnsi="Arial" w:cs="Arial"/>
          <w:b/>
          <w:color w:val="000000"/>
          <w:sz w:val="20"/>
        </w:rPr>
        <w:t>Standard of Review</w:t>
      </w:r>
    </w:p>
    <w:p w14:paraId="64B91EDE" w14:textId="77777777" w:rsidR="002B10A6" w:rsidRDefault="00000000">
      <w:pPr>
        <w:pStyle w:val="Normal22"/>
        <w:widowControl w:val="0"/>
        <w:spacing w:before="200" w:line="260" w:lineRule="atLeast"/>
        <w:jc w:val="both"/>
      </w:pPr>
      <w:bookmarkStart w:id="3581" w:name="Bookmark_para_22_14"/>
      <w:bookmarkStart w:id="3582" w:name="Bookmark_I61CDHXF2N1PPK0040000400"/>
      <w:bookmarkStart w:id="3583" w:name="Bookmark_I61CDHXF2SF84Y0010000400"/>
      <w:bookmarkStart w:id="3584" w:name="Bookmark_LNHNREFclscc3_18"/>
      <w:bookmarkEnd w:id="3581"/>
      <w:bookmarkEnd w:id="3582"/>
      <w:bookmarkEnd w:id="3583"/>
      <w:bookmarkEnd w:id="3584"/>
      <w:r>
        <w:rPr>
          <w:rFonts w:ascii="Arial" w:eastAsia="Arial" w:hAnsi="Arial" w:cs="Arial"/>
          <w:color w:val="000000"/>
          <w:sz w:val="20"/>
        </w:rPr>
        <w:t xml:space="preserve">We review the grant of a motion to dismiss </w:t>
      </w:r>
      <w:r>
        <w:rPr>
          <w:rFonts w:ascii="Arial" w:eastAsia="Arial" w:hAnsi="Arial" w:cs="Arial"/>
          <w:i/>
          <w:color w:val="000000"/>
          <w:sz w:val="20"/>
        </w:rPr>
        <w:t xml:space="preserve">de novo. </w:t>
      </w:r>
      <w:bookmarkStart w:id="3585" w:name="Bookmark_I61CDHXF2N1PPK0030000400"/>
      <w:bookmarkEnd w:id="3585"/>
      <w:r>
        <w:rPr>
          <w:rFonts w:ascii="Arial" w:eastAsia="Arial" w:hAnsi="Arial" w:cs="Arial"/>
          <w:i/>
          <w:color w:val="000000"/>
          <w:sz w:val="20"/>
        </w:rPr>
        <w:t>Mezibov v. Allen</w:t>
      </w:r>
      <w:r>
        <w:rPr>
          <w:rFonts w:ascii="Arial" w:eastAsia="Arial" w:hAnsi="Arial" w:cs="Arial"/>
          <w:color w:val="000000"/>
          <w:sz w:val="20"/>
        </w:rPr>
        <w:t xml:space="preserve">, 411 F.3d 712, 716 (6th Cir. 2005). </w:t>
      </w:r>
      <w:bookmarkStart w:id="3586" w:name="Bookmark_I61CDHXF2SF84Y0050000400"/>
      <w:bookmarkEnd w:id="3586"/>
      <w:r>
        <w:rPr>
          <w:rFonts w:ascii="Arial" w:eastAsia="Arial" w:hAnsi="Arial" w:cs="Arial"/>
          <w:color w:val="000000"/>
          <w:sz w:val="20"/>
        </w:rPr>
        <w:t xml:space="preserve">"To survive a motion to dismiss, a complaint must contain sufficient factual matter, accepted as true, to 'state a claim to relief that is plausible on its face.'" </w:t>
      </w:r>
      <w:bookmarkStart w:id="3587" w:name="Bookmark_I61CDHXF2N1PPK0050000400"/>
      <w:bookmarkEnd w:id="3587"/>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(quoting </w:t>
      </w:r>
      <w:bookmarkStart w:id="3588" w:name="Bookmark_I61CDHXF2SF84Y0020000400"/>
      <w:bookmarkEnd w:id="3588"/>
      <w:r>
        <w:rPr>
          <w:rFonts w:ascii="Arial" w:eastAsia="Arial" w:hAnsi="Arial" w:cs="Arial"/>
          <w:i/>
          <w:color w:val="000000"/>
          <w:sz w:val="20"/>
        </w:rPr>
        <w:t>Bell Atl. Corp. v. Twombly</w:t>
      </w:r>
      <w:r>
        <w:rPr>
          <w:rFonts w:ascii="Arial" w:eastAsia="Arial" w:hAnsi="Arial" w:cs="Arial"/>
          <w:color w:val="000000"/>
          <w:sz w:val="20"/>
        </w:rPr>
        <w:t xml:space="preserve">, 550 U.S. 544, 570, 127 S. Ct. 1955, 167 L. Ed. 2d 929 (2007)). A claim is facially plausible only when "the plaintiff pleads factual content that allows the court to draw the reasonable inference that the defendant is liable for the misconduct alleged," thus raising "more [**15]  than a sheer possibility that a defendant has acted unlawfully." </w:t>
      </w:r>
      <w:r>
        <w:rPr>
          <w:rFonts w:ascii="Arial" w:eastAsia="Arial" w:hAnsi="Arial" w:cs="Arial"/>
          <w:i/>
          <w:color w:val="000000"/>
          <w:sz w:val="20"/>
        </w:rPr>
        <w:t>Id.</w:t>
      </w:r>
      <w:r>
        <w:rPr>
          <w:rFonts w:ascii="Arial" w:eastAsia="Arial" w:hAnsi="Arial" w:cs="Arial"/>
          <w:color w:val="000000"/>
          <w:sz w:val="20"/>
        </w:rPr>
        <w:t xml:space="preserve"> In our review, we construe the complaint in the light most favorable to the plaintiff, accept all well-pleaded factual allegations as true, and draw all reasonable inferences in her favor. </w:t>
      </w:r>
      <w:bookmarkStart w:id="3589" w:name="Bookmark_I61CDHXF2SF84Y0050000400_2"/>
      <w:bookmarkStart w:id="3590" w:name="Bookmark_I61CDHXF2SF84Y0040000400"/>
      <w:bookmarkEnd w:id="3589"/>
      <w:bookmarkEnd w:id="3590"/>
      <w:r>
        <w:rPr>
          <w:rFonts w:ascii="Arial" w:eastAsia="Arial" w:hAnsi="Arial" w:cs="Arial"/>
          <w:i/>
          <w:color w:val="000000"/>
          <w:sz w:val="20"/>
        </w:rPr>
        <w:t>Cahoo v. SAS Analytics, Inc.</w:t>
      </w:r>
      <w:r>
        <w:rPr>
          <w:rFonts w:ascii="Arial" w:eastAsia="Arial" w:hAnsi="Arial" w:cs="Arial"/>
          <w:color w:val="000000"/>
          <w:sz w:val="20"/>
        </w:rPr>
        <w:t>, 912 F.3d 887, 897 (6th Cir. 2019).</w:t>
      </w:r>
    </w:p>
    <w:p w14:paraId="2CE20A55" w14:textId="77777777" w:rsidR="002B10A6" w:rsidRDefault="00000000">
      <w:pPr>
        <w:pStyle w:val="Normal22"/>
        <w:widowControl w:val="0"/>
        <w:spacing w:before="200" w:line="260" w:lineRule="atLeast"/>
        <w:jc w:val="both"/>
      </w:pPr>
      <w:bookmarkStart w:id="3591" w:name="Bookmark_para_23_14"/>
      <w:bookmarkEnd w:id="3591"/>
      <w:r>
        <w:rPr>
          <w:rFonts w:ascii="Arial" w:eastAsia="Arial" w:hAnsi="Arial" w:cs="Arial"/>
          <w:color w:val="000000"/>
          <w:sz w:val="20"/>
        </w:rPr>
        <w:t>On appeal, the parties dispute what evidence the district court considered and what evidence we may consider. Plaintiffs contend that, given the district court's extended delay in granting their motion to amend their complaint, we should consider other materials before the  [***10]  district court that they relied on in opposing Defendants' dispositive motions, including the evidentiary records associated with Defendants' initial motions to dismiss and for summary judgment, Plaintiff Schneider's motion for a preliminary injunction, and supplemental briefing and arguments submitted to the district court following various status conferences and hearings. Defendants seek to rely on similar evidence, including testimony from the preliminary injunction hearing.</w:t>
      </w:r>
    </w:p>
    <w:p w14:paraId="76B336FE" w14:textId="77777777" w:rsidR="002B10A6" w:rsidRDefault="00000000">
      <w:pPr>
        <w:pStyle w:val="Normal22"/>
        <w:widowControl w:val="0"/>
        <w:spacing w:before="200" w:line="260" w:lineRule="atLeast"/>
        <w:jc w:val="both"/>
      </w:pPr>
      <w:bookmarkStart w:id="3592" w:name="Bookmark_para_24_14"/>
      <w:bookmarkStart w:id="3593" w:name="Bookmark_I61CDHXG2HM6C80020000400"/>
      <w:bookmarkEnd w:id="3592"/>
      <w:bookmarkEnd w:id="3593"/>
      <w:r>
        <w:rPr>
          <w:rFonts w:ascii="Arial" w:eastAsia="Arial" w:hAnsi="Arial" w:cs="Arial"/>
          <w:color w:val="000000"/>
          <w:sz w:val="20"/>
        </w:rPr>
        <w:t xml:space="preserve">We decline to consider this evidence. </w:t>
      </w:r>
      <w:bookmarkStart w:id="3594" w:name="Bookmark_LNHNREFclscc4_18"/>
      <w:bookmarkEnd w:id="3594"/>
      <w:r>
        <w:rPr>
          <w:rFonts w:ascii="Arial" w:eastAsia="Arial" w:hAnsi="Arial" w:cs="Arial"/>
          <w:color w:val="000000"/>
          <w:sz w:val="20"/>
        </w:rPr>
        <w:t xml:space="preserve">As a general rule, a court considering a motion to dismiss "must focus only on the allegations in the pleadings." </w:t>
      </w:r>
      <w:bookmarkStart w:id="3595" w:name="Bookmark_I61CDHXG2HM6C80010000400"/>
      <w:bookmarkEnd w:id="3595"/>
      <w:r>
        <w:rPr>
          <w:rFonts w:ascii="Arial" w:eastAsia="Arial" w:hAnsi="Arial" w:cs="Arial"/>
          <w:i/>
          <w:color w:val="000000"/>
          <w:sz w:val="20"/>
        </w:rPr>
        <w:t>Bates v. Green Farms Condo. Ass'n</w:t>
      </w:r>
      <w:r>
        <w:rPr>
          <w:rFonts w:ascii="Arial" w:eastAsia="Arial" w:hAnsi="Arial" w:cs="Arial"/>
          <w:color w:val="000000"/>
          <w:sz w:val="20"/>
        </w:rPr>
        <w:t xml:space="preserve">, 958 F.3d 470, 483 (6th Cir. 2020). This does not include plaintiffs' [**16]  responses to a motion to dismiss. </w:t>
      </w:r>
      <w:r>
        <w:rPr>
          <w:rFonts w:ascii="Arial" w:eastAsia="Arial" w:hAnsi="Arial" w:cs="Arial"/>
          <w:i/>
          <w:color w:val="000000"/>
          <w:sz w:val="20"/>
        </w:rPr>
        <w:t>Id.</w:t>
      </w:r>
      <w:r>
        <w:rPr>
          <w:rFonts w:ascii="Arial" w:eastAsia="Arial" w:hAnsi="Arial" w:cs="Arial"/>
          <w:color w:val="000000"/>
          <w:sz w:val="20"/>
        </w:rPr>
        <w:t xml:space="preserve"> "If plaintiffs believe they need to supplement their complaint with additional facts to withstand [a motion to dismiss] . . . they have a readily available tool: a motion to amend the complaint under Rule 15." </w:t>
      </w:r>
      <w:r>
        <w:rPr>
          <w:rFonts w:ascii="Arial" w:eastAsia="Arial" w:hAnsi="Arial" w:cs="Arial"/>
          <w:i/>
          <w:color w:val="000000"/>
          <w:sz w:val="20"/>
        </w:rPr>
        <w:t>Id.</w:t>
      </w:r>
      <w:r>
        <w:rPr>
          <w:rFonts w:ascii="Arial" w:eastAsia="Arial" w:hAnsi="Arial" w:cs="Arial"/>
          <w:color w:val="000000"/>
          <w:sz w:val="20"/>
        </w:rPr>
        <w:t xml:space="preserve"> They cannot "amend their complaint in an opposition brief or ask the court to consider new allegations (or evidence) not contained in the complaint." </w:t>
      </w:r>
      <w:r>
        <w:rPr>
          <w:rFonts w:ascii="Arial" w:eastAsia="Arial" w:hAnsi="Arial" w:cs="Arial"/>
          <w:i/>
          <w:color w:val="000000"/>
          <w:sz w:val="20"/>
        </w:rPr>
        <w:t>Id.</w:t>
      </w:r>
      <w:r>
        <w:rPr>
          <w:rFonts w:ascii="Arial" w:eastAsia="Arial" w:hAnsi="Arial" w:cs="Arial"/>
          <w:color w:val="000000"/>
          <w:sz w:val="20"/>
        </w:rPr>
        <w:t xml:space="preserve"> Plaintiffs offer no explanation for why they did not seek a second amendment of their complaint, especially given the court's willingness to permit Defendants to update their motions to dismiss following this Court's disposition of Plaintiffs' appeal. Thus, we will consider the viability of Plaintiffs' claims without reference to evidence not included in Plaintiffs' complaint.</w:t>
      </w:r>
    </w:p>
    <w:p w14:paraId="54519F7D" w14:textId="77777777" w:rsidR="002B10A6" w:rsidRDefault="00000000">
      <w:pPr>
        <w:pStyle w:val="Normal22"/>
        <w:widowControl w:val="0"/>
        <w:spacing w:before="240" w:line="260" w:lineRule="atLeast"/>
      </w:pPr>
      <w:r>
        <w:br/>
      </w:r>
      <w:r>
        <w:rPr>
          <w:rFonts w:ascii="Arial" w:eastAsia="Arial" w:hAnsi="Arial" w:cs="Arial"/>
          <w:color w:val="000000"/>
          <w:sz w:val="20"/>
        </w:rPr>
        <w:t xml:space="preserve"> [*441]  </w:t>
      </w:r>
      <w:r>
        <w:rPr>
          <w:rFonts w:ascii="Arial" w:eastAsia="Arial" w:hAnsi="Arial" w:cs="Arial"/>
          <w:b/>
          <w:color w:val="000000"/>
          <w:sz w:val="20"/>
        </w:rPr>
        <w:t>Standing</w:t>
      </w:r>
    </w:p>
    <w:p w14:paraId="5A6069EE" w14:textId="77777777" w:rsidR="002B10A6" w:rsidRDefault="00000000">
      <w:pPr>
        <w:pStyle w:val="Normal22"/>
        <w:widowControl w:val="0"/>
        <w:spacing w:before="200" w:line="260" w:lineRule="atLeast"/>
        <w:jc w:val="both"/>
      </w:pPr>
      <w:bookmarkStart w:id="3596" w:name="Bookmark_para_25_14"/>
      <w:bookmarkEnd w:id="3596"/>
      <w:r>
        <w:rPr>
          <w:rFonts w:ascii="Arial" w:eastAsia="Arial" w:hAnsi="Arial" w:cs="Arial"/>
          <w:color w:val="000000"/>
          <w:sz w:val="20"/>
        </w:rPr>
        <w:t xml:space="preserve">Before turning to the merits of Plaintiffs' claims, we must address several threshold matters. </w:t>
      </w:r>
      <w:bookmarkStart w:id="3597" w:name="Bookmark_I61CDHXG2HM6C80040000400"/>
      <w:bookmarkEnd w:id="3597"/>
      <w:r>
        <w:rPr>
          <w:rFonts w:ascii="Arial" w:eastAsia="Arial" w:hAnsi="Arial" w:cs="Arial"/>
          <w:color w:val="000000"/>
          <w:sz w:val="20"/>
        </w:rPr>
        <w:t xml:space="preserve">First, PIHP Defendants assert on appeal that Plaintiff WACA "lack[s] standing to bring claims on behalf of unnamed individuals." (PIHP Defs.' Br. at 39-42.) As discussed, we previously found that Plaintiff WACA lacked standing to assert its due process claims because all named members of the association had received the relief then sought—fresh [**17]  notices and hearing rights—prior to filing their complaint and Plaintiffs did not show that any unnamed member of the association had not received this relief. </w:t>
      </w:r>
      <w:bookmarkStart w:id="3598" w:name="Bookmark_I61CDHXG2HM6C80030000400"/>
      <w:bookmarkEnd w:id="3598"/>
      <w:r>
        <w:rPr>
          <w:rFonts w:ascii="Arial" w:eastAsia="Arial" w:hAnsi="Arial" w:cs="Arial"/>
          <w:i/>
          <w:color w:val="000000"/>
          <w:sz w:val="20"/>
        </w:rPr>
        <w:t>Waskul</w:t>
      </w:r>
      <w:r>
        <w:rPr>
          <w:rFonts w:ascii="Arial" w:eastAsia="Arial" w:hAnsi="Arial" w:cs="Arial"/>
          <w:color w:val="000000"/>
          <w:sz w:val="20"/>
        </w:rPr>
        <w:t>, 900 F.3d at 256-58. Plaintiffs have voluntarily dismissed their due process claims, and their remaining claims do not suffer from this deficiency.</w:t>
      </w:r>
    </w:p>
    <w:p w14:paraId="3FCCC267" w14:textId="77777777" w:rsidR="002B10A6" w:rsidRDefault="00000000">
      <w:pPr>
        <w:pStyle w:val="Normal22"/>
        <w:widowControl w:val="0"/>
        <w:spacing w:before="200" w:line="260" w:lineRule="atLeast"/>
        <w:jc w:val="both"/>
      </w:pPr>
      <w:bookmarkStart w:id="3599" w:name="Bookmark_para_26_14"/>
      <w:bookmarkStart w:id="3600" w:name="Bookmark_I69C451XYHG0000624M00001"/>
      <w:bookmarkStart w:id="3601" w:name="Bookmark_I61CDHXG2D6NY80010000400"/>
      <w:bookmarkStart w:id="3602" w:name="Bookmark_I61CDHXG2D6NY80030000400"/>
      <w:bookmarkEnd w:id="3599"/>
      <w:bookmarkEnd w:id="3600"/>
      <w:bookmarkEnd w:id="3601"/>
      <w:bookmarkEnd w:id="3602"/>
      <w:r>
        <w:rPr>
          <w:rFonts w:ascii="Arial" w:eastAsia="Arial" w:hAnsi="Arial" w:cs="Arial"/>
          <w:color w:val="000000"/>
          <w:sz w:val="20"/>
        </w:rPr>
        <w:t xml:space="preserve"> [***11]  </w:t>
      </w:r>
      <w:bookmarkStart w:id="3603" w:name="Bookmark_LNHNREFclscc5_18"/>
      <w:bookmarkEnd w:id="3603"/>
      <w:r>
        <w:rPr>
          <w:rFonts w:ascii="Arial" w:eastAsia="Arial" w:hAnsi="Arial" w:cs="Arial"/>
          <w:color w:val="000000"/>
          <w:sz w:val="20"/>
        </w:rPr>
        <w:t xml:space="preserve">"An association has standing to bring suit on behalf of its members when [1] its members would otherwise have standing to sue in their own right, [2] the interests at stake are germane to the organization's purpose, and [3] neither the claim asserted nor the relief requested requires the participation of individual members in the lawsuit." </w:t>
      </w:r>
      <w:bookmarkStart w:id="3604" w:name="Bookmark_I61CDHXG2HM6C80050000400"/>
      <w:bookmarkEnd w:id="3604"/>
      <w:r>
        <w:rPr>
          <w:rFonts w:ascii="Arial" w:eastAsia="Arial" w:hAnsi="Arial" w:cs="Arial"/>
          <w:i/>
          <w:color w:val="000000"/>
          <w:sz w:val="20"/>
        </w:rPr>
        <w:t>Friends of the Earth, Inc. v. Laidlaw Envtl. Servs., Inc.</w:t>
      </w:r>
      <w:r>
        <w:rPr>
          <w:rFonts w:ascii="Arial" w:eastAsia="Arial" w:hAnsi="Arial" w:cs="Arial"/>
          <w:color w:val="000000"/>
          <w:sz w:val="20"/>
        </w:rPr>
        <w:t xml:space="preserve">, 528 U.S. 167, 181, 120 S. Ct. 693, 145 L. Ed. 2d 610 (2000). </w:t>
      </w:r>
      <w:bookmarkStart w:id="3605" w:name="Bookmark_I69C451Y6T80000624M00002"/>
      <w:bookmarkStart w:id="3606" w:name="Bookmark_I61CDHXH2SF8560020000400"/>
      <w:bookmarkEnd w:id="3605"/>
      <w:bookmarkEnd w:id="3606"/>
      <w:r>
        <w:rPr>
          <w:rFonts w:ascii="Arial" w:eastAsia="Arial" w:hAnsi="Arial" w:cs="Arial"/>
          <w:color w:val="000000"/>
          <w:sz w:val="20"/>
        </w:rPr>
        <w:t xml:space="preserve">"Regarding the first element, it generally suffices for an association to demonstrate that 'at least one of [its] members would have standing to sue on his own.'" </w:t>
      </w:r>
      <w:bookmarkStart w:id="3607" w:name="Bookmark_I61CDHXG2D6NY80020000400"/>
      <w:bookmarkEnd w:id="3607"/>
      <w:r>
        <w:rPr>
          <w:rFonts w:ascii="Arial" w:eastAsia="Arial" w:hAnsi="Arial" w:cs="Arial"/>
          <w:i/>
          <w:color w:val="000000"/>
          <w:sz w:val="20"/>
        </w:rPr>
        <w:t>Waskul</w:t>
      </w:r>
      <w:r>
        <w:rPr>
          <w:rFonts w:ascii="Arial" w:eastAsia="Arial" w:hAnsi="Arial" w:cs="Arial"/>
          <w:color w:val="000000"/>
          <w:sz w:val="20"/>
        </w:rPr>
        <w:t xml:space="preserve">, 900 F.3d at 255 (alteration in original) (quoting </w:t>
      </w:r>
      <w:bookmarkStart w:id="3608" w:name="Bookmark_I61CDHXG2D6NY80040000400"/>
      <w:bookmarkEnd w:id="3608"/>
      <w:r>
        <w:rPr>
          <w:rFonts w:ascii="Arial" w:eastAsia="Arial" w:hAnsi="Arial" w:cs="Arial"/>
          <w:i/>
          <w:color w:val="000000"/>
          <w:sz w:val="20"/>
        </w:rPr>
        <w:t>United Food &amp; Comm. Workers Union Local 751 v. Brown Grp., Inc.</w:t>
      </w:r>
      <w:r>
        <w:rPr>
          <w:rFonts w:ascii="Arial" w:eastAsia="Arial" w:hAnsi="Arial" w:cs="Arial"/>
          <w:color w:val="000000"/>
          <w:sz w:val="20"/>
        </w:rPr>
        <w:t xml:space="preserve">, 517 U.S. 544, 554-55, 116 S. Ct. 1529, 134 L. Ed. 2d 758 (1996)). </w:t>
      </w:r>
      <w:bookmarkStart w:id="3609" w:name="Bookmark_I61CDHXH2SF8560020000400_2"/>
      <w:bookmarkEnd w:id="3609"/>
      <w:r>
        <w:rPr>
          <w:rFonts w:ascii="Arial" w:eastAsia="Arial" w:hAnsi="Arial" w:cs="Arial"/>
          <w:color w:val="000000"/>
          <w:sz w:val="20"/>
        </w:rPr>
        <w:t xml:space="preserve">Thus, if any of the individual Plaintiffs have standing, WACA may appropriately assert standing based upon their standing, because each is a member of WACA. </w:t>
      </w:r>
      <w:bookmarkStart w:id="3610" w:name="Bookmark_LNHNREFclscc6_16"/>
      <w:bookmarkEnd w:id="3610"/>
      <w:r>
        <w:rPr>
          <w:rFonts w:ascii="Arial" w:eastAsia="Arial" w:hAnsi="Arial" w:cs="Arial"/>
          <w:color w:val="000000"/>
          <w:sz w:val="20"/>
        </w:rPr>
        <w:t xml:space="preserve">A plaintiff has standing only if: (1) she has suffered an "injury in fact," </w:t>
      </w:r>
      <w:r>
        <w:rPr>
          <w:rFonts w:ascii="Arial" w:eastAsia="Arial" w:hAnsi="Arial" w:cs="Arial"/>
          <w:i/>
          <w:color w:val="000000"/>
          <w:sz w:val="20"/>
        </w:rPr>
        <w:t>i.e.</w:t>
      </w:r>
      <w:r>
        <w:rPr>
          <w:rFonts w:ascii="Arial" w:eastAsia="Arial" w:hAnsi="Arial" w:cs="Arial"/>
          <w:color w:val="000000"/>
          <w:sz w:val="20"/>
        </w:rPr>
        <w:t xml:space="preserve">, actual or imminent, concrete and particularized harm to a legally protected interest; (2) there is "a causal connection between [**18]  the injury and the conduct complained of"; and (3) the injury is likely to be redressed by a favorable decision. </w:t>
      </w:r>
      <w:bookmarkStart w:id="3611" w:name="Bookmark_I61CDHXH2SF8560040000400"/>
      <w:bookmarkStart w:id="3612" w:name="Bookmark_I61CDHXH2SF8560010000400"/>
      <w:bookmarkEnd w:id="3611"/>
      <w:bookmarkEnd w:id="3612"/>
      <w:r>
        <w:rPr>
          <w:rFonts w:ascii="Arial" w:eastAsia="Arial" w:hAnsi="Arial" w:cs="Arial"/>
          <w:i/>
          <w:color w:val="000000"/>
          <w:sz w:val="20"/>
        </w:rPr>
        <w:t>Lujan v. Defenders of Wildlife</w:t>
      </w:r>
      <w:r>
        <w:rPr>
          <w:rFonts w:ascii="Arial" w:eastAsia="Arial" w:hAnsi="Arial" w:cs="Arial"/>
          <w:color w:val="000000"/>
          <w:sz w:val="20"/>
        </w:rPr>
        <w:t xml:space="preserve">, 504 U.S. 555, 560-61, 112 S. Ct. 2130, 119 L. Ed. 2d 351 (1992). </w:t>
      </w:r>
      <w:bookmarkStart w:id="3613" w:name="Bookmark_I61CDHXH2SF8560040000400_2"/>
      <w:bookmarkEnd w:id="3613"/>
      <w:r>
        <w:rPr>
          <w:rFonts w:ascii="Arial" w:eastAsia="Arial" w:hAnsi="Arial" w:cs="Arial"/>
          <w:color w:val="000000"/>
          <w:sz w:val="20"/>
        </w:rPr>
        <w:t xml:space="preserve">A plaintiff must demonstrate standing separately for each claim and each form of relief sought. </w:t>
      </w:r>
      <w:bookmarkStart w:id="3614" w:name="Bookmark_I61CDHXH2SF8560030000400"/>
      <w:bookmarkEnd w:id="3614"/>
      <w:r>
        <w:rPr>
          <w:rFonts w:ascii="Arial" w:eastAsia="Arial" w:hAnsi="Arial" w:cs="Arial"/>
          <w:i/>
          <w:color w:val="000000"/>
          <w:sz w:val="20"/>
        </w:rPr>
        <w:t>Waskul</w:t>
      </w:r>
      <w:r>
        <w:rPr>
          <w:rFonts w:ascii="Arial" w:eastAsia="Arial" w:hAnsi="Arial" w:cs="Arial"/>
          <w:color w:val="000000"/>
          <w:sz w:val="20"/>
        </w:rPr>
        <w:t>, 900 F.3d at 255.</w:t>
      </w:r>
    </w:p>
    <w:p w14:paraId="2D4AB552" w14:textId="77777777" w:rsidR="002B10A6" w:rsidRDefault="00000000">
      <w:pPr>
        <w:pStyle w:val="Normal22"/>
        <w:widowControl w:val="0"/>
        <w:spacing w:before="200" w:line="260" w:lineRule="atLeast"/>
        <w:jc w:val="both"/>
      </w:pPr>
      <w:bookmarkStart w:id="3615" w:name="Bookmark_para_27_14"/>
      <w:bookmarkEnd w:id="3615"/>
      <w:r>
        <w:rPr>
          <w:rFonts w:ascii="Arial" w:eastAsia="Arial" w:hAnsi="Arial" w:cs="Arial"/>
          <w:color w:val="000000"/>
          <w:sz w:val="20"/>
        </w:rPr>
        <w:t>Regarding the first prong of the associational standing test, PIHP Defendants contend that the individual Plaintiffs lack standing because their "complaints were redressed through the state administrative process or are otherwise moot." (PIHP Defs.' Br. at 40-41.) They point out that Plaintiffs Waskul, Wiesner, and Schneider "are currently receiving the same or higher rates than they received prior to May 2015" and that the CLS rate has been raised multiple times since May 2015. (</w:t>
      </w:r>
      <w:r>
        <w:rPr>
          <w:rFonts w:ascii="Arial" w:eastAsia="Arial" w:hAnsi="Arial" w:cs="Arial"/>
          <w:i/>
          <w:color w:val="000000"/>
          <w:sz w:val="20"/>
        </w:rPr>
        <w:t>Id.</w:t>
      </w:r>
      <w:r>
        <w:rPr>
          <w:rFonts w:ascii="Arial" w:eastAsia="Arial" w:hAnsi="Arial" w:cs="Arial"/>
          <w:color w:val="000000"/>
          <w:sz w:val="20"/>
        </w:rPr>
        <w:t xml:space="preserve"> at 12.) But even if this is true, as the district court concluded, "[t]his argument mistakenly assumes that the only form of relief sought is an adjustment to the hourly rate," when in fact Plaintiffs "have repeatedly made clear that they are challenging the budgeting method, not simply the amount budgeted for." (Dist. Ct. Op., R. 164 at PageID #4368.) The allegation underlying each of Plaintiffs' claims on appeal is that they are actually being harmed by Defendants' failure to use or ensure a budget method [**19]  that allows their IPOSs to be fully implemented. </w:t>
      </w:r>
      <w:bookmarkStart w:id="3616" w:name="Bookmark_I61CDHXH2SF8570010000400"/>
      <w:bookmarkEnd w:id="3616"/>
      <w:r>
        <w:rPr>
          <w:rFonts w:ascii="Arial" w:eastAsia="Arial" w:hAnsi="Arial" w:cs="Arial"/>
          <w:color w:val="000000"/>
          <w:sz w:val="20"/>
        </w:rPr>
        <w:t>This alleged harm is current and ongoing. And unlike Plaintiffs' previous due process claims, none of the relief Plaintiffs seek to remedy this harm has already been afforded  [***12]  to any of the individual named Plaintiffs.</w:t>
      </w:r>
      <w:r>
        <w:rPr>
          <w:rFonts w:ascii="Arial" w:eastAsia="Arial" w:hAnsi="Arial" w:cs="Arial"/>
          <w:vertAlign w:val="superscript"/>
        </w:rPr>
        <w:footnoteReference w:customMarkFollows="1" w:id="153"/>
        <w:t>3</w:t>
      </w:r>
      <w:r>
        <w:rPr>
          <w:rFonts w:ascii="Arial" w:eastAsia="Arial" w:hAnsi="Arial" w:cs="Arial"/>
          <w:color w:val="000000"/>
          <w:sz w:val="20"/>
        </w:rPr>
        <w:t xml:space="preserve"> Defendants do not contest any of the  [*442]  remaining standing elements as to any individual Plaintiff, and there are no apparent deficiencies in the individual Plaintiffs' standing as to each claim and form of relief sought. Thus, Plaintiffs have shown that WACA's "members would otherwise have standing to sue in their own right." </w:t>
      </w:r>
      <w:bookmarkStart w:id="3618" w:name="Bookmark_I61CDHXH2SF8560050000400"/>
      <w:bookmarkEnd w:id="3618"/>
      <w:r>
        <w:rPr>
          <w:rFonts w:ascii="Arial" w:eastAsia="Arial" w:hAnsi="Arial" w:cs="Arial"/>
          <w:i/>
          <w:color w:val="000000"/>
          <w:sz w:val="20"/>
        </w:rPr>
        <w:t>Laidlaw</w:t>
      </w:r>
      <w:r>
        <w:rPr>
          <w:rFonts w:ascii="Arial" w:eastAsia="Arial" w:hAnsi="Arial" w:cs="Arial"/>
          <w:color w:val="000000"/>
          <w:sz w:val="20"/>
        </w:rPr>
        <w:t>, 528 U.S. at 181.</w:t>
      </w:r>
    </w:p>
    <w:p w14:paraId="261AE4B4" w14:textId="77777777" w:rsidR="002B10A6" w:rsidRDefault="00000000">
      <w:pPr>
        <w:pStyle w:val="Normal22"/>
        <w:widowControl w:val="0"/>
        <w:spacing w:before="200" w:line="260" w:lineRule="atLeast"/>
        <w:jc w:val="both"/>
      </w:pPr>
      <w:bookmarkStart w:id="3619" w:name="Bookmark_para_28_14"/>
      <w:bookmarkEnd w:id="3619"/>
      <w:r>
        <w:rPr>
          <w:rFonts w:ascii="Arial" w:eastAsia="Arial" w:hAnsi="Arial" w:cs="Arial"/>
          <w:color w:val="000000"/>
          <w:sz w:val="20"/>
        </w:rPr>
        <w:t xml:space="preserve">Turning to the second prong of the associational standing test, Defendants do not contest that WACA's "interests at stake are germane to the organization's purpose." </w:t>
      </w:r>
      <w:r>
        <w:rPr>
          <w:rFonts w:ascii="Arial" w:eastAsia="Arial" w:hAnsi="Arial" w:cs="Arial"/>
          <w:i/>
          <w:color w:val="000000"/>
          <w:sz w:val="20"/>
        </w:rPr>
        <w:t>Id.</w:t>
      </w:r>
      <w:r>
        <w:rPr>
          <w:rFonts w:ascii="Arial" w:eastAsia="Arial" w:hAnsi="Arial" w:cs="Arial"/>
          <w:color w:val="000000"/>
          <w:sz w:val="20"/>
        </w:rPr>
        <w:t xml:space="preserve"> And indeed, ensuring CLS recipients' IPOS budgets are correctly calculated and otherwise sufficient is clearly germane to WACA's "mission and purpose [of] advocating for persons with developmental disabilities and their families in order to help them obtain and maintain services." (Am. Compl., R. 146 at PageID #3774.)</w:t>
      </w:r>
    </w:p>
    <w:p w14:paraId="70C4A607" w14:textId="77777777" w:rsidR="002B10A6" w:rsidRDefault="00000000">
      <w:pPr>
        <w:pStyle w:val="Normal22"/>
        <w:widowControl w:val="0"/>
        <w:spacing w:before="200" w:line="260" w:lineRule="atLeast"/>
        <w:jc w:val="both"/>
      </w:pPr>
      <w:bookmarkStart w:id="3620" w:name="Bookmark_para_29_14"/>
      <w:bookmarkStart w:id="3621" w:name="Bookmark_I61CDHXH2SF8570030000400"/>
      <w:bookmarkEnd w:id="3620"/>
      <w:bookmarkEnd w:id="3621"/>
      <w:r>
        <w:rPr>
          <w:rFonts w:ascii="Arial" w:eastAsia="Arial" w:hAnsi="Arial" w:cs="Arial"/>
          <w:color w:val="000000"/>
          <w:sz w:val="20"/>
        </w:rPr>
        <w:t xml:space="preserve">PIHP Defendants do contest the remaining element of associational standing—that is, whether the claims asserted or [**20]  relief requested require WACA's members' participation in this suit. </w:t>
      </w:r>
      <w:r>
        <w:rPr>
          <w:rFonts w:ascii="Arial" w:eastAsia="Arial" w:hAnsi="Arial" w:cs="Arial"/>
          <w:i/>
          <w:color w:val="000000"/>
          <w:sz w:val="20"/>
        </w:rPr>
        <w:t xml:space="preserve">See </w:t>
      </w:r>
      <w:bookmarkStart w:id="3622" w:name="Bookmark_I61CDHXH2SF8570020000400"/>
      <w:bookmarkEnd w:id="3622"/>
      <w:r>
        <w:rPr>
          <w:rFonts w:ascii="Arial" w:eastAsia="Arial" w:hAnsi="Arial" w:cs="Arial"/>
          <w:i/>
          <w:color w:val="000000"/>
          <w:sz w:val="20"/>
        </w:rPr>
        <w:t>Laidlaw</w:t>
      </w:r>
      <w:r>
        <w:rPr>
          <w:rFonts w:ascii="Arial" w:eastAsia="Arial" w:hAnsi="Arial" w:cs="Arial"/>
          <w:color w:val="000000"/>
          <w:sz w:val="20"/>
        </w:rPr>
        <w:t xml:space="preserve">, 528 U.S. at 181. They contend that the relief Plaintiffs seek may not benefit other individual members of WACA. While PIHP Defendants correctly point out that individuals' IPOS budgets are different and tailored based on their specific medical situation, the parties agree that the same methodology is applied to determine each CLS recipient's budget. </w:t>
      </w:r>
      <w:bookmarkStart w:id="3623" w:name="Bookmark_I61CDHXH2SF8570050000400"/>
      <w:bookmarkEnd w:id="3623"/>
      <w:r>
        <w:rPr>
          <w:rFonts w:ascii="Arial" w:eastAsia="Arial" w:hAnsi="Arial" w:cs="Arial"/>
          <w:color w:val="000000"/>
          <w:sz w:val="20"/>
        </w:rPr>
        <w:t xml:space="preserve">The participation of individual members is not necessary to determining whether a methodology commonly applied to all members is valid. </w:t>
      </w:r>
      <w:bookmarkStart w:id="3624" w:name="Bookmark_I61CDHXH2SF8570050000400_2"/>
      <w:bookmarkEnd w:id="3624"/>
      <w:r>
        <w:rPr>
          <w:rFonts w:ascii="Arial" w:eastAsia="Arial" w:hAnsi="Arial" w:cs="Arial"/>
          <w:color w:val="000000"/>
          <w:sz w:val="20"/>
        </w:rPr>
        <w:t xml:space="preserve">Moreover, Plaintiffs allege that application of this methodology resulted in an "instant[] and drastic[]" reduction to CLS recipients' IPOS budgets, (Am. Compl., R. 146 at PageID #3731), suggesting that the declaratory and prospective injunctive relief sought by Plaintiffs will benefit all members. </w:t>
      </w:r>
      <w:r>
        <w:rPr>
          <w:rFonts w:ascii="Arial" w:eastAsia="Arial" w:hAnsi="Arial" w:cs="Arial"/>
          <w:i/>
          <w:color w:val="000000"/>
          <w:sz w:val="20"/>
        </w:rPr>
        <w:t xml:space="preserve">See </w:t>
      </w:r>
      <w:bookmarkStart w:id="3625" w:name="Bookmark_I61CDHXH2SF8570040000400"/>
      <w:bookmarkEnd w:id="3625"/>
      <w:r>
        <w:rPr>
          <w:rFonts w:ascii="Arial" w:eastAsia="Arial" w:hAnsi="Arial" w:cs="Arial"/>
          <w:i/>
          <w:color w:val="000000"/>
          <w:sz w:val="20"/>
        </w:rPr>
        <w:t>Warth v. Seldin</w:t>
      </w:r>
      <w:r>
        <w:rPr>
          <w:rFonts w:ascii="Arial" w:eastAsia="Arial" w:hAnsi="Arial" w:cs="Arial"/>
          <w:color w:val="000000"/>
          <w:sz w:val="20"/>
        </w:rPr>
        <w:t xml:space="preserve">, 422 U.S. 490, 515, 95 S. Ct. 2197, 45 L. Ed. 2d 343 (1975) </w:t>
      </w:r>
      <w:bookmarkStart w:id="3626" w:name="Bookmark_LNHNREFclscc7_16"/>
      <w:bookmarkEnd w:id="3626"/>
      <w:r>
        <w:rPr>
          <w:rFonts w:ascii="Arial" w:eastAsia="Arial" w:hAnsi="Arial" w:cs="Arial"/>
          <w:color w:val="000000"/>
          <w:sz w:val="20"/>
        </w:rPr>
        <w:t>("If in a proper case the association seeks a declaration, injunction, or some  [***13]  other form of prospective relief, it can reasonably be supposed that the remedy, if granted, will inure to the benefit of those members of the association actually injured."). Thus, Plaintiffs have made the showing necessary to demonstrate that WACA has associational standing. [**21] </w:t>
      </w:r>
    </w:p>
    <w:p w14:paraId="4322562D" w14:textId="77777777" w:rsidR="002B10A6" w:rsidRDefault="00000000">
      <w:pPr>
        <w:pStyle w:val="Normal22"/>
        <w:widowControl w:val="0"/>
        <w:spacing w:before="240" w:line="260" w:lineRule="atLeast"/>
      </w:pPr>
      <w:r>
        <w:br/>
      </w:r>
      <w:r>
        <w:rPr>
          <w:rFonts w:ascii="Arial" w:eastAsia="Arial" w:hAnsi="Arial" w:cs="Arial"/>
          <w:b/>
          <w:color w:val="000000"/>
          <w:sz w:val="20"/>
        </w:rPr>
        <w:t>Eleventh Amendment Immunity</w:t>
      </w:r>
    </w:p>
    <w:p w14:paraId="1750CB1A" w14:textId="77777777" w:rsidR="002B10A6" w:rsidRDefault="00000000">
      <w:pPr>
        <w:pStyle w:val="Normal22"/>
        <w:widowControl w:val="0"/>
        <w:spacing w:before="200" w:line="260" w:lineRule="atLeast"/>
        <w:jc w:val="both"/>
      </w:pPr>
      <w:bookmarkStart w:id="3627" w:name="Bookmark_para_30_13"/>
      <w:bookmarkEnd w:id="3627"/>
      <w:r>
        <w:rPr>
          <w:rFonts w:ascii="Arial" w:eastAsia="Arial" w:hAnsi="Arial" w:cs="Arial"/>
          <w:color w:val="000000"/>
          <w:sz w:val="20"/>
        </w:rPr>
        <w:t>We must next address a second threshold matter. In their briefing, State and PIHP Defendants contend that they are entitled to Eleventh Amendment immunity against Plaintiffs' claims. Some of these arguments are specific to certain of Plaintiffs' claims and so we will address them in our analysis of those claims. But two of their arguments address Plaintiffs' claims more generally.</w:t>
      </w:r>
    </w:p>
    <w:p w14:paraId="118C5441" w14:textId="77777777" w:rsidR="002B10A6" w:rsidRDefault="00000000">
      <w:pPr>
        <w:pStyle w:val="Normal22"/>
        <w:widowControl w:val="0"/>
        <w:spacing w:before="200" w:line="260" w:lineRule="atLeast"/>
        <w:jc w:val="both"/>
      </w:pPr>
      <w:bookmarkStart w:id="3628" w:name="Bookmark_para_31_13"/>
      <w:bookmarkEnd w:id="3628"/>
      <w:r>
        <w:rPr>
          <w:rFonts w:ascii="Arial" w:eastAsia="Arial" w:hAnsi="Arial" w:cs="Arial"/>
          <w:color w:val="000000"/>
          <w:sz w:val="20"/>
        </w:rPr>
        <w:t xml:space="preserve">First, State Defendants argue that "[t]o the extent that [Plaintiffs] seek either some form of monetary compensation or  [*443]  retrospective injunctive relief," they are immune under the Eleventh Amendment. </w:t>
      </w:r>
      <w:bookmarkStart w:id="3629" w:name="Bookmark_I61CDHXH28T4HN0020000400"/>
      <w:bookmarkEnd w:id="3629"/>
      <w:r>
        <w:rPr>
          <w:rFonts w:ascii="Arial" w:eastAsia="Arial" w:hAnsi="Arial" w:cs="Arial"/>
          <w:color w:val="000000"/>
          <w:sz w:val="20"/>
        </w:rPr>
        <w:t xml:space="preserve">(State Defs.' Br. at 4.) But Plaintiffs request purely prospective declaratory and injunctive relief, and Plaintiffs' only claim against the Department directly is brought under § 504 of the Rehabilitation Act. </w:t>
      </w:r>
      <w:bookmarkStart w:id="3630" w:name="Bookmark_LNHNREFclscc8_15"/>
      <w:bookmarkEnd w:id="3630"/>
      <w:r>
        <w:rPr>
          <w:rFonts w:ascii="Arial" w:eastAsia="Arial" w:hAnsi="Arial" w:cs="Arial"/>
          <w:color w:val="000000"/>
          <w:sz w:val="20"/>
        </w:rPr>
        <w:t xml:space="preserve">Michigan waived its Eleventh Amendment immunity against § 504 claims by accepting federal Medicaid funding after enactment of 42 U.S.C. § 2000d-7. </w:t>
      </w:r>
      <w:r>
        <w:rPr>
          <w:rFonts w:ascii="Arial" w:eastAsia="Arial" w:hAnsi="Arial" w:cs="Arial"/>
          <w:i/>
          <w:color w:val="000000"/>
          <w:sz w:val="20"/>
        </w:rPr>
        <w:t xml:space="preserve">See, e.g., </w:t>
      </w:r>
      <w:bookmarkStart w:id="3631" w:name="Bookmark_I61CDHXH28T4HN0010000400"/>
      <w:bookmarkEnd w:id="3631"/>
      <w:r>
        <w:rPr>
          <w:rFonts w:ascii="Arial" w:eastAsia="Arial" w:hAnsi="Arial" w:cs="Arial"/>
          <w:i/>
          <w:color w:val="000000"/>
          <w:sz w:val="20"/>
        </w:rPr>
        <w:t>Carten v. Kent State Univ.</w:t>
      </w:r>
      <w:r>
        <w:rPr>
          <w:rFonts w:ascii="Arial" w:eastAsia="Arial" w:hAnsi="Arial" w:cs="Arial"/>
          <w:color w:val="000000"/>
          <w:sz w:val="20"/>
        </w:rPr>
        <w:t xml:space="preserve">, 282 F.3d 391, 398 (6th Cir. 2002); </w:t>
      </w:r>
      <w:r>
        <w:rPr>
          <w:rFonts w:ascii="Arial" w:eastAsia="Arial" w:hAnsi="Arial" w:cs="Arial"/>
          <w:i/>
          <w:color w:val="000000"/>
          <w:sz w:val="20"/>
        </w:rPr>
        <w:t>see also</w:t>
      </w:r>
      <w:r>
        <w:rPr>
          <w:rFonts w:ascii="Arial" w:eastAsia="Arial" w:hAnsi="Arial" w:cs="Arial"/>
          <w:color w:val="000000"/>
          <w:sz w:val="20"/>
        </w:rPr>
        <w:t xml:space="preserve"> 42 U.S.C. § 2000d-7(a)(1) ("A State shall not be immune under the Eleventh Amendment . . . from suit in Federal court for a violation of section 504 of the Rehabilitation Act of 1973 . . . .").</w:t>
      </w:r>
    </w:p>
    <w:p w14:paraId="4F88F0BE" w14:textId="77777777" w:rsidR="002B10A6" w:rsidRDefault="00000000">
      <w:pPr>
        <w:pStyle w:val="Normal22"/>
        <w:widowControl w:val="0"/>
        <w:spacing w:before="200" w:line="260" w:lineRule="atLeast"/>
        <w:jc w:val="both"/>
      </w:pPr>
      <w:bookmarkStart w:id="3632" w:name="Bookmark_para_32_13"/>
      <w:bookmarkStart w:id="3633" w:name="Bookmark_I69C451YBMW0000624M00004"/>
      <w:bookmarkStart w:id="3634" w:name="Bookmark_I61CDHXH28T4HN0040000400"/>
      <w:bookmarkStart w:id="3635" w:name="Bookmark_I61CDHXJ2HM6CJ0030000400"/>
      <w:bookmarkStart w:id="3636" w:name="Bookmark_I61CDHXJ2HM6CJ0050000400"/>
      <w:bookmarkStart w:id="3637" w:name="Bookmark_I61CDHXJ2SF85D0020000400"/>
      <w:bookmarkEnd w:id="3632"/>
      <w:bookmarkEnd w:id="3633"/>
      <w:bookmarkEnd w:id="3634"/>
      <w:bookmarkEnd w:id="3635"/>
      <w:bookmarkEnd w:id="3636"/>
      <w:bookmarkEnd w:id="3637"/>
      <w:r>
        <w:rPr>
          <w:rFonts w:ascii="Arial" w:eastAsia="Arial" w:hAnsi="Arial" w:cs="Arial"/>
          <w:color w:val="000000"/>
          <w:sz w:val="20"/>
        </w:rPr>
        <w:t xml:space="preserve">Because Plaintiffs seek prospective injunctive relief, Plaintiffs' claims against Defendant Gordon in his official capacity are permitted under </w:t>
      </w:r>
      <w:bookmarkStart w:id="3638" w:name="Bookmark_I61CDHXH28T4HN0030000400"/>
      <w:bookmarkEnd w:id="3638"/>
      <w:r>
        <w:rPr>
          <w:rFonts w:ascii="Arial" w:eastAsia="Arial" w:hAnsi="Arial" w:cs="Arial"/>
          <w:i/>
          <w:color w:val="000000"/>
          <w:sz w:val="20"/>
        </w:rPr>
        <w:t>Ex parte Young</w:t>
      </w:r>
      <w:r>
        <w:rPr>
          <w:rFonts w:ascii="Arial" w:eastAsia="Arial" w:hAnsi="Arial" w:cs="Arial"/>
          <w:color w:val="000000"/>
          <w:sz w:val="20"/>
        </w:rPr>
        <w:t>, 209 U.S. 123, 28 S. Ct. 441, 52 L. Ed. 714 (1908).</w:t>
      </w:r>
      <w:r>
        <w:rPr>
          <w:rFonts w:ascii="Arial" w:eastAsia="Arial" w:hAnsi="Arial" w:cs="Arial"/>
          <w:vertAlign w:val="superscript"/>
        </w:rPr>
        <w:footnoteReference w:customMarkFollows="1" w:id="154"/>
        <w:t>4</w:t>
      </w:r>
      <w:r>
        <w:rPr>
          <w:rFonts w:ascii="Arial" w:eastAsia="Arial" w:hAnsi="Arial" w:cs="Arial"/>
          <w:color w:val="000000"/>
          <w:sz w:val="20"/>
        </w:rPr>
        <w:t xml:space="preserve"> </w:t>
      </w:r>
      <w:bookmarkStart w:id="3641" w:name="Bookmark_I61CDHXH28T4HN0050000400"/>
      <w:bookmarkEnd w:id="3641"/>
      <w:r>
        <w:rPr>
          <w:rFonts w:ascii="Arial" w:eastAsia="Arial" w:hAnsi="Arial" w:cs="Arial"/>
          <w:i/>
          <w:color w:val="000000"/>
          <w:sz w:val="20"/>
        </w:rPr>
        <w:t>Westside Mothers v. Haveman</w:t>
      </w:r>
      <w:r>
        <w:rPr>
          <w:rFonts w:ascii="Arial" w:eastAsia="Arial" w:hAnsi="Arial" w:cs="Arial"/>
          <w:color w:val="000000"/>
          <w:sz w:val="20"/>
        </w:rPr>
        <w:t xml:space="preserve"> ("</w:t>
      </w:r>
      <w:r>
        <w:rPr>
          <w:rFonts w:ascii="Arial" w:eastAsia="Arial" w:hAnsi="Arial" w:cs="Arial"/>
          <w:i/>
          <w:color w:val="000000"/>
          <w:sz w:val="20"/>
        </w:rPr>
        <w:t>Westside Mothers I</w:t>
      </w:r>
      <w:r>
        <w:rPr>
          <w:rFonts w:ascii="Arial" w:eastAsia="Arial" w:hAnsi="Arial" w:cs="Arial"/>
          <w:color w:val="000000"/>
          <w:sz w:val="20"/>
        </w:rPr>
        <w:t xml:space="preserve">"), 289 F.3d 852, 860-62 (6th Cir. 2002) [**22] . This is true "notwithstanding" the fact that this relief will have "a direct and substantial impact on the state treasury." </w:t>
      </w:r>
      <w:bookmarkStart w:id="3642" w:name="Bookmark_I61CDHXJ2HM6CJ0020000400"/>
      <w:bookmarkEnd w:id="3642"/>
      <w:r>
        <w:rPr>
          <w:rFonts w:ascii="Arial" w:eastAsia="Arial" w:hAnsi="Arial" w:cs="Arial"/>
          <w:i/>
          <w:color w:val="000000"/>
          <w:sz w:val="20"/>
        </w:rPr>
        <w:t>Milliken v. Bradley</w:t>
      </w:r>
      <w:r>
        <w:rPr>
          <w:rFonts w:ascii="Arial" w:eastAsia="Arial" w:hAnsi="Arial" w:cs="Arial"/>
          <w:color w:val="000000"/>
          <w:sz w:val="20"/>
        </w:rPr>
        <w:t xml:space="preserve">, 433 U.S. 267, 289, 97 S. Ct. 2749, 53 L. Ed. 2d 745 (1977). </w:t>
      </w:r>
      <w:bookmarkStart w:id="3643" w:name="Bookmark_LNHNREFclscc9_14"/>
      <w:bookmarkEnd w:id="3643"/>
      <w:r>
        <w:rPr>
          <w:rFonts w:ascii="Arial" w:eastAsia="Arial" w:hAnsi="Arial" w:cs="Arial"/>
          <w:color w:val="000000"/>
          <w:sz w:val="20"/>
        </w:rPr>
        <w:t xml:space="preserve">Still, "[a] court may enter a prospective injunction that costs the state money, but only if the monetary impact is ancillary, </w:t>
      </w:r>
      <w:r>
        <w:rPr>
          <w:rFonts w:ascii="Arial" w:eastAsia="Arial" w:hAnsi="Arial" w:cs="Arial"/>
          <w:i/>
          <w:color w:val="000000"/>
          <w:sz w:val="20"/>
        </w:rPr>
        <w:t>i.e.</w:t>
      </w:r>
      <w:r>
        <w:rPr>
          <w:rFonts w:ascii="Arial" w:eastAsia="Arial" w:hAnsi="Arial" w:cs="Arial"/>
          <w:color w:val="000000"/>
          <w:sz w:val="20"/>
        </w:rPr>
        <w:t xml:space="preserve">, not the primary purpose of the suit." </w:t>
      </w:r>
      <w:bookmarkStart w:id="3644" w:name="Bookmark_I61CDHXJ2HM6CJ0040000400"/>
      <w:bookmarkEnd w:id="3644"/>
      <w:r>
        <w:rPr>
          <w:rFonts w:ascii="Arial" w:eastAsia="Arial" w:hAnsi="Arial" w:cs="Arial"/>
          <w:i/>
          <w:color w:val="000000"/>
          <w:sz w:val="20"/>
        </w:rPr>
        <w:t>Barton v. Summers</w:t>
      </w:r>
      <w:r>
        <w:rPr>
          <w:rFonts w:ascii="Arial" w:eastAsia="Arial" w:hAnsi="Arial" w:cs="Arial"/>
          <w:color w:val="000000"/>
          <w:sz w:val="20"/>
        </w:rPr>
        <w:t xml:space="preserve">, 293 F.3d 944, 950 (6th Cir. 2002).  [***14]  In the present case, the primary purpose of the suit is to ensure that Plaintiffs receive the services required under their IPOSs. Moreover, since PIHPs control the allocation of funding to Plaintiffs, it is unclear whether any relief awarded will have </w:t>
      </w:r>
      <w:r>
        <w:rPr>
          <w:rFonts w:ascii="Arial" w:eastAsia="Arial" w:hAnsi="Arial" w:cs="Arial"/>
          <w:i/>
          <w:color w:val="000000"/>
          <w:sz w:val="20"/>
        </w:rPr>
        <w:t>any</w:t>
      </w:r>
      <w:r>
        <w:rPr>
          <w:rFonts w:ascii="Arial" w:eastAsia="Arial" w:hAnsi="Arial" w:cs="Arial"/>
          <w:color w:val="000000"/>
          <w:sz w:val="20"/>
        </w:rPr>
        <w:t xml:space="preserve"> monetary impact on the State of Michigan.</w:t>
      </w:r>
    </w:p>
    <w:p w14:paraId="53888C87" w14:textId="77777777" w:rsidR="002B10A6" w:rsidRDefault="00000000">
      <w:pPr>
        <w:pStyle w:val="Normal22"/>
        <w:widowControl w:val="0"/>
        <w:spacing w:before="200" w:line="260" w:lineRule="atLeast"/>
        <w:jc w:val="both"/>
      </w:pPr>
      <w:bookmarkStart w:id="3645" w:name="Bookmark_para_33_12"/>
      <w:bookmarkEnd w:id="3645"/>
      <w:r>
        <w:rPr>
          <w:rFonts w:ascii="Arial" w:eastAsia="Arial" w:hAnsi="Arial" w:cs="Arial"/>
          <w:color w:val="000000"/>
          <w:sz w:val="20"/>
        </w:rPr>
        <w:t xml:space="preserve">PIHP Defendants, too, claim that they are entitled to Eleventh Amendment immunity. </w:t>
      </w:r>
      <w:bookmarkStart w:id="3646" w:name="Bookmark_I61CDHXJ2SF85D0040000400"/>
      <w:bookmarkEnd w:id="3646"/>
      <w:r>
        <w:rPr>
          <w:rFonts w:ascii="Arial" w:eastAsia="Arial" w:hAnsi="Arial" w:cs="Arial"/>
          <w:color w:val="000000"/>
          <w:sz w:val="20"/>
        </w:rPr>
        <w:t xml:space="preserve">This argument also fails. </w:t>
      </w:r>
      <w:bookmarkStart w:id="3647" w:name="Bookmark_LNHNREFclscc10_13"/>
      <w:bookmarkEnd w:id="3647"/>
      <w:r>
        <w:rPr>
          <w:rFonts w:ascii="Arial" w:eastAsia="Arial" w:hAnsi="Arial" w:cs="Arial"/>
          <w:color w:val="000000"/>
          <w:sz w:val="20"/>
        </w:rPr>
        <w:t xml:space="preserve">"[T]he Eleventh Amendment does not extend its immunity to units of local government" or other political subdivisions, like CMHPSM. </w:t>
      </w:r>
      <w:bookmarkStart w:id="3648" w:name="Bookmark_I61CDHXK2SF85G0010000400"/>
      <w:bookmarkStart w:id="3649" w:name="Bookmark_I61CDHXJ2SF85D0030000400"/>
      <w:bookmarkEnd w:id="3648"/>
      <w:bookmarkEnd w:id="3649"/>
      <w:r>
        <w:rPr>
          <w:rFonts w:ascii="Arial" w:eastAsia="Arial" w:hAnsi="Arial" w:cs="Arial"/>
          <w:i/>
          <w:color w:val="000000"/>
          <w:sz w:val="20"/>
        </w:rPr>
        <w:t>Bd. of Trustees of Univ. of Ala. v. Garrett</w:t>
      </w:r>
      <w:r>
        <w:rPr>
          <w:rFonts w:ascii="Arial" w:eastAsia="Arial" w:hAnsi="Arial" w:cs="Arial"/>
          <w:color w:val="000000"/>
          <w:sz w:val="20"/>
        </w:rPr>
        <w:t xml:space="preserve">, 531 U.S. 356, 369, 121 S. Ct. 955, 148 L. Ed. 2d 866 (2001). </w:t>
      </w:r>
      <w:bookmarkStart w:id="3650" w:name="Bookmark_I61CDHXK2SF85G0010000400_2"/>
      <w:bookmarkEnd w:id="3650"/>
      <w:r>
        <w:rPr>
          <w:rFonts w:ascii="Arial" w:eastAsia="Arial" w:hAnsi="Arial" w:cs="Arial"/>
          <w:color w:val="000000"/>
          <w:sz w:val="20"/>
        </w:rPr>
        <w:t xml:space="preserve">CMHPSM is thus entitled to Eleventh Amendment immunity only if it operates as an arm of the State. </w:t>
      </w:r>
      <w:bookmarkStart w:id="3651" w:name="Bookmark_I61CDHXK2SF85G0030000400"/>
      <w:bookmarkStart w:id="3652" w:name="Bookmark_I61CDHXJ2SF85D0050000400"/>
      <w:bookmarkEnd w:id="3651"/>
      <w:bookmarkEnd w:id="3652"/>
      <w:r>
        <w:rPr>
          <w:rFonts w:ascii="Arial" w:eastAsia="Arial" w:hAnsi="Arial" w:cs="Arial"/>
          <w:i/>
          <w:color w:val="000000"/>
          <w:sz w:val="20"/>
        </w:rPr>
        <w:t>Lowe v. Hamilton Cnty. Dep't of Job &amp; Family Servs.</w:t>
      </w:r>
      <w:r>
        <w:rPr>
          <w:rFonts w:ascii="Arial" w:eastAsia="Arial" w:hAnsi="Arial" w:cs="Arial"/>
          <w:color w:val="000000"/>
          <w:sz w:val="20"/>
        </w:rPr>
        <w:t xml:space="preserve">, 610 F.3d 321, 325 (6th Cir. 2010). </w:t>
      </w:r>
      <w:bookmarkStart w:id="3653" w:name="Bookmark_I61CDHXK2SF85G0030000400_2"/>
      <w:bookmarkEnd w:id="3653"/>
      <w:r>
        <w:rPr>
          <w:rFonts w:ascii="Arial" w:eastAsia="Arial" w:hAnsi="Arial" w:cs="Arial"/>
          <w:color w:val="000000"/>
          <w:sz w:val="20"/>
        </w:rPr>
        <w:t xml:space="preserve">CMHPSM bears the burden of showing that it operates in this capacity. </w:t>
      </w:r>
      <w:bookmarkStart w:id="3654" w:name="Bookmark_I61CDHXK2SF85G0020000400"/>
      <w:bookmarkEnd w:id="3654"/>
      <w:r>
        <w:rPr>
          <w:rFonts w:ascii="Arial" w:eastAsia="Arial" w:hAnsi="Arial" w:cs="Arial"/>
          <w:i/>
          <w:color w:val="000000"/>
          <w:sz w:val="20"/>
        </w:rPr>
        <w:t>Id.</w:t>
      </w:r>
      <w:r>
        <w:rPr>
          <w:rFonts w:ascii="Arial" w:eastAsia="Arial" w:hAnsi="Arial" w:cs="Arial"/>
          <w:color w:val="000000"/>
          <w:sz w:val="20"/>
        </w:rPr>
        <w:t xml:space="preserve"> at 324. </w:t>
      </w:r>
      <w:bookmarkStart w:id="3655" w:name="Bookmark_I69C451YDHX0000624M00005"/>
      <w:bookmarkStart w:id="3656" w:name="Bookmark_I61CDHXK2SF85G0050000400"/>
      <w:bookmarkEnd w:id="3655"/>
      <w:bookmarkEnd w:id="3656"/>
      <w:r>
        <w:rPr>
          <w:rFonts w:ascii="Arial" w:eastAsia="Arial" w:hAnsi="Arial" w:cs="Arial"/>
          <w:color w:val="000000"/>
          <w:sz w:val="20"/>
        </w:rPr>
        <w:t>In assessing whether a public entity is an "arm of the State" entitled to Eleventh Amendment immunity or a "political subdivision" not entitled to that immunity, we consider four factors:</w:t>
      </w:r>
    </w:p>
    <w:p w14:paraId="3883F946" w14:textId="77777777" w:rsidR="002B10A6" w:rsidRDefault="00000000">
      <w:pPr>
        <w:pStyle w:val="Normal22"/>
        <w:widowControl w:val="0"/>
        <w:spacing w:before="200" w:line="260" w:lineRule="atLeast"/>
        <w:ind w:left="400"/>
        <w:jc w:val="both"/>
      </w:pPr>
      <w:bookmarkStart w:id="3657" w:name="Bookmark_para_34_11"/>
      <w:bookmarkStart w:id="3658" w:name="Bookmark_I61CDHXK2SF85G0050000400_2"/>
      <w:bookmarkStart w:id="3659" w:name="Bookmark_I61CDHXK2SF85K0020000400"/>
      <w:bookmarkEnd w:id="3657"/>
      <w:bookmarkEnd w:id="3658"/>
      <w:bookmarkEnd w:id="3659"/>
      <w:r>
        <w:rPr>
          <w:rFonts w:ascii="Arial" w:eastAsia="Arial" w:hAnsi="Arial" w:cs="Arial"/>
          <w:color w:val="000000"/>
          <w:sz w:val="20"/>
        </w:rPr>
        <w:t>(1) the State's potential liability for a judgment [**23]  against the entity; (2) the language by which state statutes and state courts refer to the entity and the degree of state control and veto power over the entity's actions; (3) whether state or local officials appoint the board members of the entity; and (4) whether the entity's functions fall within the traditional purview of state or local government.</w:t>
      </w:r>
    </w:p>
    <w:p w14:paraId="39FED14A" w14:textId="77777777" w:rsidR="002B10A6" w:rsidRDefault="00000000">
      <w:pPr>
        <w:pStyle w:val="Normal22"/>
        <w:widowControl w:val="0"/>
        <w:spacing w:before="200" w:line="260" w:lineRule="atLeast"/>
        <w:jc w:val="both"/>
      </w:pPr>
      <w:bookmarkStart w:id="3660" w:name="Bookmark_I61CDHXK2SF85K0020000400_2"/>
      <w:bookmarkStart w:id="3661" w:name="Bookmark_I61CDHXK2SF85G0050000400_3"/>
      <w:bookmarkStart w:id="3662" w:name="Bookmark_I61CDHXK2SF85G0040000400"/>
      <w:bookmarkEnd w:id="3660"/>
      <w:bookmarkEnd w:id="3661"/>
      <w:bookmarkEnd w:id="3662"/>
      <w:r>
        <w:rPr>
          <w:rFonts w:ascii="Arial" w:eastAsia="Arial" w:hAnsi="Arial" w:cs="Arial"/>
          <w:i/>
          <w:color w:val="000000"/>
          <w:sz w:val="20"/>
        </w:rPr>
        <w:t>Ernst v. Rising</w:t>
      </w:r>
      <w:r>
        <w:rPr>
          <w:rFonts w:ascii="Arial" w:eastAsia="Arial" w:hAnsi="Arial" w:cs="Arial"/>
          <w:color w:val="000000"/>
          <w:sz w:val="20"/>
        </w:rPr>
        <w:t xml:space="preserve">, 427 F.3d 351, 359 (6th Cir. 2005) (citations omitted). Of these, "[t]he state's potential legal liability for a judgment against the defendant 'is the foremost factor' to consider in our sovereign immunity analysis." </w:t>
      </w:r>
      <w:bookmarkStart w:id="3663" w:name="Bookmark_I61CDHXK2SF85K0010000400"/>
      <w:bookmarkEnd w:id="3663"/>
      <w:r>
        <w:rPr>
          <w:rFonts w:ascii="Arial" w:eastAsia="Arial" w:hAnsi="Arial" w:cs="Arial"/>
          <w:i/>
          <w:color w:val="000000"/>
          <w:sz w:val="20"/>
        </w:rPr>
        <w:t>Lowe</w:t>
      </w:r>
      <w:r>
        <w:rPr>
          <w:rFonts w:ascii="Arial" w:eastAsia="Arial" w:hAnsi="Arial" w:cs="Arial"/>
          <w:color w:val="000000"/>
          <w:sz w:val="20"/>
        </w:rPr>
        <w:t>, 610 F.3d at 325.</w:t>
      </w:r>
    </w:p>
    <w:p w14:paraId="7FAFDC12" w14:textId="77777777" w:rsidR="002B10A6" w:rsidRDefault="00000000">
      <w:pPr>
        <w:pStyle w:val="Normal22"/>
        <w:widowControl w:val="0"/>
        <w:spacing w:before="200" w:line="260" w:lineRule="atLeast"/>
        <w:jc w:val="both"/>
      </w:pPr>
      <w:bookmarkStart w:id="3664" w:name="Bookmark_para_35_11"/>
      <w:bookmarkEnd w:id="3664"/>
      <w:r>
        <w:rPr>
          <w:rFonts w:ascii="Arial" w:eastAsia="Arial" w:hAnsi="Arial" w:cs="Arial"/>
          <w:color w:val="000000"/>
          <w:sz w:val="20"/>
        </w:rPr>
        <w:t xml:space="preserve">PIHP Defendants contend that CMHPSM "functions fiscally as an arm of the state (and, by virtue of the necessity of state approval of various operational aspects of each entity, administratively, as well)." (PIHP Defs.' Br. at 37.) Considering the first factor, it is true that Michigan financially supports CMHPSM pursuant to  [*444]  state law. </w:t>
      </w:r>
      <w:r>
        <w:rPr>
          <w:rFonts w:ascii="Arial" w:eastAsia="Arial" w:hAnsi="Arial" w:cs="Arial"/>
          <w:i/>
          <w:color w:val="000000"/>
          <w:sz w:val="20"/>
        </w:rPr>
        <w:t>See</w:t>
      </w:r>
      <w:r>
        <w:rPr>
          <w:rFonts w:ascii="Arial" w:eastAsia="Arial" w:hAnsi="Arial" w:cs="Arial"/>
          <w:color w:val="000000"/>
          <w:sz w:val="20"/>
        </w:rPr>
        <w:t xml:space="preserve"> Mich. Comp. Laws § 330.1202(1). However, according to the current Department-CMHPSM contract, that financial support is provided through payment of a "fixed per person monthly rate . . . for each Medicaid eligible person," regardless of what payments CMHPSM makes to recipients. (Medicaid Managed Specialty Supports and Services Concurrent 1915(b)/(c) [**24]  Waiver Program FY 19 at 9, 16, https://www.nmre.org/wp-content/uploads/2018/09/FY19-NMRE-PIHP-Contract-and-Attachments.pdf.)  [***15]  The record does not suggest that Michigan would have any obligation or liability for judgments against CMHPSM. To the contrary, the contract between the two entities establishes that liability as a result of claims or judgments "arising out of activities to be carried out pursuant to the obligation of the PIHP under this contract shall be the responsibility of the PIHP, and not the responsibility of the [Department], if . . . caused by, or aris[ing] out of, the actions or failure to act on the part of the PIHP." (</w:t>
      </w:r>
      <w:r>
        <w:rPr>
          <w:rFonts w:ascii="Arial" w:eastAsia="Arial" w:hAnsi="Arial" w:cs="Arial"/>
          <w:i/>
          <w:color w:val="000000"/>
          <w:sz w:val="20"/>
        </w:rPr>
        <w:t>Id.</w:t>
      </w:r>
      <w:r>
        <w:rPr>
          <w:rFonts w:ascii="Arial" w:eastAsia="Arial" w:hAnsi="Arial" w:cs="Arial"/>
          <w:color w:val="000000"/>
          <w:sz w:val="20"/>
        </w:rPr>
        <w:t xml:space="preserve"> at 14.) Thus, this factor weighs against finding that CMHPSM is an arm of the State.</w:t>
      </w:r>
    </w:p>
    <w:p w14:paraId="189A96BA" w14:textId="77777777" w:rsidR="002B10A6" w:rsidRDefault="00000000">
      <w:pPr>
        <w:pStyle w:val="Normal22"/>
        <w:widowControl w:val="0"/>
        <w:spacing w:before="200" w:line="260" w:lineRule="atLeast"/>
        <w:jc w:val="both"/>
      </w:pPr>
      <w:bookmarkStart w:id="3665" w:name="Bookmark_para_36_11"/>
      <w:bookmarkStart w:id="3666" w:name="Bookmark_I61CDHXK2SF85K0040000400"/>
      <w:bookmarkStart w:id="3667" w:name="Bookmark_LNHNREFclscc11_13"/>
      <w:bookmarkEnd w:id="3665"/>
      <w:bookmarkEnd w:id="3666"/>
      <w:bookmarkEnd w:id="3667"/>
      <w:r>
        <w:rPr>
          <w:rFonts w:ascii="Arial" w:eastAsia="Arial" w:hAnsi="Arial" w:cs="Arial"/>
          <w:color w:val="000000"/>
          <w:sz w:val="20"/>
        </w:rPr>
        <w:t>Turning to the other factors, Michigan law recognizes that PIHPs are regional entities governed by bylaws adopted by county officials. Mich. Comp. Laws § 330.1204b; (</w:t>
      </w:r>
      <w:r>
        <w:rPr>
          <w:rFonts w:ascii="Arial" w:eastAsia="Arial" w:hAnsi="Arial" w:cs="Arial"/>
          <w:i/>
          <w:color w:val="000000"/>
          <w:sz w:val="20"/>
        </w:rPr>
        <w:t>see also</w:t>
      </w:r>
      <w:r>
        <w:rPr>
          <w:rFonts w:ascii="Arial" w:eastAsia="Arial" w:hAnsi="Arial" w:cs="Arial"/>
          <w:color w:val="000000"/>
          <w:sz w:val="20"/>
        </w:rPr>
        <w:t xml:space="preserve"> CMHPSM Bylaws, R. 135-3 at PageID #3542.) PIHPs do not serve the State, but only a region within it. </w:t>
      </w:r>
      <w:r>
        <w:rPr>
          <w:rFonts w:ascii="Arial" w:eastAsia="Arial" w:hAnsi="Arial" w:cs="Arial"/>
          <w:i/>
          <w:color w:val="000000"/>
          <w:sz w:val="20"/>
        </w:rPr>
        <w:t xml:space="preserve">See </w:t>
      </w:r>
      <w:bookmarkStart w:id="3668" w:name="Bookmark_I61CDHXK2SF85K0030000400"/>
      <w:bookmarkEnd w:id="3668"/>
      <w:r>
        <w:rPr>
          <w:rFonts w:ascii="Arial" w:eastAsia="Arial" w:hAnsi="Arial" w:cs="Arial"/>
          <w:i/>
          <w:color w:val="000000"/>
          <w:sz w:val="20"/>
        </w:rPr>
        <w:t>Lowe</w:t>
      </w:r>
      <w:r>
        <w:rPr>
          <w:rFonts w:ascii="Arial" w:eastAsia="Arial" w:hAnsi="Arial" w:cs="Arial"/>
          <w:color w:val="000000"/>
          <w:sz w:val="20"/>
        </w:rPr>
        <w:t xml:space="preserve">, 610 F.3d at 332 ("[T]he fact that [an entity's] programs are designed to serve a specific local community weighs against characterizing it as an arm of the state, rather than a political subdivision."). While the Department has some supervisory [**25]  responsibilities over PIHPs, </w:t>
      </w:r>
      <w:r>
        <w:rPr>
          <w:rFonts w:ascii="Arial" w:eastAsia="Arial" w:hAnsi="Arial" w:cs="Arial"/>
          <w:i/>
          <w:color w:val="000000"/>
          <w:sz w:val="20"/>
        </w:rPr>
        <w:t>see</w:t>
      </w:r>
      <w:r>
        <w:rPr>
          <w:rFonts w:ascii="Arial" w:eastAsia="Arial" w:hAnsi="Arial" w:cs="Arial"/>
          <w:color w:val="000000"/>
          <w:sz w:val="20"/>
        </w:rPr>
        <w:t xml:space="preserve"> Mich. Comp. Laws § 330.1232, they are controlled by county-level entities, including community mental health authorities like WCCMH. (CMHPSM Bylaws, R. 135-3 at PageID #3542). Likewise, PIHPs' board members are appointed by county-level entities. </w:t>
      </w:r>
      <w:bookmarkStart w:id="3669" w:name="Bookmark_I61CDHXK2HM6CT0010000400"/>
      <w:bookmarkEnd w:id="3669"/>
      <w:r>
        <w:rPr>
          <w:rFonts w:ascii="Arial" w:eastAsia="Arial" w:hAnsi="Arial" w:cs="Arial"/>
          <w:color w:val="000000"/>
          <w:sz w:val="20"/>
        </w:rPr>
        <w:t>(</w:t>
      </w:r>
      <w:r>
        <w:rPr>
          <w:rFonts w:ascii="Arial" w:eastAsia="Arial" w:hAnsi="Arial" w:cs="Arial"/>
          <w:i/>
          <w:color w:val="000000"/>
          <w:sz w:val="20"/>
        </w:rPr>
        <w:t>Id.</w:t>
      </w:r>
      <w:r>
        <w:rPr>
          <w:rFonts w:ascii="Arial" w:eastAsia="Arial" w:hAnsi="Arial" w:cs="Arial"/>
          <w:color w:val="000000"/>
          <w:sz w:val="20"/>
        </w:rPr>
        <w:t xml:space="preserve"> at ##3545-46.) Finally, while PIHPs do exercise some functions falling within the purview of state government, the simple fact than an entity "exercise[s] a slice of state power" does not by itself entitle that entity to Eleventh Amendment immunity. </w:t>
      </w:r>
      <w:r>
        <w:rPr>
          <w:rFonts w:ascii="Arial" w:eastAsia="Arial" w:hAnsi="Arial" w:cs="Arial"/>
          <w:i/>
          <w:color w:val="000000"/>
          <w:sz w:val="20"/>
        </w:rPr>
        <w:t xml:space="preserve">See </w:t>
      </w:r>
      <w:bookmarkStart w:id="3670" w:name="Bookmark_I61CDHXK2SF85K0050000400"/>
      <w:bookmarkEnd w:id="3670"/>
      <w:r>
        <w:rPr>
          <w:rFonts w:ascii="Arial" w:eastAsia="Arial" w:hAnsi="Arial" w:cs="Arial"/>
          <w:i/>
          <w:color w:val="000000"/>
          <w:sz w:val="20"/>
        </w:rPr>
        <w:t>Lowe</w:t>
      </w:r>
      <w:r>
        <w:rPr>
          <w:rFonts w:ascii="Arial" w:eastAsia="Arial" w:hAnsi="Arial" w:cs="Arial"/>
          <w:color w:val="000000"/>
          <w:sz w:val="20"/>
        </w:rPr>
        <w:t xml:space="preserve">, 610 F.3d at 330 (quoting </w:t>
      </w:r>
      <w:bookmarkStart w:id="3671" w:name="Bookmark_I61CDHXK2HM6CT0020000400"/>
      <w:bookmarkEnd w:id="3671"/>
      <w:r>
        <w:rPr>
          <w:rFonts w:ascii="Arial" w:eastAsia="Arial" w:hAnsi="Arial" w:cs="Arial"/>
          <w:i/>
          <w:color w:val="000000"/>
          <w:sz w:val="20"/>
        </w:rPr>
        <w:t>N. Ins. Co. of N.Y. v. Chatham County</w:t>
      </w:r>
      <w:r>
        <w:rPr>
          <w:rFonts w:ascii="Arial" w:eastAsia="Arial" w:hAnsi="Arial" w:cs="Arial"/>
          <w:color w:val="000000"/>
          <w:sz w:val="20"/>
        </w:rPr>
        <w:t>, 547 U.S. 189, 193-94, 126 S. Ct. 1689, 164 L. Ed. 2d 367 (2006)). Altogether, the remaining factors also do not suggest that CMHPSM is an arm of the state. Thus, CMHPSM cannot avoid liability by asserting Eleventh Amendment immunity.</w:t>
      </w:r>
    </w:p>
    <w:p w14:paraId="7D951E88" w14:textId="77777777" w:rsidR="002B10A6" w:rsidRDefault="00000000">
      <w:pPr>
        <w:pStyle w:val="Normal22"/>
        <w:widowControl w:val="0"/>
        <w:spacing w:before="200" w:line="260" w:lineRule="atLeast"/>
        <w:jc w:val="both"/>
      </w:pPr>
      <w:bookmarkStart w:id="3672" w:name="Bookmark_para_37_10"/>
      <w:bookmarkStart w:id="3673" w:name="Bookmark_I61CDHXK2HM6CT0050000400"/>
      <w:bookmarkEnd w:id="3672"/>
      <w:bookmarkEnd w:id="3673"/>
      <w:r>
        <w:rPr>
          <w:rFonts w:ascii="Arial" w:eastAsia="Arial" w:hAnsi="Arial" w:cs="Arial"/>
          <w:color w:val="000000"/>
          <w:sz w:val="20"/>
        </w:rPr>
        <w:t xml:space="preserve">PIHP Defendants also assert that Defendant Terwilliger is entitled to Eleventh Amendment immunity because Plaintiffs sue her in her official capacity. </w:t>
      </w:r>
      <w:bookmarkStart w:id="3674" w:name="Bookmark_LNHNREFclscc12_12"/>
      <w:bookmarkEnd w:id="3674"/>
      <w:r>
        <w:rPr>
          <w:rFonts w:ascii="Arial" w:eastAsia="Arial" w:hAnsi="Arial" w:cs="Arial"/>
          <w:color w:val="000000"/>
          <w:sz w:val="20"/>
        </w:rPr>
        <w:t xml:space="preserve">However, "[t]he only immunities that can be claimed in an official-capacity action are forms of sovereign immunity that the entity, </w:t>
      </w:r>
      <w:r>
        <w:rPr>
          <w:rFonts w:ascii="Arial" w:eastAsia="Arial" w:hAnsi="Arial" w:cs="Arial"/>
          <w:i/>
          <w:color w:val="000000"/>
          <w:sz w:val="20"/>
        </w:rPr>
        <w:t>qua</w:t>
      </w:r>
      <w:r>
        <w:rPr>
          <w:rFonts w:ascii="Arial" w:eastAsia="Arial" w:hAnsi="Arial" w:cs="Arial"/>
          <w:color w:val="000000"/>
          <w:sz w:val="20"/>
        </w:rPr>
        <w:t xml:space="preserve"> entity, may possess, such as the Eleventh Amendment." </w:t>
      </w:r>
      <w:bookmarkStart w:id="3675" w:name="Bookmark_I61CDHXK2HM6CT0040000400"/>
      <w:bookmarkEnd w:id="3675"/>
      <w:r>
        <w:rPr>
          <w:rFonts w:ascii="Arial" w:eastAsia="Arial" w:hAnsi="Arial" w:cs="Arial"/>
          <w:i/>
          <w:color w:val="000000"/>
          <w:sz w:val="20"/>
        </w:rPr>
        <w:t>Kentucky v. Graham</w:t>
      </w:r>
      <w:r>
        <w:rPr>
          <w:rFonts w:ascii="Arial" w:eastAsia="Arial" w:hAnsi="Arial" w:cs="Arial"/>
          <w:color w:val="000000"/>
          <w:sz w:val="20"/>
        </w:rPr>
        <w:t>, 473 U.S. 159, 167, 105 S. Ct. 3099, 87 L. Ed. 2d 114 (1985). Because CMHPSM itself is not entitled to immunity, Terwilliger is also not entitled to immunity.</w:t>
      </w:r>
    </w:p>
    <w:p w14:paraId="5CC133C0" w14:textId="77777777" w:rsidR="002B10A6" w:rsidRDefault="00000000">
      <w:pPr>
        <w:pStyle w:val="Normal22"/>
        <w:widowControl w:val="0"/>
        <w:spacing w:before="240" w:line="260" w:lineRule="atLeast"/>
      </w:pPr>
      <w:r>
        <w:br/>
      </w:r>
      <w:r>
        <w:rPr>
          <w:rFonts w:ascii="Arial" w:eastAsia="Arial" w:hAnsi="Arial" w:cs="Arial"/>
          <w:color w:val="000000"/>
          <w:sz w:val="20"/>
        </w:rPr>
        <w:t> [***16] </w:t>
      </w:r>
      <w:r>
        <w:rPr>
          <w:rFonts w:ascii="Arial" w:eastAsia="Arial" w:hAnsi="Arial" w:cs="Arial"/>
          <w:b/>
          <w:color w:val="000000"/>
          <w:sz w:val="20"/>
        </w:rPr>
        <w:t>Exhaustion</w:t>
      </w:r>
    </w:p>
    <w:p w14:paraId="7AEB3FC3" w14:textId="77777777" w:rsidR="002B10A6" w:rsidRDefault="00000000">
      <w:pPr>
        <w:pStyle w:val="Normal22"/>
        <w:widowControl w:val="0"/>
        <w:spacing w:before="200" w:line="260" w:lineRule="atLeast"/>
        <w:jc w:val="both"/>
      </w:pPr>
      <w:bookmarkStart w:id="3676" w:name="Bookmark_para_38_9"/>
      <w:bookmarkStart w:id="3677" w:name="Bookmark_I61CDHXM2SF85N0020000400"/>
      <w:bookmarkEnd w:id="3676"/>
      <w:bookmarkEnd w:id="3677"/>
      <w:r>
        <w:rPr>
          <w:rFonts w:ascii="Arial" w:eastAsia="Arial" w:hAnsi="Arial" w:cs="Arial"/>
          <w:color w:val="000000"/>
          <w:sz w:val="20"/>
        </w:rPr>
        <w:t xml:space="preserve">Having now ascertained that Plaintiffs have standing to bring this case and that Defendants are not entitled to Eleventh Amendment immunity, we must contend [**26]  with one final threshold matter. </w:t>
      </w:r>
      <w:bookmarkStart w:id="3678" w:name="Bookmark_I69C451YK830000624M00008"/>
      <w:bookmarkStart w:id="3679" w:name="Bookmark_I69C451YPD00000624M0000B"/>
      <w:bookmarkStart w:id="3680" w:name="Bookmark_I69C451YTB50000624M0000D"/>
      <w:bookmarkStart w:id="3681" w:name="Bookmark_I69C451YXH00000624M0000G"/>
      <w:bookmarkStart w:id="3682" w:name="Bookmark_I61CDHXM2HM6CX0010000400"/>
      <w:bookmarkEnd w:id="3678"/>
      <w:bookmarkEnd w:id="3679"/>
      <w:bookmarkEnd w:id="3680"/>
      <w:bookmarkEnd w:id="3681"/>
      <w:bookmarkEnd w:id="3682"/>
      <w:r>
        <w:rPr>
          <w:rFonts w:ascii="Arial" w:eastAsia="Arial" w:hAnsi="Arial" w:cs="Arial"/>
          <w:color w:val="000000"/>
          <w:sz w:val="20"/>
        </w:rPr>
        <w:t xml:space="preserve">PIHP Defendants assert that Plaintiffs were required to exhaust their administrative remedies provided by the State under the Medicaid Act, 42 U.S.C. § 1396a(a)(3), before they could bring their Medicaid claims in this suit. Three of the five Plaintiffs on appeal did so and received favorable remedies, and two did not. According to PIHP Defendants, both groups have  [*445]  somehow failed to exhaust their remedies and therefore cannot bring this suit. Defendants are incorrect. </w:t>
      </w:r>
      <w:bookmarkStart w:id="3683" w:name="Bookmark_LNHNREFclscc13_10"/>
      <w:bookmarkEnd w:id="3683"/>
      <w:r>
        <w:rPr>
          <w:rFonts w:ascii="Arial" w:eastAsia="Arial" w:hAnsi="Arial" w:cs="Arial"/>
          <w:color w:val="000000"/>
          <w:sz w:val="20"/>
        </w:rPr>
        <w:t xml:space="preserve">Exhaustion of state administrative remedies is not a prerequisite to suit under § 1983, </w:t>
      </w:r>
      <w:bookmarkStart w:id="3684" w:name="Bookmark_I61CDHXM2SF85N0010000400"/>
      <w:bookmarkEnd w:id="3684"/>
      <w:r>
        <w:rPr>
          <w:rFonts w:ascii="Arial" w:eastAsia="Arial" w:hAnsi="Arial" w:cs="Arial"/>
          <w:i/>
          <w:color w:val="000000"/>
          <w:sz w:val="20"/>
        </w:rPr>
        <w:t>Patsy v. Bd. of Regents of Fla.</w:t>
      </w:r>
      <w:r>
        <w:rPr>
          <w:rFonts w:ascii="Arial" w:eastAsia="Arial" w:hAnsi="Arial" w:cs="Arial"/>
          <w:color w:val="000000"/>
          <w:sz w:val="20"/>
        </w:rPr>
        <w:t xml:space="preserve">, 457 U.S. 496, 516, 102 S. Ct. 2557, 73 L. Ed. 2d 172 (1982), and "§ 1983 contains no exhaustion requirement beyond what Congress has provided," </w:t>
      </w:r>
      <w:bookmarkStart w:id="3685" w:name="Bookmark_I61CDHXM2SF85N0030000400"/>
      <w:bookmarkEnd w:id="3685"/>
      <w:r>
        <w:rPr>
          <w:rFonts w:ascii="Arial" w:eastAsia="Arial" w:hAnsi="Arial" w:cs="Arial"/>
          <w:i/>
          <w:color w:val="000000"/>
          <w:sz w:val="20"/>
        </w:rPr>
        <w:t>Heck v. Humphrey</w:t>
      </w:r>
      <w:r>
        <w:rPr>
          <w:rFonts w:ascii="Arial" w:eastAsia="Arial" w:hAnsi="Arial" w:cs="Arial"/>
          <w:color w:val="000000"/>
          <w:sz w:val="20"/>
        </w:rPr>
        <w:t xml:space="preserve">, 512 U.S. 477, 483, 114 S. Ct. 2364, 129 L. Ed. 2d 383 (1994). </w:t>
      </w:r>
      <w:bookmarkStart w:id="3686" w:name="Bookmark_I61CDHXM2HM6CX0010000400_2"/>
      <w:bookmarkEnd w:id="3686"/>
      <w:r>
        <w:rPr>
          <w:rFonts w:ascii="Arial" w:eastAsia="Arial" w:hAnsi="Arial" w:cs="Arial"/>
          <w:color w:val="000000"/>
          <w:sz w:val="20"/>
        </w:rPr>
        <w:t>Our sister circuits have commonly concluded that the Medicaid Act does not require Plaintiffs to exhaust their state administrative remedies.</w:t>
      </w:r>
      <w:r>
        <w:rPr>
          <w:rFonts w:ascii="Arial" w:eastAsia="Arial" w:hAnsi="Arial" w:cs="Arial"/>
          <w:vertAlign w:val="superscript"/>
        </w:rPr>
        <w:footnoteReference w:customMarkFollows="1" w:id="155"/>
        <w:t>5</w:t>
      </w:r>
      <w:r>
        <w:rPr>
          <w:rFonts w:ascii="Arial" w:eastAsia="Arial" w:hAnsi="Arial" w:cs="Arial"/>
          <w:color w:val="000000"/>
          <w:sz w:val="20"/>
        </w:rPr>
        <w:t xml:space="preserve"> </w:t>
      </w:r>
      <w:r>
        <w:rPr>
          <w:rFonts w:ascii="Arial" w:eastAsia="Arial" w:hAnsi="Arial" w:cs="Arial"/>
          <w:i/>
          <w:color w:val="000000"/>
          <w:sz w:val="20"/>
        </w:rPr>
        <w:t xml:space="preserve">See, e.g., </w:t>
      </w:r>
      <w:bookmarkStart w:id="3697" w:name="Bookmark_I61CDHXM2SF85N0050000400"/>
      <w:bookmarkEnd w:id="3697"/>
      <w:r>
        <w:rPr>
          <w:rFonts w:ascii="Arial" w:eastAsia="Arial" w:hAnsi="Arial" w:cs="Arial"/>
          <w:i/>
          <w:color w:val="000000"/>
          <w:sz w:val="20"/>
        </w:rPr>
        <w:t>Romano v. Greenstein</w:t>
      </w:r>
      <w:r>
        <w:rPr>
          <w:rFonts w:ascii="Arial" w:eastAsia="Arial" w:hAnsi="Arial" w:cs="Arial"/>
          <w:color w:val="000000"/>
          <w:sz w:val="20"/>
        </w:rPr>
        <w:t xml:space="preserve">, 721 F.3d 373, 376 (5th Cir. 2013); </w:t>
      </w:r>
      <w:bookmarkStart w:id="3698" w:name="Bookmark_I61CDHXM2HM6CX0020000400"/>
      <w:bookmarkEnd w:id="3698"/>
      <w:r>
        <w:rPr>
          <w:rFonts w:ascii="Arial" w:eastAsia="Arial" w:hAnsi="Arial" w:cs="Arial"/>
          <w:i/>
          <w:color w:val="000000"/>
          <w:sz w:val="20"/>
        </w:rPr>
        <w:t>Roach v. Morse</w:t>
      </w:r>
      <w:r>
        <w:rPr>
          <w:rFonts w:ascii="Arial" w:eastAsia="Arial" w:hAnsi="Arial" w:cs="Arial"/>
          <w:color w:val="000000"/>
          <w:sz w:val="20"/>
        </w:rPr>
        <w:t xml:space="preserve">, 440 F.3d 53, 56-58 (2d Cir. 2006) (Sotomayor, J.); </w:t>
      </w:r>
      <w:bookmarkStart w:id="3699" w:name="Bookmark_I61CDHXM2HM6CX0040000400"/>
      <w:bookmarkEnd w:id="3699"/>
      <w:r>
        <w:rPr>
          <w:rFonts w:ascii="Arial" w:eastAsia="Arial" w:hAnsi="Arial" w:cs="Arial"/>
          <w:i/>
          <w:color w:val="000000"/>
          <w:sz w:val="20"/>
        </w:rPr>
        <w:t>Houghton ex rel. Houghton v. Reinertson</w:t>
      </w:r>
      <w:r>
        <w:rPr>
          <w:rFonts w:ascii="Arial" w:eastAsia="Arial" w:hAnsi="Arial" w:cs="Arial"/>
          <w:color w:val="000000"/>
          <w:sz w:val="20"/>
        </w:rPr>
        <w:t xml:space="preserve">, 382 F.3d 1162, 1167 n.3 (10th Cir. 2004); </w:t>
      </w:r>
      <w:bookmarkStart w:id="3700" w:name="Bookmark_I61CDHXN2HM6D00010000400"/>
      <w:bookmarkEnd w:id="3700"/>
      <w:r>
        <w:rPr>
          <w:rFonts w:ascii="Arial" w:eastAsia="Arial" w:hAnsi="Arial" w:cs="Arial"/>
          <w:i/>
          <w:color w:val="000000"/>
          <w:sz w:val="20"/>
        </w:rPr>
        <w:t>Alacare, Inc.-North v. Baggiano</w:t>
      </w:r>
      <w:r>
        <w:rPr>
          <w:rFonts w:ascii="Arial" w:eastAsia="Arial" w:hAnsi="Arial" w:cs="Arial"/>
          <w:color w:val="000000"/>
          <w:sz w:val="20"/>
        </w:rPr>
        <w:t>, 785 F.2d 963, 967-69 (11th Cir. 1986). We agree.</w:t>
      </w:r>
    </w:p>
    <w:p w14:paraId="2DFA1513" w14:textId="77777777" w:rsidR="002B10A6" w:rsidRDefault="00000000">
      <w:pPr>
        <w:pStyle w:val="Normal22"/>
        <w:widowControl w:val="0"/>
        <w:spacing w:before="200" w:line="260" w:lineRule="atLeast"/>
        <w:jc w:val="both"/>
      </w:pPr>
      <w:bookmarkStart w:id="3701" w:name="Bookmark_para_39_9"/>
      <w:bookmarkEnd w:id="3701"/>
      <w:r>
        <w:rPr>
          <w:rFonts w:ascii="Arial" w:eastAsia="Arial" w:hAnsi="Arial" w:cs="Arial"/>
          <w:color w:val="000000"/>
          <w:sz w:val="20"/>
        </w:rPr>
        <w:t>We now turn to the content of Plaintiffs' claims.</w:t>
      </w:r>
    </w:p>
    <w:p w14:paraId="6E074FD8" w14:textId="77777777" w:rsidR="002B10A6" w:rsidRDefault="00000000">
      <w:pPr>
        <w:pStyle w:val="Normal22"/>
        <w:widowControl w:val="0"/>
        <w:spacing w:before="240" w:line="260" w:lineRule="atLeast"/>
      </w:pPr>
      <w:r>
        <w:br/>
      </w:r>
      <w:r>
        <w:rPr>
          <w:rFonts w:ascii="Arial" w:eastAsia="Arial" w:hAnsi="Arial" w:cs="Arial"/>
          <w:color w:val="000000"/>
          <w:sz w:val="20"/>
        </w:rPr>
        <w:t> [***17] </w:t>
      </w:r>
      <w:r>
        <w:rPr>
          <w:rFonts w:ascii="Arial" w:eastAsia="Arial" w:hAnsi="Arial" w:cs="Arial"/>
          <w:b/>
          <w:color w:val="000000"/>
          <w:sz w:val="20"/>
        </w:rPr>
        <w:t>I. The Medicaid Act's Reasonable-Promptness and Availability-and Comparability-of-Services Provisions, 42 U.S.C. §§ 1396a(a)(8), (10)(A), and (10)(B)</w:t>
      </w:r>
    </w:p>
    <w:p w14:paraId="298EF86C" w14:textId="77777777" w:rsidR="002B10A6" w:rsidRDefault="00000000">
      <w:pPr>
        <w:pStyle w:val="Normal22"/>
        <w:widowControl w:val="0"/>
        <w:spacing w:before="200" w:line="260" w:lineRule="atLeast"/>
        <w:jc w:val="both"/>
      </w:pPr>
      <w:bookmarkStart w:id="3702" w:name="Bookmark_para_40_9"/>
      <w:bookmarkEnd w:id="3702"/>
      <w:r>
        <w:rPr>
          <w:rFonts w:ascii="Arial" w:eastAsia="Arial" w:hAnsi="Arial" w:cs="Arial"/>
          <w:color w:val="000000"/>
          <w:sz w:val="20"/>
        </w:rPr>
        <w:t>Plaintiffs argue that the individual Defendants have violated 42 U.S.C. §§ 1396a(a)(8) and (10)(A) because the budget method they are implementing or allowing to be implemented [**27]  "makes it impossible for participants to obtain adequate medically necessary services with reasonable promptness." (Am. Compl., R. 146 at PageID #3785.) They argue that these Defendants have violated § 1396a(a)(10)(B) by denying them services "sufficient in scope to achieve the services' purpose." (</w:t>
      </w:r>
      <w:r>
        <w:rPr>
          <w:rFonts w:ascii="Arial" w:eastAsia="Arial" w:hAnsi="Arial" w:cs="Arial"/>
          <w:i/>
          <w:color w:val="000000"/>
          <w:sz w:val="20"/>
        </w:rPr>
        <w:t>Id.</w:t>
      </w:r>
      <w:r>
        <w:rPr>
          <w:rFonts w:ascii="Arial" w:eastAsia="Arial" w:hAnsi="Arial" w:cs="Arial"/>
          <w:color w:val="000000"/>
          <w:sz w:val="20"/>
        </w:rPr>
        <w:t xml:space="preserve"> at #3783.) Defendants respond that these provisions do not allow for a private right of action under 42 U.S.C. § 1983, and even if they do, Plaintiffs' complaint does not adequately allege that they have been denied the opportunity to receive necessary medical services under these provisions. The district court found that these provisions allow for a private right of action, but concluded that Plaintiffs had not alleged facts sufficient to state such a claim because they had not identified medically necessary services they were being denied and because they had the option to use county-contracted providers or make additional requests through the PCP process in order to obtain these services.</w:t>
      </w:r>
    </w:p>
    <w:p w14:paraId="6CDD10E3" w14:textId="77777777" w:rsidR="002B10A6" w:rsidRDefault="00000000">
      <w:pPr>
        <w:pStyle w:val="Normal22"/>
        <w:widowControl w:val="0"/>
        <w:spacing w:before="200" w:line="260" w:lineRule="atLeast"/>
        <w:jc w:val="both"/>
      </w:pPr>
      <w:bookmarkStart w:id="3703" w:name="Bookmark_para_41_9"/>
      <w:bookmarkEnd w:id="3703"/>
      <w:r>
        <w:rPr>
          <w:rFonts w:ascii="Arial" w:eastAsia="Arial" w:hAnsi="Arial" w:cs="Arial"/>
          <w:color w:val="000000"/>
          <w:sz w:val="20"/>
        </w:rPr>
        <w:t>The district court correctly concluded that §§ 1396a(a)(8) and (10) afford a private right of action. However, the district court erred in dismissing Plaintiffs' claims thereunder. We begin with Plaintiffs' right of action.</w:t>
      </w:r>
    </w:p>
    <w:p w14:paraId="77DDC381" w14:textId="77777777" w:rsidR="002B10A6" w:rsidRDefault="00000000">
      <w:pPr>
        <w:pStyle w:val="Normal22"/>
        <w:widowControl w:val="0"/>
        <w:spacing w:before="240" w:line="260" w:lineRule="atLeast"/>
      </w:pPr>
      <w:r>
        <w:br/>
      </w:r>
      <w:r>
        <w:rPr>
          <w:rFonts w:ascii="Arial" w:eastAsia="Arial" w:hAnsi="Arial" w:cs="Arial"/>
          <w:b/>
          <w:color w:val="000000"/>
          <w:sz w:val="20"/>
        </w:rPr>
        <w:t>A. Private Right of Action</w:t>
      </w:r>
      <w:r>
        <w:rPr>
          <w:rFonts w:ascii="Arial" w:eastAsia="Arial" w:hAnsi="Arial" w:cs="Arial"/>
          <w:color w:val="000000"/>
          <w:sz w:val="20"/>
        </w:rPr>
        <w:t> [**28] </w:t>
      </w:r>
      <w:r>
        <w:rPr>
          <w:rFonts w:ascii="Arial" w:eastAsia="Arial" w:hAnsi="Arial" w:cs="Arial"/>
          <w:b/>
          <w:color w:val="000000"/>
          <w:sz w:val="20"/>
        </w:rPr>
        <w:t xml:space="preserve"> Under § 1983</w:t>
      </w:r>
    </w:p>
    <w:p w14:paraId="11A23390" w14:textId="77777777" w:rsidR="002B10A6" w:rsidRDefault="00000000">
      <w:pPr>
        <w:pStyle w:val="Normal22"/>
        <w:widowControl w:val="0"/>
        <w:spacing w:before="200" w:line="260" w:lineRule="atLeast"/>
        <w:jc w:val="both"/>
      </w:pPr>
      <w:bookmarkStart w:id="3704" w:name="Bookmark_para_42_9"/>
      <w:bookmarkStart w:id="3705" w:name="Bookmark_LNHNREFclscc14_10"/>
      <w:bookmarkEnd w:id="3704"/>
      <w:bookmarkEnd w:id="3705"/>
      <w:r>
        <w:rPr>
          <w:rFonts w:ascii="Arial" w:eastAsia="Arial" w:hAnsi="Arial" w:cs="Arial"/>
          <w:color w:val="000000"/>
          <w:sz w:val="20"/>
        </w:rPr>
        <w:t xml:space="preserve">Section 1396a(a)(10)(A) requires that state Medicaid plans provide for making  [*446]  certain described categories of medical assistance available to qualified individuals. </w:t>
      </w:r>
      <w:r>
        <w:rPr>
          <w:rFonts w:ascii="Arial" w:eastAsia="Arial" w:hAnsi="Arial" w:cs="Arial"/>
          <w:i/>
          <w:color w:val="000000"/>
          <w:sz w:val="20"/>
        </w:rPr>
        <w:t>See also</w:t>
      </w:r>
      <w:r>
        <w:rPr>
          <w:rFonts w:ascii="Arial" w:eastAsia="Arial" w:hAnsi="Arial" w:cs="Arial"/>
          <w:color w:val="000000"/>
          <w:sz w:val="20"/>
        </w:rPr>
        <w:t xml:space="preserve"> 42 U.S.C. § 1396n(c)(1) (providing that under a Habilitation Supports Waiver, this assistance includes "payment for part or all of the cost of home or community-based services" for qualified individuals). Section 1396a(a)(10)(B), meanwhile, requires that "the medical assistance made available to any individual described . . . shall not be less in amount, duration, or scope than the medical assistance made available" to others under Medicaid. Finally, § 1396a(a)(8) requires state plans to provide individuals with the opportunity to apply for this assistance "and that such assistance shall be furnished with reasonable promptness to all eligible individuals."</w:t>
      </w:r>
    </w:p>
    <w:p w14:paraId="16A0CCFE" w14:textId="77777777" w:rsidR="002B10A6" w:rsidRDefault="00000000">
      <w:pPr>
        <w:pStyle w:val="Normal22"/>
        <w:widowControl w:val="0"/>
        <w:spacing w:before="200" w:line="260" w:lineRule="atLeast"/>
        <w:jc w:val="both"/>
      </w:pPr>
      <w:bookmarkStart w:id="3706" w:name="Bookmark_para_43_8"/>
      <w:bookmarkStart w:id="3707" w:name="Bookmark_I61CDHXN2D6P000050000400"/>
      <w:bookmarkStart w:id="3708" w:name="Bookmark_I69C45227HB0000624M00023"/>
      <w:bookmarkStart w:id="3709" w:name="Bookmark_I61CDHXP28T4J90040000400"/>
      <w:bookmarkEnd w:id="3706"/>
      <w:bookmarkEnd w:id="3707"/>
      <w:bookmarkEnd w:id="3708"/>
      <w:bookmarkEnd w:id="3709"/>
      <w:r>
        <w:rPr>
          <w:rFonts w:ascii="Arial" w:eastAsia="Arial" w:hAnsi="Arial" w:cs="Arial"/>
          <w:color w:val="000000"/>
          <w:sz w:val="20"/>
        </w:rPr>
        <w:t xml:space="preserve"> [***18]  In </w:t>
      </w:r>
      <w:bookmarkStart w:id="3710" w:name="Bookmark_I61CDHXN2D6P000040000400"/>
      <w:bookmarkEnd w:id="3710"/>
      <w:r>
        <w:rPr>
          <w:rFonts w:ascii="Arial" w:eastAsia="Arial" w:hAnsi="Arial" w:cs="Arial"/>
          <w:i/>
          <w:color w:val="000000"/>
          <w:sz w:val="20"/>
        </w:rPr>
        <w:t>Westside Mothers v. Olszewski</w:t>
      </w:r>
      <w:r>
        <w:rPr>
          <w:rFonts w:ascii="Arial" w:eastAsia="Arial" w:hAnsi="Arial" w:cs="Arial"/>
          <w:color w:val="000000"/>
          <w:sz w:val="20"/>
        </w:rPr>
        <w:t xml:space="preserve"> ("</w:t>
      </w:r>
      <w:r>
        <w:rPr>
          <w:rFonts w:ascii="Arial" w:eastAsia="Arial" w:hAnsi="Arial" w:cs="Arial"/>
          <w:i/>
          <w:color w:val="000000"/>
          <w:sz w:val="20"/>
        </w:rPr>
        <w:t>Westside Mothers II</w:t>
      </w:r>
      <w:r>
        <w:rPr>
          <w:rFonts w:ascii="Arial" w:eastAsia="Arial" w:hAnsi="Arial" w:cs="Arial"/>
          <w:color w:val="000000"/>
          <w:sz w:val="20"/>
        </w:rPr>
        <w:t xml:space="preserve">"), 454 F.3d 532, 540-41 (6th Cir. 2006), this Court found that the plaintiffs had forfeited their claims that payments provided to them by the defendants "were insufficient to enlist an adequate number of providers, which effectively frustrates §§ 1396a(a)(8), 1396a(a)(10) by foreclosing the opportunity for eligible individuals to receive the covered medical services." But in dismissing those claims based on forfeiture, this Court specifically [**29]  "modif[ied] the district court's order to reflect a dismissal without prejudice . . . because plaintiffs may be able to amend the complaint to allege that inadequate payments effectively deny the right to 'medical assistance.'" </w:t>
      </w:r>
      <w:bookmarkStart w:id="3711" w:name="Bookmark_I61CDHXP28T4J90010000400"/>
      <w:bookmarkEnd w:id="3711"/>
      <w:r>
        <w:rPr>
          <w:rFonts w:ascii="Arial" w:eastAsia="Arial" w:hAnsi="Arial" w:cs="Arial"/>
          <w:i/>
          <w:color w:val="000000"/>
          <w:sz w:val="20"/>
        </w:rPr>
        <w:t>Id.</w:t>
      </w:r>
      <w:r>
        <w:rPr>
          <w:rFonts w:ascii="Arial" w:eastAsia="Arial" w:hAnsi="Arial" w:cs="Arial"/>
          <w:color w:val="000000"/>
          <w:sz w:val="20"/>
        </w:rPr>
        <w:t xml:space="preserve"> at 541. This suggests that the </w:t>
      </w:r>
      <w:bookmarkStart w:id="3712" w:name="Bookmark_I61CDHXP28T4J90030000400"/>
      <w:bookmarkEnd w:id="3712"/>
      <w:r>
        <w:rPr>
          <w:rFonts w:ascii="Arial" w:eastAsia="Arial" w:hAnsi="Arial" w:cs="Arial"/>
          <w:i/>
          <w:color w:val="000000"/>
          <w:sz w:val="20"/>
        </w:rPr>
        <w:t>Westside Mothers II</w:t>
      </w:r>
      <w:r>
        <w:rPr>
          <w:rFonts w:ascii="Arial" w:eastAsia="Arial" w:hAnsi="Arial" w:cs="Arial"/>
          <w:color w:val="000000"/>
          <w:sz w:val="20"/>
        </w:rPr>
        <w:t xml:space="preserve"> panel implicitly concluded that Plaintiffs had a private right of action under these provisions.</w:t>
      </w:r>
      <w:r>
        <w:rPr>
          <w:rFonts w:ascii="Arial" w:eastAsia="Arial" w:hAnsi="Arial" w:cs="Arial"/>
          <w:vertAlign w:val="superscript"/>
        </w:rPr>
        <w:footnoteReference w:customMarkFollows="1" w:id="156"/>
        <w:t>6</w:t>
      </w:r>
      <w:r>
        <w:rPr>
          <w:rFonts w:ascii="Arial" w:eastAsia="Arial" w:hAnsi="Arial" w:cs="Arial"/>
          <w:color w:val="000000"/>
          <w:sz w:val="20"/>
        </w:rPr>
        <w:t xml:space="preserve"> We agree.</w:t>
      </w:r>
    </w:p>
    <w:p w14:paraId="31E4F029" w14:textId="77777777" w:rsidR="002B10A6" w:rsidRDefault="00000000">
      <w:pPr>
        <w:pStyle w:val="Normal22"/>
        <w:widowControl w:val="0"/>
        <w:spacing w:before="200" w:line="260" w:lineRule="atLeast"/>
        <w:jc w:val="both"/>
      </w:pPr>
      <w:bookmarkStart w:id="3729" w:name="Bookmark_para_44_8"/>
      <w:bookmarkStart w:id="3730" w:name="Bookmark_I61CDHXP2D6P040010000400"/>
      <w:bookmarkStart w:id="3731" w:name="Bookmark_I61CDHXP2D6P040030000400"/>
      <w:bookmarkEnd w:id="3729"/>
      <w:bookmarkEnd w:id="3730"/>
      <w:bookmarkEnd w:id="3731"/>
      <w:r>
        <w:rPr>
          <w:rFonts w:ascii="Arial" w:eastAsia="Arial" w:hAnsi="Arial" w:cs="Arial"/>
          <w:color w:val="000000"/>
          <w:sz w:val="20"/>
        </w:rPr>
        <w:t xml:space="preserve">Despite this, Defendants argue that §§ 1396a(a)(8) and (10) do not establish individual rights enforceable under § 1983 because, in </w:t>
      </w:r>
      <w:r>
        <w:rPr>
          <w:rFonts w:ascii="Arial" w:eastAsia="Arial" w:hAnsi="Arial" w:cs="Arial"/>
          <w:i/>
          <w:color w:val="000000"/>
          <w:sz w:val="20"/>
        </w:rPr>
        <w:t>Westside Mothers II</w:t>
      </w:r>
      <w:r>
        <w:rPr>
          <w:rFonts w:ascii="Arial" w:eastAsia="Arial" w:hAnsi="Arial" w:cs="Arial"/>
          <w:color w:val="000000"/>
          <w:sz w:val="20"/>
        </w:rPr>
        <w:t>, this Court found that a different provision, § 1396a(a)(30)(A),</w:t>
      </w:r>
      <w:r>
        <w:rPr>
          <w:rFonts w:ascii="Arial" w:eastAsia="Arial" w:hAnsi="Arial" w:cs="Arial"/>
          <w:vertAlign w:val="superscript"/>
        </w:rPr>
        <w:footnoteReference w:customMarkFollows="1" w:id="157"/>
        <w:t>7</w:t>
      </w:r>
      <w:r>
        <w:rPr>
          <w:rFonts w:ascii="Arial" w:eastAsia="Arial" w:hAnsi="Arial" w:cs="Arial"/>
          <w:color w:val="000000"/>
          <w:sz w:val="20"/>
        </w:rPr>
        <w:t xml:space="preserve"> did not establish such rights. </w:t>
      </w:r>
      <w:bookmarkStart w:id="3734" w:name="Bookmark_I61CDHXP28T4JB0050000400"/>
      <w:bookmarkEnd w:id="3734"/>
      <w:r>
        <w:rPr>
          <w:rFonts w:ascii="Arial" w:eastAsia="Arial" w:hAnsi="Arial" w:cs="Arial"/>
          <w:color w:val="000000"/>
          <w:sz w:val="20"/>
        </w:rPr>
        <w:t xml:space="preserve">454 F.3d at 542-43. The Supreme Court has since agreed. </w:t>
      </w:r>
      <w:bookmarkStart w:id="3735" w:name="Bookmark_I61CDHXP2D6P040020000400"/>
      <w:bookmarkEnd w:id="3735"/>
      <w:r>
        <w:rPr>
          <w:rFonts w:ascii="Arial" w:eastAsia="Arial" w:hAnsi="Arial" w:cs="Arial"/>
          <w:i/>
          <w:color w:val="000000"/>
          <w:sz w:val="20"/>
        </w:rPr>
        <w:t>Armstrong v. Exceptional Child Ctr., Inc.</w:t>
      </w:r>
      <w:r>
        <w:rPr>
          <w:rFonts w:ascii="Arial" w:eastAsia="Arial" w:hAnsi="Arial" w:cs="Arial"/>
          <w:color w:val="000000"/>
          <w:sz w:val="20"/>
        </w:rPr>
        <w:t xml:space="preserve">, 575 U.S. 320, 328-29, 135 S. Ct. 1378, 191 L. Ed. 2d 471 (2015) ("In our view the Medicaid Act implicitly precludes private enforcement of § 30(A) . . . ."). Defendants point out that § 1396a(a)(30)(A) "explicitly addresse[s]  [*447]  provider reimbursement rates with regard to individuals' access to healthcare services" and reason that "if an individual cannot  [***19]  enforce a Medicaid provision that speaks directly to provider reimbursement, that individual cannot enforce a provision that does so — at best — indirectly." (State Defs.' Br. at 19; </w:t>
      </w:r>
      <w:r>
        <w:rPr>
          <w:rFonts w:ascii="Arial" w:eastAsia="Arial" w:hAnsi="Arial" w:cs="Arial"/>
          <w:i/>
          <w:color w:val="000000"/>
          <w:sz w:val="20"/>
        </w:rPr>
        <w:t>see also</w:t>
      </w:r>
      <w:r>
        <w:rPr>
          <w:rFonts w:ascii="Arial" w:eastAsia="Arial" w:hAnsi="Arial" w:cs="Arial"/>
          <w:color w:val="000000"/>
          <w:sz w:val="20"/>
        </w:rPr>
        <w:t xml:space="preserve"> PIHP Defs.' Br. at 26.)</w:t>
      </w:r>
    </w:p>
    <w:p w14:paraId="36DE1E1A" w14:textId="77777777" w:rsidR="002B10A6" w:rsidRDefault="00000000">
      <w:pPr>
        <w:pStyle w:val="Normal22"/>
        <w:widowControl w:val="0"/>
        <w:spacing w:before="200" w:line="260" w:lineRule="atLeast"/>
        <w:jc w:val="both"/>
      </w:pPr>
      <w:bookmarkStart w:id="3736" w:name="Bookmark_para_46_7"/>
      <w:bookmarkStart w:id="3737" w:name="Bookmark_I69C45204C10000624M0000M"/>
      <w:bookmarkStart w:id="3738" w:name="Bookmark_I61CDHXP2D6P040050000400"/>
      <w:bookmarkStart w:id="3739" w:name="Bookmark_I61CDHXR28T4JC0010000400"/>
      <w:bookmarkEnd w:id="3736"/>
      <w:bookmarkEnd w:id="3737"/>
      <w:bookmarkEnd w:id="3738"/>
      <w:bookmarkEnd w:id="3739"/>
      <w:r>
        <w:rPr>
          <w:rFonts w:ascii="Arial" w:eastAsia="Arial" w:hAnsi="Arial" w:cs="Arial"/>
          <w:color w:val="000000"/>
          <w:sz w:val="20"/>
        </w:rPr>
        <w:t xml:space="preserve">This is not the proper analysis. </w:t>
      </w:r>
      <w:bookmarkStart w:id="3740" w:name="Bookmark_I69C45205SV0000624M0000N"/>
      <w:bookmarkStart w:id="3741" w:name="Bookmark_I69C45208XX0000624M0000R"/>
      <w:bookmarkStart w:id="3742" w:name="Bookmark_I61CDHXR28T4JC0050000400"/>
      <w:bookmarkStart w:id="3743" w:name="Bookmark_LNHNREFclscc15_8"/>
      <w:bookmarkEnd w:id="3740"/>
      <w:bookmarkEnd w:id="3741"/>
      <w:bookmarkEnd w:id="3742"/>
      <w:bookmarkEnd w:id="3743"/>
      <w:r>
        <w:rPr>
          <w:rFonts w:ascii="Arial" w:eastAsia="Arial" w:hAnsi="Arial" w:cs="Arial"/>
          <w:color w:val="000000"/>
          <w:sz w:val="20"/>
        </w:rPr>
        <w:t xml:space="preserve">In </w:t>
      </w:r>
      <w:bookmarkStart w:id="3744" w:name="Bookmark_I61CDHXP2D6P040040000400"/>
      <w:bookmarkEnd w:id="3744"/>
      <w:r>
        <w:rPr>
          <w:rFonts w:ascii="Arial" w:eastAsia="Arial" w:hAnsi="Arial" w:cs="Arial"/>
          <w:i/>
          <w:color w:val="000000"/>
          <w:sz w:val="20"/>
        </w:rPr>
        <w:t>Blessing v. Freestone</w:t>
      </w:r>
      <w:r>
        <w:rPr>
          <w:rFonts w:ascii="Arial" w:eastAsia="Arial" w:hAnsi="Arial" w:cs="Arial"/>
          <w:color w:val="000000"/>
          <w:sz w:val="20"/>
        </w:rPr>
        <w:t xml:space="preserve">, 520 U.S. 329, 117 S. Ct. 1353, 137 L. Ed. 2d 569 (1997), the Supreme Court laid out three factors relevant to whether a statute confers rights enforceable under § 1983: (1) whether Congress "intended that the provision in question benefit the plaintiff"; (2) whether "the right assertedly protected by the statute is not so 'vague and amorphous' that its enforcement would strain judicial competence"; and (3) whether the statute "unambiguously impose[s] a binding obligation on the States" by couching its right "in mandatory, rather than precatory, terms." </w:t>
      </w:r>
      <w:bookmarkStart w:id="3745" w:name="Bookmark_I61CDHXP2HM6D70010000400"/>
      <w:bookmarkEnd w:id="3745"/>
      <w:r>
        <w:rPr>
          <w:rFonts w:ascii="Arial" w:eastAsia="Arial" w:hAnsi="Arial" w:cs="Arial"/>
          <w:i/>
          <w:color w:val="000000"/>
          <w:sz w:val="20"/>
        </w:rPr>
        <w:t>Id.</w:t>
      </w:r>
      <w:r>
        <w:rPr>
          <w:rFonts w:ascii="Arial" w:eastAsia="Arial" w:hAnsi="Arial" w:cs="Arial"/>
          <w:color w:val="000000"/>
          <w:sz w:val="20"/>
        </w:rPr>
        <w:t xml:space="preserve"> at 340-41 (quoting </w:t>
      </w:r>
      <w:bookmarkStart w:id="3746" w:name="Bookmark_I61CDHXP2HM6D70030000400"/>
      <w:bookmarkEnd w:id="3746"/>
      <w:r>
        <w:rPr>
          <w:rFonts w:ascii="Arial" w:eastAsia="Arial" w:hAnsi="Arial" w:cs="Arial"/>
          <w:i/>
          <w:color w:val="000000"/>
          <w:sz w:val="20"/>
        </w:rPr>
        <w:t>Wright v. City of Roanoke Redev. and Hous. Auth.</w:t>
      </w:r>
      <w:r>
        <w:rPr>
          <w:rFonts w:ascii="Arial" w:eastAsia="Arial" w:hAnsi="Arial" w:cs="Arial"/>
          <w:color w:val="000000"/>
          <w:sz w:val="20"/>
        </w:rPr>
        <w:t xml:space="preserve">, 479 U.S. 418, 431-32, 107 S. Ct. 766, 93 L. Ed. 2d 781 (1987)). </w:t>
      </w:r>
      <w:bookmarkStart w:id="3747" w:name="Bookmark_I61CDHXR2D6P060040000400"/>
      <w:bookmarkEnd w:id="3747"/>
      <w:r>
        <w:rPr>
          <w:rFonts w:ascii="Arial" w:eastAsia="Arial" w:hAnsi="Arial" w:cs="Arial"/>
          <w:color w:val="000000"/>
          <w:sz w:val="20"/>
        </w:rPr>
        <w:t xml:space="preserve">The Court "clarified the first of </w:t>
      </w:r>
      <w:r>
        <w:rPr>
          <w:rFonts w:ascii="Arial" w:eastAsia="Arial" w:hAnsi="Arial" w:cs="Arial"/>
          <w:i/>
          <w:color w:val="000000"/>
          <w:sz w:val="20"/>
        </w:rPr>
        <w:t>Blessing</w:t>
      </w:r>
      <w:r>
        <w:rPr>
          <w:rFonts w:ascii="Arial" w:eastAsia="Arial" w:hAnsi="Arial" w:cs="Arial"/>
          <w:color w:val="000000"/>
          <w:sz w:val="20"/>
        </w:rPr>
        <w:t xml:space="preserve">'s three requirements" in </w:t>
      </w:r>
      <w:bookmarkStart w:id="3748" w:name="Bookmark_I61CDHXP2HM6D70050000400"/>
      <w:bookmarkEnd w:id="3748"/>
      <w:r>
        <w:rPr>
          <w:rFonts w:ascii="Arial" w:eastAsia="Arial" w:hAnsi="Arial" w:cs="Arial"/>
          <w:i/>
          <w:color w:val="000000"/>
          <w:sz w:val="20"/>
        </w:rPr>
        <w:t>Gonzaga University v. Doe</w:t>
      </w:r>
      <w:r>
        <w:rPr>
          <w:rFonts w:ascii="Arial" w:eastAsia="Arial" w:hAnsi="Arial" w:cs="Arial"/>
          <w:color w:val="000000"/>
          <w:sz w:val="20"/>
        </w:rPr>
        <w:t xml:space="preserve">, 536 U.S. 273, 122 S. Ct. 2268, 153 L. Ed. 2d 309 (2002), "making clear that only unambiguously conferred rights, as distinguished [**31]  from mere benefits or interests, are enforceable under § 1983." </w:t>
      </w:r>
      <w:bookmarkStart w:id="3749" w:name="Bookmark_I61CDHXR28T4JC0020000400"/>
      <w:bookmarkEnd w:id="3749"/>
      <w:r>
        <w:rPr>
          <w:rFonts w:ascii="Arial" w:eastAsia="Arial" w:hAnsi="Arial" w:cs="Arial"/>
          <w:i/>
          <w:color w:val="000000"/>
          <w:sz w:val="20"/>
        </w:rPr>
        <w:t>Westside Mothers II</w:t>
      </w:r>
      <w:r>
        <w:rPr>
          <w:rFonts w:ascii="Arial" w:eastAsia="Arial" w:hAnsi="Arial" w:cs="Arial"/>
          <w:color w:val="000000"/>
          <w:sz w:val="20"/>
        </w:rPr>
        <w:t xml:space="preserve">, 454 F.3d at 541-42. </w:t>
      </w:r>
      <w:bookmarkStart w:id="3750" w:name="Bookmark_I61CDHXR2D6P060040000400_2"/>
      <w:bookmarkStart w:id="3751" w:name="Bookmark_I61CDHXR28T4JC0050000400_2"/>
      <w:bookmarkEnd w:id="3750"/>
      <w:bookmarkEnd w:id="3751"/>
      <w:r>
        <w:rPr>
          <w:rFonts w:ascii="Arial" w:eastAsia="Arial" w:hAnsi="Arial" w:cs="Arial"/>
          <w:color w:val="000000"/>
          <w:sz w:val="20"/>
        </w:rPr>
        <w:t xml:space="preserve">Thus, we must inquire "whether or not Congress intended to confer individual rights upon a class of beneficiaries," in particular looking to "whether the pertinent statute contains 'rights-creating' language that reveals congressional intent to create an individually enforceable right." </w:t>
      </w:r>
      <w:bookmarkStart w:id="3752" w:name="Bookmark_I61CDHXR28T4JC0040000400"/>
      <w:bookmarkEnd w:id="3752"/>
      <w:r>
        <w:rPr>
          <w:rFonts w:ascii="Arial" w:eastAsia="Arial" w:hAnsi="Arial" w:cs="Arial"/>
          <w:i/>
          <w:color w:val="000000"/>
          <w:sz w:val="20"/>
        </w:rPr>
        <w:t>Id.</w:t>
      </w:r>
      <w:r>
        <w:rPr>
          <w:rFonts w:ascii="Arial" w:eastAsia="Arial" w:hAnsi="Arial" w:cs="Arial"/>
          <w:color w:val="000000"/>
          <w:sz w:val="20"/>
        </w:rPr>
        <w:t xml:space="preserve"> at 542 (quoting </w:t>
      </w:r>
      <w:bookmarkStart w:id="3753" w:name="Bookmark_I61CDHXR2D6P060010000400"/>
      <w:bookmarkEnd w:id="3753"/>
      <w:r>
        <w:rPr>
          <w:rFonts w:ascii="Arial" w:eastAsia="Arial" w:hAnsi="Arial" w:cs="Arial"/>
          <w:i/>
          <w:color w:val="000000"/>
          <w:sz w:val="20"/>
        </w:rPr>
        <w:t>Gonzaga</w:t>
      </w:r>
      <w:r>
        <w:rPr>
          <w:rFonts w:ascii="Arial" w:eastAsia="Arial" w:hAnsi="Arial" w:cs="Arial"/>
          <w:color w:val="000000"/>
          <w:sz w:val="20"/>
        </w:rPr>
        <w:t xml:space="preserve">, 536 U.S. at 285, 287). </w:t>
      </w:r>
      <w:bookmarkStart w:id="3754" w:name="Bookmark_I69C4520CPF0000624M0000T"/>
      <w:bookmarkStart w:id="3755" w:name="Bookmark_I69C4520H160000624M0000W"/>
      <w:bookmarkStart w:id="3756" w:name="Bookmark_I69C4520KSJ0000624M0000Y"/>
      <w:bookmarkStart w:id="3757" w:name="Bookmark_I69C4520PRJ0000624M00011"/>
      <w:bookmarkStart w:id="3758" w:name="Bookmark_I69C4520TH40000624M00013"/>
      <w:bookmarkStart w:id="3759" w:name="Bookmark_I69C4520XCW0000624M00015"/>
      <w:bookmarkStart w:id="3760" w:name="Bookmark_I69C452118W0000624M00017"/>
      <w:bookmarkStart w:id="3761" w:name="Bookmark_I61CDHXR28T4JD0010000400"/>
      <w:bookmarkEnd w:id="3754"/>
      <w:bookmarkEnd w:id="3755"/>
      <w:bookmarkEnd w:id="3756"/>
      <w:bookmarkEnd w:id="3757"/>
      <w:bookmarkEnd w:id="3758"/>
      <w:bookmarkEnd w:id="3759"/>
      <w:bookmarkEnd w:id="3760"/>
      <w:bookmarkEnd w:id="3761"/>
      <w:r>
        <w:rPr>
          <w:rFonts w:ascii="Arial" w:eastAsia="Arial" w:hAnsi="Arial" w:cs="Arial"/>
          <w:color w:val="000000"/>
          <w:sz w:val="20"/>
        </w:rPr>
        <w:t xml:space="preserve">Finally, we must ask whether Congress "explicitly foreclose[d] recourse to § 1983" under the relevant statute, including by establishing a "remedial scheme sufficiently comprehensive to supplant § 1983." </w:t>
      </w:r>
      <w:bookmarkStart w:id="3762" w:name="Bookmark_I61CDHXR2D6P060030000400"/>
      <w:bookmarkEnd w:id="3762"/>
      <w:r>
        <w:rPr>
          <w:rFonts w:ascii="Arial" w:eastAsia="Arial" w:hAnsi="Arial" w:cs="Arial"/>
          <w:i/>
          <w:color w:val="000000"/>
          <w:sz w:val="20"/>
        </w:rPr>
        <w:t>Westside Mothers I</w:t>
      </w:r>
      <w:r>
        <w:rPr>
          <w:rFonts w:ascii="Arial" w:eastAsia="Arial" w:hAnsi="Arial" w:cs="Arial"/>
          <w:color w:val="000000"/>
          <w:sz w:val="20"/>
        </w:rPr>
        <w:t xml:space="preserve">, 289 F.3d at 863. </w:t>
      </w:r>
      <w:bookmarkStart w:id="3763" w:name="Bookmark_I61CDHXR28T4JD0010000400_2"/>
      <w:bookmarkEnd w:id="3763"/>
      <w:r>
        <w:rPr>
          <w:rFonts w:ascii="Arial" w:eastAsia="Arial" w:hAnsi="Arial" w:cs="Arial"/>
          <w:color w:val="000000"/>
          <w:sz w:val="20"/>
        </w:rPr>
        <w:t xml:space="preserve">Applying this analysis demonstrates that </w:t>
      </w:r>
      <w:bookmarkStart w:id="3764" w:name="Bookmark_LNHNREFclscc16_6"/>
      <w:bookmarkEnd w:id="3764"/>
      <w:r>
        <w:rPr>
          <w:rFonts w:ascii="Arial" w:eastAsia="Arial" w:hAnsi="Arial" w:cs="Arial"/>
          <w:color w:val="000000"/>
          <w:sz w:val="20"/>
        </w:rPr>
        <w:t>§§ 1396a(a)(8) and (10) do allow for a private right of action. This conclusion is supported by the frequency with which other courts have held that these provisions create rights enforceable under § 1983, even post-</w:t>
      </w:r>
      <w:r>
        <w:rPr>
          <w:rFonts w:ascii="Arial" w:eastAsia="Arial" w:hAnsi="Arial" w:cs="Arial"/>
          <w:i/>
          <w:color w:val="000000"/>
          <w:sz w:val="20"/>
        </w:rPr>
        <w:t>Gonzaga</w:t>
      </w:r>
      <w:r>
        <w:rPr>
          <w:rFonts w:ascii="Arial" w:eastAsia="Arial" w:hAnsi="Arial" w:cs="Arial"/>
          <w:color w:val="000000"/>
          <w:sz w:val="20"/>
        </w:rPr>
        <w:t>.</w:t>
      </w:r>
      <w:r>
        <w:rPr>
          <w:rFonts w:ascii="Arial" w:eastAsia="Arial" w:hAnsi="Arial" w:cs="Arial"/>
          <w:vertAlign w:val="superscript"/>
        </w:rPr>
        <w:footnoteReference w:customMarkFollows="1" w:id="158"/>
        <w:t>8</w:t>
      </w:r>
    </w:p>
    <w:p w14:paraId="023590AF" w14:textId="77777777" w:rsidR="002B10A6" w:rsidRDefault="00000000">
      <w:pPr>
        <w:pStyle w:val="Normal22"/>
        <w:widowControl w:val="0"/>
        <w:spacing w:before="200" w:line="260" w:lineRule="atLeast"/>
        <w:jc w:val="both"/>
      </w:pPr>
      <w:bookmarkStart w:id="3773" w:name="Bookmark_para_47_7"/>
      <w:bookmarkStart w:id="3774" w:name="Bookmark_I69C452149K0000624M00019"/>
      <w:bookmarkStart w:id="3775" w:name="Bookmark_I61CDHXS2N1PRT0050000400"/>
      <w:bookmarkEnd w:id="3773"/>
      <w:bookmarkEnd w:id="3774"/>
      <w:bookmarkEnd w:id="3775"/>
      <w:r>
        <w:rPr>
          <w:rFonts w:ascii="Arial" w:eastAsia="Arial" w:hAnsi="Arial" w:cs="Arial"/>
          <w:color w:val="000000"/>
          <w:sz w:val="20"/>
        </w:rPr>
        <w:t xml:space="preserve">Considering the first </w:t>
      </w:r>
      <w:r>
        <w:rPr>
          <w:rFonts w:ascii="Arial" w:eastAsia="Arial" w:hAnsi="Arial" w:cs="Arial"/>
          <w:i/>
          <w:color w:val="000000"/>
          <w:sz w:val="20"/>
        </w:rPr>
        <w:t>Blessing</w:t>
      </w:r>
      <w:r>
        <w:rPr>
          <w:rFonts w:ascii="Arial" w:eastAsia="Arial" w:hAnsi="Arial" w:cs="Arial"/>
          <w:color w:val="000000"/>
          <w:sz w:val="20"/>
        </w:rPr>
        <w:t xml:space="preserve"> factor in </w:t>
      </w:r>
      <w:r>
        <w:rPr>
          <w:rFonts w:ascii="Arial" w:eastAsia="Arial" w:hAnsi="Arial" w:cs="Arial"/>
          <w:i/>
          <w:color w:val="000000"/>
          <w:sz w:val="20"/>
        </w:rPr>
        <w:t>Westside Mothers II</w:t>
      </w:r>
      <w:r>
        <w:rPr>
          <w:rFonts w:ascii="Arial" w:eastAsia="Arial" w:hAnsi="Arial" w:cs="Arial"/>
          <w:color w:val="000000"/>
          <w:sz w:val="20"/>
        </w:rPr>
        <w:t xml:space="preserve">, this Court reasoned that "the text of § 1396a(a)(30)[(A)] does not focus on individual entitlements." </w:t>
      </w:r>
      <w:bookmarkStart w:id="3776" w:name="Bookmark_I61CDHXS2N1PRT0040000400"/>
      <w:bookmarkEnd w:id="3776"/>
      <w:r>
        <w:rPr>
          <w:rFonts w:ascii="Arial" w:eastAsia="Arial" w:hAnsi="Arial" w:cs="Arial"/>
          <w:color w:val="000000"/>
          <w:sz w:val="20"/>
        </w:rPr>
        <w:t xml:space="preserve">454 F.3d at 543. Indeed,  [***20]  that provision never once references individuals. </w:t>
      </w:r>
      <w:bookmarkStart w:id="3777" w:name="Bookmark_I61CDHXS2D6P090020000400"/>
      <w:bookmarkEnd w:id="3777"/>
      <w:r>
        <w:rPr>
          <w:rFonts w:ascii="Arial" w:eastAsia="Arial" w:hAnsi="Arial" w:cs="Arial"/>
          <w:i/>
          <w:color w:val="000000"/>
          <w:sz w:val="20"/>
        </w:rPr>
        <w:t>See</w:t>
      </w:r>
      <w:r>
        <w:rPr>
          <w:rFonts w:ascii="Arial" w:eastAsia="Arial" w:hAnsi="Arial" w:cs="Arial"/>
          <w:color w:val="000000"/>
          <w:sz w:val="20"/>
        </w:rPr>
        <w:t xml:space="preserve"> 42 U.S.C. § 1396a(a)(30)(A). </w:t>
      </w:r>
      <w:bookmarkStart w:id="3778" w:name="Bookmark_I61CDHXS2D6P090020000400_2"/>
      <w:bookmarkEnd w:id="3778"/>
      <w:r>
        <w:rPr>
          <w:rFonts w:ascii="Arial" w:eastAsia="Arial" w:hAnsi="Arial" w:cs="Arial"/>
          <w:color w:val="000000"/>
          <w:sz w:val="20"/>
        </w:rPr>
        <w:t xml:space="preserve">By contrast, §§ 1396a(a)(8) and (10) do focus on individual entitlements, requiring that "all individuals" have the opportunity to apply for medical assistance, that "all eligible individuals[']" [**32]  assistance be furnished reasonably promptly, and that assistance "to any individual described" equal the assistance available to other Medicaid recipients. 42 U.S.C. §§ 1396a(a)(8), (a)(10). This is "the kind of 'individually focused terminology' that 'unambiguously confer[s]' an 'individual entitlement' under the law." </w:t>
      </w:r>
      <w:r>
        <w:rPr>
          <w:rFonts w:ascii="Arial" w:eastAsia="Arial" w:hAnsi="Arial" w:cs="Arial"/>
          <w:i/>
          <w:color w:val="000000"/>
          <w:sz w:val="20"/>
        </w:rPr>
        <w:t xml:space="preserve">See </w:t>
      </w:r>
      <w:bookmarkStart w:id="3779" w:name="Bookmark_I61CDHXS2D6P090010000400"/>
      <w:bookmarkEnd w:id="3779"/>
      <w:r>
        <w:rPr>
          <w:rFonts w:ascii="Arial" w:eastAsia="Arial" w:hAnsi="Arial" w:cs="Arial"/>
          <w:i/>
          <w:color w:val="000000"/>
          <w:sz w:val="20"/>
        </w:rPr>
        <w:t>Harris v. Olszewski</w:t>
      </w:r>
      <w:r>
        <w:rPr>
          <w:rFonts w:ascii="Arial" w:eastAsia="Arial" w:hAnsi="Arial" w:cs="Arial"/>
          <w:color w:val="000000"/>
          <w:sz w:val="20"/>
        </w:rPr>
        <w:t xml:space="preserve">, 442 F.3d 456, 461 (6th Cir. 2006) (alteration in original) (quoting </w:t>
      </w:r>
      <w:bookmarkStart w:id="3780" w:name="Bookmark_I61CDHXS2D6P090030000400"/>
      <w:bookmarkEnd w:id="3780"/>
      <w:r>
        <w:rPr>
          <w:rFonts w:ascii="Arial" w:eastAsia="Arial" w:hAnsi="Arial" w:cs="Arial"/>
          <w:i/>
          <w:color w:val="000000"/>
          <w:sz w:val="20"/>
        </w:rPr>
        <w:t>Gonzaga</w:t>
      </w:r>
      <w:r>
        <w:rPr>
          <w:rFonts w:ascii="Arial" w:eastAsia="Arial" w:hAnsi="Arial" w:cs="Arial"/>
          <w:color w:val="000000"/>
          <w:sz w:val="20"/>
        </w:rPr>
        <w:t>, 536 U.S. at 283, 287)  [*448]  (concluding that § 1396a(a)(23) creates rights enforceable under § 1983 in part because the provision explicitly refers to "any individual eligible for medical assistance").</w:t>
      </w:r>
    </w:p>
    <w:p w14:paraId="5BFC36C1" w14:textId="77777777" w:rsidR="002B10A6" w:rsidRDefault="00000000">
      <w:pPr>
        <w:pStyle w:val="Normal22"/>
        <w:widowControl w:val="0"/>
        <w:spacing w:before="200" w:line="260" w:lineRule="atLeast"/>
        <w:jc w:val="both"/>
      </w:pPr>
      <w:bookmarkStart w:id="3781" w:name="Bookmark_para_48_7"/>
      <w:bookmarkStart w:id="3782" w:name="Bookmark_I69C4522F5X0000624M00027"/>
      <w:bookmarkStart w:id="3783" w:name="Bookmark_I61CDHXT2HM6DC0010000400"/>
      <w:bookmarkStart w:id="3784" w:name="Bookmark_I61CDHXT2N1PRW0020000400"/>
      <w:bookmarkEnd w:id="3781"/>
      <w:bookmarkEnd w:id="3782"/>
      <w:bookmarkEnd w:id="3783"/>
      <w:bookmarkEnd w:id="3784"/>
      <w:r>
        <w:rPr>
          <w:rFonts w:ascii="Arial" w:eastAsia="Arial" w:hAnsi="Arial" w:cs="Arial"/>
          <w:color w:val="000000"/>
          <w:sz w:val="20"/>
        </w:rPr>
        <w:t xml:space="preserve">Turning to the second </w:t>
      </w:r>
      <w:r>
        <w:rPr>
          <w:rFonts w:ascii="Arial" w:eastAsia="Arial" w:hAnsi="Arial" w:cs="Arial"/>
          <w:i/>
          <w:color w:val="000000"/>
          <w:sz w:val="20"/>
        </w:rPr>
        <w:t>Blessing</w:t>
      </w:r>
      <w:r>
        <w:rPr>
          <w:rFonts w:ascii="Arial" w:eastAsia="Arial" w:hAnsi="Arial" w:cs="Arial"/>
          <w:color w:val="000000"/>
          <w:sz w:val="20"/>
        </w:rPr>
        <w:t xml:space="preserve"> factor, this Court found in </w:t>
      </w:r>
      <w:bookmarkStart w:id="3785" w:name="Bookmark_I61CDHXS2D6P090050000400"/>
      <w:bookmarkEnd w:id="3785"/>
      <w:r>
        <w:rPr>
          <w:rFonts w:ascii="Arial" w:eastAsia="Arial" w:hAnsi="Arial" w:cs="Arial"/>
          <w:i/>
          <w:color w:val="000000"/>
          <w:sz w:val="20"/>
        </w:rPr>
        <w:t>Westside Mothers II</w:t>
      </w:r>
      <w:r>
        <w:rPr>
          <w:rFonts w:ascii="Arial" w:eastAsia="Arial" w:hAnsi="Arial" w:cs="Arial"/>
          <w:color w:val="000000"/>
          <w:sz w:val="20"/>
        </w:rPr>
        <w:t xml:space="preserve"> that the "'broad and nonspecific' language" of § 1396a(a)(30)(A) was not amenable to judicial remedy. </w:t>
      </w:r>
      <w:bookmarkStart w:id="3786" w:name="Bookmark_I61CDHXT2HM6DC0020000400"/>
      <w:bookmarkEnd w:id="3786"/>
      <w:r>
        <w:rPr>
          <w:rFonts w:ascii="Arial" w:eastAsia="Arial" w:hAnsi="Arial" w:cs="Arial"/>
          <w:color w:val="000000"/>
          <w:sz w:val="20"/>
        </w:rPr>
        <w:t xml:space="preserve">454 F.3d at 543 (quoting </w:t>
      </w:r>
      <w:bookmarkStart w:id="3787" w:name="Bookmark_I61CDHXT2HM6DC0040000400"/>
      <w:bookmarkEnd w:id="3787"/>
      <w:r>
        <w:rPr>
          <w:rFonts w:ascii="Arial" w:eastAsia="Arial" w:hAnsi="Arial" w:cs="Arial"/>
          <w:i/>
          <w:color w:val="000000"/>
          <w:sz w:val="20"/>
        </w:rPr>
        <w:t>Gonzaga</w:t>
      </w:r>
      <w:r>
        <w:rPr>
          <w:rFonts w:ascii="Arial" w:eastAsia="Arial" w:hAnsi="Arial" w:cs="Arial"/>
          <w:color w:val="000000"/>
          <w:sz w:val="20"/>
        </w:rPr>
        <w:t xml:space="preserve">, 536 U.S. at 292). We noted that the provision "sets forth general objectives, including 'efficiency, economy, and quality of care,' but does not identify what standards are required by such terms." </w:t>
      </w:r>
      <w:r>
        <w:rPr>
          <w:rFonts w:ascii="Arial" w:eastAsia="Arial" w:hAnsi="Arial" w:cs="Arial"/>
          <w:i/>
          <w:color w:val="000000"/>
          <w:sz w:val="20"/>
        </w:rPr>
        <w:t xml:space="preserve">Id.; accord </w:t>
      </w:r>
      <w:bookmarkStart w:id="3788" w:name="Bookmark_I61CDHXT2N1PRW0010000400"/>
      <w:bookmarkEnd w:id="3788"/>
      <w:r>
        <w:rPr>
          <w:rFonts w:ascii="Arial" w:eastAsia="Arial" w:hAnsi="Arial" w:cs="Arial"/>
          <w:i/>
          <w:color w:val="000000"/>
          <w:sz w:val="20"/>
        </w:rPr>
        <w:t>Armstrong</w:t>
      </w:r>
      <w:r>
        <w:rPr>
          <w:rFonts w:ascii="Arial" w:eastAsia="Arial" w:hAnsi="Arial" w:cs="Arial"/>
          <w:color w:val="000000"/>
          <w:sz w:val="20"/>
        </w:rPr>
        <w:t>, 575 U.S. at 328 ("It is difficult to imagine a requirement broader and less specific than § 30(A)'s mandate that state plans provide for payments that are 'consistent with efficiency, economy, and quality of care,' all the while 'safeguard[ing] against unnecessary utilization of . . . care and services.'").</w:t>
      </w:r>
    </w:p>
    <w:p w14:paraId="75CD7842" w14:textId="77777777" w:rsidR="002B10A6" w:rsidRDefault="00000000">
      <w:pPr>
        <w:pStyle w:val="Normal22"/>
        <w:widowControl w:val="0"/>
        <w:spacing w:before="200" w:line="260" w:lineRule="atLeast"/>
        <w:jc w:val="both"/>
      </w:pPr>
      <w:bookmarkStart w:id="3789" w:name="Bookmark_para_49_6"/>
      <w:bookmarkEnd w:id="3789"/>
      <w:r>
        <w:rPr>
          <w:rFonts w:ascii="Arial" w:eastAsia="Arial" w:hAnsi="Arial" w:cs="Arial"/>
          <w:color w:val="000000"/>
          <w:sz w:val="20"/>
        </w:rPr>
        <w:t xml:space="preserve">But unlike § 1396a(a)(30)(A), §§ 1396a(a)(8) and (10) are amenable to judicial remedy. </w:t>
      </w:r>
      <w:bookmarkStart w:id="3790" w:name="Bookmark_I61CDHXT2N1PRW0040000400"/>
      <w:bookmarkStart w:id="3791" w:name="Bookmark_LNHNREFclscc17_5"/>
      <w:bookmarkEnd w:id="3790"/>
      <w:bookmarkEnd w:id="3791"/>
      <w:r>
        <w:rPr>
          <w:rFonts w:ascii="Arial" w:eastAsia="Arial" w:hAnsi="Arial" w:cs="Arial"/>
          <w:color w:val="000000"/>
          <w:sz w:val="20"/>
        </w:rPr>
        <w:t xml:space="preserve">Section 1396a(a)(8) requires [**33]  simply that eligible individuals have the opportunity to apply for available medical assistance, and that this assistance "be furnished with reasonable promptness." Courts can easily determine whether individuals have been given the opportunity to apply for medical assistance by looking to the face of a state's Medicaid plan, records supplied by agencies and recipients, and witness testimony. </w:t>
      </w:r>
      <w:bookmarkStart w:id="3792" w:name="Bookmark_LNHNREFclscc18_2"/>
      <w:bookmarkEnd w:id="3792"/>
      <w:r>
        <w:rPr>
          <w:rFonts w:ascii="Arial" w:eastAsia="Arial" w:hAnsi="Arial" w:cs="Arial"/>
          <w:color w:val="000000"/>
          <w:sz w:val="20"/>
        </w:rPr>
        <w:t xml:space="preserve">And the regulations make clear that the standard for "reasonable promptness" is within at least forty-five or ninety days, depending on the basis for an individual's application. </w:t>
      </w:r>
      <w:bookmarkStart w:id="3793" w:name="Bookmark_I61CDHXT2SF8650050000400"/>
      <w:bookmarkEnd w:id="3793"/>
      <w:r>
        <w:rPr>
          <w:rFonts w:ascii="Arial" w:eastAsia="Arial" w:hAnsi="Arial" w:cs="Arial"/>
          <w:i/>
          <w:color w:val="000000"/>
          <w:sz w:val="20"/>
        </w:rPr>
        <w:t>See</w:t>
      </w:r>
      <w:r>
        <w:rPr>
          <w:rFonts w:ascii="Arial" w:eastAsia="Arial" w:hAnsi="Arial" w:cs="Arial"/>
          <w:color w:val="000000"/>
          <w:sz w:val="20"/>
        </w:rPr>
        <w:t xml:space="preserve"> 42 C.F.R. § 435.912(c)(3); </w:t>
      </w:r>
      <w:r>
        <w:rPr>
          <w:rFonts w:ascii="Arial" w:eastAsia="Arial" w:hAnsi="Arial" w:cs="Arial"/>
          <w:i/>
          <w:color w:val="000000"/>
          <w:sz w:val="20"/>
        </w:rPr>
        <w:t xml:space="preserve">see also </w:t>
      </w:r>
      <w:bookmarkStart w:id="3794" w:name="Bookmark_I61CDHXT2N1PRW0030000400"/>
      <w:bookmarkEnd w:id="3794"/>
      <w:r>
        <w:rPr>
          <w:rFonts w:ascii="Arial" w:eastAsia="Arial" w:hAnsi="Arial" w:cs="Arial"/>
          <w:i/>
          <w:color w:val="000000"/>
          <w:sz w:val="20"/>
        </w:rPr>
        <w:t>Romano</w:t>
      </w:r>
      <w:r>
        <w:rPr>
          <w:rFonts w:ascii="Arial" w:eastAsia="Arial" w:hAnsi="Arial" w:cs="Arial"/>
          <w:color w:val="000000"/>
          <w:sz w:val="20"/>
        </w:rPr>
        <w:t xml:space="preserve">, 721 F.3d at 378-79; </w:t>
      </w:r>
      <w:bookmarkStart w:id="3795" w:name="Bookmark_I61CDHXT2N1PRW0050000400"/>
      <w:bookmarkEnd w:id="3795"/>
      <w:r>
        <w:rPr>
          <w:rFonts w:ascii="Arial" w:eastAsia="Arial" w:hAnsi="Arial" w:cs="Arial"/>
          <w:i/>
          <w:color w:val="000000"/>
          <w:sz w:val="20"/>
        </w:rPr>
        <w:t>Doe v. Kidd</w:t>
      </w:r>
      <w:r>
        <w:rPr>
          <w:rFonts w:ascii="Arial" w:eastAsia="Arial" w:hAnsi="Arial" w:cs="Arial"/>
          <w:color w:val="000000"/>
          <w:sz w:val="20"/>
        </w:rPr>
        <w:t xml:space="preserve">, 501 F.3d 348, 356 (4th Cir. 2007); </w:t>
      </w:r>
      <w:bookmarkStart w:id="3796" w:name="Bookmark_I61CDHXT2SF8650020000400"/>
      <w:bookmarkEnd w:id="3796"/>
      <w:r>
        <w:rPr>
          <w:rFonts w:ascii="Arial" w:eastAsia="Arial" w:hAnsi="Arial" w:cs="Arial"/>
          <w:i/>
          <w:color w:val="000000"/>
          <w:sz w:val="20"/>
        </w:rPr>
        <w:t>Doe ex rel. Doe v. Chiles</w:t>
      </w:r>
      <w:r>
        <w:rPr>
          <w:rFonts w:ascii="Arial" w:eastAsia="Arial" w:hAnsi="Arial" w:cs="Arial"/>
          <w:color w:val="000000"/>
          <w:sz w:val="20"/>
        </w:rPr>
        <w:t xml:space="preserve">, 136 F.3d 709, 716-17 (11th Cir. 1998). </w:t>
      </w:r>
      <w:bookmarkStart w:id="3797" w:name="Bookmark_I61CDHXT2SF8650050000400_2"/>
      <w:bookmarkEnd w:id="3797"/>
      <w:r>
        <w:rPr>
          <w:rFonts w:ascii="Arial" w:eastAsia="Arial" w:hAnsi="Arial" w:cs="Arial"/>
          <w:color w:val="000000"/>
          <w:sz w:val="20"/>
        </w:rPr>
        <w:t>Similarly, § 1396a(a)(10) is not vague or amorphous, as it specifically defines what care and services must be made available to recipients by reference to § 1396d(a),  [***21] </w:t>
      </w:r>
      <w:r>
        <w:rPr>
          <w:rFonts w:ascii="Arial" w:eastAsia="Arial" w:hAnsi="Arial" w:cs="Arial"/>
          <w:i/>
          <w:color w:val="000000"/>
          <w:sz w:val="20"/>
        </w:rPr>
        <w:t>see id.</w:t>
      </w:r>
      <w:r>
        <w:rPr>
          <w:rFonts w:ascii="Arial" w:eastAsia="Arial" w:hAnsi="Arial" w:cs="Arial"/>
          <w:color w:val="000000"/>
          <w:sz w:val="20"/>
        </w:rPr>
        <w:t xml:space="preserve"> § 1396a(a)(10)(A), and sets forth criteria for determining whether those services are equitably provided, </w:t>
      </w:r>
      <w:r>
        <w:rPr>
          <w:rFonts w:ascii="Arial" w:eastAsia="Arial" w:hAnsi="Arial" w:cs="Arial"/>
          <w:i/>
          <w:color w:val="000000"/>
          <w:sz w:val="20"/>
        </w:rPr>
        <w:t>id.</w:t>
      </w:r>
      <w:r>
        <w:rPr>
          <w:rFonts w:ascii="Arial" w:eastAsia="Arial" w:hAnsi="Arial" w:cs="Arial"/>
          <w:color w:val="000000"/>
          <w:sz w:val="20"/>
        </w:rPr>
        <w:t xml:space="preserve"> § 1396a(a)(10)(B) (explaining that assistance made available "shall not be less in </w:t>
      </w:r>
      <w:r>
        <w:rPr>
          <w:rFonts w:ascii="Arial" w:eastAsia="Arial" w:hAnsi="Arial" w:cs="Arial"/>
          <w:i/>
          <w:color w:val="000000"/>
          <w:sz w:val="20"/>
        </w:rPr>
        <w:t>amount, duration</w:t>
      </w:r>
      <w:r>
        <w:rPr>
          <w:rFonts w:ascii="Arial" w:eastAsia="Arial" w:hAnsi="Arial" w:cs="Arial"/>
          <w:color w:val="000000"/>
          <w:sz w:val="20"/>
        </w:rPr>
        <w:t xml:space="preserve">, or </w:t>
      </w:r>
      <w:r>
        <w:rPr>
          <w:rFonts w:ascii="Arial" w:eastAsia="Arial" w:hAnsi="Arial" w:cs="Arial"/>
          <w:i/>
          <w:color w:val="000000"/>
          <w:sz w:val="20"/>
        </w:rPr>
        <w:t>scope</w:t>
      </w:r>
      <w:r>
        <w:rPr>
          <w:rFonts w:ascii="Arial" w:eastAsia="Arial" w:hAnsi="Arial" w:cs="Arial"/>
          <w:color w:val="000000"/>
          <w:sz w:val="20"/>
        </w:rPr>
        <w:t xml:space="preserve">" than that made available to other individuals) (emphasis added). </w:t>
      </w:r>
      <w:r>
        <w:rPr>
          <w:rFonts w:ascii="Arial" w:eastAsia="Arial" w:hAnsi="Arial" w:cs="Arial"/>
          <w:i/>
          <w:color w:val="000000"/>
          <w:sz w:val="20"/>
        </w:rPr>
        <w:t xml:space="preserve">See also </w:t>
      </w:r>
      <w:bookmarkStart w:id="3798" w:name="Bookmark_I61CDHXT2SF8650040000400"/>
      <w:bookmarkEnd w:id="3798"/>
      <w:r>
        <w:rPr>
          <w:rFonts w:ascii="Arial" w:eastAsia="Arial" w:hAnsi="Arial" w:cs="Arial"/>
          <w:i/>
          <w:color w:val="000000"/>
          <w:sz w:val="20"/>
        </w:rPr>
        <w:t>Watson v. Weeks</w:t>
      </w:r>
      <w:r>
        <w:rPr>
          <w:rFonts w:ascii="Arial" w:eastAsia="Arial" w:hAnsi="Arial" w:cs="Arial"/>
          <w:color w:val="000000"/>
          <w:sz w:val="20"/>
        </w:rPr>
        <w:t xml:space="preserve">, 436 F.3d 1152, 1161 (9th Cir. 2006); </w:t>
      </w:r>
      <w:bookmarkStart w:id="3799" w:name="Bookmark_I61CDHXT2HM6DF0010000400"/>
      <w:bookmarkEnd w:id="3799"/>
      <w:r>
        <w:rPr>
          <w:rFonts w:ascii="Arial" w:eastAsia="Arial" w:hAnsi="Arial" w:cs="Arial"/>
          <w:i/>
          <w:color w:val="000000"/>
          <w:sz w:val="20"/>
        </w:rPr>
        <w:t>S.D. ex rel. Dickson v. Hood</w:t>
      </w:r>
      <w:r>
        <w:rPr>
          <w:rFonts w:ascii="Arial" w:eastAsia="Arial" w:hAnsi="Arial" w:cs="Arial"/>
          <w:color w:val="000000"/>
          <w:sz w:val="20"/>
        </w:rPr>
        <w:t>, 391 F.3d 581, 605 (5th Cir. 2004).</w:t>
      </w:r>
    </w:p>
    <w:p w14:paraId="668B6D44" w14:textId="77777777" w:rsidR="002B10A6" w:rsidRDefault="00000000">
      <w:pPr>
        <w:pStyle w:val="Normal22"/>
        <w:widowControl w:val="0"/>
        <w:spacing w:before="200" w:line="260" w:lineRule="atLeast"/>
        <w:jc w:val="both"/>
      </w:pPr>
      <w:bookmarkStart w:id="3800" w:name="Bookmark_para_50_5"/>
      <w:bookmarkStart w:id="3801" w:name="Bookmark_I61CDHXT2HM6DF0040000400"/>
      <w:bookmarkStart w:id="3802" w:name="Bookmark_I61CDHXT2N1PRY0010000400"/>
      <w:bookmarkStart w:id="3803" w:name="Bookmark_LNHNREFclscc19_2"/>
      <w:bookmarkEnd w:id="3800"/>
      <w:bookmarkEnd w:id="3801"/>
      <w:bookmarkEnd w:id="3802"/>
      <w:bookmarkEnd w:id="3803"/>
      <w:r>
        <w:rPr>
          <w:rFonts w:ascii="Arial" w:eastAsia="Arial" w:hAnsi="Arial" w:cs="Arial"/>
          <w:color w:val="000000"/>
          <w:sz w:val="20"/>
        </w:rPr>
        <w:t xml:space="preserve">Regarding the third factor, as this Court explained in </w:t>
      </w:r>
      <w:r>
        <w:rPr>
          <w:rFonts w:ascii="Arial" w:eastAsia="Arial" w:hAnsi="Arial" w:cs="Arial"/>
          <w:i/>
          <w:color w:val="000000"/>
          <w:sz w:val="20"/>
        </w:rPr>
        <w:t>Westside Mothers I</w:t>
      </w:r>
      <w:r>
        <w:rPr>
          <w:rFonts w:ascii="Arial" w:eastAsia="Arial" w:hAnsi="Arial" w:cs="Arial"/>
          <w:color w:val="000000"/>
          <w:sz w:val="20"/>
        </w:rPr>
        <w:t>, these provisions "are couched in mandatory rather than precatory language, stating that Medicaid services, '</w:t>
      </w:r>
      <w:r>
        <w:rPr>
          <w:rFonts w:ascii="Arial" w:eastAsia="Arial" w:hAnsi="Arial" w:cs="Arial"/>
          <w:i/>
          <w:color w:val="000000"/>
          <w:sz w:val="20"/>
        </w:rPr>
        <w:t>shall [**34] </w:t>
      </w:r>
      <w:r>
        <w:rPr>
          <w:rFonts w:ascii="Arial" w:eastAsia="Arial" w:hAnsi="Arial" w:cs="Arial"/>
          <w:color w:val="000000"/>
          <w:sz w:val="20"/>
        </w:rPr>
        <w:t xml:space="preserve"> be furnished' to eligible [individuals]" with reasonable promptness, </w:t>
      </w:r>
      <w:bookmarkStart w:id="3804" w:name="Bookmark_I61CDHXT2HM6DF0030000400"/>
      <w:bookmarkEnd w:id="3804"/>
      <w:r>
        <w:rPr>
          <w:rFonts w:ascii="Arial" w:eastAsia="Arial" w:hAnsi="Arial" w:cs="Arial"/>
          <w:color w:val="000000"/>
          <w:sz w:val="20"/>
        </w:rPr>
        <w:t xml:space="preserve">289 F.3d at 863 (quoting 42 U.S.C. § 1396a(a)(8)) (emphasis added), and that state plans "must" provide medical assistance, 42 U.S.C. § 1396a(a). Finally, it is Defendants' burden to show that Congress foreclosed a remedy under § 1983. </w:t>
      </w:r>
      <w:bookmarkStart w:id="3805" w:name="Bookmark_I61CDHXT2N1PRY0030000400"/>
      <w:bookmarkEnd w:id="3805"/>
      <w:r>
        <w:rPr>
          <w:rFonts w:ascii="Arial" w:eastAsia="Arial" w:hAnsi="Arial" w:cs="Arial"/>
          <w:i/>
          <w:color w:val="000000"/>
          <w:sz w:val="20"/>
        </w:rPr>
        <w:t xml:space="preserve">See </w:t>
      </w:r>
      <w:bookmarkStart w:id="3806" w:name="Bookmark_I61CDHXT2HM6DF0050000400"/>
      <w:bookmarkEnd w:id="3806"/>
      <w:r>
        <w:rPr>
          <w:rFonts w:ascii="Arial" w:eastAsia="Arial" w:hAnsi="Arial" w:cs="Arial"/>
          <w:i/>
          <w:color w:val="000000"/>
          <w:sz w:val="20"/>
        </w:rPr>
        <w:t>Golden State Transit Corp. v. City of Los Angeles</w:t>
      </w:r>
      <w:r>
        <w:rPr>
          <w:rFonts w:ascii="Arial" w:eastAsia="Arial" w:hAnsi="Arial" w:cs="Arial"/>
          <w:color w:val="000000"/>
          <w:sz w:val="20"/>
        </w:rPr>
        <w:t xml:space="preserve">, 493 U.S. 103, 107, 110 S. Ct. 444, 107 L. Ed. 2d 420 (1989). </w:t>
      </w:r>
      <w:bookmarkStart w:id="3807" w:name="Bookmark_I61CDHXT2N1PRY0030000400_2"/>
      <w:bookmarkEnd w:id="3807"/>
      <w:r>
        <w:rPr>
          <w:rFonts w:ascii="Arial" w:eastAsia="Arial" w:hAnsi="Arial" w:cs="Arial"/>
          <w:color w:val="000000"/>
          <w:sz w:val="20"/>
        </w:rPr>
        <w:t xml:space="preserve">And while it is true that 42 U.S.C. § 1396c allows CMS to withhold Medicaid funds if states breach these requirements, this enforcement provision by itself does not necessarily foreclose relief. </w:t>
      </w:r>
      <w:bookmarkStart w:id="3808" w:name="Bookmark_I61CDHXT2N1PRY0020000400"/>
      <w:bookmarkEnd w:id="3808"/>
      <w:r>
        <w:rPr>
          <w:rFonts w:ascii="Arial" w:eastAsia="Arial" w:hAnsi="Arial" w:cs="Arial"/>
          <w:i/>
          <w:color w:val="000000"/>
          <w:sz w:val="20"/>
        </w:rPr>
        <w:t>Armstrong</w:t>
      </w:r>
      <w:r>
        <w:rPr>
          <w:rFonts w:ascii="Arial" w:eastAsia="Arial" w:hAnsi="Arial" w:cs="Arial"/>
          <w:color w:val="000000"/>
          <w:sz w:val="20"/>
        </w:rPr>
        <w:t>, 575 U.S. at 328. Because the other factors point in favor of finding an enforceable right, and because Congress did not explicitly foreclose relief or provide a comprehensive remedial scheme, we conclude that Plaintiffs have a private right of action under both §§ 1396a(a)(8) and (a)(10).</w:t>
      </w:r>
    </w:p>
    <w:p w14:paraId="0DEBBC1F" w14:textId="77777777" w:rsidR="002B10A6" w:rsidRDefault="00000000">
      <w:pPr>
        <w:pStyle w:val="Normal22"/>
        <w:widowControl w:val="0"/>
        <w:spacing w:before="240" w:line="260" w:lineRule="atLeast"/>
      </w:pPr>
      <w:r>
        <w:br/>
      </w:r>
      <w:r>
        <w:rPr>
          <w:rFonts w:ascii="Arial" w:eastAsia="Arial" w:hAnsi="Arial" w:cs="Arial"/>
          <w:b/>
          <w:color w:val="000000"/>
          <w:sz w:val="20"/>
        </w:rPr>
        <w:t>B. Merits</w:t>
      </w:r>
    </w:p>
    <w:p w14:paraId="279CB2C0" w14:textId="77777777" w:rsidR="002B10A6" w:rsidRDefault="00000000">
      <w:pPr>
        <w:pStyle w:val="Normal22"/>
        <w:widowControl w:val="0"/>
        <w:spacing w:before="200" w:line="260" w:lineRule="atLeast"/>
        <w:jc w:val="both"/>
      </w:pPr>
      <w:bookmarkStart w:id="3809" w:name="Bookmark_para_51_5"/>
      <w:bookmarkEnd w:id="3809"/>
      <w:r>
        <w:rPr>
          <w:rFonts w:ascii="Arial" w:eastAsia="Arial" w:hAnsi="Arial" w:cs="Arial"/>
          <w:color w:val="000000"/>
          <w:sz w:val="20"/>
        </w:rPr>
        <w:t xml:space="preserve">Turning then to the merits, Plaintiffs assert two separate claims based on  [*449]  these provisions. First, Count IV of Plaintiffs' amended complaint asserts that Defendants failed to ensure that the individual Plaintiffs were able to obtain medically necessary services with reasonable promptness, in violation of §§ 1396a(a)(8) and (10)(A). As previously discussed, those provisions require states' Medicaid plans to provide "for making [specified] medical assistance available" to qualifying individuals, including the individual Plaintiffs, [**35]  and "that all individuals wishing to make application for medical assistance under the plan shall have the opportunity to do so, and that such assistance shall be furnished with reasonable promptness to all eligible individuals." 42 U.S.C. §§ 1396a(a)(10)(A), (8). </w:t>
      </w:r>
      <w:bookmarkStart w:id="3810" w:name="Bookmark_LNHNREFclscc20_1"/>
      <w:bookmarkEnd w:id="3810"/>
      <w:r>
        <w:rPr>
          <w:rFonts w:ascii="Arial" w:eastAsia="Arial" w:hAnsi="Arial" w:cs="Arial"/>
          <w:color w:val="000000"/>
          <w:sz w:val="20"/>
        </w:rPr>
        <w:t xml:space="preserve">The "medical assistance" to be provided under a state plan includes "payment of part or all of the cost of" "community supported living arrangements services" that "assist a developmentally disabled individual . . . in  [***22]  activities of daily living necessary to permit such individual to live in the individual's own home," including "[p]ersonal assistance," "[t]raining and habilitation services (necessary to assist the individual in achieving increased integration, independence and productivity)," and "[s]upport services necessary to aid an individual to participate in community activities." 42 U.S.C. § 1396n(c)(1); </w:t>
      </w:r>
      <w:r>
        <w:rPr>
          <w:rFonts w:ascii="Arial" w:eastAsia="Arial" w:hAnsi="Arial" w:cs="Arial"/>
          <w:i/>
          <w:color w:val="000000"/>
          <w:sz w:val="20"/>
        </w:rPr>
        <w:t>id.</w:t>
      </w:r>
      <w:r>
        <w:rPr>
          <w:rFonts w:ascii="Arial" w:eastAsia="Arial" w:hAnsi="Arial" w:cs="Arial"/>
          <w:color w:val="000000"/>
          <w:sz w:val="20"/>
        </w:rPr>
        <w:t xml:space="preserve"> § 1396d(a)(23) (defining "medical assistance"); </w:t>
      </w:r>
      <w:r>
        <w:rPr>
          <w:rFonts w:ascii="Arial" w:eastAsia="Arial" w:hAnsi="Arial" w:cs="Arial"/>
          <w:i/>
          <w:color w:val="000000"/>
          <w:sz w:val="20"/>
        </w:rPr>
        <w:t>id.</w:t>
      </w:r>
      <w:r>
        <w:rPr>
          <w:rFonts w:ascii="Arial" w:eastAsia="Arial" w:hAnsi="Arial" w:cs="Arial"/>
          <w:color w:val="000000"/>
          <w:sz w:val="20"/>
        </w:rPr>
        <w:t xml:space="preserve"> §§ 1396u(a)(1), (2), (7) (defining "community supported living arrangements services"). Thus, the CLS services that Plaintiffs seek clearly fall within the "medical assistance" that must be paid for or provided by the State with relative promptness pursuant to §§ 1396a(a)(8) and (10)(A).</w:t>
      </w:r>
    </w:p>
    <w:p w14:paraId="41824026" w14:textId="77777777" w:rsidR="002B10A6" w:rsidRDefault="00000000">
      <w:pPr>
        <w:pStyle w:val="Normal22"/>
        <w:widowControl w:val="0"/>
        <w:spacing w:before="200" w:line="260" w:lineRule="atLeast"/>
        <w:jc w:val="both"/>
      </w:pPr>
      <w:bookmarkStart w:id="3811" w:name="Bookmark_para_52_5"/>
      <w:bookmarkEnd w:id="3811"/>
      <w:r>
        <w:rPr>
          <w:rFonts w:ascii="Arial" w:eastAsia="Arial" w:hAnsi="Arial" w:cs="Arial"/>
          <w:color w:val="000000"/>
          <w:sz w:val="20"/>
        </w:rPr>
        <w:t>Second, in Count III of their amended complaint, Plaintiffs assert that Defendants [**36]  have failed "to pay for services in the amount, scope, and duration needed to reasonably achieve their purpose," in violation of § 1396a(a)(10)(B). (Pls.' Br. at 16.) As previously discussed, § 1396a(a)(10)(B) requires state Medicaid plans to ensure that individuals are provided medical assistance "not . . . less in amount, duration, or scope than the medical assistance made available to any other such individual" under the provision. Plaintiffs do not assert that Defendants have failed to ensure that the individual Plaintiffs are provided services comparable to other relevant individuals, and in fact concede that they can make no such assertion because CMS waived Michigan's obligation to comply with those requirements.</w:t>
      </w:r>
    </w:p>
    <w:p w14:paraId="3CE3C7D3" w14:textId="77777777" w:rsidR="002B10A6" w:rsidRDefault="00000000">
      <w:pPr>
        <w:pStyle w:val="Normal22"/>
        <w:widowControl w:val="0"/>
        <w:spacing w:before="200" w:line="260" w:lineRule="atLeast"/>
        <w:jc w:val="both"/>
      </w:pPr>
      <w:bookmarkStart w:id="3812" w:name="Bookmark_para_53_5"/>
      <w:bookmarkStart w:id="3813" w:name="Bookmark_I61CDHXT2N1PRY0050000400"/>
      <w:bookmarkEnd w:id="3812"/>
      <w:bookmarkEnd w:id="3813"/>
      <w:r>
        <w:rPr>
          <w:rFonts w:ascii="Arial" w:eastAsia="Arial" w:hAnsi="Arial" w:cs="Arial"/>
          <w:color w:val="000000"/>
          <w:sz w:val="20"/>
        </w:rPr>
        <w:t xml:space="preserve">Instead, Plaintiffs assert that Defendants violated § 1396a(a)(10)(B)'s "sufficiency requirements," which they say are set forth in 42 C.F.R. § 440.230(b) and were not waived. The parties do not dispute whether § 1396a(a)(10)(B) actually sets forth sufficiency requirements, whether 42 C.F.R. § 440.230(b) actually interprets 42 U.S.C. § 1396a(a)(10)(B) (as opposed to some other statutory provision, </w:t>
      </w:r>
      <w:r>
        <w:rPr>
          <w:rFonts w:ascii="Arial" w:eastAsia="Arial" w:hAnsi="Arial" w:cs="Arial"/>
          <w:i/>
          <w:color w:val="000000"/>
          <w:sz w:val="20"/>
        </w:rPr>
        <w:t>e.g.</w:t>
      </w:r>
      <w:r>
        <w:rPr>
          <w:rFonts w:ascii="Arial" w:eastAsia="Arial" w:hAnsi="Arial" w:cs="Arial"/>
          <w:color w:val="000000"/>
          <w:sz w:val="20"/>
        </w:rPr>
        <w:t xml:space="preserve">, §§ 1396a(a)(8) or (a)(10)(A)), or whether—if § 1396a(a)(10)(B) does indeed establish sufficiency requirements—CMS waived Michigan's obligation to comply with those requirements alongside its waiver of that statute's comparability requirements. [**37]  These issues strike us as relevant to Plaintiffs' Count III. </w:t>
      </w:r>
      <w:bookmarkStart w:id="3814" w:name="Bookmark_LNHNREFclscc21_0"/>
      <w:bookmarkEnd w:id="3814"/>
      <w:r>
        <w:rPr>
          <w:rFonts w:ascii="Arial" w:eastAsia="Arial" w:hAnsi="Arial" w:cs="Arial"/>
          <w:color w:val="000000"/>
          <w:sz w:val="20"/>
        </w:rPr>
        <w:t xml:space="preserve">However, "[i]n our adversarial system of adjudication, we follow the principle of party presentation" and "rely on the parties to frame the issues for decision." </w:t>
      </w:r>
      <w:bookmarkStart w:id="3815" w:name="Bookmark_I61CDHXT2N1PRY0040000400"/>
      <w:bookmarkEnd w:id="3815"/>
      <w:r>
        <w:rPr>
          <w:rFonts w:ascii="Arial" w:eastAsia="Arial" w:hAnsi="Arial" w:cs="Arial"/>
          <w:i/>
          <w:color w:val="000000"/>
          <w:sz w:val="20"/>
        </w:rPr>
        <w:t>United States v. Sineneng-Smith</w:t>
      </w:r>
      <w:r>
        <w:rPr>
          <w:rFonts w:ascii="Arial" w:eastAsia="Arial" w:hAnsi="Arial" w:cs="Arial"/>
          <w:color w:val="000000"/>
          <w:sz w:val="20"/>
        </w:rPr>
        <w:t xml:space="preserve">, 140 S. Ct. 1575, 1579, 206 L. Ed. 2d 866 (2020) (quoting </w:t>
      </w:r>
      <w:bookmarkStart w:id="3816" w:name="Bookmark_I61CDHXV2D6P0D0010000400"/>
      <w:bookmarkEnd w:id="3816"/>
      <w:r>
        <w:rPr>
          <w:rFonts w:ascii="Arial" w:eastAsia="Arial" w:hAnsi="Arial" w:cs="Arial"/>
          <w:i/>
          <w:color w:val="000000"/>
          <w:sz w:val="20"/>
        </w:rPr>
        <w:t>Greenlaw v. United States</w:t>
      </w:r>
      <w:r>
        <w:rPr>
          <w:rFonts w:ascii="Arial" w:eastAsia="Arial" w:hAnsi="Arial" w:cs="Arial"/>
          <w:color w:val="000000"/>
          <w:sz w:val="20"/>
        </w:rPr>
        <w:t>, 554 U.S. 237, 243, 128 S. Ct. 2559, 171 L. Ed. 2d 399 (2008)). Absent briefing or argument on any of these issues, we assume without deciding that § 1396a(a)(10)(B) does  [***23]  establish sufficiency requirements embodied in 42 C.F.R. § 440.230(b). Under these provisions,  [*450]  then, "[e]ach service" provided to Plaintiffs under Michigan's Medicaid plan "must be sufficient in amount, duration, and scope to reasonably achieve [their] purpose[s]," 42 C.F.R. § 440.230(b), including "permit[ting] [the] individual to live in the individual's own home," "achieving increased integration, independence and productivity," and enabling the individual "to participate in community activities," 42 U.S.C. §§ 1396u(a)(1), (2), (7).</w:t>
      </w:r>
    </w:p>
    <w:p w14:paraId="0975B136" w14:textId="77777777" w:rsidR="002B10A6" w:rsidRDefault="00000000">
      <w:pPr>
        <w:pStyle w:val="Normal22"/>
        <w:widowControl w:val="0"/>
        <w:spacing w:before="200" w:line="260" w:lineRule="atLeast"/>
        <w:jc w:val="both"/>
      </w:pPr>
      <w:bookmarkStart w:id="3817" w:name="Bookmark_para_54_5"/>
      <w:bookmarkEnd w:id="3817"/>
      <w:r>
        <w:rPr>
          <w:rFonts w:ascii="Arial" w:eastAsia="Arial" w:hAnsi="Arial" w:cs="Arial"/>
          <w:color w:val="000000"/>
          <w:sz w:val="20"/>
        </w:rPr>
        <w:t xml:space="preserve">Turning then to the district court's stated reasons for dismissal and the parties' arguments on appeal, Plaintiffs dispute the district court's conclusion that they did not sufficiently state their § 1396a claims because their complaint failed to identify any "specific, </w:t>
      </w:r>
      <w:r>
        <w:rPr>
          <w:rFonts w:ascii="Arial" w:eastAsia="Arial" w:hAnsi="Arial" w:cs="Arial"/>
          <w:i/>
          <w:color w:val="000000"/>
          <w:sz w:val="20"/>
        </w:rPr>
        <w:t>medically necessary</w:t>
      </w:r>
      <w:r>
        <w:rPr>
          <w:rFonts w:ascii="Arial" w:eastAsia="Arial" w:hAnsi="Arial" w:cs="Arial"/>
          <w:color w:val="000000"/>
          <w:sz w:val="20"/>
        </w:rPr>
        <w:t xml:space="preserve"> services which they are being denied under the existing budgeting scheme." (Dist. Ct. Op., R. 164 at PageID #4371.) </w:t>
      </w:r>
      <w:bookmarkStart w:id="3818" w:name="Bookmark_I61CDHXV2D6P0D0040000400"/>
      <w:bookmarkEnd w:id="3818"/>
      <w:r>
        <w:rPr>
          <w:rFonts w:ascii="Arial" w:eastAsia="Arial" w:hAnsi="Arial" w:cs="Arial"/>
          <w:color w:val="000000"/>
          <w:sz w:val="20"/>
        </w:rPr>
        <w:t xml:space="preserve">We agree [**38]  that the district court ignored Plaintiffs' well-pleaded allegations in reaching this conclusion. The heart of Plaintiffs' complaint is that the current budget methodology prevents them from promptly receiving sufficient medically necessary services, as detailed in their IPOSs and as required for them to live at home and participate in the community. In </w:t>
      </w:r>
      <w:r>
        <w:rPr>
          <w:rFonts w:ascii="Arial" w:eastAsia="Arial" w:hAnsi="Arial" w:cs="Arial"/>
          <w:i/>
          <w:color w:val="000000"/>
          <w:sz w:val="20"/>
        </w:rPr>
        <w:t>Westside Mothers II</w:t>
      </w:r>
      <w:r>
        <w:rPr>
          <w:rFonts w:ascii="Arial" w:eastAsia="Arial" w:hAnsi="Arial" w:cs="Arial"/>
          <w:color w:val="000000"/>
          <w:sz w:val="20"/>
        </w:rPr>
        <w:t xml:space="preserve">, this Court acknowledged that the plaintiffs' assertions that "the payments [they received] were insufficient to enlist an adequate number of providers" may suffice to state a claim that "inadequate payments effectively deny the right to 'medical assistance,'" that §§ 1396a(a)(8) and (10) protect. </w:t>
      </w:r>
      <w:bookmarkStart w:id="3819" w:name="Bookmark_I61CDHXV2D6P0D0030000400"/>
      <w:bookmarkEnd w:id="3819"/>
      <w:r>
        <w:rPr>
          <w:rFonts w:ascii="Arial" w:eastAsia="Arial" w:hAnsi="Arial" w:cs="Arial"/>
          <w:color w:val="000000"/>
          <w:sz w:val="20"/>
        </w:rPr>
        <w:t xml:space="preserve">454 F.3d at 540-41; </w:t>
      </w:r>
      <w:r>
        <w:rPr>
          <w:rFonts w:ascii="Arial" w:eastAsia="Arial" w:hAnsi="Arial" w:cs="Arial"/>
          <w:i/>
          <w:color w:val="000000"/>
          <w:sz w:val="20"/>
        </w:rPr>
        <w:t xml:space="preserve">see also </w:t>
      </w:r>
      <w:bookmarkStart w:id="3820" w:name="Bookmark_I61CDHXV2D6P0D0050000400"/>
      <w:bookmarkEnd w:id="3820"/>
      <w:r>
        <w:rPr>
          <w:rFonts w:ascii="Arial" w:eastAsia="Arial" w:hAnsi="Arial" w:cs="Arial"/>
          <w:i/>
          <w:color w:val="000000"/>
          <w:sz w:val="20"/>
        </w:rPr>
        <w:t>Health Care for All, Inc. v. Romney</w:t>
      </w:r>
      <w:r>
        <w:rPr>
          <w:rFonts w:ascii="Arial" w:eastAsia="Arial" w:hAnsi="Arial" w:cs="Arial"/>
          <w:color w:val="000000"/>
          <w:sz w:val="20"/>
        </w:rPr>
        <w:t xml:space="preserve">, No. 00-10833, 2005 U.S. Dist. LEXIS 14187, 2005 WL 1660677, at *10-11 (D. Mass. July 14, 2005); </w:t>
      </w:r>
      <w:bookmarkStart w:id="3821" w:name="Bookmark_I61CDHXV2N1PS00020000400"/>
      <w:bookmarkEnd w:id="3821"/>
      <w:r>
        <w:rPr>
          <w:rFonts w:ascii="Arial" w:eastAsia="Arial" w:hAnsi="Arial" w:cs="Arial"/>
          <w:i/>
          <w:color w:val="000000"/>
          <w:sz w:val="20"/>
        </w:rPr>
        <w:t>Okla. Chapter of Am. Acad. of Pediatrics v. Fogarty</w:t>
      </w:r>
      <w:r>
        <w:rPr>
          <w:rFonts w:ascii="Arial" w:eastAsia="Arial" w:hAnsi="Arial" w:cs="Arial"/>
          <w:color w:val="000000"/>
          <w:sz w:val="20"/>
        </w:rPr>
        <w:t xml:space="preserve">, 366 F. Supp. 2d 1050, 1109 (N.D. Okla. 2005); </w:t>
      </w:r>
      <w:bookmarkStart w:id="3822" w:name="Bookmark_I61CDHXV2N1PS00040000400"/>
      <w:bookmarkEnd w:id="3822"/>
      <w:r>
        <w:rPr>
          <w:rFonts w:ascii="Arial" w:eastAsia="Arial" w:hAnsi="Arial" w:cs="Arial"/>
          <w:i/>
          <w:color w:val="000000"/>
          <w:sz w:val="20"/>
        </w:rPr>
        <w:t>Sobky v. Smoley</w:t>
      </w:r>
      <w:r>
        <w:rPr>
          <w:rFonts w:ascii="Arial" w:eastAsia="Arial" w:hAnsi="Arial" w:cs="Arial"/>
          <w:color w:val="000000"/>
          <w:sz w:val="20"/>
        </w:rPr>
        <w:t>, 855 F. Supp. 1123, 1149 (E.D. Cal. 1994). Plaintiffs explained in their complaint that their IPOSs identified their medically necessary services and supports. They then alleged that the current budget methodology prevented each individual Plaintiff from receiving supports or care identified in their IPOS. (</w:t>
      </w:r>
      <w:r>
        <w:rPr>
          <w:rFonts w:ascii="Arial" w:eastAsia="Arial" w:hAnsi="Arial" w:cs="Arial"/>
          <w:i/>
          <w:color w:val="000000"/>
          <w:sz w:val="20"/>
        </w:rPr>
        <w:t>See</w:t>
      </w:r>
      <w:r>
        <w:rPr>
          <w:rFonts w:ascii="Arial" w:eastAsia="Arial" w:hAnsi="Arial" w:cs="Arial"/>
          <w:color w:val="000000"/>
          <w:sz w:val="20"/>
        </w:rPr>
        <w:t xml:space="preserve"> Am. Compl., R. 146 at PageID #3753 (explaining that Plaintiff Waskul cannot find providers to fill all of the CLS hours required by his IPOS and has to stay home three days a week because of short staffing); </w:t>
      </w:r>
      <w:r>
        <w:rPr>
          <w:rFonts w:ascii="Arial" w:eastAsia="Arial" w:hAnsi="Arial" w:cs="Arial"/>
          <w:i/>
          <w:color w:val="000000"/>
          <w:sz w:val="20"/>
        </w:rPr>
        <w:t>id.</w:t>
      </w:r>
      <w:r>
        <w:rPr>
          <w:rFonts w:ascii="Arial" w:eastAsia="Arial" w:hAnsi="Arial" w:cs="Arial"/>
          <w:color w:val="000000"/>
          <w:sz w:val="20"/>
        </w:rPr>
        <w:t xml:space="preserve"> at ##3758-59 (stating that Plaintiff Schneider [**39]  can only employ providers for sixty-five of ninety-three CLS hours required by his IPOS and must pay for transportation and community activities himself); </w:t>
      </w:r>
      <w:r>
        <w:rPr>
          <w:rFonts w:ascii="Arial" w:eastAsia="Arial" w:hAnsi="Arial" w:cs="Arial"/>
          <w:i/>
          <w:color w:val="000000"/>
          <w:sz w:val="20"/>
        </w:rPr>
        <w:t>id.</w:t>
      </w:r>
      <w:r>
        <w:rPr>
          <w:rFonts w:ascii="Arial" w:eastAsia="Arial" w:hAnsi="Arial" w:cs="Arial"/>
          <w:color w:val="000000"/>
          <w:sz w:val="20"/>
        </w:rPr>
        <w:t xml:space="preserve"> at #3766 (noting that Plaintiff Wiesner can only secure two of three providers, eighty of 120 total CLS hours, and a portion of the community hours called for in his IPOS); </w:t>
      </w:r>
      <w:r>
        <w:rPr>
          <w:rFonts w:ascii="Arial" w:eastAsia="Arial" w:hAnsi="Arial" w:cs="Arial"/>
          <w:i/>
          <w:color w:val="000000"/>
          <w:sz w:val="20"/>
        </w:rPr>
        <w:t>id.</w:t>
      </w:r>
      <w:r>
        <w:rPr>
          <w:rFonts w:ascii="Arial" w:eastAsia="Arial" w:hAnsi="Arial" w:cs="Arial"/>
          <w:color w:val="000000"/>
          <w:sz w:val="20"/>
        </w:rPr>
        <w:t xml:space="preserve"> at ##3771-72  [***24]  (explaining that Plaintiff Trabue can participate in activities called for by her IPOS only by paying for them herself); </w:t>
      </w:r>
      <w:r>
        <w:rPr>
          <w:rFonts w:ascii="Arial" w:eastAsia="Arial" w:hAnsi="Arial" w:cs="Arial"/>
          <w:i/>
          <w:color w:val="000000"/>
          <w:sz w:val="20"/>
        </w:rPr>
        <w:t>id.</w:t>
      </w:r>
      <w:r>
        <w:rPr>
          <w:rFonts w:ascii="Arial" w:eastAsia="Arial" w:hAnsi="Arial" w:cs="Arial"/>
          <w:color w:val="000000"/>
          <w:sz w:val="20"/>
        </w:rPr>
        <w:t xml:space="preserve"> at #3773 (stating that Plaintiff Ernst must pay for transportation and community activities provided for in her IPOS out of pocket).) This suffices to show that they are not receiving medically necessary services with relative promptness and in sufficient amounts to achieve their purpose.</w:t>
      </w:r>
    </w:p>
    <w:p w14:paraId="031C2A01" w14:textId="77777777" w:rsidR="002B10A6" w:rsidRDefault="00000000">
      <w:pPr>
        <w:pStyle w:val="Normal22"/>
        <w:widowControl w:val="0"/>
        <w:spacing w:before="200" w:line="260" w:lineRule="atLeast"/>
        <w:jc w:val="both"/>
      </w:pPr>
      <w:bookmarkStart w:id="3823" w:name="Bookmark_para_55_4"/>
      <w:bookmarkEnd w:id="3823"/>
      <w:r>
        <w:rPr>
          <w:rFonts w:ascii="Arial" w:eastAsia="Arial" w:hAnsi="Arial" w:cs="Arial"/>
          <w:color w:val="000000"/>
          <w:sz w:val="20"/>
        </w:rPr>
        <w:t xml:space="preserve">The district court also concluded that Plaintiffs undisputedly had the option to use providers who contract with the County if they could not find their own providers to work at the pay they can offer under the current methodology. Thus, even if Plaintiffs couldn't </w:t>
      </w:r>
      <w:r>
        <w:rPr>
          <w:rFonts w:ascii="Arial" w:eastAsia="Arial" w:hAnsi="Arial" w:cs="Arial"/>
          <w:i/>
          <w:color w:val="000000"/>
          <w:sz w:val="20"/>
        </w:rPr>
        <w:t>hire</w:t>
      </w:r>
      <w:r>
        <w:rPr>
          <w:rFonts w:ascii="Arial" w:eastAsia="Arial" w:hAnsi="Arial" w:cs="Arial"/>
          <w:color w:val="000000"/>
          <w:sz w:val="20"/>
        </w:rPr>
        <w:t xml:space="preserve"> CLS providers, it said, they were not necessarily deprived of community-based services. It is true that, were such services actually available, Plaintiffs could not [**40]  show a violation of §§ 1396a(a)(8) and (10) simply because they did not get to choose their own providers, as nothing in these provisions evidently requires Plaintiffs to be provided services by the providers of their choice. And in an April 2015 letter submitted with  [*451]  Plaintiffs' complaints, WCHO notes that one way individuals might fill their staffing needs following the budget change is by "us[ing] one of our contracted providers for CLS services." (Am. Compl. Ex. 4, R. 146-5 at PageID #3834.) But in finding that Plaintiffs could have fulfilled their staffing needs through the use of these agency-contracted providers, the court accepted the facts as presented by Defendants and made several inferences against Plaintiffs, contrary to its duty in considering motions to dismiss. It inferred that these providers were actually available; it inferred that these providers would be able to fill Plaintiffs' staffing needs; and it inferred that if Plaintiffs had relied upon these providers, they would not still face a shortfall in other aspects of their CLS services. In fact, the complaint alleged that agency providers were "not suitable" to fulfill Plaintiff Ernst's staffing needs, giving rise to the reasonable [**41]  inference that these providers could not fill the gaps in staffing from which Plaintiffs suffered. (Am. Compl., R. 146 at PageID ##3772-73.) Thus, while this option, if available, may undermine Plaintiffs' claims at the summary judgment or trial stage, it does not defeat their claims at this stage.</w:t>
      </w:r>
    </w:p>
    <w:p w14:paraId="6A84237B" w14:textId="77777777" w:rsidR="002B10A6" w:rsidRDefault="00000000">
      <w:pPr>
        <w:pStyle w:val="Normal22"/>
        <w:widowControl w:val="0"/>
        <w:spacing w:before="200" w:line="260" w:lineRule="atLeast"/>
        <w:jc w:val="both"/>
      </w:pPr>
      <w:bookmarkStart w:id="3824" w:name="Bookmark_para_56_4"/>
      <w:bookmarkEnd w:id="3824"/>
      <w:r>
        <w:rPr>
          <w:rFonts w:ascii="Arial" w:eastAsia="Arial" w:hAnsi="Arial" w:cs="Arial"/>
          <w:color w:val="000000"/>
          <w:sz w:val="20"/>
        </w:rPr>
        <w:t>The court also determined that Plaintiffs' claim failed because if they faced a shortfall in funding, they could simply request additional funding through the PCP process. Again, if this option were actually available, it might undermine Plaintiffs' claims. However, the complaint  [***25]  explains that Plaintiffs' budget is now developed by multiplying "a specific rate times the number of [service] hours in the IPOS." (Am. Compl., R. 146 at PageID #3732.) Thus, without increasing the number of service hours called for by the IPOS, Plaintiffs cannot increase their budgets. Plaintiffs at no point allege that the hours identified in their IPOS are insufficient to meet their needs—instead, they allege that the budget they receive per hour is insufficient because it is improperly calculated. Nor do Plaintiffs apparently have any new medical needs that their IPOS can be updated to accommodate. As Plaintiffs [**42]  explained at the hearing on Defendants' motions to dismiss, "[b]ecause the services that [they] are asking for are already in the IPOS, there is nothing to supplement" the IPOS with in order to receive more funds. (Mot. Hr'g Tr., R. 149 at PageID ##4021-22.) Moreover, the complaint suggests that at least some of the individual Plaintiffs have already requested and been denied additional funds to cover specific services already identified under their IPOSs. (</w:t>
      </w:r>
      <w:r>
        <w:rPr>
          <w:rFonts w:ascii="Arial" w:eastAsia="Arial" w:hAnsi="Arial" w:cs="Arial"/>
          <w:i/>
          <w:color w:val="000000"/>
          <w:sz w:val="20"/>
        </w:rPr>
        <w:t>See, e.g.</w:t>
      </w:r>
      <w:r>
        <w:rPr>
          <w:rFonts w:ascii="Arial" w:eastAsia="Arial" w:hAnsi="Arial" w:cs="Arial"/>
          <w:color w:val="000000"/>
          <w:sz w:val="20"/>
        </w:rPr>
        <w:t xml:space="preserve">, Am. Compl., R. 146 at PageID #3759 (stating that Plaintiff Schneider "requested $400 monthly for transportation and $200 monthly for community activities" and was told that "these costs are above what the current self-determination budget covers"); </w:t>
      </w:r>
      <w:r>
        <w:rPr>
          <w:rFonts w:ascii="Arial" w:eastAsia="Arial" w:hAnsi="Arial" w:cs="Arial"/>
          <w:i/>
          <w:color w:val="000000"/>
          <w:sz w:val="20"/>
        </w:rPr>
        <w:t>id.</w:t>
      </w:r>
      <w:r>
        <w:rPr>
          <w:rFonts w:ascii="Arial" w:eastAsia="Arial" w:hAnsi="Arial" w:cs="Arial"/>
          <w:color w:val="000000"/>
          <w:sz w:val="20"/>
        </w:rPr>
        <w:t xml:space="preserve"> at #3769 (explaining that former Plaintiff Erlandson requested additional funds for a CLS staff supervisor and was rejected).)</w:t>
      </w:r>
    </w:p>
    <w:p w14:paraId="6A520B96" w14:textId="77777777" w:rsidR="002B10A6" w:rsidRDefault="00000000">
      <w:pPr>
        <w:pStyle w:val="Normal22"/>
        <w:widowControl w:val="0"/>
        <w:spacing w:before="200" w:line="260" w:lineRule="atLeast"/>
        <w:jc w:val="both"/>
      </w:pPr>
      <w:bookmarkStart w:id="3825" w:name="Bookmark_para_57_3"/>
      <w:bookmarkEnd w:id="3825"/>
      <w:r>
        <w:rPr>
          <w:rFonts w:ascii="Arial" w:eastAsia="Arial" w:hAnsi="Arial" w:cs="Arial"/>
          <w:color w:val="000000"/>
          <w:sz w:val="20"/>
        </w:rPr>
        <w:t xml:space="preserve">Finally, throughout the course of their general argument, Defendants contend that CLS recipients are obligated to rely on natural or community supports, including family care, before they may use Medicaid funds. Accordingly, in their view, there is no problem with compelling individual Plaintiffs to pay out of pocket for certain supports or to enlist [**43]  family members to provide care. However, the extent to which Plaintiffs can be required to do so is again a question of fact. </w:t>
      </w:r>
      <w:bookmarkStart w:id="3826" w:name="Bookmark_LNHNREFclscc22_0"/>
      <w:bookmarkEnd w:id="3826"/>
      <w:r>
        <w:rPr>
          <w:rFonts w:ascii="Arial" w:eastAsia="Arial" w:hAnsi="Arial" w:cs="Arial"/>
          <w:color w:val="000000"/>
          <w:sz w:val="20"/>
        </w:rPr>
        <w:t>Medicaid regulations call for individuals' IPOSs to include "natural supports," or "unpaid supports that are provided voluntarily to the individual in lieu of [Waiver] services and supports." 42 C.F.R. §§ 441.301(b)(1)(i), (c)(2)(v). Michigan's Medicaid Provider Manual states:</w:t>
      </w:r>
    </w:p>
    <w:p w14:paraId="68936B88" w14:textId="77777777" w:rsidR="002B10A6" w:rsidRDefault="00000000">
      <w:pPr>
        <w:pStyle w:val="Normal22"/>
        <w:widowControl w:val="0"/>
        <w:spacing w:before="200" w:line="260" w:lineRule="atLeast"/>
        <w:ind w:left="400"/>
        <w:jc w:val="both"/>
      </w:pPr>
      <w:bookmarkStart w:id="3827" w:name="Bookmark_para_58_3"/>
      <w:bookmarkEnd w:id="3827"/>
      <w:r>
        <w:rPr>
          <w:rFonts w:ascii="Arial" w:eastAsia="Arial" w:hAnsi="Arial" w:cs="Arial"/>
          <w:color w:val="000000"/>
          <w:sz w:val="20"/>
        </w:rPr>
        <w:t> [*452]  [The Department] encourages the use of natural supports to assist in meeting an individual's needs to the extent that the family or friends who provide the natural supports are willing and able to provide this assistance. PIHPs may not require a beneficiary's natural support network to provide such assistance as a condition for receiving specialty mental health supports and services. The use of natural supports must be documented in the beneficiary's individual plan of service.</w:t>
      </w:r>
    </w:p>
    <w:p w14:paraId="7A912BC6" w14:textId="77777777" w:rsidR="002B10A6" w:rsidRDefault="00000000">
      <w:pPr>
        <w:pStyle w:val="Normal22"/>
        <w:widowControl w:val="0"/>
        <w:spacing w:before="200" w:line="260" w:lineRule="atLeast"/>
        <w:jc w:val="both"/>
      </w:pPr>
      <w:r>
        <w:rPr>
          <w:rFonts w:ascii="Arial" w:eastAsia="Arial" w:hAnsi="Arial" w:cs="Arial"/>
          <w:color w:val="000000"/>
          <w:sz w:val="20"/>
        </w:rPr>
        <w:t> [***26]  (Mich. Medicaid Provider Manual at 325.) Plaintiffs' complaint suggests that the individual Plaintiffs' family members do not voluntarily provide care to them so much as they are compelled to do so by the current budget methodology, often at significant detriment to their health and finances. (</w:t>
      </w:r>
      <w:r>
        <w:rPr>
          <w:rFonts w:ascii="Arial" w:eastAsia="Arial" w:hAnsi="Arial" w:cs="Arial"/>
          <w:i/>
          <w:color w:val="000000"/>
          <w:sz w:val="20"/>
        </w:rPr>
        <w:t>See, e.g.</w:t>
      </w:r>
      <w:r>
        <w:rPr>
          <w:rFonts w:ascii="Arial" w:eastAsia="Arial" w:hAnsi="Arial" w:cs="Arial"/>
          <w:color w:val="000000"/>
          <w:sz w:val="20"/>
        </w:rPr>
        <w:t xml:space="preserve">, Am. Compl., R. 146 at PageID #3753 (Plaintiff Waskul was "forced to hire" his father [**44]  for care, although he is only available on weekends and in the evening); </w:t>
      </w:r>
      <w:r>
        <w:rPr>
          <w:rFonts w:ascii="Arial" w:eastAsia="Arial" w:hAnsi="Arial" w:cs="Arial"/>
          <w:i/>
          <w:color w:val="000000"/>
          <w:sz w:val="20"/>
        </w:rPr>
        <w:t>id.</w:t>
      </w:r>
      <w:r>
        <w:rPr>
          <w:rFonts w:ascii="Arial" w:eastAsia="Arial" w:hAnsi="Arial" w:cs="Arial"/>
          <w:color w:val="000000"/>
          <w:sz w:val="20"/>
        </w:rPr>
        <w:t xml:space="preserve"> at #3760 (Plaintiff Schneider was "forced to hire" his 77-year-old ailing grandfather, and his grandparents are providing nearly 50% of his care because he is "short-staffed and cannot find CLS providers"); </w:t>
      </w:r>
      <w:r>
        <w:rPr>
          <w:rFonts w:ascii="Arial" w:eastAsia="Arial" w:hAnsi="Arial" w:cs="Arial"/>
          <w:i/>
          <w:color w:val="000000"/>
          <w:sz w:val="20"/>
        </w:rPr>
        <w:t>id.</w:t>
      </w:r>
      <w:r>
        <w:rPr>
          <w:rFonts w:ascii="Arial" w:eastAsia="Arial" w:hAnsi="Arial" w:cs="Arial"/>
          <w:color w:val="000000"/>
          <w:sz w:val="20"/>
        </w:rPr>
        <w:t xml:space="preserve"> at #3765 (Plaintiff Wiesner's mother was compelled to pay for and provide his IPOS-required community activity and transportation, causing her to fall behind on her taxes and putting her at risk of foreclosure); </w:t>
      </w:r>
      <w:r>
        <w:rPr>
          <w:rFonts w:ascii="Arial" w:eastAsia="Arial" w:hAnsi="Arial" w:cs="Arial"/>
          <w:i/>
          <w:color w:val="000000"/>
          <w:sz w:val="20"/>
        </w:rPr>
        <w:t>id.</w:t>
      </w:r>
      <w:r>
        <w:rPr>
          <w:rFonts w:ascii="Arial" w:eastAsia="Arial" w:hAnsi="Arial" w:cs="Arial"/>
          <w:color w:val="000000"/>
          <w:sz w:val="20"/>
        </w:rPr>
        <w:t xml:space="preserve"> at #3771 (Plaintiff Trabue's family is "forced to pay" for exercise activities called for by her IPOS).) Thus, to the extent that Plaintiffs must depend on non-voluntary natural supports or supports not documented in their IPOS, this too does not defeat their claim.</w:t>
      </w:r>
    </w:p>
    <w:p w14:paraId="2E49564C" w14:textId="77777777" w:rsidR="002B10A6" w:rsidRDefault="00000000">
      <w:pPr>
        <w:pStyle w:val="Normal22"/>
        <w:widowControl w:val="0"/>
        <w:spacing w:before="200" w:line="260" w:lineRule="atLeast"/>
        <w:jc w:val="both"/>
      </w:pPr>
      <w:bookmarkStart w:id="3828" w:name="Bookmark_para_59_3"/>
      <w:bookmarkStart w:id="3829" w:name="Bookmark_I61CDHXW2D6P0H0020000400"/>
      <w:bookmarkEnd w:id="3828"/>
      <w:bookmarkEnd w:id="3829"/>
      <w:r>
        <w:rPr>
          <w:rFonts w:ascii="Arial" w:eastAsia="Arial" w:hAnsi="Arial" w:cs="Arial"/>
          <w:color w:val="000000"/>
          <w:sz w:val="20"/>
        </w:rPr>
        <w:t xml:space="preserve">To be sure, while the Supreme Court has explained that "serious statutory questions might be presented if a state Medicaid plan excluded necessary medical treatment from its coverage," the district court is correct that it is not "inconsistent with the objectives of the [Medicaid] Act for a State to refuse to fund unnecessary though perhaps desirable medical services." </w:t>
      </w:r>
      <w:bookmarkStart w:id="3830" w:name="Bookmark_I61CDHXW2D6P0H0010000400"/>
      <w:bookmarkEnd w:id="3830"/>
      <w:r>
        <w:rPr>
          <w:rFonts w:ascii="Arial" w:eastAsia="Arial" w:hAnsi="Arial" w:cs="Arial"/>
          <w:i/>
          <w:color w:val="000000"/>
          <w:sz w:val="20"/>
        </w:rPr>
        <w:t>Beal v. Doe</w:t>
      </w:r>
      <w:r>
        <w:rPr>
          <w:rFonts w:ascii="Arial" w:eastAsia="Arial" w:hAnsi="Arial" w:cs="Arial"/>
          <w:color w:val="000000"/>
          <w:sz w:val="20"/>
        </w:rPr>
        <w:t>, 432 U.S. 438, 444-45, 97 S. Ct. 2366, 53 L. Ed. 2d 464 (1977). The potential availability of county providers, the potential [**45]  that Plaintiffs could modify their budgets to ensure necessary medical coverage is available, and the potential that Plaintiffs' reliance on natural supports is within the scope of their IPOSs all suggest that Plaintiffs may not be able to succeed on this claim at later stages of their litigation. This said, at this juncture, Plaintiffs' allegations suffice to state a plausible claim that they are being denied sufficient necessary medical services. We therefore reverse the district court's dismissal of Counts III and IV of Plaintiff's amended complaint.</w:t>
      </w:r>
    </w:p>
    <w:p w14:paraId="4E8075C1" w14:textId="77777777" w:rsidR="002B10A6" w:rsidRDefault="00000000">
      <w:pPr>
        <w:pStyle w:val="Normal22"/>
        <w:widowControl w:val="0"/>
        <w:spacing w:before="240" w:line="260" w:lineRule="atLeast"/>
      </w:pPr>
      <w:r>
        <w:br/>
      </w:r>
      <w:r>
        <w:rPr>
          <w:rFonts w:ascii="Arial" w:eastAsia="Arial" w:hAnsi="Arial" w:cs="Arial"/>
          <w:b/>
          <w:color w:val="000000"/>
          <w:sz w:val="20"/>
        </w:rPr>
        <w:t>II. The Medicaid Act's Necessary-Safeguards and Free-Choice Provisions, 42 U.S.C. §§ 1396n(c)(2)(A) and (C)</w:t>
      </w:r>
    </w:p>
    <w:p w14:paraId="31324647" w14:textId="77777777" w:rsidR="002B10A6" w:rsidRDefault="00000000">
      <w:pPr>
        <w:pStyle w:val="Normal22"/>
        <w:widowControl w:val="0"/>
        <w:spacing w:before="200" w:line="260" w:lineRule="atLeast"/>
        <w:jc w:val="both"/>
      </w:pPr>
      <w:bookmarkStart w:id="3831" w:name="Bookmark_para_60_3"/>
      <w:bookmarkEnd w:id="3831"/>
      <w:r>
        <w:rPr>
          <w:rFonts w:ascii="Arial" w:eastAsia="Arial" w:hAnsi="Arial" w:cs="Arial"/>
          <w:color w:val="000000"/>
          <w:sz w:val="20"/>
        </w:rPr>
        <w:t>Plaintiffs next claim that Defendant Gordon, Director of the Michigan Department of Health and Human Services, violated §§ 1396n(c)(2)(A) and (C), pertaining to assurances required for grant of Michigan's Medicaid Waiver, by permitting the implementation of the new  [***27]  budget method. Defendant Gordon responds that there is no private right of action to enforce those provisions. Alternatively, he asserts that even if there was, Plaintiffs have not stated a claim because he properly exercised his review and oversight authority. The district court found that there was a private right [**46]  of action under these provisions, but that Plaintiffs did not state a claim because Defendant Gordon did not violate the Act by setting a limit on the budget and because Plaintiffs are not effectively homebound. Because §§ 1396n(c)(2)(A) and (C) are properly enforceable under § 1983 and because Plaintiffs have plausibly stated  [*453]  a claim that Defendant Gordon violated these provisions, we also reverse the district court's decision as to these claims.</w:t>
      </w:r>
    </w:p>
    <w:p w14:paraId="70BEF179" w14:textId="77777777" w:rsidR="002B10A6" w:rsidRDefault="00000000">
      <w:pPr>
        <w:pStyle w:val="Normal22"/>
        <w:widowControl w:val="0"/>
        <w:spacing w:before="240" w:line="260" w:lineRule="atLeast"/>
      </w:pPr>
      <w:r>
        <w:br/>
      </w:r>
      <w:r>
        <w:rPr>
          <w:rFonts w:ascii="Arial" w:eastAsia="Arial" w:hAnsi="Arial" w:cs="Arial"/>
          <w:b/>
          <w:color w:val="000000"/>
          <w:sz w:val="20"/>
        </w:rPr>
        <w:t>A. Private Right of Action Under § 1983</w:t>
      </w:r>
    </w:p>
    <w:p w14:paraId="6842AD6F" w14:textId="77777777" w:rsidR="002B10A6" w:rsidRDefault="00000000">
      <w:pPr>
        <w:pStyle w:val="Normal22"/>
        <w:widowControl w:val="0"/>
        <w:spacing w:before="200" w:line="260" w:lineRule="atLeast"/>
        <w:jc w:val="both"/>
      </w:pPr>
      <w:bookmarkStart w:id="3832" w:name="Bookmark_para_61_2"/>
      <w:bookmarkEnd w:id="3832"/>
      <w:r>
        <w:rPr>
          <w:rFonts w:ascii="Arial" w:eastAsia="Arial" w:hAnsi="Arial" w:cs="Arial"/>
          <w:color w:val="000000"/>
          <w:sz w:val="20"/>
        </w:rPr>
        <w:t>As with §§ 1396a(a)(8) and (10), the parties dispute whether §§ 1396n(c)(2)(A) and (C) are individually enforceable under § 1983. Those provisions state that:</w:t>
      </w:r>
    </w:p>
    <w:p w14:paraId="61046C8A" w14:textId="77777777" w:rsidR="002B10A6" w:rsidRDefault="00000000">
      <w:pPr>
        <w:pStyle w:val="Normal22"/>
        <w:widowControl w:val="0"/>
        <w:spacing w:line="260" w:lineRule="atLeast"/>
        <w:ind w:left="400"/>
        <w:jc w:val="both"/>
      </w:pPr>
      <w:bookmarkStart w:id="3833" w:name="Bookmark_para_62_2"/>
      <w:bookmarkEnd w:id="3833"/>
      <w:r>
        <w:rPr>
          <w:rFonts w:ascii="Arial" w:eastAsia="Arial" w:hAnsi="Arial" w:cs="Arial"/>
          <w:color w:val="000000"/>
          <w:sz w:val="20"/>
        </w:rPr>
        <w:t>[A habilitation supports] waiver shall not be granted under this subsection unless the State provides assurances satisfactory to the Secretary that—</w:t>
      </w:r>
    </w:p>
    <w:p w14:paraId="01C4D596" w14:textId="77777777" w:rsidR="002B10A6" w:rsidRDefault="00000000">
      <w:pPr>
        <w:pStyle w:val="Normal22"/>
        <w:widowControl w:val="0"/>
        <w:spacing w:line="260" w:lineRule="atLeast"/>
        <w:ind w:left="400"/>
        <w:jc w:val="both"/>
      </w:pPr>
      <w:bookmarkStart w:id="3834" w:name="Bookmark_para_63_2"/>
      <w:bookmarkEnd w:id="3834"/>
      <w:r>
        <w:rPr>
          <w:rFonts w:ascii="Arial" w:eastAsia="Arial" w:hAnsi="Arial" w:cs="Arial"/>
          <w:color w:val="000000"/>
          <w:sz w:val="20"/>
        </w:rPr>
        <w:t>(A) necessary safeguards . . . have been taken to protect the health and welfare of individuals provided services under the waiver and to assure financial accountability for funds expended with respect to such services; [and] . . .</w:t>
      </w:r>
    </w:p>
    <w:p w14:paraId="77427ABC" w14:textId="77777777" w:rsidR="002B10A6" w:rsidRDefault="00000000">
      <w:pPr>
        <w:pStyle w:val="Normal22"/>
        <w:widowControl w:val="0"/>
        <w:spacing w:before="200" w:line="260" w:lineRule="atLeast"/>
        <w:ind w:left="400"/>
        <w:jc w:val="both"/>
      </w:pPr>
      <w:bookmarkStart w:id="3835" w:name="Bookmark_para_64_2"/>
      <w:bookmarkEnd w:id="3835"/>
      <w:r>
        <w:rPr>
          <w:rFonts w:ascii="Arial" w:eastAsia="Arial" w:hAnsi="Arial" w:cs="Arial"/>
          <w:color w:val="000000"/>
          <w:sz w:val="20"/>
        </w:rPr>
        <w:t>(C) such individuals who are determined likely to require the level of care provided in a hospital, nursing facility, or intermediate care facility for [individuals with intellectual disabilities] are informed of the feasible alternatives, if available [**47]  under the waiver, at the choice of such individuals, to the provision of inpatient hospital services, nursing facilities, or services in an intermediate care facility for [individuals with intellectual disabilities] . . . .</w:t>
      </w:r>
    </w:p>
    <w:p w14:paraId="4C6B74AF" w14:textId="77777777" w:rsidR="002B10A6" w:rsidRDefault="00000000">
      <w:pPr>
        <w:pStyle w:val="Normal22"/>
        <w:widowControl w:val="0"/>
        <w:spacing w:before="200" w:line="260" w:lineRule="atLeast"/>
        <w:jc w:val="both"/>
      </w:pPr>
      <w:bookmarkStart w:id="3836" w:name="Bookmark_I69C45215P80000624M0001B"/>
      <w:bookmarkStart w:id="3837" w:name="Bookmark_I61CDHXW2D6P0H0040000400"/>
      <w:bookmarkEnd w:id="3836"/>
      <w:bookmarkEnd w:id="3837"/>
      <w:r>
        <w:rPr>
          <w:rFonts w:ascii="Arial" w:eastAsia="Arial" w:hAnsi="Arial" w:cs="Arial"/>
          <w:color w:val="000000"/>
          <w:sz w:val="20"/>
        </w:rPr>
        <w:t xml:space="preserve">42 U.S.C. § 1396n(c)(2). </w:t>
      </w:r>
      <w:bookmarkStart w:id="3838" w:name="Bookmark_LNHNREFclscc23_0"/>
      <w:bookmarkEnd w:id="3838"/>
      <w:r>
        <w:rPr>
          <w:rFonts w:ascii="Arial" w:eastAsia="Arial" w:hAnsi="Arial" w:cs="Arial"/>
          <w:color w:val="000000"/>
          <w:sz w:val="20"/>
        </w:rPr>
        <w:t xml:space="preserve">We have previously found that both §§ 1396n(c)(2)(A) and (C) are enforceable under § 1983. </w:t>
      </w:r>
      <w:bookmarkStart w:id="3839" w:name="Bookmark_I61CDHXW2D6P0H0030000400"/>
      <w:bookmarkEnd w:id="3839"/>
      <w:r>
        <w:rPr>
          <w:rFonts w:ascii="Arial" w:eastAsia="Arial" w:hAnsi="Arial" w:cs="Arial"/>
          <w:i/>
          <w:color w:val="000000"/>
          <w:sz w:val="20"/>
        </w:rPr>
        <w:t>Wood v. Tompkins</w:t>
      </w:r>
      <w:r>
        <w:rPr>
          <w:rFonts w:ascii="Arial" w:eastAsia="Arial" w:hAnsi="Arial" w:cs="Arial"/>
          <w:color w:val="000000"/>
          <w:sz w:val="20"/>
        </w:rPr>
        <w:t xml:space="preserve">, 33 F.3d 600, 611 (6th Cir. 1994). </w:t>
      </w:r>
      <w:bookmarkStart w:id="3840" w:name="Bookmark_I69C45217650000624M0001C"/>
      <w:bookmarkStart w:id="3841" w:name="Bookmark_I61CDHXW2N1PS30010000400"/>
      <w:bookmarkEnd w:id="3840"/>
      <w:bookmarkEnd w:id="3841"/>
      <w:r>
        <w:rPr>
          <w:rFonts w:ascii="Arial" w:eastAsia="Arial" w:hAnsi="Arial" w:cs="Arial"/>
          <w:color w:val="000000"/>
          <w:sz w:val="20"/>
        </w:rPr>
        <w:t xml:space="preserve">However, since then, the Supreme Court has issued its decisions in </w:t>
      </w:r>
      <w:r>
        <w:rPr>
          <w:rFonts w:ascii="Arial" w:eastAsia="Arial" w:hAnsi="Arial" w:cs="Arial"/>
          <w:i/>
          <w:color w:val="000000"/>
          <w:sz w:val="20"/>
        </w:rPr>
        <w:t>Blessing</w:t>
      </w:r>
      <w:r>
        <w:rPr>
          <w:rFonts w:ascii="Arial" w:eastAsia="Arial" w:hAnsi="Arial" w:cs="Arial"/>
          <w:color w:val="000000"/>
          <w:sz w:val="20"/>
        </w:rPr>
        <w:t xml:space="preserve"> and </w:t>
      </w:r>
      <w:r>
        <w:rPr>
          <w:rFonts w:ascii="Arial" w:eastAsia="Arial" w:hAnsi="Arial" w:cs="Arial"/>
          <w:i/>
          <w:color w:val="000000"/>
          <w:sz w:val="20"/>
        </w:rPr>
        <w:t>Gonzaga</w:t>
      </w:r>
      <w:r>
        <w:rPr>
          <w:rFonts w:ascii="Arial" w:eastAsia="Arial" w:hAnsi="Arial" w:cs="Arial"/>
          <w:color w:val="000000"/>
          <w:sz w:val="20"/>
        </w:rPr>
        <w:t xml:space="preserve"> expanding upon when a statute creates rights enforceable under § 1983, and so that decision no longer binds us. Nevertheless, upon reconsideration, we adhere to our conclusion that §§ 1396n(c)(2)(A) and (C) are enforceable under § 1983. </w:t>
      </w:r>
      <w:bookmarkStart w:id="3842" w:name="Bookmark_I61CDHXW2N1PS30030000400"/>
      <w:bookmarkStart w:id="3843" w:name="Bookmark_I61CDHXY2SF86H0030000400"/>
      <w:bookmarkEnd w:id="3842"/>
      <w:bookmarkEnd w:id="3843"/>
      <w:r>
        <w:rPr>
          <w:rFonts w:ascii="Arial" w:eastAsia="Arial" w:hAnsi="Arial" w:cs="Arial"/>
          <w:color w:val="000000"/>
          <w:sz w:val="20"/>
        </w:rPr>
        <w:t xml:space="preserve">The analysis that this Court applied in </w:t>
      </w:r>
      <w:r>
        <w:rPr>
          <w:rFonts w:ascii="Arial" w:eastAsia="Arial" w:hAnsi="Arial" w:cs="Arial"/>
          <w:i/>
          <w:color w:val="000000"/>
          <w:sz w:val="20"/>
        </w:rPr>
        <w:t>Wood</w:t>
      </w:r>
      <w:r>
        <w:rPr>
          <w:rFonts w:ascii="Arial" w:eastAsia="Arial" w:hAnsi="Arial" w:cs="Arial"/>
          <w:color w:val="000000"/>
          <w:sz w:val="20"/>
        </w:rPr>
        <w:t xml:space="preserve"> nearly parallels the analysis required under </w:t>
      </w:r>
      <w:r>
        <w:rPr>
          <w:rFonts w:ascii="Arial" w:eastAsia="Arial" w:hAnsi="Arial" w:cs="Arial"/>
          <w:i/>
          <w:color w:val="000000"/>
          <w:sz w:val="20"/>
        </w:rPr>
        <w:t>Blessing</w:t>
      </w:r>
      <w:r>
        <w:rPr>
          <w:rFonts w:ascii="Arial" w:eastAsia="Arial" w:hAnsi="Arial" w:cs="Arial"/>
          <w:color w:val="000000"/>
          <w:sz w:val="20"/>
        </w:rPr>
        <w:t xml:space="preserve"> and </w:t>
      </w:r>
      <w:r>
        <w:rPr>
          <w:rFonts w:ascii="Arial" w:eastAsia="Arial" w:hAnsi="Arial" w:cs="Arial"/>
          <w:i/>
          <w:color w:val="000000"/>
          <w:sz w:val="20"/>
        </w:rPr>
        <w:t xml:space="preserve">Gonzaga. See </w:t>
      </w:r>
      <w:bookmarkStart w:id="3844" w:name="Bookmark_I61CDHXW2D6P0H0050000400"/>
      <w:bookmarkEnd w:id="3844"/>
      <w:r>
        <w:rPr>
          <w:rFonts w:ascii="Arial" w:eastAsia="Arial" w:hAnsi="Arial" w:cs="Arial"/>
          <w:i/>
          <w:color w:val="000000"/>
          <w:sz w:val="20"/>
        </w:rPr>
        <w:t>id.</w:t>
      </w:r>
      <w:r>
        <w:rPr>
          <w:rFonts w:ascii="Arial" w:eastAsia="Arial" w:hAnsi="Arial" w:cs="Arial"/>
          <w:color w:val="000000"/>
          <w:sz w:val="20"/>
        </w:rPr>
        <w:t xml:space="preserve"> at 607-11. </w:t>
      </w:r>
      <w:bookmarkStart w:id="3845" w:name="Bookmark_I61CDHXY2SF86H0030000400_2"/>
      <w:bookmarkStart w:id="3846" w:name="Bookmark_I61CDHXW2N1PS30030000400_2"/>
      <w:bookmarkEnd w:id="3845"/>
      <w:bookmarkEnd w:id="3846"/>
      <w:r>
        <w:rPr>
          <w:rFonts w:ascii="Arial" w:eastAsia="Arial" w:hAnsi="Arial" w:cs="Arial"/>
          <w:color w:val="000000"/>
          <w:sz w:val="20"/>
        </w:rPr>
        <w:t>And the great majority of  [***28]  courts to consider the question of whether these provisions allow for a private right of action post-</w:t>
      </w:r>
      <w:r>
        <w:rPr>
          <w:rFonts w:ascii="Arial" w:eastAsia="Arial" w:hAnsi="Arial" w:cs="Arial"/>
          <w:i/>
          <w:color w:val="000000"/>
          <w:sz w:val="20"/>
        </w:rPr>
        <w:t>Gonzaga</w:t>
      </w:r>
      <w:r>
        <w:rPr>
          <w:rFonts w:ascii="Arial" w:eastAsia="Arial" w:hAnsi="Arial" w:cs="Arial"/>
          <w:color w:val="000000"/>
          <w:sz w:val="20"/>
        </w:rPr>
        <w:t xml:space="preserve"> has found that they do.</w:t>
      </w:r>
      <w:r>
        <w:rPr>
          <w:rFonts w:ascii="Arial" w:eastAsia="Arial" w:hAnsi="Arial" w:cs="Arial"/>
          <w:vertAlign w:val="superscript"/>
        </w:rPr>
        <w:footnoteReference w:customMarkFollows="1" w:id="159"/>
        <w:t>9</w:t>
      </w:r>
    </w:p>
    <w:p w14:paraId="51684E31" w14:textId="77777777" w:rsidR="002B10A6" w:rsidRDefault="00000000">
      <w:pPr>
        <w:pStyle w:val="Normal22"/>
        <w:widowControl w:val="0"/>
        <w:spacing w:before="200" w:line="260" w:lineRule="atLeast"/>
        <w:jc w:val="both"/>
      </w:pPr>
      <w:bookmarkStart w:id="3860" w:name="Bookmark_para_65_2"/>
      <w:bookmarkStart w:id="3861" w:name="Bookmark_I69C4522GNY0000624M00028"/>
      <w:bookmarkStart w:id="3862" w:name="Bookmark_I69C4522J270000624M00029"/>
      <w:bookmarkStart w:id="3863" w:name="Bookmark_I61CDHY02HM6DS0020000400"/>
      <w:bookmarkEnd w:id="3860"/>
      <w:bookmarkEnd w:id="3861"/>
      <w:bookmarkEnd w:id="3862"/>
      <w:bookmarkEnd w:id="3863"/>
      <w:r>
        <w:rPr>
          <w:rFonts w:ascii="Arial" w:eastAsia="Arial" w:hAnsi="Arial" w:cs="Arial"/>
          <w:color w:val="000000"/>
          <w:sz w:val="20"/>
        </w:rPr>
        <w:t xml:space="preserve">Our own application of the </w:t>
      </w:r>
      <w:bookmarkStart w:id="3864" w:name="Bookmark_I61CDHY02HM6DS0010000400"/>
      <w:bookmarkEnd w:id="3864"/>
      <w:r>
        <w:rPr>
          <w:rFonts w:ascii="Arial" w:eastAsia="Arial" w:hAnsi="Arial" w:cs="Arial"/>
          <w:i/>
          <w:color w:val="000000"/>
          <w:sz w:val="20"/>
        </w:rPr>
        <w:t>Blessing</w:t>
      </w:r>
      <w:r>
        <w:rPr>
          <w:rFonts w:ascii="Arial" w:eastAsia="Arial" w:hAnsi="Arial" w:cs="Arial"/>
          <w:color w:val="000000"/>
          <w:sz w:val="20"/>
        </w:rPr>
        <w:t>-</w:t>
      </w:r>
      <w:bookmarkStart w:id="3865" w:name="Bookmark_I61CDHY02HM6DS0030000400"/>
      <w:bookmarkEnd w:id="3865"/>
      <w:r>
        <w:rPr>
          <w:rFonts w:ascii="Arial" w:eastAsia="Arial" w:hAnsi="Arial" w:cs="Arial"/>
          <w:i/>
          <w:color w:val="000000"/>
          <w:sz w:val="20"/>
        </w:rPr>
        <w:t>Gonzaga</w:t>
      </w:r>
      <w:bookmarkStart w:id="3866" w:name="Bookmark_I61CDHY028T4JX0010000400"/>
      <w:bookmarkEnd w:id="3866"/>
      <w:r>
        <w:rPr>
          <w:rFonts w:ascii="Arial" w:eastAsia="Arial" w:hAnsi="Arial" w:cs="Arial"/>
          <w:color w:val="000000"/>
          <w:sz w:val="20"/>
        </w:rPr>
        <w:t xml:space="preserve"> analysis confirms that §§ 1396n(c)(2)(A) and (C) do indeed create rights enforceable under § 1983. </w:t>
      </w:r>
      <w:bookmarkStart w:id="3867" w:name="Bookmark_I61CDHY028T4JX0010000400_2"/>
      <w:bookmarkEnd w:id="3867"/>
      <w:r>
        <w:rPr>
          <w:rFonts w:ascii="Arial" w:eastAsia="Arial" w:hAnsi="Arial" w:cs="Arial"/>
          <w:color w:val="000000"/>
          <w:sz w:val="20"/>
        </w:rPr>
        <w:t xml:space="preserve">As with the § 1396a provisions addressed in Part I, Defendant Gordon compares §§ 1396n(c)(2)(A) and (C) to § 1396a(a)(30)(A), which both this Court and the Supreme Court have held does not allow for individual enforcement under [**48]  § 1983. (State Defs.' Br. at 39); </w:t>
      </w:r>
      <w:r>
        <w:rPr>
          <w:rFonts w:ascii="Arial" w:eastAsia="Arial" w:hAnsi="Arial" w:cs="Arial"/>
          <w:i/>
          <w:color w:val="000000"/>
          <w:sz w:val="20"/>
        </w:rPr>
        <w:t xml:space="preserve">see </w:t>
      </w:r>
      <w:bookmarkStart w:id="3868" w:name="Bookmark_I61CDHY02HM6DS0050000400"/>
      <w:bookmarkEnd w:id="3868"/>
      <w:r>
        <w:rPr>
          <w:rFonts w:ascii="Arial" w:eastAsia="Arial" w:hAnsi="Arial" w:cs="Arial"/>
          <w:i/>
          <w:color w:val="000000"/>
          <w:sz w:val="20"/>
        </w:rPr>
        <w:t>Westside Mothers II</w:t>
      </w:r>
      <w:r>
        <w:rPr>
          <w:rFonts w:ascii="Arial" w:eastAsia="Arial" w:hAnsi="Arial" w:cs="Arial"/>
          <w:color w:val="000000"/>
          <w:sz w:val="20"/>
        </w:rPr>
        <w:t xml:space="preserve">, 454 F.3d at 542-43; </w:t>
      </w:r>
      <w:bookmarkStart w:id="3869" w:name="Bookmark_I61CDHY028T4JX0020000400"/>
      <w:bookmarkEnd w:id="3869"/>
      <w:r>
        <w:rPr>
          <w:rFonts w:ascii="Arial" w:eastAsia="Arial" w:hAnsi="Arial" w:cs="Arial"/>
          <w:i/>
          <w:color w:val="000000"/>
          <w:sz w:val="20"/>
        </w:rPr>
        <w:t>Armstrong</w:t>
      </w:r>
      <w:r>
        <w:rPr>
          <w:rFonts w:ascii="Arial" w:eastAsia="Arial" w:hAnsi="Arial" w:cs="Arial"/>
          <w:color w:val="000000"/>
          <w:sz w:val="20"/>
        </w:rPr>
        <w:t>,  [*454]  575 U.S. at 328-29. Again, this comparison is inapt.</w:t>
      </w:r>
    </w:p>
    <w:p w14:paraId="298C87DE" w14:textId="77777777" w:rsidR="002B10A6" w:rsidRDefault="00000000">
      <w:pPr>
        <w:pStyle w:val="Normal22"/>
        <w:widowControl w:val="0"/>
        <w:spacing w:before="200" w:line="260" w:lineRule="atLeast"/>
        <w:jc w:val="both"/>
      </w:pPr>
      <w:bookmarkStart w:id="3870" w:name="Bookmark_para_66_2"/>
      <w:bookmarkStart w:id="3871" w:name="Bookmark_I69C4522KDJ0000624M0002B"/>
      <w:bookmarkStart w:id="3872" w:name="Bookmark_I61CDHY028T4JX0050000400"/>
      <w:bookmarkStart w:id="3873" w:name="Bookmark_I61CDHY02N1PS80020000400"/>
      <w:bookmarkEnd w:id="3870"/>
      <w:bookmarkEnd w:id="3871"/>
      <w:bookmarkEnd w:id="3872"/>
      <w:bookmarkEnd w:id="3873"/>
      <w:r>
        <w:rPr>
          <w:rFonts w:ascii="Arial" w:eastAsia="Arial" w:hAnsi="Arial" w:cs="Arial"/>
          <w:color w:val="000000"/>
          <w:sz w:val="20"/>
        </w:rPr>
        <w:t xml:space="preserve">Considering the first prong of </w:t>
      </w:r>
      <w:bookmarkStart w:id="3874" w:name="Bookmark_I61CDHY028T4JX0040000400"/>
      <w:bookmarkEnd w:id="3874"/>
      <w:r>
        <w:rPr>
          <w:rFonts w:ascii="Arial" w:eastAsia="Arial" w:hAnsi="Arial" w:cs="Arial"/>
          <w:i/>
          <w:color w:val="000000"/>
          <w:sz w:val="20"/>
        </w:rPr>
        <w:t>Blessing</w:t>
      </w:r>
      <w:r>
        <w:rPr>
          <w:rFonts w:ascii="Arial" w:eastAsia="Arial" w:hAnsi="Arial" w:cs="Arial"/>
          <w:color w:val="000000"/>
          <w:sz w:val="20"/>
        </w:rPr>
        <w:t xml:space="preserve">, it is clear that Congress intended both §§ 1396n(c)(2)(A) and (C) to confer individual rights enforceable under § 1983. </w:t>
      </w:r>
      <w:bookmarkStart w:id="3875" w:name="Bookmark_I69C45218K90000624M0001D"/>
      <w:bookmarkStart w:id="3876" w:name="Bookmark_I61CDHY02SF86J0030000400"/>
      <w:bookmarkEnd w:id="3875"/>
      <w:bookmarkEnd w:id="3876"/>
      <w:r>
        <w:rPr>
          <w:rFonts w:ascii="Arial" w:eastAsia="Arial" w:hAnsi="Arial" w:cs="Arial"/>
          <w:color w:val="000000"/>
          <w:sz w:val="20"/>
        </w:rPr>
        <w:t xml:space="preserve">Both provisions are "phrased in terms of the persons benefited," </w:t>
      </w:r>
      <w:bookmarkStart w:id="3877" w:name="Bookmark_I61CDHY02N1PS80010000400"/>
      <w:bookmarkEnd w:id="3877"/>
      <w:r>
        <w:rPr>
          <w:rFonts w:ascii="Arial" w:eastAsia="Arial" w:hAnsi="Arial" w:cs="Arial"/>
          <w:i/>
          <w:color w:val="000000"/>
          <w:sz w:val="20"/>
        </w:rPr>
        <w:t>Gonzaga</w:t>
      </w:r>
      <w:r>
        <w:rPr>
          <w:rFonts w:ascii="Arial" w:eastAsia="Arial" w:hAnsi="Arial" w:cs="Arial"/>
          <w:color w:val="000000"/>
          <w:sz w:val="20"/>
        </w:rPr>
        <w:t>, 536 U.S. at 284, as they center around what shall be provided to "individuals" under the statute, 42 U.S.C. §§ 1396n(c)(2)(A), (C).</w:t>
      </w:r>
      <w:r>
        <w:rPr>
          <w:rFonts w:ascii="Arial" w:eastAsia="Arial" w:hAnsi="Arial" w:cs="Arial"/>
          <w:vertAlign w:val="superscript"/>
        </w:rPr>
        <w:footnoteReference w:customMarkFollows="1" w:id="160"/>
        <w:t>10</w:t>
      </w:r>
      <w:r>
        <w:rPr>
          <w:rFonts w:ascii="Arial" w:eastAsia="Arial" w:hAnsi="Arial" w:cs="Arial"/>
          <w:color w:val="000000"/>
          <w:sz w:val="20"/>
        </w:rPr>
        <w:t xml:space="preserve"> </w:t>
      </w:r>
      <w:r>
        <w:rPr>
          <w:rFonts w:ascii="Arial" w:eastAsia="Arial" w:hAnsi="Arial" w:cs="Arial"/>
          <w:i/>
          <w:color w:val="000000"/>
          <w:sz w:val="20"/>
        </w:rPr>
        <w:t xml:space="preserve">See </w:t>
      </w:r>
      <w:bookmarkStart w:id="3883" w:name="Bookmark_I61CDHY02N1PS80030000400"/>
      <w:bookmarkEnd w:id="3883"/>
      <w:r>
        <w:rPr>
          <w:rFonts w:ascii="Arial" w:eastAsia="Arial" w:hAnsi="Arial" w:cs="Arial"/>
          <w:i/>
          <w:color w:val="000000"/>
          <w:sz w:val="20"/>
        </w:rPr>
        <w:t>Harris</w:t>
      </w:r>
      <w:r>
        <w:rPr>
          <w:rFonts w:ascii="Arial" w:eastAsia="Arial" w:hAnsi="Arial" w:cs="Arial"/>
          <w:color w:val="000000"/>
          <w:sz w:val="20"/>
        </w:rPr>
        <w:t xml:space="preserve">, 442 F.3d at 461 (holding that similar references to individuals were "the kind of 'individually focused terminology' that 'unambiguously confer[s]' an 'individual entitlement'  [***29]  under the law" (alteration in original) (quoting </w:t>
      </w:r>
      <w:bookmarkStart w:id="3884" w:name="Bookmark_I61CDHY02N1PS80050000400"/>
      <w:bookmarkEnd w:id="3884"/>
      <w:r>
        <w:rPr>
          <w:rFonts w:ascii="Arial" w:eastAsia="Arial" w:hAnsi="Arial" w:cs="Arial"/>
          <w:i/>
          <w:color w:val="000000"/>
          <w:sz w:val="20"/>
        </w:rPr>
        <w:t>Gonzaga</w:t>
      </w:r>
      <w:r>
        <w:rPr>
          <w:rFonts w:ascii="Arial" w:eastAsia="Arial" w:hAnsi="Arial" w:cs="Arial"/>
          <w:color w:val="000000"/>
          <w:sz w:val="20"/>
        </w:rPr>
        <w:t xml:space="preserve">, 536 U.S. at 283, 287)). </w:t>
      </w:r>
      <w:bookmarkStart w:id="3885" w:name="Bookmark_I61CDHY02SF86J0030000400_2"/>
      <w:bookmarkStart w:id="3886" w:name="Bookmark_I61CDHY028T4JY0020000400"/>
      <w:bookmarkEnd w:id="3885"/>
      <w:bookmarkEnd w:id="3886"/>
      <w:r>
        <w:rPr>
          <w:rFonts w:ascii="Arial" w:eastAsia="Arial" w:hAnsi="Arial" w:cs="Arial"/>
          <w:color w:val="000000"/>
          <w:sz w:val="20"/>
        </w:rPr>
        <w:t xml:space="preserve">And both expressly identify individual rights to be protected—namely, individuals' "health and welfare" and informed choice. 42 U.S.C. §§ 1396n(c)(2)(A), (C). As the Ninth Circuit found when considering subsection (c)(2)(C) in </w:t>
      </w:r>
      <w:bookmarkStart w:id="3887" w:name="Bookmark_I61CDHY02SF86J0020000400"/>
      <w:bookmarkEnd w:id="3887"/>
      <w:r>
        <w:rPr>
          <w:rFonts w:ascii="Arial" w:eastAsia="Arial" w:hAnsi="Arial" w:cs="Arial"/>
          <w:i/>
          <w:color w:val="000000"/>
          <w:sz w:val="20"/>
        </w:rPr>
        <w:t>Ball v. Rodgers</w:t>
      </w:r>
      <w:r>
        <w:rPr>
          <w:rFonts w:ascii="Arial" w:eastAsia="Arial" w:hAnsi="Arial" w:cs="Arial"/>
          <w:color w:val="000000"/>
          <w:sz w:val="20"/>
        </w:rPr>
        <w:t xml:space="preserve">, 492 F.3d 1094, 1107 (9th Cir. 2007), "[t]he statutory provisions are, in other words, 'concerned with "whether the needs of any particular person have been satisfied,"' not solely with an aggregate 'institutional policy and practice.'" </w:t>
      </w:r>
      <w:r>
        <w:rPr>
          <w:rFonts w:ascii="Arial" w:eastAsia="Arial" w:hAnsi="Arial" w:cs="Arial"/>
          <w:i/>
          <w:color w:val="000000"/>
          <w:sz w:val="20"/>
        </w:rPr>
        <w:t>Id.</w:t>
      </w:r>
      <w:r>
        <w:rPr>
          <w:rFonts w:ascii="Arial" w:eastAsia="Arial" w:hAnsi="Arial" w:cs="Arial"/>
          <w:color w:val="000000"/>
          <w:sz w:val="20"/>
        </w:rPr>
        <w:t xml:space="preserve"> (quoting </w:t>
      </w:r>
      <w:bookmarkStart w:id="3888" w:name="Bookmark_I61CDHY02SF86J0040000400"/>
      <w:bookmarkEnd w:id="3888"/>
      <w:r>
        <w:rPr>
          <w:rFonts w:ascii="Arial" w:eastAsia="Arial" w:hAnsi="Arial" w:cs="Arial"/>
          <w:i/>
          <w:color w:val="000000"/>
          <w:sz w:val="20"/>
        </w:rPr>
        <w:t>Gonzaga</w:t>
      </w:r>
      <w:r>
        <w:rPr>
          <w:rFonts w:ascii="Arial" w:eastAsia="Arial" w:hAnsi="Arial" w:cs="Arial"/>
          <w:color w:val="000000"/>
          <w:sz w:val="20"/>
        </w:rPr>
        <w:t xml:space="preserve">, 536 U.S. at 288). </w:t>
      </w:r>
      <w:bookmarkStart w:id="3889" w:name="Bookmark_I61CDHY028T4JY0020000400_2"/>
      <w:bookmarkEnd w:id="3889"/>
      <w:r>
        <w:rPr>
          <w:rFonts w:ascii="Arial" w:eastAsia="Arial" w:hAnsi="Arial" w:cs="Arial"/>
          <w:color w:val="000000"/>
          <w:sz w:val="20"/>
        </w:rPr>
        <w:t xml:space="preserve">This is unlike § 1396a(a)(30)(A), which only references recipients of Medicaid services "in the aggregate" and "speaks not of any individual's right but of the State's obligation to develop 'methods and procedures for providing services generally.'" [**49]  </w:t>
      </w:r>
      <w:bookmarkStart w:id="3890" w:name="Bookmark_I61CDHY028T4JY0010000400"/>
      <w:bookmarkEnd w:id="3890"/>
      <w:r>
        <w:rPr>
          <w:rFonts w:ascii="Arial" w:eastAsia="Arial" w:hAnsi="Arial" w:cs="Arial"/>
          <w:i/>
          <w:color w:val="000000"/>
          <w:sz w:val="20"/>
        </w:rPr>
        <w:t>Id.</w:t>
      </w:r>
      <w:r>
        <w:rPr>
          <w:rFonts w:ascii="Arial" w:eastAsia="Arial" w:hAnsi="Arial" w:cs="Arial"/>
          <w:color w:val="000000"/>
          <w:sz w:val="20"/>
        </w:rPr>
        <w:t xml:space="preserve"> at 1109 (quoting </w:t>
      </w:r>
      <w:bookmarkStart w:id="3891" w:name="Bookmark_I61CDHY028T4JY0030000400"/>
      <w:bookmarkEnd w:id="3891"/>
      <w:r>
        <w:rPr>
          <w:rFonts w:ascii="Arial" w:eastAsia="Arial" w:hAnsi="Arial" w:cs="Arial"/>
          <w:i/>
          <w:color w:val="000000"/>
          <w:sz w:val="20"/>
        </w:rPr>
        <w:t>Sanchez v. Johnson</w:t>
      </w:r>
      <w:r>
        <w:rPr>
          <w:rFonts w:ascii="Arial" w:eastAsia="Arial" w:hAnsi="Arial" w:cs="Arial"/>
          <w:color w:val="000000"/>
          <w:sz w:val="20"/>
        </w:rPr>
        <w:t>, 416 F.3d 1051, 1059 (9th Cir. 2005)).</w:t>
      </w:r>
    </w:p>
    <w:p w14:paraId="0F450FDE" w14:textId="77777777" w:rsidR="002B10A6" w:rsidRDefault="00000000">
      <w:pPr>
        <w:pStyle w:val="Normal22"/>
        <w:widowControl w:val="0"/>
        <w:spacing w:before="200" w:line="260" w:lineRule="atLeast"/>
        <w:jc w:val="both"/>
      </w:pPr>
      <w:bookmarkStart w:id="3892" w:name="Bookmark_para_67_2"/>
      <w:bookmarkStart w:id="3893" w:name="Bookmark_I69C4521CKS0000624M0001G"/>
      <w:bookmarkStart w:id="3894" w:name="Bookmark_I61CDHY12D6P0S0050000400"/>
      <w:bookmarkStart w:id="3895" w:name="Bookmark_I69C4521F7F0000624M0001H"/>
      <w:bookmarkStart w:id="3896" w:name="Bookmark_I61CDHY12N1PS90020000400"/>
      <w:bookmarkStart w:id="3897" w:name="Bookmark_LNHNREFclscc24_0"/>
      <w:bookmarkEnd w:id="3892"/>
      <w:bookmarkEnd w:id="3893"/>
      <w:bookmarkEnd w:id="3894"/>
      <w:bookmarkEnd w:id="3895"/>
      <w:bookmarkEnd w:id="3896"/>
      <w:bookmarkEnd w:id="3897"/>
      <w:r>
        <w:rPr>
          <w:rFonts w:ascii="Arial" w:eastAsia="Arial" w:hAnsi="Arial" w:cs="Arial"/>
          <w:color w:val="000000"/>
          <w:sz w:val="20"/>
        </w:rPr>
        <w:t xml:space="preserve">Turning to </w:t>
      </w:r>
      <w:r>
        <w:rPr>
          <w:rFonts w:ascii="Arial" w:eastAsia="Arial" w:hAnsi="Arial" w:cs="Arial"/>
          <w:i/>
          <w:color w:val="000000"/>
          <w:sz w:val="20"/>
        </w:rPr>
        <w:t>Blessing</w:t>
      </w:r>
      <w:r>
        <w:rPr>
          <w:rFonts w:ascii="Arial" w:eastAsia="Arial" w:hAnsi="Arial" w:cs="Arial"/>
          <w:color w:val="000000"/>
          <w:sz w:val="20"/>
        </w:rPr>
        <w:t xml:space="preserve">'s second prong, the rights "assertedly protected by the statute [are] not so 'vague and amorphous' that [their] enforcement would strain judicial competence." </w:t>
      </w:r>
      <w:bookmarkStart w:id="3898" w:name="Bookmark_I61CDHY12D6P0S0040000400"/>
      <w:bookmarkEnd w:id="3898"/>
      <w:r>
        <w:rPr>
          <w:rFonts w:ascii="Arial" w:eastAsia="Arial" w:hAnsi="Arial" w:cs="Arial"/>
          <w:color w:val="000000"/>
          <w:sz w:val="20"/>
        </w:rPr>
        <w:t xml:space="preserve">520 U.S. at 340-41. </w:t>
      </w:r>
      <w:bookmarkStart w:id="3899" w:name="Bookmark_I61CDHY12N1PS90040000400"/>
      <w:bookmarkEnd w:id="3899"/>
      <w:r>
        <w:rPr>
          <w:rFonts w:ascii="Arial" w:eastAsia="Arial" w:hAnsi="Arial" w:cs="Arial"/>
          <w:color w:val="000000"/>
          <w:sz w:val="20"/>
        </w:rPr>
        <w:t xml:space="preserve">We have already concluded in </w:t>
      </w:r>
      <w:r>
        <w:rPr>
          <w:rFonts w:ascii="Arial" w:eastAsia="Arial" w:hAnsi="Arial" w:cs="Arial"/>
          <w:i/>
          <w:color w:val="000000"/>
          <w:sz w:val="20"/>
        </w:rPr>
        <w:t>Wood</w:t>
      </w:r>
      <w:r>
        <w:rPr>
          <w:rFonts w:ascii="Arial" w:eastAsia="Arial" w:hAnsi="Arial" w:cs="Arial"/>
          <w:color w:val="000000"/>
          <w:sz w:val="20"/>
        </w:rPr>
        <w:t xml:space="preserve"> that "[t]he duties set forth [in §§ 1396n(c)(2)(A) and (C)] do not involve any fuzzy, undefined concepts like 'reasonable efforts.' Rather, these duties involve unambiguous directives that are well within the ability of the judiciary to enforce." </w:t>
      </w:r>
      <w:bookmarkStart w:id="3900" w:name="Bookmark_I61CDHY12N1PS90010000400"/>
      <w:bookmarkEnd w:id="3900"/>
      <w:r>
        <w:rPr>
          <w:rFonts w:ascii="Arial" w:eastAsia="Arial" w:hAnsi="Arial" w:cs="Arial"/>
          <w:color w:val="000000"/>
          <w:sz w:val="20"/>
        </w:rPr>
        <w:t xml:space="preserve">33 F.3d at 608. With regard to § 1396n(c)(2)(A), together, "the statute and regulations carefully detail the specific [assurances] to be provided" regarding safeguards for health and welfare. </w:t>
      </w:r>
      <w:bookmarkStart w:id="3901" w:name="Bookmark_I61CDHY12N1PS90040000400_2"/>
      <w:bookmarkEnd w:id="3901"/>
      <w:r>
        <w:rPr>
          <w:rFonts w:ascii="Arial" w:eastAsia="Arial" w:hAnsi="Arial" w:cs="Arial"/>
          <w:i/>
          <w:color w:val="000000"/>
          <w:sz w:val="20"/>
        </w:rPr>
        <w:t xml:space="preserve">See </w:t>
      </w:r>
      <w:bookmarkStart w:id="3902" w:name="Bookmark_I61CDHY12N1PS90030000400"/>
      <w:bookmarkEnd w:id="3902"/>
      <w:r>
        <w:rPr>
          <w:rFonts w:ascii="Arial" w:eastAsia="Arial" w:hAnsi="Arial" w:cs="Arial"/>
          <w:i/>
          <w:color w:val="000000"/>
          <w:sz w:val="20"/>
        </w:rPr>
        <w:t>Westside Mothers I</w:t>
      </w:r>
      <w:r>
        <w:rPr>
          <w:rFonts w:ascii="Arial" w:eastAsia="Arial" w:hAnsi="Arial" w:cs="Arial"/>
          <w:color w:val="000000"/>
          <w:sz w:val="20"/>
        </w:rPr>
        <w:t xml:space="preserve">, 289 F.3d at 863 (discussing §§ 1396a(a)(8) and (10)). </w:t>
      </w:r>
      <w:bookmarkStart w:id="3903" w:name="Bookmark_I61CDHY12HM6DV0010000400"/>
      <w:bookmarkStart w:id="3904" w:name="Bookmark_LNHNREFclscc25_0"/>
      <w:bookmarkEnd w:id="3903"/>
      <w:bookmarkEnd w:id="3904"/>
      <w:r>
        <w:rPr>
          <w:rFonts w:ascii="Arial" w:eastAsia="Arial" w:hAnsi="Arial" w:cs="Arial"/>
          <w:color w:val="000000"/>
          <w:sz w:val="20"/>
        </w:rPr>
        <w:t xml:space="preserve">As laid out in 42 C.F.R. § 441.302(a), § 1396n(c)(2)(A) requires assurances that states have set standards for service providers operating under the waiver, including state licensure and certification requirements; that facilities in which services are provided are in compliance with similar state standards;  [*455]  and that services are provided in home and community based settings. </w:t>
      </w:r>
      <w:bookmarkStart w:id="3905" w:name="Bookmark_I61CDHY12HM6DV0030000400"/>
      <w:bookmarkEnd w:id="3905"/>
      <w:r>
        <w:rPr>
          <w:rFonts w:ascii="Arial" w:eastAsia="Arial" w:hAnsi="Arial" w:cs="Arial"/>
          <w:color w:val="000000"/>
          <w:sz w:val="20"/>
        </w:rPr>
        <w:t xml:space="preserve">As for § 1396n(c)(2)(C), the statute simply requires that individuals have a right to choose among alternatives to institutionalized care and that they are informed of this choice. </w:t>
      </w:r>
      <w:bookmarkStart w:id="3906" w:name="Bookmark_I61CDHY12N1PS90050000400"/>
      <w:bookmarkEnd w:id="3906"/>
      <w:r>
        <w:rPr>
          <w:rFonts w:ascii="Arial" w:eastAsia="Arial" w:hAnsi="Arial" w:cs="Arial"/>
          <w:i/>
          <w:color w:val="000000"/>
          <w:sz w:val="20"/>
        </w:rPr>
        <w:t>Rodgers</w:t>
      </w:r>
      <w:r>
        <w:rPr>
          <w:rFonts w:ascii="Arial" w:eastAsia="Arial" w:hAnsi="Arial" w:cs="Arial"/>
          <w:color w:val="000000"/>
          <w:sz w:val="20"/>
        </w:rPr>
        <w:t xml:space="preserve">, 492 F.3d at 1115. </w:t>
      </w:r>
      <w:bookmarkStart w:id="3907" w:name="Bookmark_I61CDHY12HM6DV0030000400_2"/>
      <w:bookmarkEnd w:id="3907"/>
      <w:r>
        <w:rPr>
          <w:rFonts w:ascii="Arial" w:eastAsia="Arial" w:hAnsi="Arial" w:cs="Arial"/>
          <w:color w:val="000000"/>
          <w:sz w:val="20"/>
        </w:rPr>
        <w:t xml:space="preserve">For both §§ 1396n(c)(2)(A) and (C), "[a] court can readily determine [**50]  whether a state is fulfilling these statutory obligations by looking to sources such as a state's Medicaid plan, agency records and documents, and the testimony of Medicaid recipients and providers." </w:t>
      </w:r>
      <w:r>
        <w:rPr>
          <w:rFonts w:ascii="Arial" w:eastAsia="Arial" w:hAnsi="Arial" w:cs="Arial"/>
          <w:i/>
          <w:color w:val="000000"/>
          <w:sz w:val="20"/>
        </w:rPr>
        <w:t>See id.</w:t>
      </w:r>
      <w:r>
        <w:rPr>
          <w:rFonts w:ascii="Arial" w:eastAsia="Arial" w:hAnsi="Arial" w:cs="Arial"/>
          <w:color w:val="000000"/>
          <w:sz w:val="20"/>
        </w:rPr>
        <w:t xml:space="preserve"> And unlike § 1396a(a)(30)(A)'s requirement that payments be "'consistent with efficiency, economy, and quality of care,' all the while 'safeguard[ing] against unnecessary utilization of . . . care and services,'" </w:t>
      </w:r>
      <w:bookmarkStart w:id="3908" w:name="Bookmark_I61CDHY12HM6DV0020000400"/>
      <w:bookmarkEnd w:id="3908"/>
      <w:r>
        <w:rPr>
          <w:rFonts w:ascii="Arial" w:eastAsia="Arial" w:hAnsi="Arial" w:cs="Arial"/>
          <w:i/>
          <w:color w:val="000000"/>
          <w:sz w:val="20"/>
        </w:rPr>
        <w:t>Armstrong</w:t>
      </w:r>
      <w:r>
        <w:rPr>
          <w:rFonts w:ascii="Arial" w:eastAsia="Arial" w:hAnsi="Arial" w:cs="Arial"/>
          <w:color w:val="000000"/>
          <w:sz w:val="20"/>
        </w:rPr>
        <w:t xml:space="preserve">, 575 U.S. at 328, determining states'  [***30]  compliance with these provisions does not require any sort of broad, policy-based balancing or "account[ing] for numerous, largely unquantifiable variables," </w:t>
      </w:r>
      <w:bookmarkStart w:id="3909" w:name="Bookmark_I61CDHY12HM6DV0040000400"/>
      <w:bookmarkEnd w:id="3909"/>
      <w:r>
        <w:rPr>
          <w:rFonts w:ascii="Arial" w:eastAsia="Arial" w:hAnsi="Arial" w:cs="Arial"/>
          <w:i/>
          <w:color w:val="000000"/>
          <w:sz w:val="20"/>
        </w:rPr>
        <w:t>Rodgers</w:t>
      </w:r>
      <w:r>
        <w:rPr>
          <w:rFonts w:ascii="Arial" w:eastAsia="Arial" w:hAnsi="Arial" w:cs="Arial"/>
          <w:color w:val="000000"/>
          <w:sz w:val="20"/>
        </w:rPr>
        <w:t>, 492 F.3d at 1115.</w:t>
      </w:r>
    </w:p>
    <w:p w14:paraId="677E5E4F" w14:textId="77777777" w:rsidR="002B10A6" w:rsidRDefault="00000000">
      <w:pPr>
        <w:pStyle w:val="Normal22"/>
        <w:widowControl w:val="0"/>
        <w:spacing w:before="200" w:line="260" w:lineRule="atLeast"/>
        <w:jc w:val="both"/>
      </w:pPr>
      <w:bookmarkStart w:id="3910" w:name="Bookmark_para_68_2"/>
      <w:bookmarkStart w:id="3911" w:name="Bookmark_I69C4521GPJ0000624M0001J"/>
      <w:bookmarkStart w:id="3912" w:name="Bookmark_I61CDHY12SF86M0020000400"/>
      <w:bookmarkEnd w:id="3910"/>
      <w:bookmarkEnd w:id="3911"/>
      <w:bookmarkEnd w:id="3912"/>
      <w:r>
        <w:rPr>
          <w:rFonts w:ascii="Arial" w:eastAsia="Arial" w:hAnsi="Arial" w:cs="Arial"/>
          <w:color w:val="000000"/>
          <w:sz w:val="20"/>
        </w:rPr>
        <w:t xml:space="preserve">Under </w:t>
      </w:r>
      <w:r>
        <w:rPr>
          <w:rFonts w:ascii="Arial" w:eastAsia="Arial" w:hAnsi="Arial" w:cs="Arial"/>
          <w:i/>
          <w:color w:val="000000"/>
          <w:sz w:val="20"/>
        </w:rPr>
        <w:t>Blessing</w:t>
      </w:r>
      <w:r>
        <w:rPr>
          <w:rFonts w:ascii="Arial" w:eastAsia="Arial" w:hAnsi="Arial" w:cs="Arial"/>
          <w:color w:val="000000"/>
          <w:sz w:val="20"/>
        </w:rPr>
        <w:t xml:space="preserve">'s third prong, both provisions "impose a binding obligation on the States" by using "mandatory, rather than precatory" language. </w:t>
      </w:r>
      <w:bookmarkStart w:id="3913" w:name="Bookmark_I61CDHY12SF86M0010000400"/>
      <w:bookmarkEnd w:id="3913"/>
      <w:r>
        <w:rPr>
          <w:rFonts w:ascii="Arial" w:eastAsia="Arial" w:hAnsi="Arial" w:cs="Arial"/>
          <w:color w:val="000000"/>
          <w:sz w:val="20"/>
        </w:rPr>
        <w:t xml:space="preserve">520 U.S. at 341. Section 1396n(c)(2) states that "[a] waiver </w:t>
      </w:r>
      <w:r>
        <w:rPr>
          <w:rFonts w:ascii="Arial" w:eastAsia="Arial" w:hAnsi="Arial" w:cs="Arial"/>
          <w:i/>
          <w:color w:val="000000"/>
          <w:sz w:val="20"/>
        </w:rPr>
        <w:t>shall not</w:t>
      </w:r>
      <w:r>
        <w:rPr>
          <w:rFonts w:ascii="Arial" w:eastAsia="Arial" w:hAnsi="Arial" w:cs="Arial"/>
          <w:color w:val="000000"/>
          <w:sz w:val="20"/>
        </w:rPr>
        <w:t xml:space="preserve"> be granted . . . unless the State provides [the] assurances" described. </w:t>
      </w:r>
      <w:bookmarkStart w:id="3914" w:name="Bookmark_I61CDHY12SF86M0040000400"/>
      <w:bookmarkStart w:id="3915" w:name="Bookmark_I69C4521J2V0000624M0001K"/>
      <w:bookmarkStart w:id="3916" w:name="Bookmark_I61CDHY12N1PSB0010000400"/>
      <w:bookmarkStart w:id="3917" w:name="Bookmark_I69C4521MTS0000624M0001N"/>
      <w:bookmarkStart w:id="3918" w:name="Bookmark_I61CDHY12N1PSB0030000400"/>
      <w:bookmarkEnd w:id="3914"/>
      <w:bookmarkEnd w:id="3915"/>
      <w:bookmarkEnd w:id="3916"/>
      <w:bookmarkEnd w:id="3917"/>
      <w:bookmarkEnd w:id="3918"/>
      <w:r>
        <w:rPr>
          <w:rFonts w:ascii="Arial" w:eastAsia="Arial" w:hAnsi="Arial" w:cs="Arial"/>
          <w:i/>
          <w:color w:val="000000"/>
          <w:sz w:val="20"/>
        </w:rPr>
        <w:t>Id.</w:t>
      </w:r>
      <w:r>
        <w:rPr>
          <w:rFonts w:ascii="Arial" w:eastAsia="Arial" w:hAnsi="Arial" w:cs="Arial"/>
          <w:color w:val="000000"/>
          <w:sz w:val="20"/>
        </w:rPr>
        <w:t xml:space="preserve"> (emphasis added). </w:t>
      </w:r>
      <w:bookmarkStart w:id="3919" w:name="Bookmark_I61CDHY12N1PSB0030000400_2"/>
      <w:bookmarkStart w:id="3920" w:name="Bookmark_I61CDHY12N1PSB0010000400_2"/>
      <w:bookmarkStart w:id="3921" w:name="Bookmark_I61CDHY12SF86M0040000400_2"/>
      <w:bookmarkEnd w:id="3919"/>
      <w:bookmarkEnd w:id="3920"/>
      <w:bookmarkEnd w:id="3921"/>
      <w:r>
        <w:rPr>
          <w:rFonts w:ascii="Arial" w:eastAsia="Arial" w:hAnsi="Arial" w:cs="Arial"/>
          <w:color w:val="000000"/>
          <w:sz w:val="20"/>
        </w:rPr>
        <w:t xml:space="preserve">Finally, Congress has not foreclosed a remedy under § 1983 for either §§ 1396n(c)(2)(A) or (C). </w:t>
      </w:r>
      <w:bookmarkStart w:id="3922" w:name="Bookmark_LNHNREFclscc26_0"/>
      <w:bookmarkEnd w:id="3922"/>
      <w:r>
        <w:rPr>
          <w:rFonts w:ascii="Arial" w:eastAsia="Arial" w:hAnsi="Arial" w:cs="Arial"/>
          <w:color w:val="000000"/>
          <w:sz w:val="20"/>
        </w:rPr>
        <w:t xml:space="preserve">While §§ 1396n(c)(2)(A) and (C) are also explicitly enforceable through termination of a state's waiver, </w:t>
      </w:r>
      <w:r>
        <w:rPr>
          <w:rFonts w:ascii="Arial" w:eastAsia="Arial" w:hAnsi="Arial" w:cs="Arial"/>
          <w:i/>
          <w:color w:val="000000"/>
          <w:sz w:val="20"/>
        </w:rPr>
        <w:t>see</w:t>
      </w:r>
      <w:r>
        <w:rPr>
          <w:rFonts w:ascii="Arial" w:eastAsia="Arial" w:hAnsi="Arial" w:cs="Arial"/>
          <w:color w:val="000000"/>
          <w:sz w:val="20"/>
        </w:rPr>
        <w:t xml:space="preserve"> 42 U.S.C. § 1396n(f)(1), again, this alone does not preclude the existence of an individual right under § 1983, </w:t>
      </w:r>
      <w:r>
        <w:rPr>
          <w:rFonts w:ascii="Arial" w:eastAsia="Arial" w:hAnsi="Arial" w:cs="Arial"/>
          <w:i/>
          <w:color w:val="000000"/>
          <w:sz w:val="20"/>
        </w:rPr>
        <w:t xml:space="preserve">see </w:t>
      </w:r>
      <w:bookmarkStart w:id="3923" w:name="Bookmark_I61CDHY12SF86M0030000400"/>
      <w:bookmarkEnd w:id="3923"/>
      <w:r>
        <w:rPr>
          <w:rFonts w:ascii="Arial" w:eastAsia="Arial" w:hAnsi="Arial" w:cs="Arial"/>
          <w:i/>
          <w:color w:val="000000"/>
          <w:sz w:val="20"/>
        </w:rPr>
        <w:t>Armstrong</w:t>
      </w:r>
      <w:r>
        <w:rPr>
          <w:rFonts w:ascii="Arial" w:eastAsia="Arial" w:hAnsi="Arial" w:cs="Arial"/>
          <w:color w:val="000000"/>
          <w:sz w:val="20"/>
        </w:rPr>
        <w:t>, 575 U.S. at 328.</w:t>
      </w:r>
      <w:r>
        <w:rPr>
          <w:rFonts w:ascii="Arial" w:eastAsia="Arial" w:hAnsi="Arial" w:cs="Arial"/>
          <w:vertAlign w:val="superscript"/>
        </w:rPr>
        <w:footnoteReference w:customMarkFollows="1" w:id="161"/>
        <w:t>11</w:t>
      </w:r>
      <w:r>
        <w:rPr>
          <w:rFonts w:ascii="Arial" w:eastAsia="Arial" w:hAnsi="Arial" w:cs="Arial"/>
          <w:color w:val="000000"/>
          <w:sz w:val="20"/>
        </w:rPr>
        <w:t xml:space="preserve"> Section 1396a(a)(30)(A)'s similar enforcement provision precluded a finding of a right only in combination with the [**51]  fact that it failed the second </w:t>
      </w:r>
      <w:r>
        <w:rPr>
          <w:rFonts w:ascii="Arial" w:eastAsia="Arial" w:hAnsi="Arial" w:cs="Arial"/>
          <w:i/>
          <w:color w:val="000000"/>
          <w:sz w:val="20"/>
        </w:rPr>
        <w:t>Blessing</w:t>
      </w:r>
      <w:r>
        <w:rPr>
          <w:rFonts w:ascii="Arial" w:eastAsia="Arial" w:hAnsi="Arial" w:cs="Arial"/>
          <w:color w:val="000000"/>
          <w:sz w:val="20"/>
        </w:rPr>
        <w:t xml:space="preserve"> prong. </w:t>
      </w:r>
      <w:r>
        <w:rPr>
          <w:rFonts w:ascii="Arial" w:eastAsia="Arial" w:hAnsi="Arial" w:cs="Arial"/>
          <w:i/>
          <w:color w:val="000000"/>
          <w:sz w:val="20"/>
        </w:rPr>
        <w:t>Id.</w:t>
      </w:r>
      <w:r>
        <w:rPr>
          <w:rFonts w:ascii="Arial" w:eastAsia="Arial" w:hAnsi="Arial" w:cs="Arial"/>
          <w:color w:val="000000"/>
          <w:sz w:val="20"/>
        </w:rPr>
        <w:t xml:space="preserve"> That is not the case with §§ 1396n(c)(2)(A) and (C). Neither did Congress explicitly foreclose relief or provide for a comprehensive remedial scheme. Thus, Defendants have a private right of action under both §§ 1396n(c)(2)(A) and (C).</w:t>
      </w:r>
    </w:p>
    <w:p w14:paraId="75F4F269" w14:textId="77777777" w:rsidR="002B10A6" w:rsidRDefault="00000000">
      <w:pPr>
        <w:pStyle w:val="Normal22"/>
        <w:widowControl w:val="0"/>
        <w:spacing w:before="240" w:line="260" w:lineRule="atLeast"/>
      </w:pPr>
      <w:r>
        <w:br/>
      </w:r>
      <w:r>
        <w:rPr>
          <w:rFonts w:ascii="Arial" w:eastAsia="Arial" w:hAnsi="Arial" w:cs="Arial"/>
          <w:b/>
          <w:color w:val="000000"/>
          <w:sz w:val="20"/>
        </w:rPr>
        <w:t>B. Merits</w:t>
      </w:r>
    </w:p>
    <w:p w14:paraId="51048DB2" w14:textId="77777777" w:rsidR="002B10A6" w:rsidRDefault="00000000">
      <w:pPr>
        <w:pStyle w:val="Normal22"/>
        <w:widowControl w:val="0"/>
        <w:spacing w:before="200" w:line="260" w:lineRule="atLeast"/>
        <w:jc w:val="both"/>
      </w:pPr>
      <w:bookmarkStart w:id="3927" w:name="Bookmark_para_69_1"/>
      <w:bookmarkStart w:id="3928" w:name="Bookmark_LNHNREFclscc27_0"/>
      <w:bookmarkEnd w:id="3927"/>
      <w:bookmarkEnd w:id="3928"/>
      <w:r>
        <w:rPr>
          <w:rFonts w:ascii="Arial" w:eastAsia="Arial" w:hAnsi="Arial" w:cs="Arial"/>
          <w:color w:val="000000"/>
          <w:sz w:val="20"/>
        </w:rPr>
        <w:t xml:space="preserve">Considering Plaintiffs' claim under § 1396n(c)(2)(A), the federal regulation interpreting this provision requires states to provide "assurance that services are provided in home and community based settings, as specified in § 441.301(c)(4)." 42 C.F.R. § 441.302(a)(5). Section 441.301(c)(4), in turn, requires that home and community-based settings (1) "support[] full access of individuals receiving [services] to the greater community, including opportunities to . . . engage in community life, control personal resources, and receive services in the community, to the same degree of access as individuals not receiving [services]," </w:t>
      </w:r>
      <w:r>
        <w:rPr>
          <w:rFonts w:ascii="Arial" w:eastAsia="Arial" w:hAnsi="Arial" w:cs="Arial"/>
          <w:i/>
          <w:color w:val="000000"/>
          <w:sz w:val="20"/>
        </w:rPr>
        <w:t>id.</w:t>
      </w:r>
      <w:r>
        <w:rPr>
          <w:rFonts w:ascii="Arial" w:eastAsia="Arial" w:hAnsi="Arial" w:cs="Arial"/>
          <w:color w:val="000000"/>
          <w:sz w:val="20"/>
        </w:rPr>
        <w:t xml:space="preserve"> § 441.301(c)(4)(i); (2) "[o]ptimize[], but . . . not regiment, individual initiative, autonomy, and independence in making life choices," </w:t>
      </w:r>
      <w:r>
        <w:rPr>
          <w:rFonts w:ascii="Arial" w:eastAsia="Arial" w:hAnsi="Arial" w:cs="Arial"/>
          <w:i/>
          <w:color w:val="000000"/>
          <w:sz w:val="20"/>
        </w:rPr>
        <w:t>id.</w:t>
      </w:r>
      <w:r>
        <w:rPr>
          <w:rFonts w:ascii="Arial" w:eastAsia="Arial" w:hAnsi="Arial" w:cs="Arial"/>
          <w:color w:val="000000"/>
          <w:sz w:val="20"/>
        </w:rPr>
        <w:t xml:space="preserve"> § 441.301(c)(4)(iv); and (3) "[f]acilitate[] individual choice regarding services and supports, and who provides them," </w:t>
      </w:r>
      <w:r>
        <w:rPr>
          <w:rFonts w:ascii="Arial" w:eastAsia="Arial" w:hAnsi="Arial" w:cs="Arial"/>
          <w:i/>
          <w:color w:val="000000"/>
          <w:sz w:val="20"/>
        </w:rPr>
        <w:t>id.</w:t>
      </w:r>
      <w:r>
        <w:rPr>
          <w:rFonts w:ascii="Arial" w:eastAsia="Arial" w:hAnsi="Arial" w:cs="Arial"/>
          <w:color w:val="000000"/>
          <w:sz w:val="20"/>
        </w:rPr>
        <w:t xml:space="preserve"> § 441.301(c)(4)(v). Plaintiffs' amended complaint  [***31]  addressed each of these requirements and contended that, by permitting alteration of the budget methodology, [**52]   [*456]  Defendant Gordon failed to ensure that they were met.</w:t>
      </w:r>
    </w:p>
    <w:p w14:paraId="36BCC0B4" w14:textId="77777777" w:rsidR="002B10A6" w:rsidRDefault="00000000">
      <w:pPr>
        <w:pStyle w:val="Normal22"/>
        <w:widowControl w:val="0"/>
        <w:spacing w:before="200" w:line="260" w:lineRule="atLeast"/>
        <w:jc w:val="both"/>
      </w:pPr>
      <w:bookmarkStart w:id="3929" w:name="Bookmark_para_70_1"/>
      <w:bookmarkEnd w:id="3929"/>
      <w:r>
        <w:rPr>
          <w:rFonts w:ascii="Arial" w:eastAsia="Arial" w:hAnsi="Arial" w:cs="Arial"/>
          <w:color w:val="000000"/>
          <w:sz w:val="20"/>
        </w:rPr>
        <w:t xml:space="preserve">The district court dismissed Plaintiffs' § 1396n(c)(2)(A) claim because Defendant Gordon has a "responsibility to set the appropriate budget." (Dist. Ct. Op., R. 164 at PageID ##4373-74.) But this does not provide grounds for dismissal. Indeed, Plaintiffs agree that Defendant Gordon has that responsibility. Their point is that he "is not exercising that responsibility and that the budgets set . . . are not, in fact, 'appropriate.'" (Pls.' Br. at 49.) It is readily apparent that, if Plaintiffs' claims are proven, allowing the implementation of a flawed budget methodology that results in underfunding of Plaintiffs' IPOSs might not allow Plaintiffs to receive the "same degree of access as individuals not receiving Medicaid HCBS," optimize their individual autonomy, or facilitate their individual choice. </w:t>
      </w:r>
      <w:r>
        <w:rPr>
          <w:rFonts w:ascii="Arial" w:eastAsia="Arial" w:hAnsi="Arial" w:cs="Arial"/>
          <w:i/>
          <w:color w:val="000000"/>
          <w:sz w:val="20"/>
        </w:rPr>
        <w:t>See</w:t>
      </w:r>
      <w:r>
        <w:rPr>
          <w:rFonts w:ascii="Arial" w:eastAsia="Arial" w:hAnsi="Arial" w:cs="Arial"/>
          <w:color w:val="000000"/>
          <w:sz w:val="20"/>
        </w:rPr>
        <w:t xml:space="preserve"> 42 C.F.R. § 441.301(c)(4). If Plaintiffs are able to show that they are compelled to use agency providers in order to maintain their budgets, this may demonstrate that the budget methodology does not allow them sufficient choice among providers. </w:t>
      </w:r>
      <w:r>
        <w:rPr>
          <w:rFonts w:ascii="Arial" w:eastAsia="Arial" w:hAnsi="Arial" w:cs="Arial"/>
          <w:i/>
          <w:color w:val="000000"/>
          <w:sz w:val="20"/>
        </w:rPr>
        <w:t>Id.</w:t>
      </w:r>
      <w:r>
        <w:rPr>
          <w:rFonts w:ascii="Arial" w:eastAsia="Arial" w:hAnsi="Arial" w:cs="Arial"/>
          <w:color w:val="000000"/>
          <w:sz w:val="20"/>
        </w:rPr>
        <w:t xml:space="preserve"> § 441.301(c)(4)(v). While Defendant Gordon may be able to show for the purposes of summary judgment or at trial that the current methodology [**53]  achieves these goals as best possible, Plaintiffs' current allegations suffice to state a claim that he has not.</w:t>
      </w:r>
    </w:p>
    <w:p w14:paraId="02398778" w14:textId="77777777" w:rsidR="002B10A6" w:rsidRDefault="00000000">
      <w:pPr>
        <w:pStyle w:val="Normal22"/>
        <w:widowControl w:val="0"/>
        <w:spacing w:before="200" w:line="260" w:lineRule="atLeast"/>
        <w:jc w:val="both"/>
      </w:pPr>
      <w:bookmarkStart w:id="3930" w:name="Bookmark_para_71_1"/>
      <w:bookmarkStart w:id="3931" w:name="Bookmark_I69C4521RJM0000624M0001R"/>
      <w:bookmarkStart w:id="3932" w:name="Bookmark_I61CDHY12N1PSB0050000400"/>
      <w:bookmarkStart w:id="3933" w:name="Bookmark_LNHNREFclscc28"/>
      <w:bookmarkEnd w:id="3930"/>
      <w:bookmarkEnd w:id="3931"/>
      <w:bookmarkEnd w:id="3932"/>
      <w:bookmarkEnd w:id="3933"/>
      <w:r>
        <w:rPr>
          <w:rFonts w:ascii="Arial" w:eastAsia="Arial" w:hAnsi="Arial" w:cs="Arial"/>
          <w:color w:val="000000"/>
          <w:sz w:val="20"/>
        </w:rPr>
        <w:t xml:space="preserve">Turning to § 1396n(c)(2)(C), we agree with the Ninth Circuit that this provision confers "two explicitly identified rights—(a) the right to be informed of the alternatives to traditional, long-term institutional care, and (b) the right to choose among those alternatives." </w:t>
      </w:r>
      <w:bookmarkStart w:id="3934" w:name="Bookmark_I61CDHY12N1PSB0040000400"/>
      <w:bookmarkEnd w:id="3934"/>
      <w:r>
        <w:rPr>
          <w:rFonts w:ascii="Arial" w:eastAsia="Arial" w:hAnsi="Arial" w:cs="Arial"/>
          <w:i/>
          <w:color w:val="000000"/>
          <w:sz w:val="20"/>
        </w:rPr>
        <w:t>Rodgers</w:t>
      </w:r>
      <w:r>
        <w:rPr>
          <w:rFonts w:ascii="Arial" w:eastAsia="Arial" w:hAnsi="Arial" w:cs="Arial"/>
          <w:color w:val="000000"/>
          <w:sz w:val="20"/>
        </w:rPr>
        <w:t xml:space="preserve">, 492 F.3d at 1107. Regulations interpreting this provision also confirm that the State must ensure beneficiaries are "[g]iven the choice of either institutional or home and community-based services." 42 C.F.R. § 441.302(d)(2). </w:t>
      </w:r>
      <w:bookmarkStart w:id="3935" w:name="Bookmark_I61CDHY128T4K10020000400"/>
      <w:bookmarkEnd w:id="3935"/>
      <w:r>
        <w:rPr>
          <w:rFonts w:ascii="Arial" w:eastAsia="Arial" w:hAnsi="Arial" w:cs="Arial"/>
          <w:color w:val="000000"/>
          <w:sz w:val="20"/>
        </w:rPr>
        <w:t xml:space="preserve">Plaintiffs do not dispute that they were informed of their alternatives, but instead argue that they were not provided a meaningful right to choose because the current budget methodology means that if they opt for home-based services, they are "effectively homebound, unable to get out into the community and unable to receive necessary care, services, and support." (Am. Compl., R. 146 at PageID ##3795-96.) </w:t>
      </w:r>
      <w:bookmarkStart w:id="3936" w:name="Bookmark_I61CDHY128T4K10020000400_2"/>
      <w:bookmarkEnd w:id="3936"/>
      <w:r>
        <w:rPr>
          <w:rFonts w:ascii="Arial" w:eastAsia="Arial" w:hAnsi="Arial" w:cs="Arial"/>
          <w:color w:val="000000"/>
          <w:sz w:val="20"/>
        </w:rPr>
        <w:t xml:space="preserve">In essence, Plaintiffs argue that in order to receive their medically necessary supports, they are compelled to choose institutionalized care. And indeed, should Defendants' budget methodology preclude Plaintiffs from receiving necessary [**54]  services, this would effectively destroy the choice Defendant Gordon  [***32]  must ensure exists under § 1396n(c)(2)(C). </w:t>
      </w:r>
      <w:r>
        <w:rPr>
          <w:rFonts w:ascii="Arial" w:eastAsia="Arial" w:hAnsi="Arial" w:cs="Arial"/>
          <w:i/>
          <w:color w:val="000000"/>
          <w:sz w:val="20"/>
        </w:rPr>
        <w:t xml:space="preserve">See, e.g., </w:t>
      </w:r>
      <w:bookmarkStart w:id="3937" w:name="Bookmark_I61CDHY128T4K10010000400"/>
      <w:bookmarkEnd w:id="3937"/>
      <w:r>
        <w:rPr>
          <w:rFonts w:ascii="Arial" w:eastAsia="Arial" w:hAnsi="Arial" w:cs="Arial"/>
          <w:i/>
          <w:color w:val="000000"/>
          <w:sz w:val="20"/>
        </w:rPr>
        <w:t>Cramer v. Chiles</w:t>
      </w:r>
      <w:r>
        <w:rPr>
          <w:rFonts w:ascii="Arial" w:eastAsia="Arial" w:hAnsi="Arial" w:cs="Arial"/>
          <w:color w:val="000000"/>
          <w:sz w:val="20"/>
        </w:rPr>
        <w:t>, 33 F. Supp. 2d 1342, 1353 (S.D. Fla. 1999) ("Underfunding of the Home and Community-Based Waiver program compels institutionalization, thus negating a meaningful choice.").</w:t>
      </w:r>
    </w:p>
    <w:p w14:paraId="740EC468" w14:textId="77777777" w:rsidR="002B10A6" w:rsidRDefault="00000000">
      <w:pPr>
        <w:pStyle w:val="Normal22"/>
        <w:widowControl w:val="0"/>
        <w:spacing w:before="200" w:line="260" w:lineRule="atLeast"/>
        <w:jc w:val="both"/>
      </w:pPr>
      <w:bookmarkStart w:id="3938" w:name="Bookmark_para_72_1"/>
      <w:bookmarkEnd w:id="3938"/>
      <w:r>
        <w:rPr>
          <w:rFonts w:ascii="Arial" w:eastAsia="Arial" w:hAnsi="Arial" w:cs="Arial"/>
          <w:color w:val="000000"/>
          <w:sz w:val="20"/>
        </w:rPr>
        <w:t>The district court dismissed Plaintiffs' § 1396n(c)(2)(C) claim because they did not show that they are "effectively homebound," and because they purportedly could secure more funding to implement their IPOS through the PCP process. (Dist. Ct. Op., R. 164 at PageID ##4374-75.) Neither is an adequate reason to dismiss Plaintiffs' claims. In finding that Plaintiffs did not sufficiently allege that they were "effectively homebound" and that they could increase their budgets for medically necessary services through the PCP process, the district court again disregarded well-pleaded allegations in Plaintiffs' complaint. The complaint not only alleged that Plaintiff Waskul "goes three weekdays (Monday through Wednesday) without his normal community routine and is confined to his home on those days," but also that Plaintiff Wiesner has not been sufficiently able to "get into the community  [*457]  during the [service] hours that are currently provided" due to his inability to hire [**55]  additional staff. (Am. Compl., R. 146 at PageID ##3753, 3766.) As previously discussed, Plaintiffs' pleadings also suggest that the PCP process cannot remedy this budget issue.</w:t>
      </w:r>
    </w:p>
    <w:p w14:paraId="7591C45D" w14:textId="77777777" w:rsidR="002B10A6" w:rsidRDefault="00000000">
      <w:pPr>
        <w:pStyle w:val="Normal22"/>
        <w:widowControl w:val="0"/>
        <w:spacing w:before="200" w:line="260" w:lineRule="atLeast"/>
        <w:jc w:val="both"/>
      </w:pPr>
      <w:bookmarkStart w:id="3939" w:name="Bookmark_para_73_0"/>
      <w:bookmarkEnd w:id="3939"/>
      <w:r>
        <w:rPr>
          <w:rFonts w:ascii="Arial" w:eastAsia="Arial" w:hAnsi="Arial" w:cs="Arial"/>
          <w:color w:val="000000"/>
          <w:sz w:val="20"/>
        </w:rPr>
        <w:t xml:space="preserve">Defendant Gordon contends that this provision does not require the State to ensure that Plaintiffs have "meaningful" alternatives to institutionalized care. (State Defs.' Br. at 39.) </w:t>
      </w:r>
      <w:bookmarkStart w:id="3940" w:name="Bookmark_I61CDHY128T4K10040000400"/>
      <w:bookmarkEnd w:id="3940"/>
      <w:r>
        <w:rPr>
          <w:rFonts w:ascii="Arial" w:eastAsia="Arial" w:hAnsi="Arial" w:cs="Arial"/>
          <w:color w:val="000000"/>
          <w:sz w:val="20"/>
        </w:rPr>
        <w:t xml:space="preserve">We disagree. An alternative in name only is no alternative, and if this provision has any purpose at all, it is to ensure that Plaintiffs have access to meaningful alternatives. </w:t>
      </w:r>
      <w:bookmarkStart w:id="3941" w:name="Bookmark_I61CDHY12SF86N0050000400"/>
      <w:bookmarkStart w:id="3942" w:name="Bookmark_LNHNREFclscc29"/>
      <w:bookmarkEnd w:id="3941"/>
      <w:bookmarkEnd w:id="3942"/>
      <w:r>
        <w:rPr>
          <w:rFonts w:ascii="Arial" w:eastAsia="Arial" w:hAnsi="Arial" w:cs="Arial"/>
          <w:color w:val="000000"/>
          <w:sz w:val="20"/>
        </w:rPr>
        <w:t xml:space="preserve">Accordingly, courts regularly interpret this provision to require "meaningful choice." </w:t>
      </w:r>
      <w:r>
        <w:rPr>
          <w:rFonts w:ascii="Arial" w:eastAsia="Arial" w:hAnsi="Arial" w:cs="Arial"/>
          <w:i/>
          <w:color w:val="000000"/>
          <w:sz w:val="20"/>
        </w:rPr>
        <w:t xml:space="preserve">See, e.g., </w:t>
      </w:r>
      <w:bookmarkStart w:id="3943" w:name="Bookmark_I61CDHY128T4K10030000400"/>
      <w:bookmarkEnd w:id="3943"/>
      <w:r>
        <w:rPr>
          <w:rFonts w:ascii="Arial" w:eastAsia="Arial" w:hAnsi="Arial" w:cs="Arial"/>
          <w:i/>
          <w:color w:val="000000"/>
          <w:sz w:val="20"/>
        </w:rPr>
        <w:t>Ball v. Kasich</w:t>
      </w:r>
      <w:r>
        <w:rPr>
          <w:rFonts w:ascii="Arial" w:eastAsia="Arial" w:hAnsi="Arial" w:cs="Arial"/>
          <w:color w:val="000000"/>
          <w:sz w:val="20"/>
        </w:rPr>
        <w:t xml:space="preserve">, 244 F. Supp. 3d 662, 685 (S.D. Ohio 2017); </w:t>
      </w:r>
      <w:bookmarkStart w:id="3944" w:name="Bookmark_I61CDHY128T4K10050000400"/>
      <w:bookmarkEnd w:id="3944"/>
      <w:r>
        <w:rPr>
          <w:rFonts w:ascii="Arial" w:eastAsia="Arial" w:hAnsi="Arial" w:cs="Arial"/>
          <w:i/>
          <w:color w:val="000000"/>
          <w:sz w:val="20"/>
        </w:rPr>
        <w:t>Boulet v. Cellucci</w:t>
      </w:r>
      <w:r>
        <w:rPr>
          <w:rFonts w:ascii="Arial" w:eastAsia="Arial" w:hAnsi="Arial" w:cs="Arial"/>
          <w:color w:val="000000"/>
          <w:sz w:val="20"/>
        </w:rPr>
        <w:t xml:space="preserve">, 107 F. Supp. 2d 61, 77 (D. Mass. 2000); </w:t>
      </w:r>
      <w:r>
        <w:rPr>
          <w:rFonts w:ascii="Arial" w:eastAsia="Arial" w:hAnsi="Arial" w:cs="Arial"/>
          <w:i/>
          <w:color w:val="000000"/>
          <w:sz w:val="20"/>
        </w:rPr>
        <w:t xml:space="preserve">see also </w:t>
      </w:r>
      <w:bookmarkStart w:id="3945" w:name="Bookmark_I61CDHY12SF86N0020000400"/>
      <w:bookmarkEnd w:id="3945"/>
      <w:r>
        <w:rPr>
          <w:rFonts w:ascii="Arial" w:eastAsia="Arial" w:hAnsi="Arial" w:cs="Arial"/>
          <w:i/>
          <w:color w:val="000000"/>
          <w:sz w:val="20"/>
        </w:rPr>
        <w:t>Cramer</w:t>
      </w:r>
      <w:r>
        <w:rPr>
          <w:rFonts w:ascii="Arial" w:eastAsia="Arial" w:hAnsi="Arial" w:cs="Arial"/>
          <w:color w:val="000000"/>
          <w:sz w:val="20"/>
        </w:rPr>
        <w:t xml:space="preserve">, 33 F. Supp. 2d at 1352-53 (stating that plaintiffs were provided "no real choice"). </w:t>
      </w:r>
      <w:bookmarkStart w:id="3946" w:name="Bookmark_I61CDHY12SF86N0050000400_2"/>
      <w:bookmarkEnd w:id="3946"/>
      <w:r>
        <w:rPr>
          <w:rFonts w:ascii="Arial" w:eastAsia="Arial" w:hAnsi="Arial" w:cs="Arial"/>
          <w:color w:val="000000"/>
          <w:sz w:val="20"/>
        </w:rPr>
        <w:t xml:space="preserve">A "meaningful choice" is one that is actually available and that fulfills individuals' medical needs. </w:t>
      </w:r>
      <w:r>
        <w:rPr>
          <w:rFonts w:ascii="Arial" w:eastAsia="Arial" w:hAnsi="Arial" w:cs="Arial"/>
          <w:i/>
          <w:color w:val="000000"/>
          <w:sz w:val="20"/>
        </w:rPr>
        <w:t xml:space="preserve">See, e.g., </w:t>
      </w:r>
      <w:bookmarkStart w:id="3947" w:name="Bookmark_I61CDHY12SF86N0040000400"/>
      <w:bookmarkEnd w:id="3947"/>
      <w:r>
        <w:rPr>
          <w:rFonts w:ascii="Arial" w:eastAsia="Arial" w:hAnsi="Arial" w:cs="Arial"/>
          <w:i/>
          <w:color w:val="000000"/>
          <w:sz w:val="20"/>
        </w:rPr>
        <w:t>Kasich</w:t>
      </w:r>
      <w:r>
        <w:rPr>
          <w:rFonts w:ascii="Arial" w:eastAsia="Arial" w:hAnsi="Arial" w:cs="Arial"/>
          <w:color w:val="000000"/>
          <w:sz w:val="20"/>
        </w:rPr>
        <w:t xml:space="preserve">, 244 F. Supp. 3d at 685 (finding that the plaintiffs had stated a claim that they were not afforded a meaningful choice when they had been on a waiting list for at-home services for decades); </w:t>
      </w:r>
      <w:bookmarkStart w:id="3948" w:name="Bookmark_I61CDHY22HM6DW0010000400"/>
      <w:bookmarkEnd w:id="3948"/>
      <w:r>
        <w:rPr>
          <w:rFonts w:ascii="Arial" w:eastAsia="Arial" w:hAnsi="Arial" w:cs="Arial"/>
          <w:i/>
          <w:color w:val="000000"/>
          <w:sz w:val="20"/>
        </w:rPr>
        <w:t>Boulet</w:t>
      </w:r>
      <w:r>
        <w:rPr>
          <w:rFonts w:ascii="Arial" w:eastAsia="Arial" w:hAnsi="Arial" w:cs="Arial"/>
          <w:color w:val="000000"/>
          <w:sz w:val="20"/>
        </w:rPr>
        <w:t xml:space="preserve">, 107 F. Supp. 2d at 77 (concluding that "an option which may not meet an individual's needs [does not] constitute[] a meaningful choice as contemplated by § 1396n(c)(2)"); </w:t>
      </w:r>
      <w:bookmarkStart w:id="3949" w:name="Bookmark_I61CDHY22HM6DW0030000400"/>
      <w:bookmarkEnd w:id="3949"/>
      <w:r>
        <w:rPr>
          <w:rFonts w:ascii="Arial" w:eastAsia="Arial" w:hAnsi="Arial" w:cs="Arial"/>
          <w:i/>
          <w:color w:val="000000"/>
          <w:sz w:val="20"/>
        </w:rPr>
        <w:t>Cramer</w:t>
      </w:r>
      <w:r>
        <w:rPr>
          <w:rFonts w:ascii="Arial" w:eastAsia="Arial" w:hAnsi="Arial" w:cs="Arial"/>
          <w:color w:val="000000"/>
          <w:sz w:val="20"/>
        </w:rPr>
        <w:t>, 33 F. Supp. 2d at 1352-53 (finding a violation of the statute where  [***33]  individuals must choose between [**56]  "(1) a Home and Community-Based Waiver option which gives no assurance that the supports and services will meet individuals['] needs, and (2) a hope for a future [institutionalized care facility] placement" because the system "effectively eliminat[es] a choice"). By alleging that the current budget methodology prevents them from receiving medically necessary services at home, then, Plaintiffs have plausibly alleged that they have been deprived of a choice between institutionalized and at-home care, in violation of § 1396n(c)(2)(C).</w:t>
      </w:r>
    </w:p>
    <w:p w14:paraId="74271AFE" w14:textId="77777777" w:rsidR="002B10A6" w:rsidRDefault="00000000">
      <w:pPr>
        <w:pStyle w:val="Normal22"/>
        <w:widowControl w:val="0"/>
        <w:spacing w:before="200" w:line="260" w:lineRule="atLeast"/>
        <w:jc w:val="both"/>
      </w:pPr>
      <w:bookmarkStart w:id="3950" w:name="Bookmark_para_74_0"/>
      <w:bookmarkStart w:id="3951" w:name="Bookmark_LNHNREFclscc30"/>
      <w:bookmarkEnd w:id="3950"/>
      <w:bookmarkEnd w:id="3951"/>
      <w:r>
        <w:rPr>
          <w:rFonts w:ascii="Arial" w:eastAsia="Arial" w:hAnsi="Arial" w:cs="Arial"/>
          <w:color w:val="000000"/>
          <w:sz w:val="20"/>
        </w:rPr>
        <w:t xml:space="preserve">As a last point, § 1396n(c)(2)(C) only requires states to ensure that individuals are offered "feasible alternatives" available "under [the] waiver." But Plaintiffs' pleadings suggest that it may be feasible for them to receive additional services through a better funding methodology—specifically, they note that the CLS rate, as of April 2015, was "17.4% lower than the </w:t>
      </w:r>
      <w:r>
        <w:rPr>
          <w:rFonts w:ascii="Arial" w:eastAsia="Arial" w:hAnsi="Arial" w:cs="Arial"/>
          <w:i/>
          <w:color w:val="000000"/>
          <w:sz w:val="20"/>
        </w:rPr>
        <w:t>lowest</w:t>
      </w:r>
      <w:r>
        <w:rPr>
          <w:rFonts w:ascii="Arial" w:eastAsia="Arial" w:hAnsi="Arial" w:cs="Arial"/>
          <w:color w:val="000000"/>
          <w:sz w:val="20"/>
        </w:rPr>
        <w:t xml:space="preserve"> average rate the State had told the federal government it expected to pay, and fully </w:t>
      </w:r>
      <w:r>
        <w:rPr>
          <w:rFonts w:ascii="Arial" w:eastAsia="Arial" w:hAnsi="Arial" w:cs="Arial"/>
          <w:i/>
          <w:color w:val="000000"/>
          <w:sz w:val="20"/>
        </w:rPr>
        <w:t>31.3% lower</w:t>
      </w:r>
      <w:r>
        <w:rPr>
          <w:rFonts w:ascii="Arial" w:eastAsia="Arial" w:hAnsi="Arial" w:cs="Arial"/>
          <w:color w:val="000000"/>
          <w:sz w:val="20"/>
        </w:rPr>
        <w:t xml:space="preserve"> than the rate that the State had said it expected to pay in 2014, the then-most-recent year of the Habilitation Supports Waiver." (Am. Compl., R. 146 at PageID #3734.) This plausibly alleges that it was feasible for Defendants [**57]  to enact a budget methodology that ensured a higher rate than was ultimately implemented. Of course, Defendant Gordon may later show that this alternative is not, in fact, feasible, for funding or other reasons. But at this point, Plaintiffs have sufficiently alleged that feasible alternatives that provide them a meaningful choice between institutionalized and at-home or community-based care exist and are not being ensured by Defendant Gordon, in violation of § 1396n(c)(2)(C). Accordingly, we reverse the district court's dismissal of Plaintiffs' claims under § 1396n.</w:t>
      </w:r>
    </w:p>
    <w:p w14:paraId="1B43822E" w14:textId="77777777" w:rsidR="002B10A6" w:rsidRDefault="00000000">
      <w:pPr>
        <w:pStyle w:val="Normal22"/>
        <w:widowControl w:val="0"/>
        <w:spacing w:before="240" w:line="260" w:lineRule="atLeast"/>
      </w:pPr>
      <w:r>
        <w:br/>
      </w:r>
      <w:r>
        <w:rPr>
          <w:rFonts w:ascii="Arial" w:eastAsia="Arial" w:hAnsi="Arial" w:cs="Arial"/>
          <w:b/>
          <w:color w:val="000000"/>
          <w:sz w:val="20"/>
        </w:rPr>
        <w:t>III. Third-Party Beneficiary Claim</w:t>
      </w:r>
    </w:p>
    <w:p w14:paraId="07E5D497" w14:textId="77777777" w:rsidR="002B10A6" w:rsidRDefault="00000000">
      <w:pPr>
        <w:pStyle w:val="Normal22"/>
        <w:widowControl w:val="0"/>
        <w:spacing w:before="200" w:line="260" w:lineRule="atLeast"/>
        <w:jc w:val="both"/>
      </w:pPr>
      <w:bookmarkStart w:id="3952" w:name="Bookmark_para_75_0"/>
      <w:bookmarkEnd w:id="3952"/>
      <w:r>
        <w:rPr>
          <w:rFonts w:ascii="Arial" w:eastAsia="Arial" w:hAnsi="Arial" w:cs="Arial"/>
          <w:color w:val="000000"/>
          <w:sz w:val="20"/>
        </w:rPr>
        <w:t>Plaintiffs next argue that Defendants Gordon, Terwilliger, and CMHPSM breached the terms of the Waiver and the Department-CMHPSM contract implementing the Waiver by failing to ensure that participants' budgets are "sufficient to implement the IPOS" and are developed "by costing out the services and supports  [*458]  using the rates for providers chosen by the participant and the number of hours authorized by the IPOS." (Am. Compl., R. 146 at PageID ##3801, 3803 (quoting Waiver at 125, 134).) Defendants argue that Plaintiffs cannot assert this claim as third-party beneficiaries because they do not have a private right of action under the [**58]  statute  [***34]  underlying the Waiver and contract, because "the relevant waiver language does not support Plaintiffs' claim," and because Plaintiffs did not show that Defendants' conduct led to them being denied any required services. The district court dismissed this claim, concluding that "Plaintiffs concede . . . that this claim is inseparable from their statutory claims" and that, because those claims failed, this one must also fail. (Dist. Ct. Op., R. 164 at PageID #4378 (citing Pls.' Oral Arg. Ps., R. 153-1 at PageID #4220).) That conclusion is unjustified; accordingly, we reverse the district court's decision.</w:t>
      </w:r>
    </w:p>
    <w:p w14:paraId="171948F9" w14:textId="77777777" w:rsidR="002B10A6" w:rsidRDefault="00000000">
      <w:pPr>
        <w:pStyle w:val="Normal22"/>
        <w:widowControl w:val="0"/>
        <w:spacing w:before="200" w:line="260" w:lineRule="atLeast"/>
        <w:jc w:val="both"/>
      </w:pPr>
      <w:bookmarkStart w:id="3953" w:name="Bookmark_para_76_0"/>
      <w:bookmarkEnd w:id="3953"/>
      <w:r>
        <w:rPr>
          <w:rFonts w:ascii="Arial" w:eastAsia="Arial" w:hAnsi="Arial" w:cs="Arial"/>
          <w:color w:val="000000"/>
          <w:sz w:val="20"/>
        </w:rPr>
        <w:t xml:space="preserve">The district court reasoned that Plaintiffs had conceded that their third-party beneficiary claim was inseparable from their statutory claims based on Plaintiffs' argument that the court should exercise supplemental jurisdiction over their third-party beneficiary claim because the Waiver and Department-CMHPSM contract "are central to every claim in this action" and would be impossible to separate into different suits in state and federal court. (Pls.' Oral Arg. Ps., R. 153-1 at PageID #4220.) But this argument does not concede that Plaintiffs' statutory and third-party beneficiary [**59]  claims must necessarily rise and fall together. Instead, Plaintiffs simply assert that the third-party beneficiary claim is "so related to claims" over which the district court had original jurisdiction "that they form part of the same case or controversy under Article III." 28 U.S.C. § 1367(a). </w:t>
      </w:r>
      <w:bookmarkStart w:id="3954" w:name="Bookmark_LNHNREFclscc31"/>
      <w:bookmarkEnd w:id="3954"/>
      <w:r>
        <w:rPr>
          <w:rFonts w:ascii="Arial" w:eastAsia="Arial" w:hAnsi="Arial" w:cs="Arial"/>
          <w:color w:val="000000"/>
          <w:sz w:val="20"/>
        </w:rPr>
        <w:t>The simple fact that claims are part of the same case or controversy does not mean that they are dependent upon one another. Thus, the district court erred in dismissing these claims on that basis.</w:t>
      </w:r>
    </w:p>
    <w:p w14:paraId="40114110" w14:textId="77777777" w:rsidR="002B10A6" w:rsidRDefault="00000000">
      <w:pPr>
        <w:pStyle w:val="Normal22"/>
        <w:widowControl w:val="0"/>
        <w:spacing w:before="200" w:line="260" w:lineRule="atLeast"/>
        <w:jc w:val="both"/>
      </w:pPr>
      <w:bookmarkStart w:id="3955" w:name="Bookmark_para_77_0"/>
      <w:bookmarkStart w:id="3956" w:name="Bookmark_I61CDHY22D6P0V0010000400"/>
      <w:bookmarkEnd w:id="3955"/>
      <w:bookmarkEnd w:id="3956"/>
      <w:r>
        <w:rPr>
          <w:rFonts w:ascii="Arial" w:eastAsia="Arial" w:hAnsi="Arial" w:cs="Arial"/>
          <w:color w:val="000000"/>
          <w:sz w:val="20"/>
        </w:rPr>
        <w:t xml:space="preserve">We could alternatively read the district court's decision as declining to exercise supplemental jurisdiction over these claims based on its dismissal of Plaintiffs' federal law claims. </w:t>
      </w:r>
      <w:r>
        <w:rPr>
          <w:rFonts w:ascii="Arial" w:eastAsia="Arial" w:hAnsi="Arial" w:cs="Arial"/>
          <w:i/>
          <w:color w:val="000000"/>
          <w:sz w:val="20"/>
        </w:rPr>
        <w:t xml:space="preserve">See </w:t>
      </w:r>
      <w:bookmarkStart w:id="3957" w:name="Bookmark_I61CDHY22HM6DW0050000400"/>
      <w:bookmarkEnd w:id="3957"/>
      <w:r>
        <w:rPr>
          <w:rFonts w:ascii="Arial" w:eastAsia="Arial" w:hAnsi="Arial" w:cs="Arial"/>
          <w:i/>
          <w:color w:val="000000"/>
          <w:sz w:val="20"/>
        </w:rPr>
        <w:t>United Mine Workers of Am. v. Gibbs</w:t>
      </w:r>
      <w:r>
        <w:rPr>
          <w:rFonts w:ascii="Arial" w:eastAsia="Arial" w:hAnsi="Arial" w:cs="Arial"/>
          <w:color w:val="000000"/>
          <w:sz w:val="20"/>
        </w:rPr>
        <w:t>, 383 U.S. 715, 726-27, 86 S. Ct. 1130, 16 L. Ed. 2d 218 (1966). But if that was the basis for its dismissal, this decision is no longer justified, given that many of those federal law claims were improperly dismissed.</w:t>
      </w:r>
    </w:p>
    <w:p w14:paraId="70F9DD06" w14:textId="77777777" w:rsidR="002B10A6" w:rsidRDefault="00000000">
      <w:pPr>
        <w:pStyle w:val="Normal22"/>
        <w:widowControl w:val="0"/>
        <w:spacing w:before="200" w:line="260" w:lineRule="atLeast"/>
        <w:jc w:val="both"/>
      </w:pPr>
      <w:bookmarkStart w:id="3958" w:name="Bookmark_para_78_0"/>
      <w:bookmarkStart w:id="3959" w:name="Bookmark_I69C4521SY70000624M0001S"/>
      <w:bookmarkStart w:id="3960" w:name="Bookmark_I69C4521VDD0000624M0001T"/>
      <w:bookmarkStart w:id="3961" w:name="Bookmark_I61CDHY22D6P0V0030000400"/>
      <w:bookmarkEnd w:id="3958"/>
      <w:bookmarkEnd w:id="3959"/>
      <w:bookmarkEnd w:id="3960"/>
      <w:bookmarkEnd w:id="3961"/>
      <w:r>
        <w:rPr>
          <w:rFonts w:ascii="Arial" w:eastAsia="Arial" w:hAnsi="Arial" w:cs="Arial"/>
          <w:color w:val="000000"/>
          <w:sz w:val="20"/>
        </w:rPr>
        <w:t xml:space="preserve">Notably, the district court did not reach the merits of this claim. </w:t>
      </w:r>
      <w:bookmarkStart w:id="3962" w:name="Bookmark_LNHNREFclscc32"/>
      <w:bookmarkEnd w:id="3962"/>
      <w:r>
        <w:rPr>
          <w:rFonts w:ascii="Arial" w:eastAsia="Arial" w:hAnsi="Arial" w:cs="Arial"/>
          <w:color w:val="000000"/>
          <w:sz w:val="20"/>
        </w:rPr>
        <w:t xml:space="preserve">"Absent 'exceptional circumstances,' we normally decline to rule on an issue not decided below." </w:t>
      </w:r>
      <w:bookmarkStart w:id="3963" w:name="Bookmark_I61CDHY22D6P0V0020000400"/>
      <w:bookmarkEnd w:id="3963"/>
      <w:r>
        <w:rPr>
          <w:rFonts w:ascii="Arial" w:eastAsia="Arial" w:hAnsi="Arial" w:cs="Arial"/>
          <w:i/>
          <w:color w:val="000000"/>
          <w:sz w:val="20"/>
        </w:rPr>
        <w:t>Stoudemire v. Mich. Dep't of Corr.</w:t>
      </w:r>
      <w:r>
        <w:rPr>
          <w:rFonts w:ascii="Arial" w:eastAsia="Arial" w:hAnsi="Arial" w:cs="Arial"/>
          <w:color w:val="000000"/>
          <w:sz w:val="20"/>
        </w:rPr>
        <w:t xml:space="preserve">, 705 F.3d 560, 576 (6th Cir. 2013) (quoting </w:t>
      </w:r>
      <w:bookmarkStart w:id="3964" w:name="Bookmark_I61CDHY22D6P0V0040000400"/>
      <w:bookmarkEnd w:id="3964"/>
      <w:r>
        <w:rPr>
          <w:rFonts w:ascii="Arial" w:eastAsia="Arial" w:hAnsi="Arial" w:cs="Arial"/>
          <w:i/>
          <w:color w:val="000000"/>
          <w:sz w:val="20"/>
        </w:rPr>
        <w:t>St. Marys Foundry, Inc. v. Emplrs. Ins. of Wausau</w:t>
      </w:r>
      <w:r>
        <w:rPr>
          <w:rFonts w:ascii="Arial" w:eastAsia="Arial" w:hAnsi="Arial" w:cs="Arial"/>
          <w:color w:val="000000"/>
          <w:sz w:val="20"/>
        </w:rPr>
        <w:t>, 332 F.3d 989, 996 (6th Cir. 2003)). This case presents no exceptional circumstances in this regard and this claim would benefit from further briefing. We therefore  [***35]  reverse and remand to allow the district court to consider the merits of Plaintiffs' [**60]  claim in the first instance.</w:t>
      </w:r>
    </w:p>
    <w:p w14:paraId="3CA123B2" w14:textId="77777777" w:rsidR="002B10A6" w:rsidRDefault="00000000">
      <w:pPr>
        <w:pStyle w:val="Normal22"/>
        <w:widowControl w:val="0"/>
        <w:spacing w:before="240" w:line="260" w:lineRule="atLeast"/>
      </w:pPr>
      <w:r>
        <w:br/>
      </w:r>
      <w:r>
        <w:rPr>
          <w:rFonts w:ascii="Arial" w:eastAsia="Arial" w:hAnsi="Arial" w:cs="Arial"/>
          <w:b/>
          <w:color w:val="000000"/>
          <w:sz w:val="20"/>
        </w:rPr>
        <w:t>IV. ADA and Rehabilitation Act Claims</w:t>
      </w:r>
    </w:p>
    <w:p w14:paraId="0CE32887" w14:textId="77777777" w:rsidR="002B10A6" w:rsidRDefault="00000000">
      <w:pPr>
        <w:pStyle w:val="Normal22"/>
        <w:widowControl w:val="0"/>
        <w:spacing w:before="200" w:line="260" w:lineRule="atLeast"/>
        <w:jc w:val="both"/>
      </w:pPr>
      <w:bookmarkStart w:id="3965" w:name="Bookmark_para_79_0"/>
      <w:bookmarkEnd w:id="3965"/>
      <w:r>
        <w:rPr>
          <w:rFonts w:ascii="Arial" w:eastAsia="Arial" w:hAnsi="Arial" w:cs="Arial"/>
          <w:color w:val="000000"/>
          <w:sz w:val="20"/>
        </w:rPr>
        <w:t>In Counts V and VI, Plaintiffs argue that Defendants Gordon, Terwilliger, Cortes, CMHPSM, and WCCMH have violated the "integration mandate" established under the ADA and that all Defendants have violated a mirroring provision of § 504 of the Rehabilitation Act. Defendants generally assert that they did not violate either provision because neither requires them to provide integration to the  [*459]  extent Plaintiffs desire.</w:t>
      </w:r>
      <w:r>
        <w:rPr>
          <w:rFonts w:ascii="Arial" w:eastAsia="Arial" w:hAnsi="Arial" w:cs="Arial"/>
          <w:vertAlign w:val="superscript"/>
        </w:rPr>
        <w:footnoteReference w:customMarkFollows="1" w:id="162"/>
        <w:t>12</w:t>
      </w:r>
      <w:r>
        <w:rPr>
          <w:rFonts w:ascii="Arial" w:eastAsia="Arial" w:hAnsi="Arial" w:cs="Arial"/>
          <w:color w:val="000000"/>
          <w:sz w:val="20"/>
        </w:rPr>
        <w:t xml:space="preserve"> The district court dismissed these claims because Plaintiffs had not sufficiently shown that they were at risk of institutionalization or effectively institutionalized at home and because Plaintiffs' requested relief would require a "fundamental alteration" of Defendants' programs not available under either the ADA or § 504. (Dist. Ct. Op, R. 164 at PageID ##4376-78.) Because Plaintiffs have plausibly stated a claim that they were at serious risk of institutionalization and were unduly isolated in their homes as a result of the change in budget methodology, we reverse the district court's decision.</w:t>
      </w:r>
    </w:p>
    <w:p w14:paraId="019673C0" w14:textId="77777777" w:rsidR="002B10A6" w:rsidRDefault="00000000">
      <w:pPr>
        <w:pStyle w:val="Normal22"/>
        <w:widowControl w:val="0"/>
        <w:spacing w:before="200" w:line="260" w:lineRule="atLeast"/>
        <w:jc w:val="both"/>
      </w:pPr>
      <w:bookmarkStart w:id="3969" w:name="Bookmark_para_80_0"/>
      <w:bookmarkStart w:id="3970" w:name="Bookmark_I61CDHY22D6P0X0040000400"/>
      <w:bookmarkStart w:id="3971" w:name="Bookmark_I61CDHY32N1PSG0010000400"/>
      <w:bookmarkStart w:id="3972" w:name="Bookmark_I61CDHY32N1PSG0030000400"/>
      <w:bookmarkStart w:id="3973" w:name="Bookmark_LNHNREFclscc33"/>
      <w:bookmarkEnd w:id="3969"/>
      <w:bookmarkEnd w:id="3970"/>
      <w:bookmarkEnd w:id="3971"/>
      <w:bookmarkEnd w:id="3972"/>
      <w:bookmarkEnd w:id="3973"/>
      <w:r>
        <w:rPr>
          <w:rFonts w:ascii="Arial" w:eastAsia="Arial" w:hAnsi="Arial" w:cs="Arial"/>
          <w:color w:val="000000"/>
          <w:sz w:val="20"/>
        </w:rPr>
        <w:t xml:space="preserve">Plaintiffs assert that Defendants Gordon, Terwilliger, Cortes, CMHPSM, and WCCMH have violated Title II of the ADA, [**61]  42 U.S.C. § 12132, which establishes that "no qualified individual with a disability shall, by reason of such disability, be excluded from participation in or be denied the benefits of the services, programs, or activities of a public entity, or be subjected to discrimination by any such entity." In </w:t>
      </w:r>
      <w:bookmarkStart w:id="3974" w:name="Bookmark_I61CDHY22D6P0X0030000400"/>
      <w:bookmarkEnd w:id="3974"/>
      <w:r>
        <w:rPr>
          <w:rFonts w:ascii="Arial" w:eastAsia="Arial" w:hAnsi="Arial" w:cs="Arial"/>
          <w:i/>
          <w:color w:val="000000"/>
          <w:sz w:val="20"/>
        </w:rPr>
        <w:t>Olmstead v. L.C. ex rel. Zimring</w:t>
      </w:r>
      <w:r>
        <w:rPr>
          <w:rFonts w:ascii="Arial" w:eastAsia="Arial" w:hAnsi="Arial" w:cs="Arial"/>
          <w:color w:val="000000"/>
          <w:sz w:val="20"/>
        </w:rPr>
        <w:t xml:space="preserve">, 527 U.S. 581, 600, 119 S. Ct. 2176, 144 L. Ed. 2d 540 (1999), the Supreme Court recognized that one form of discrimination prohibited thereunder is "unjustified institutional isolation of persons with disabilities." </w:t>
      </w:r>
      <w:r>
        <w:rPr>
          <w:rFonts w:ascii="Arial" w:eastAsia="Arial" w:hAnsi="Arial" w:cs="Arial"/>
          <w:i/>
          <w:color w:val="000000"/>
          <w:sz w:val="20"/>
        </w:rPr>
        <w:t>See also</w:t>
      </w:r>
      <w:r>
        <w:rPr>
          <w:rFonts w:ascii="Arial" w:eastAsia="Arial" w:hAnsi="Arial" w:cs="Arial"/>
          <w:color w:val="000000"/>
          <w:sz w:val="20"/>
        </w:rPr>
        <w:t xml:space="preserve"> 42 U.S.C. § 12101(a)(2) (stating Congressional finding that "historically, society has tended to isolate and segregate individuals with disabilities, and . . . such forms of discrimination against individuals with disabilities continue to be a serious and pervasive social problem"). Accordingly, to implement  [***36]  § 12132, the Attorney General promulgated a regulation known as the "integration mandate," which provides that public entities "shall administer services, programs, and activities in the most integrated setting appropriate to the needs of qualified individuals with disabilities." 28 C.F.R. § 35.130(d); </w:t>
      </w:r>
      <w:r>
        <w:rPr>
          <w:rFonts w:ascii="Arial" w:eastAsia="Arial" w:hAnsi="Arial" w:cs="Arial"/>
          <w:i/>
          <w:color w:val="000000"/>
          <w:sz w:val="20"/>
        </w:rPr>
        <w:t xml:space="preserve">see also </w:t>
      </w:r>
      <w:bookmarkStart w:id="3975" w:name="Bookmark_I61CDHY22D6P0X0050000400"/>
      <w:bookmarkEnd w:id="3975"/>
      <w:r>
        <w:rPr>
          <w:rFonts w:ascii="Arial" w:eastAsia="Arial" w:hAnsi="Arial" w:cs="Arial"/>
          <w:i/>
          <w:color w:val="000000"/>
          <w:sz w:val="20"/>
        </w:rPr>
        <w:t>Carpenter-Barker v. Ohio Dep't of Medicaid</w:t>
      </w:r>
      <w:r>
        <w:rPr>
          <w:rFonts w:ascii="Arial" w:eastAsia="Arial" w:hAnsi="Arial" w:cs="Arial"/>
          <w:color w:val="000000"/>
          <w:sz w:val="20"/>
        </w:rPr>
        <w:t xml:space="preserve">, 752 F. App'x 215, 219 (6th Cir. 2018). The "most integrated setting" is one "that enables individuals with disabilities to interact with non-disabled persons to the fullest extent possible." </w:t>
      </w:r>
      <w:bookmarkStart w:id="3976" w:name="Bookmark_I61CDHY32N1PSG0020000400"/>
      <w:bookmarkEnd w:id="3976"/>
      <w:r>
        <w:rPr>
          <w:rFonts w:ascii="Arial" w:eastAsia="Arial" w:hAnsi="Arial" w:cs="Arial"/>
          <w:i/>
          <w:color w:val="000000"/>
          <w:sz w:val="20"/>
        </w:rPr>
        <w:t>Olmstead</w:t>
      </w:r>
      <w:r>
        <w:rPr>
          <w:rFonts w:ascii="Arial" w:eastAsia="Arial" w:hAnsi="Arial" w:cs="Arial"/>
          <w:color w:val="000000"/>
          <w:sz w:val="20"/>
        </w:rPr>
        <w:t>, 527 U.S. at 592 (quoting 28 C.F.R. pt. 35, App. A, p. 450 (1998) [**62] ).</w:t>
      </w:r>
    </w:p>
    <w:p w14:paraId="03E342C7" w14:textId="77777777" w:rsidR="002B10A6" w:rsidRDefault="00000000">
      <w:pPr>
        <w:pStyle w:val="Normal22"/>
        <w:widowControl w:val="0"/>
        <w:spacing w:before="200" w:line="260" w:lineRule="atLeast"/>
        <w:jc w:val="both"/>
      </w:pPr>
      <w:bookmarkStart w:id="3977" w:name="Bookmark_para_81_0"/>
      <w:bookmarkStart w:id="3978" w:name="Bookmark_I61CDHY32N1PSG0050000400"/>
      <w:bookmarkEnd w:id="3977"/>
      <w:bookmarkEnd w:id="3978"/>
      <w:r>
        <w:rPr>
          <w:rFonts w:ascii="Arial" w:eastAsia="Arial" w:hAnsi="Arial" w:cs="Arial"/>
          <w:color w:val="000000"/>
          <w:sz w:val="20"/>
        </w:rPr>
        <w:t>Alongside this, Plaintiffs also claim that all Defendants have violated § 504 of the Rehabilitation Act, 29 U.S.C. § 794, which mirrors 42 U.S.C. § 12132 and is interpreted in parallel with it.</w:t>
      </w:r>
      <w:r>
        <w:rPr>
          <w:rFonts w:ascii="Arial" w:eastAsia="Arial" w:hAnsi="Arial" w:cs="Arial"/>
          <w:vertAlign w:val="superscript"/>
        </w:rPr>
        <w:footnoteReference w:customMarkFollows="1" w:id="163"/>
        <w:t>13</w:t>
      </w:r>
      <w:r>
        <w:rPr>
          <w:rFonts w:ascii="Arial" w:eastAsia="Arial" w:hAnsi="Arial" w:cs="Arial"/>
          <w:color w:val="000000"/>
          <w:sz w:val="20"/>
        </w:rPr>
        <w:t xml:space="preserve"> </w:t>
      </w:r>
      <w:r>
        <w:rPr>
          <w:rFonts w:ascii="Arial" w:eastAsia="Arial" w:hAnsi="Arial" w:cs="Arial"/>
          <w:i/>
          <w:color w:val="000000"/>
          <w:sz w:val="20"/>
        </w:rPr>
        <w:t xml:space="preserve">See </w:t>
      </w:r>
      <w:bookmarkStart w:id="3983" w:name="Bookmark_I61CDHY32N1PSG0040000400"/>
      <w:bookmarkEnd w:id="3983"/>
      <w:r>
        <w:rPr>
          <w:rFonts w:ascii="Arial" w:eastAsia="Arial" w:hAnsi="Arial" w:cs="Arial"/>
          <w:i/>
          <w:color w:val="000000"/>
          <w:sz w:val="20"/>
        </w:rPr>
        <w:t>Ability Ctr. of Greater Toledo v. City of Sandusky</w:t>
      </w:r>
      <w:r>
        <w:rPr>
          <w:rFonts w:ascii="Arial" w:eastAsia="Arial" w:hAnsi="Arial" w:cs="Arial"/>
          <w:color w:val="000000"/>
          <w:sz w:val="20"/>
        </w:rPr>
        <w:t xml:space="preserve">, 385 F.3d 901, 908  [*460]  (6th Cir. 2004). </w:t>
      </w:r>
      <w:bookmarkStart w:id="3984" w:name="Bookmark_I61CDHY32SF86T0020000400"/>
      <w:bookmarkStart w:id="3985" w:name="Bookmark_LNHNREFclscc34"/>
      <w:bookmarkEnd w:id="3984"/>
      <w:bookmarkEnd w:id="3985"/>
      <w:r>
        <w:rPr>
          <w:rFonts w:ascii="Arial" w:eastAsia="Arial" w:hAnsi="Arial" w:cs="Arial"/>
          <w:color w:val="000000"/>
          <w:sz w:val="20"/>
        </w:rPr>
        <w:t xml:space="preserve">A regulation promulgated under § 504 similarly establishes that recipients of federal funds "shall administer programs and activities in the most integrated setting appropriate to the needs of qualified handicapped persons." 28 C.F.R. § 41.51(d). Plaintiffs' ADA and § 504 claims are "essentially one claim," and we thus consider them in tandem. </w:t>
      </w:r>
      <w:bookmarkStart w:id="3986" w:name="Bookmark_I61CDHY32SF86T0020000400_2"/>
      <w:bookmarkStart w:id="3987" w:name="Bookmark_I61CDHY32SF86T0010000400"/>
      <w:bookmarkEnd w:id="3986"/>
      <w:bookmarkEnd w:id="3987"/>
      <w:r>
        <w:rPr>
          <w:rFonts w:ascii="Arial" w:eastAsia="Arial" w:hAnsi="Arial" w:cs="Arial"/>
          <w:i/>
          <w:color w:val="000000"/>
          <w:sz w:val="20"/>
        </w:rPr>
        <w:t>Carpenter-Barker</w:t>
      </w:r>
      <w:r>
        <w:rPr>
          <w:rFonts w:ascii="Arial" w:eastAsia="Arial" w:hAnsi="Arial" w:cs="Arial"/>
          <w:color w:val="000000"/>
          <w:sz w:val="20"/>
        </w:rPr>
        <w:t>, 752 F. App'x at 220.</w:t>
      </w:r>
    </w:p>
    <w:p w14:paraId="40857E59" w14:textId="77777777" w:rsidR="002B10A6" w:rsidRDefault="00000000">
      <w:pPr>
        <w:pStyle w:val="Normal22"/>
        <w:widowControl w:val="0"/>
        <w:spacing w:before="200" w:line="260" w:lineRule="atLeast"/>
        <w:jc w:val="both"/>
      </w:pPr>
      <w:bookmarkStart w:id="3988" w:name="Bookmark_para_82_0"/>
      <w:bookmarkStart w:id="3989" w:name="Bookmark_I61CDHY32HM6F10030000400"/>
      <w:bookmarkEnd w:id="3988"/>
      <w:bookmarkEnd w:id="3989"/>
      <w:r>
        <w:rPr>
          <w:rFonts w:ascii="Arial" w:eastAsia="Arial" w:hAnsi="Arial" w:cs="Arial"/>
          <w:color w:val="000000"/>
          <w:sz w:val="20"/>
        </w:rPr>
        <w:t>Plaintiffs argue that Defendants have violated the ADA and § 504 in two distinct manners.</w:t>
      </w:r>
      <w:r>
        <w:rPr>
          <w:rFonts w:ascii="Arial" w:eastAsia="Arial" w:hAnsi="Arial" w:cs="Arial"/>
          <w:vertAlign w:val="superscript"/>
        </w:rPr>
        <w:footnoteReference w:customMarkFollows="1" w:id="164"/>
        <w:t>14</w:t>
      </w:r>
      <w:r>
        <w:rPr>
          <w:rFonts w:ascii="Arial" w:eastAsia="Arial" w:hAnsi="Arial" w:cs="Arial"/>
          <w:color w:val="000000"/>
          <w:sz w:val="20"/>
        </w:rPr>
        <w:t xml:space="preserve"> First, they contend that implementation of the current budget methodology places all of the individual Plaintiffs at serious risk of institutionalization. Second, they assert that this methodology has caused Plaintiffs Waskul and Wiesner to be effectively institutionalized in their own homes. We address each theory in turn.</w:t>
      </w:r>
    </w:p>
    <w:p w14:paraId="5C4CE831" w14:textId="77777777" w:rsidR="002B10A6" w:rsidRDefault="00000000">
      <w:pPr>
        <w:pStyle w:val="Normal22"/>
        <w:widowControl w:val="0"/>
        <w:spacing w:before="200" w:line="260" w:lineRule="atLeast"/>
        <w:jc w:val="both"/>
      </w:pPr>
      <w:bookmarkStart w:id="3993" w:name="Bookmark_para_83_0"/>
      <w:bookmarkStart w:id="3994" w:name="Bookmark_I61CDHY32HM6F10050000400"/>
      <w:bookmarkEnd w:id="3993"/>
      <w:bookmarkEnd w:id="3994"/>
      <w:r>
        <w:rPr>
          <w:rFonts w:ascii="Arial" w:eastAsia="Arial" w:hAnsi="Arial" w:cs="Arial"/>
          <w:color w:val="000000"/>
          <w:sz w:val="20"/>
        </w:rPr>
        <w:t xml:space="preserve"> [***37]  </w:t>
      </w:r>
      <w:bookmarkStart w:id="3995" w:name="Bookmark_I61CDHY42SF86W0010000400"/>
      <w:bookmarkStart w:id="3996" w:name="Bookmark_LNHNREFclscc36"/>
      <w:bookmarkEnd w:id="3995"/>
      <w:bookmarkEnd w:id="3996"/>
      <w:r>
        <w:rPr>
          <w:rFonts w:ascii="Arial" w:eastAsia="Arial" w:hAnsi="Arial" w:cs="Arial"/>
          <w:color w:val="000000"/>
          <w:sz w:val="20"/>
        </w:rPr>
        <w:t xml:space="preserve">Considering Plaintiffs' first theory, courts have widely accepted that plaintiffs can state a claim for violation of the integration mandate by showing that they have been placed at serious risk of institutionalization or segregation. </w:t>
      </w:r>
      <w:r>
        <w:rPr>
          <w:rFonts w:ascii="Arial" w:eastAsia="Arial" w:hAnsi="Arial" w:cs="Arial"/>
          <w:i/>
          <w:color w:val="000000"/>
          <w:sz w:val="20"/>
        </w:rPr>
        <w:t xml:space="preserve">See, e.g., </w:t>
      </w:r>
      <w:bookmarkStart w:id="3997" w:name="Bookmark_I61CDHY32HM6F10040000400"/>
      <w:bookmarkEnd w:id="3997"/>
      <w:r>
        <w:rPr>
          <w:rFonts w:ascii="Arial" w:eastAsia="Arial" w:hAnsi="Arial" w:cs="Arial"/>
          <w:i/>
          <w:color w:val="000000"/>
          <w:sz w:val="20"/>
        </w:rPr>
        <w:t>Radaszewski ex rel. Radaszewski v. Maram</w:t>
      </w:r>
      <w:r>
        <w:rPr>
          <w:rFonts w:ascii="Arial" w:eastAsia="Arial" w:hAnsi="Arial" w:cs="Arial"/>
          <w:color w:val="000000"/>
          <w:sz w:val="20"/>
        </w:rPr>
        <w:t xml:space="preserve">, 383 F.3d 599, 608, 615 (7th Cir. 2004) (finding that a plaintiff had [**63]  stated a claim by showing that defendants' conduct "portend[ed]" future institutionalization); </w:t>
      </w:r>
      <w:bookmarkStart w:id="3998" w:name="Bookmark_I61CDHY42N1PSH0010000400"/>
      <w:bookmarkEnd w:id="3998"/>
      <w:r>
        <w:rPr>
          <w:rFonts w:ascii="Arial" w:eastAsia="Arial" w:hAnsi="Arial" w:cs="Arial"/>
          <w:i/>
          <w:color w:val="000000"/>
          <w:sz w:val="20"/>
        </w:rPr>
        <w:t>Fisher v. Okla. Health Care Auth.</w:t>
      </w:r>
      <w:r>
        <w:rPr>
          <w:rFonts w:ascii="Arial" w:eastAsia="Arial" w:hAnsi="Arial" w:cs="Arial"/>
          <w:color w:val="000000"/>
          <w:sz w:val="20"/>
        </w:rPr>
        <w:t xml:space="preserve">, 335 F.3d 1175, 1181-82 (10th Cir. 2003) (rejecting district court's conclusion that the plaintiffs could not state a claim for violation of the integration mandate because they were not presently institutionalized and faced only the risk of institutionalization); </w:t>
      </w:r>
      <w:bookmarkStart w:id="3999" w:name="Bookmark_I61CDHY42N1PSH0030000400"/>
      <w:bookmarkEnd w:id="3999"/>
      <w:r>
        <w:rPr>
          <w:rFonts w:ascii="Arial" w:eastAsia="Arial" w:hAnsi="Arial" w:cs="Arial"/>
          <w:i/>
          <w:color w:val="000000"/>
          <w:sz w:val="20"/>
        </w:rPr>
        <w:t>Townsend v. Quasim</w:t>
      </w:r>
      <w:r>
        <w:rPr>
          <w:rFonts w:ascii="Arial" w:eastAsia="Arial" w:hAnsi="Arial" w:cs="Arial"/>
          <w:color w:val="000000"/>
          <w:sz w:val="20"/>
        </w:rPr>
        <w:t xml:space="preserve">, 328 F.3d 511, 515, 520 (9th Cir. 2003) (reversing summary judgment on a claim for violation of the integration mandate brought by a plaintiff currently living at home who had been informed that he would lose his benefits if he did not submit to institutionalization). </w:t>
      </w:r>
      <w:bookmarkStart w:id="4000" w:name="Bookmark_I61CDHY42SF86W0010000400_2"/>
      <w:bookmarkEnd w:id="4000"/>
      <w:r>
        <w:rPr>
          <w:rFonts w:ascii="Arial" w:eastAsia="Arial" w:hAnsi="Arial" w:cs="Arial"/>
          <w:color w:val="000000"/>
          <w:sz w:val="20"/>
        </w:rPr>
        <w:t xml:space="preserve">We have agreed that "cases applying </w:t>
      </w:r>
      <w:r>
        <w:rPr>
          <w:rFonts w:ascii="Arial" w:eastAsia="Arial" w:hAnsi="Arial" w:cs="Arial"/>
          <w:i/>
          <w:color w:val="000000"/>
          <w:sz w:val="20"/>
        </w:rPr>
        <w:t>Olmstead</w:t>
      </w:r>
      <w:r>
        <w:rPr>
          <w:rFonts w:ascii="Arial" w:eastAsia="Arial" w:hAnsi="Arial" w:cs="Arial"/>
          <w:color w:val="000000"/>
          <w:sz w:val="20"/>
        </w:rPr>
        <w:t xml:space="preserve"> for the proposition that the risk of institutionalization can support a valid claim of discrimination under the ADA . . . provide reasonable applications of </w:t>
      </w:r>
      <w:r>
        <w:rPr>
          <w:rFonts w:ascii="Arial" w:eastAsia="Arial" w:hAnsi="Arial" w:cs="Arial"/>
          <w:i/>
          <w:color w:val="000000"/>
          <w:sz w:val="20"/>
        </w:rPr>
        <w:t>Olmstead</w:t>
      </w:r>
      <w:r>
        <w:rPr>
          <w:rFonts w:ascii="Arial" w:eastAsia="Arial" w:hAnsi="Arial" w:cs="Arial"/>
          <w:color w:val="000000"/>
          <w:sz w:val="20"/>
        </w:rPr>
        <w:t xml:space="preserve">'s holding." </w:t>
      </w:r>
      <w:bookmarkStart w:id="4001" w:name="Bookmark_I61CDHY42N1PSH0050000400"/>
      <w:bookmarkEnd w:id="4001"/>
      <w:r>
        <w:rPr>
          <w:rFonts w:ascii="Arial" w:eastAsia="Arial" w:hAnsi="Arial" w:cs="Arial"/>
          <w:i/>
          <w:color w:val="000000"/>
          <w:sz w:val="20"/>
        </w:rPr>
        <w:t>Carpenter-Barker</w:t>
      </w:r>
      <w:r>
        <w:rPr>
          <w:rFonts w:ascii="Arial" w:eastAsia="Arial" w:hAnsi="Arial" w:cs="Arial"/>
          <w:color w:val="000000"/>
          <w:sz w:val="20"/>
        </w:rPr>
        <w:t xml:space="preserve">, 752 F. App'x at 221-22. </w:t>
      </w:r>
      <w:bookmarkStart w:id="4002" w:name="Bookmark_I61CDHY42SF86W0030000400"/>
      <w:bookmarkEnd w:id="4002"/>
      <w:r>
        <w:rPr>
          <w:rFonts w:ascii="Arial" w:eastAsia="Arial" w:hAnsi="Arial" w:cs="Arial"/>
          <w:color w:val="000000"/>
          <w:sz w:val="20"/>
        </w:rPr>
        <w:t xml:space="preserve">Indeed, in </w:t>
      </w:r>
      <w:r>
        <w:rPr>
          <w:rFonts w:ascii="Arial" w:eastAsia="Arial" w:hAnsi="Arial" w:cs="Arial"/>
          <w:i/>
          <w:color w:val="000000"/>
          <w:sz w:val="20"/>
        </w:rPr>
        <w:t>Olmstead</w:t>
      </w:r>
      <w:r>
        <w:rPr>
          <w:rFonts w:ascii="Arial" w:eastAsia="Arial" w:hAnsi="Arial" w:cs="Arial"/>
          <w:color w:val="000000"/>
          <w:sz w:val="20"/>
        </w:rPr>
        <w:t>, the Supreme Court reasoned that unjustified institutionalization or segregation constitutes discrimination because:</w:t>
      </w:r>
    </w:p>
    <w:p w14:paraId="0D7481CF" w14:textId="77777777" w:rsidR="002B10A6" w:rsidRDefault="00000000">
      <w:pPr>
        <w:pStyle w:val="Normal22"/>
        <w:widowControl w:val="0"/>
        <w:spacing w:before="200" w:line="260" w:lineRule="atLeast"/>
        <w:ind w:left="400"/>
        <w:jc w:val="both"/>
      </w:pPr>
      <w:bookmarkStart w:id="4003" w:name="Bookmark_para_84_0"/>
      <w:bookmarkStart w:id="4004" w:name="Bookmark_I61CDHY42SF86W0030000400_2"/>
      <w:bookmarkEnd w:id="4003"/>
      <w:bookmarkEnd w:id="4004"/>
      <w:r>
        <w:rPr>
          <w:rFonts w:ascii="Arial" w:eastAsia="Arial" w:hAnsi="Arial" w:cs="Arial"/>
          <w:color w:val="000000"/>
          <w:sz w:val="20"/>
        </w:rPr>
        <w:t>In order to receive needed medical services, persons with mental disabilities must, because of those disabilities, relinquish participation in community life they could enjoy given reasonable accommodations, while persons without mental disabilities can receive the medical services they need [**64]  without similar sacrifice.</w:t>
      </w:r>
    </w:p>
    <w:p w14:paraId="49A4AC27" w14:textId="77777777" w:rsidR="002B10A6" w:rsidRDefault="00000000">
      <w:pPr>
        <w:pStyle w:val="Normal22"/>
        <w:widowControl w:val="0"/>
        <w:spacing w:line="260" w:lineRule="atLeast"/>
        <w:jc w:val="both"/>
      </w:pPr>
      <w:bookmarkStart w:id="4005" w:name="Bookmark_I61CDHY42SF86W0030000400_3"/>
      <w:bookmarkStart w:id="4006" w:name="Bookmark_I61CDHY42SF86W0020000400"/>
      <w:bookmarkEnd w:id="4005"/>
      <w:bookmarkEnd w:id="4006"/>
      <w:r>
        <w:rPr>
          <w:rFonts w:ascii="Arial" w:eastAsia="Arial" w:hAnsi="Arial" w:cs="Arial"/>
          <w:color w:val="000000"/>
          <w:sz w:val="20"/>
        </w:rPr>
        <w:t>527 U.S. at 601. Under this reasoning, individuals with disabilities are subjected to discrimination when they are forced to choose between forgoing necessary medical services while remaining in the community or receiving necessary medical services while institutionalized—not just when they are actually institutionalized.</w:t>
      </w:r>
    </w:p>
    <w:p w14:paraId="4D6D38B9" w14:textId="77777777" w:rsidR="002B10A6" w:rsidRDefault="00000000">
      <w:pPr>
        <w:pStyle w:val="Normal22"/>
        <w:widowControl w:val="0"/>
        <w:spacing w:before="200" w:line="260" w:lineRule="atLeast"/>
        <w:jc w:val="both"/>
      </w:pPr>
      <w:bookmarkStart w:id="4007" w:name="Bookmark_para_85_0"/>
      <w:bookmarkStart w:id="4008" w:name="Bookmark_I61CDHY42SF86W0050000400"/>
      <w:bookmarkEnd w:id="4007"/>
      <w:bookmarkEnd w:id="4008"/>
      <w:r>
        <w:rPr>
          <w:rFonts w:ascii="Arial" w:eastAsia="Arial" w:hAnsi="Arial" w:cs="Arial"/>
          <w:color w:val="000000"/>
          <w:sz w:val="20"/>
        </w:rPr>
        <w:t xml:space="preserve">In accordance with this precedent, the Department of Justice put forward guidance in 2011 clarifying that "[i]ndividuals need not wait until the harm of institutionalization or segregation occurs or is imminent" in order to bring a claim for violation of the integration mandate. </w:t>
      </w:r>
      <w:bookmarkStart w:id="4009" w:name="Bookmark_I61CDHY52N1PSN0010000400"/>
      <w:bookmarkEnd w:id="4009"/>
      <w:r>
        <w:rPr>
          <w:rFonts w:ascii="Arial" w:eastAsia="Arial" w:hAnsi="Arial" w:cs="Arial"/>
          <w:color w:val="000000"/>
          <w:sz w:val="20"/>
        </w:rPr>
        <w:t xml:space="preserve">U.S. Dep't of Justice, Statement of the Department  [*461]  of Justice on Enforcement of the Integration Mandate of Title II of the Americans with Disabilities Act and </w:t>
      </w:r>
      <w:r>
        <w:rPr>
          <w:rFonts w:ascii="Arial" w:eastAsia="Arial" w:hAnsi="Arial" w:cs="Arial"/>
          <w:i/>
          <w:color w:val="000000"/>
          <w:sz w:val="20"/>
        </w:rPr>
        <w:t>Olmstead v. L.C.</w:t>
      </w:r>
      <w:r>
        <w:rPr>
          <w:rFonts w:ascii="Arial" w:eastAsia="Arial" w:hAnsi="Arial" w:cs="Arial"/>
          <w:color w:val="000000"/>
          <w:sz w:val="20"/>
        </w:rPr>
        <w:t xml:space="preserve"> (last updated Feb. 25, 2020) (hereinafter, "U.S. Dep't of Justice, Statement on </w:t>
      </w:r>
      <w:r>
        <w:rPr>
          <w:rFonts w:ascii="Arial" w:eastAsia="Arial" w:hAnsi="Arial" w:cs="Arial"/>
          <w:i/>
          <w:color w:val="000000"/>
          <w:sz w:val="20"/>
        </w:rPr>
        <w:t>Olmstead</w:t>
      </w:r>
      <w:r>
        <w:rPr>
          <w:rFonts w:ascii="Arial" w:eastAsia="Arial" w:hAnsi="Arial" w:cs="Arial"/>
          <w:color w:val="000000"/>
          <w:sz w:val="20"/>
        </w:rPr>
        <w:t xml:space="preserve">"), https://www.ada.gov/olmstead/q&amp;a_olmstead.htm. </w:t>
      </w:r>
      <w:bookmarkStart w:id="4010" w:name="Bookmark_LNHNREFclscc37"/>
      <w:bookmarkEnd w:id="4010"/>
      <w:r>
        <w:rPr>
          <w:rFonts w:ascii="Arial" w:eastAsia="Arial" w:hAnsi="Arial" w:cs="Arial"/>
          <w:color w:val="000000"/>
          <w:sz w:val="20"/>
        </w:rPr>
        <w:t xml:space="preserve">Instead, Plaintiffs may show a sufficient risk  [***38]  of institutionalization "if a public entity's failure to provide community services or its cut to such services will likely cause a decline in health, safety, or welfare that would lead to the individual's eventual placement [**65]  in an institution." </w:t>
      </w:r>
      <w:r>
        <w:rPr>
          <w:rFonts w:ascii="Arial" w:eastAsia="Arial" w:hAnsi="Arial" w:cs="Arial"/>
          <w:i/>
          <w:color w:val="000000"/>
          <w:sz w:val="20"/>
        </w:rPr>
        <w:t>Id.</w:t>
      </w:r>
      <w:r>
        <w:rPr>
          <w:rFonts w:ascii="Arial" w:eastAsia="Arial" w:hAnsi="Arial" w:cs="Arial"/>
          <w:color w:val="000000"/>
          <w:sz w:val="20"/>
        </w:rPr>
        <w:t xml:space="preserve"> Courts have also looked to this guidance in reviewing claims like Plaintiffs'. </w:t>
      </w:r>
      <w:bookmarkStart w:id="4011" w:name="Bookmark_I61CDHY52N1PSN0030000400"/>
      <w:bookmarkEnd w:id="4011"/>
      <w:r>
        <w:rPr>
          <w:rFonts w:ascii="Arial" w:eastAsia="Arial" w:hAnsi="Arial" w:cs="Arial"/>
          <w:i/>
          <w:color w:val="000000"/>
          <w:sz w:val="20"/>
        </w:rPr>
        <w:t xml:space="preserve">See, e.g., </w:t>
      </w:r>
      <w:bookmarkStart w:id="4012" w:name="Bookmark_I61CDHY42SF86W0040000400"/>
      <w:bookmarkEnd w:id="4012"/>
      <w:r>
        <w:rPr>
          <w:rFonts w:ascii="Arial" w:eastAsia="Arial" w:hAnsi="Arial" w:cs="Arial"/>
          <w:i/>
          <w:color w:val="000000"/>
          <w:sz w:val="20"/>
        </w:rPr>
        <w:t>Steimel v. Wernert</w:t>
      </w:r>
      <w:r>
        <w:rPr>
          <w:rFonts w:ascii="Arial" w:eastAsia="Arial" w:hAnsi="Arial" w:cs="Arial"/>
          <w:color w:val="000000"/>
          <w:sz w:val="20"/>
        </w:rPr>
        <w:t xml:space="preserve">, 823 F.3d 902, 911 (7th Cir. 2016); </w:t>
      </w:r>
      <w:bookmarkStart w:id="4013" w:name="Bookmark_I61CDHY52D6P130010000400"/>
      <w:bookmarkEnd w:id="4013"/>
      <w:r>
        <w:rPr>
          <w:rFonts w:ascii="Arial" w:eastAsia="Arial" w:hAnsi="Arial" w:cs="Arial"/>
          <w:i/>
          <w:color w:val="000000"/>
          <w:sz w:val="20"/>
        </w:rPr>
        <w:t>Davis v. Shah</w:t>
      </w:r>
      <w:r>
        <w:rPr>
          <w:rFonts w:ascii="Arial" w:eastAsia="Arial" w:hAnsi="Arial" w:cs="Arial"/>
          <w:color w:val="000000"/>
          <w:sz w:val="20"/>
        </w:rPr>
        <w:t xml:space="preserve">, 821 F.3d 231, 262-63 (2d Cir. 2016); </w:t>
      </w:r>
      <w:bookmarkStart w:id="4014" w:name="Bookmark_I61CDHY52D6P130030000400"/>
      <w:bookmarkEnd w:id="4014"/>
      <w:r>
        <w:rPr>
          <w:rFonts w:ascii="Arial" w:eastAsia="Arial" w:hAnsi="Arial" w:cs="Arial"/>
          <w:i/>
          <w:color w:val="000000"/>
          <w:sz w:val="20"/>
        </w:rPr>
        <w:t>Pashby v. Delia</w:t>
      </w:r>
      <w:r>
        <w:rPr>
          <w:rFonts w:ascii="Arial" w:eastAsia="Arial" w:hAnsi="Arial" w:cs="Arial"/>
          <w:color w:val="000000"/>
          <w:sz w:val="20"/>
        </w:rPr>
        <w:t xml:space="preserve">, 709 F.3d 307, 322 (4th Cir. 2013). </w:t>
      </w:r>
      <w:bookmarkStart w:id="4015" w:name="Bookmark_I61CDHY52N1PSN0030000400_2"/>
      <w:bookmarkStart w:id="4016" w:name="Bookmark_I61CDHY52N1PSN0010000400_2"/>
      <w:bookmarkStart w:id="4017" w:name="Bookmark_I69C4521WTP0000624M0001V"/>
      <w:bookmarkStart w:id="4018" w:name="Bookmark_I61CDHY52D6P160020000400"/>
      <w:bookmarkEnd w:id="4015"/>
      <w:bookmarkEnd w:id="4016"/>
      <w:bookmarkEnd w:id="4017"/>
      <w:bookmarkEnd w:id="4018"/>
      <w:r>
        <w:rPr>
          <w:rFonts w:ascii="Arial" w:eastAsia="Arial" w:hAnsi="Arial" w:cs="Arial"/>
          <w:color w:val="000000"/>
          <w:sz w:val="20"/>
        </w:rPr>
        <w:t xml:space="preserve">Even if not authoritative, the DOJ's "views warrant respect" in this area. </w:t>
      </w:r>
      <w:bookmarkStart w:id="4019" w:name="Bookmark_I61CDHY52D6P130050000400"/>
      <w:bookmarkEnd w:id="4019"/>
      <w:r>
        <w:rPr>
          <w:rFonts w:ascii="Arial" w:eastAsia="Arial" w:hAnsi="Arial" w:cs="Arial"/>
          <w:i/>
          <w:color w:val="000000"/>
          <w:sz w:val="20"/>
        </w:rPr>
        <w:t>Olmstead</w:t>
      </w:r>
      <w:r>
        <w:rPr>
          <w:rFonts w:ascii="Arial" w:eastAsia="Arial" w:hAnsi="Arial" w:cs="Arial"/>
          <w:color w:val="000000"/>
          <w:sz w:val="20"/>
        </w:rPr>
        <w:t xml:space="preserve">, 527 U.S. at 598. </w:t>
      </w:r>
      <w:bookmarkStart w:id="4020" w:name="Bookmark_I61CDHY52D6P160020000400_2"/>
      <w:bookmarkEnd w:id="4020"/>
      <w:r>
        <w:rPr>
          <w:rFonts w:ascii="Arial" w:eastAsia="Arial" w:hAnsi="Arial" w:cs="Arial"/>
          <w:color w:val="000000"/>
          <w:sz w:val="20"/>
        </w:rPr>
        <w:t xml:space="preserve">And we need not decide whether the integration mandate is "genuinely ambiguous" as to whether it protects those at serious risk of institutionalization such that the Department of Justice's interpretation of that regulation is entitled to deference under </w:t>
      </w:r>
      <w:bookmarkStart w:id="4021" w:name="Bookmark_I61CDHY52N1PSN0020000400"/>
      <w:bookmarkEnd w:id="4021"/>
      <w:r>
        <w:rPr>
          <w:rFonts w:ascii="Arial" w:eastAsia="Arial" w:hAnsi="Arial" w:cs="Arial"/>
          <w:i/>
          <w:color w:val="000000"/>
          <w:sz w:val="20"/>
        </w:rPr>
        <w:t>Auer v. Robbins</w:t>
      </w:r>
      <w:r>
        <w:rPr>
          <w:rFonts w:ascii="Arial" w:eastAsia="Arial" w:hAnsi="Arial" w:cs="Arial"/>
          <w:color w:val="000000"/>
          <w:sz w:val="20"/>
        </w:rPr>
        <w:t xml:space="preserve">, 519 U.S. 452, 461-62, 117 S. Ct. 905, 137 L. Ed. 2d 79 (1997), </w:t>
      </w:r>
      <w:r>
        <w:rPr>
          <w:rFonts w:ascii="Arial" w:eastAsia="Arial" w:hAnsi="Arial" w:cs="Arial"/>
          <w:i/>
          <w:color w:val="000000"/>
          <w:sz w:val="20"/>
        </w:rPr>
        <w:t xml:space="preserve">see </w:t>
      </w:r>
      <w:bookmarkStart w:id="4022" w:name="Bookmark_I61CDHY52N1PSN0040000400"/>
      <w:bookmarkEnd w:id="4022"/>
      <w:r>
        <w:rPr>
          <w:rFonts w:ascii="Arial" w:eastAsia="Arial" w:hAnsi="Arial" w:cs="Arial"/>
          <w:i/>
          <w:color w:val="000000"/>
          <w:sz w:val="20"/>
        </w:rPr>
        <w:t>Kisor v. Wilkie</w:t>
      </w:r>
      <w:r>
        <w:rPr>
          <w:rFonts w:ascii="Arial" w:eastAsia="Arial" w:hAnsi="Arial" w:cs="Arial"/>
          <w:color w:val="000000"/>
          <w:sz w:val="20"/>
        </w:rPr>
        <w:t xml:space="preserve">, 139 S. Ct. 2400, 2414, 204 L. Ed. 2d 841 (2019), because in this case, Defendants do not dispute the DOJ's interpretation of </w:t>
      </w:r>
      <w:r>
        <w:rPr>
          <w:rFonts w:ascii="Arial" w:eastAsia="Arial" w:hAnsi="Arial" w:cs="Arial"/>
          <w:i/>
          <w:color w:val="000000"/>
          <w:sz w:val="20"/>
        </w:rPr>
        <w:t>Olmstead</w:t>
      </w:r>
      <w:r>
        <w:rPr>
          <w:rFonts w:ascii="Arial" w:eastAsia="Arial" w:hAnsi="Arial" w:cs="Arial"/>
          <w:color w:val="000000"/>
          <w:sz w:val="20"/>
        </w:rPr>
        <w:t xml:space="preserve"> or that Plaintiffs can sustain a claim simply by showing that they are at serious risk of institutionalization. </w:t>
      </w:r>
      <w:bookmarkStart w:id="4023" w:name="Bookmark_I61CDHY52D6P160020000400_3"/>
      <w:bookmarkEnd w:id="4023"/>
      <w:r>
        <w:rPr>
          <w:rFonts w:ascii="Arial" w:eastAsia="Arial" w:hAnsi="Arial" w:cs="Arial"/>
          <w:color w:val="000000"/>
          <w:sz w:val="20"/>
        </w:rPr>
        <w:t xml:space="preserve">And we agree with the Tenth Circuit that a contrary interpretation is unreasonable because the integration mandate's "protections would be meaningless if plaintiffs were required to segregate themselves by entering an institution before they could challenge an allegedly discriminatory law or policy that threatens to force them into segregated isolation." </w:t>
      </w:r>
      <w:bookmarkStart w:id="4024" w:name="Bookmark_I61CDHY52D6P160010000400"/>
      <w:bookmarkEnd w:id="4024"/>
      <w:r>
        <w:rPr>
          <w:rFonts w:ascii="Arial" w:eastAsia="Arial" w:hAnsi="Arial" w:cs="Arial"/>
          <w:i/>
          <w:color w:val="000000"/>
          <w:sz w:val="20"/>
        </w:rPr>
        <w:t>Fisher</w:t>
      </w:r>
      <w:r>
        <w:rPr>
          <w:rFonts w:ascii="Arial" w:eastAsia="Arial" w:hAnsi="Arial" w:cs="Arial"/>
          <w:color w:val="000000"/>
          <w:sz w:val="20"/>
        </w:rPr>
        <w:t>, 335 F.3d at 1181. Plaintiffs may thus state a claim by sufficiently alleging that they are at serious risk of institutionalization.</w:t>
      </w:r>
    </w:p>
    <w:p w14:paraId="7225E1E7" w14:textId="77777777" w:rsidR="002B10A6" w:rsidRDefault="00000000">
      <w:pPr>
        <w:pStyle w:val="Normal22"/>
        <w:widowControl w:val="0"/>
        <w:spacing w:before="200" w:line="260" w:lineRule="atLeast"/>
        <w:jc w:val="both"/>
      </w:pPr>
      <w:bookmarkStart w:id="4025" w:name="Bookmark_para_86_0"/>
      <w:bookmarkEnd w:id="4025"/>
      <w:r>
        <w:rPr>
          <w:rFonts w:ascii="Arial" w:eastAsia="Arial" w:hAnsi="Arial" w:cs="Arial"/>
          <w:color w:val="000000"/>
          <w:sz w:val="20"/>
        </w:rPr>
        <w:t xml:space="preserve">The district court properly recognized and accepted this possibility, but [**66]  found that Plaintiffs had not sufficiently alleged that they were at serious risk of institutionalization because "this action was filed three years ago, but all of the individually named Plaintiffs still live at home." (Dist. Ct. Op., R. 164 at PageID #4376.) But while perhaps true, this fact says nothing about whether Plaintiffs have been compelled to forgo necessary medical services in order to remain in the community during that time. Nor does it reflect on the actual imminence of Plaintiffs' institutionalization—indeed, that could happen at any moment that Plaintiffs are unable to sustain their own care. </w:t>
      </w:r>
      <w:r>
        <w:rPr>
          <w:rFonts w:ascii="Arial" w:eastAsia="Arial" w:hAnsi="Arial" w:cs="Arial"/>
          <w:i/>
          <w:color w:val="000000"/>
          <w:sz w:val="20"/>
        </w:rPr>
        <w:t>See</w:t>
      </w:r>
      <w:r>
        <w:rPr>
          <w:rFonts w:ascii="Arial" w:eastAsia="Arial" w:hAnsi="Arial" w:cs="Arial"/>
          <w:color w:val="000000"/>
          <w:sz w:val="20"/>
        </w:rPr>
        <w:t xml:space="preserve"> U.S. Dep't of Justice, Statement on </w:t>
      </w:r>
      <w:r>
        <w:rPr>
          <w:rFonts w:ascii="Arial" w:eastAsia="Arial" w:hAnsi="Arial" w:cs="Arial"/>
          <w:i/>
          <w:color w:val="000000"/>
          <w:sz w:val="20"/>
        </w:rPr>
        <w:t>Olmstead</w:t>
      </w:r>
      <w:r>
        <w:rPr>
          <w:rFonts w:ascii="Arial" w:eastAsia="Arial" w:hAnsi="Arial" w:cs="Arial"/>
          <w:color w:val="000000"/>
          <w:sz w:val="20"/>
        </w:rPr>
        <w:t>.</w:t>
      </w:r>
    </w:p>
    <w:p w14:paraId="32584CCF" w14:textId="77777777" w:rsidR="002B10A6" w:rsidRDefault="00000000">
      <w:pPr>
        <w:pStyle w:val="Normal22"/>
        <w:widowControl w:val="0"/>
        <w:spacing w:before="200" w:line="260" w:lineRule="atLeast"/>
        <w:jc w:val="both"/>
      </w:pPr>
      <w:bookmarkStart w:id="4026" w:name="Bookmark_para_87_0"/>
      <w:bookmarkEnd w:id="4026"/>
      <w:r>
        <w:rPr>
          <w:rFonts w:ascii="Arial" w:eastAsia="Arial" w:hAnsi="Arial" w:cs="Arial"/>
          <w:color w:val="000000"/>
          <w:sz w:val="20"/>
        </w:rPr>
        <w:t>In fact, Plaintiffs did plausibly allege a serious risk of institutionalization. They explained in particular that the current budget methodology caused them to have to substantially rely on family members incapable of providing sustained, long-term care, thus placing them at risk of institutionalization. For instance, according to the complaint, Plaintiff Schneider must  [***39]  rely on his grandparents for "around 75 hours of CLS services per week, nearly 50% of the CLS support required by [his] IPOS, because [he] . . . cannot find CLS [**67]  providers to work at the current rate." (Am. Compl., R. 146 at PageID #3760.) Plaintiff Schneider's grandparents are aging and unwell. While not explicitly stated, the implication of this pleading is clear—should Plaintiff Schneider's grandparents no longer be able to care for him, he would be compelled to submit to institutionalization. Similarly, Plaintiffs allege that Plaintiff Wiesner has been forced to rely upon his guardian "to pay for the majority of [his] community activity and transportation needs out of pocket," causing her to  [*462]  "fall behind on her property taxes" and "putting her at risk of foreclosure." (</w:t>
      </w:r>
      <w:r>
        <w:rPr>
          <w:rFonts w:ascii="Arial" w:eastAsia="Arial" w:hAnsi="Arial" w:cs="Arial"/>
          <w:i/>
          <w:color w:val="000000"/>
          <w:sz w:val="20"/>
        </w:rPr>
        <w:t>Id.</w:t>
      </w:r>
      <w:r>
        <w:rPr>
          <w:rFonts w:ascii="Arial" w:eastAsia="Arial" w:hAnsi="Arial" w:cs="Arial"/>
          <w:color w:val="000000"/>
          <w:sz w:val="20"/>
        </w:rPr>
        <w:t xml:space="preserve"> at #3765.) Plaintiff Wiesner's guardian is "unable to work during the time she has to stay home with [him]," purportedly at least forty hours a week, thus increasing her financial strain. (</w:t>
      </w:r>
      <w:r>
        <w:rPr>
          <w:rFonts w:ascii="Arial" w:eastAsia="Arial" w:hAnsi="Arial" w:cs="Arial"/>
          <w:i/>
          <w:color w:val="000000"/>
          <w:sz w:val="20"/>
        </w:rPr>
        <w:t>Id.</w:t>
      </w:r>
      <w:r>
        <w:rPr>
          <w:rFonts w:ascii="Arial" w:eastAsia="Arial" w:hAnsi="Arial" w:cs="Arial"/>
          <w:color w:val="000000"/>
          <w:sz w:val="20"/>
        </w:rPr>
        <w:t xml:space="preserve"> at #3766.) This prompts the reasonable inference that he, too, is at serious risk of institutionalization if his guardian is unable to continue caring for him due to her dire financial situation. Plaintiff Waskul, for his part, has allegedly suffered "decline[s] in health, safety, or welfare" because he is unable to pay for his IPOS-required staff under the current methodology, [**68]  including depression, worsening scoliosis, and anger management issues. </w:t>
      </w:r>
      <w:r>
        <w:rPr>
          <w:rFonts w:ascii="Arial" w:eastAsia="Arial" w:hAnsi="Arial" w:cs="Arial"/>
          <w:i/>
          <w:color w:val="000000"/>
          <w:sz w:val="20"/>
        </w:rPr>
        <w:t>See</w:t>
      </w:r>
      <w:r>
        <w:rPr>
          <w:rFonts w:ascii="Arial" w:eastAsia="Arial" w:hAnsi="Arial" w:cs="Arial"/>
          <w:color w:val="000000"/>
          <w:sz w:val="20"/>
        </w:rPr>
        <w:t xml:space="preserve"> U.S. Dep't of Justice, Statement on </w:t>
      </w:r>
      <w:r>
        <w:rPr>
          <w:rFonts w:ascii="Arial" w:eastAsia="Arial" w:hAnsi="Arial" w:cs="Arial"/>
          <w:i/>
          <w:color w:val="000000"/>
          <w:sz w:val="20"/>
        </w:rPr>
        <w:t>Olmstead</w:t>
      </w:r>
      <w:r>
        <w:rPr>
          <w:rFonts w:ascii="Arial" w:eastAsia="Arial" w:hAnsi="Arial" w:cs="Arial"/>
          <w:color w:val="000000"/>
          <w:sz w:val="20"/>
        </w:rPr>
        <w:t>. For the purposes of a motion to dismiss, these facts suffice to show that Plaintiffs are at serious risk of institutionalization.</w:t>
      </w:r>
    </w:p>
    <w:p w14:paraId="00877EA4" w14:textId="77777777" w:rsidR="002B10A6" w:rsidRDefault="00000000">
      <w:pPr>
        <w:pStyle w:val="Normal22"/>
        <w:widowControl w:val="0"/>
        <w:spacing w:before="200" w:line="260" w:lineRule="atLeast"/>
        <w:jc w:val="both"/>
      </w:pPr>
      <w:bookmarkStart w:id="4027" w:name="Bookmark_para_88_0"/>
      <w:bookmarkStart w:id="4028" w:name="Bookmark_I69C45221XX0000624M0001Y"/>
      <w:bookmarkStart w:id="4029" w:name="Bookmark_I61CDHY52D6P160040000400"/>
      <w:bookmarkEnd w:id="4027"/>
      <w:bookmarkEnd w:id="4028"/>
      <w:bookmarkEnd w:id="4029"/>
      <w:r>
        <w:rPr>
          <w:rFonts w:ascii="Arial" w:eastAsia="Arial" w:hAnsi="Arial" w:cs="Arial"/>
          <w:color w:val="000000"/>
          <w:sz w:val="20"/>
        </w:rPr>
        <w:t xml:space="preserve">Turning to Plaintiffs' second theory, we have not yet addressed whether individuals' isolation at home may also violate the integration mandate. In considering Plaintiffs' claim, we find the Seventh Circuit's decision in </w:t>
      </w:r>
      <w:r>
        <w:rPr>
          <w:rFonts w:ascii="Arial" w:eastAsia="Arial" w:hAnsi="Arial" w:cs="Arial"/>
          <w:i/>
          <w:color w:val="000000"/>
          <w:sz w:val="20"/>
        </w:rPr>
        <w:t>Steimel v. Wernert</w:t>
      </w:r>
      <w:r>
        <w:rPr>
          <w:rFonts w:ascii="Arial" w:eastAsia="Arial" w:hAnsi="Arial" w:cs="Arial"/>
          <w:color w:val="000000"/>
          <w:sz w:val="20"/>
        </w:rPr>
        <w:t xml:space="preserve"> persuasive. The </w:t>
      </w:r>
      <w:r>
        <w:rPr>
          <w:rFonts w:ascii="Arial" w:eastAsia="Arial" w:hAnsi="Arial" w:cs="Arial"/>
          <w:i/>
          <w:color w:val="000000"/>
          <w:sz w:val="20"/>
        </w:rPr>
        <w:t>Steimel</w:t>
      </w:r>
      <w:r>
        <w:rPr>
          <w:rFonts w:ascii="Arial" w:eastAsia="Arial" w:hAnsi="Arial" w:cs="Arial"/>
          <w:color w:val="000000"/>
          <w:sz w:val="20"/>
        </w:rPr>
        <w:t xml:space="preserve"> court confronted a claim substantially similar to Plaintiffs' and concluded that the Supreme Court's rationale in </w:t>
      </w:r>
      <w:r>
        <w:rPr>
          <w:rFonts w:ascii="Arial" w:eastAsia="Arial" w:hAnsi="Arial" w:cs="Arial"/>
          <w:i/>
          <w:color w:val="000000"/>
          <w:sz w:val="20"/>
        </w:rPr>
        <w:t>Olmstead</w:t>
      </w:r>
      <w:r>
        <w:rPr>
          <w:rFonts w:ascii="Arial" w:eastAsia="Arial" w:hAnsi="Arial" w:cs="Arial"/>
          <w:color w:val="000000"/>
          <w:sz w:val="20"/>
        </w:rPr>
        <w:t xml:space="preserve"> also applied when individuals were isolated at home. </w:t>
      </w:r>
      <w:bookmarkStart w:id="4030" w:name="Bookmark_I61CDHY52D6P160030000400"/>
      <w:bookmarkEnd w:id="4030"/>
      <w:r>
        <w:rPr>
          <w:rFonts w:ascii="Arial" w:eastAsia="Arial" w:hAnsi="Arial" w:cs="Arial"/>
          <w:color w:val="000000"/>
          <w:sz w:val="20"/>
        </w:rPr>
        <w:t xml:space="preserve">823 F.3d at 910. </w:t>
      </w:r>
      <w:bookmarkStart w:id="4031" w:name="Bookmark_I61CDHY52HM6F70010000400"/>
      <w:bookmarkEnd w:id="4031"/>
      <w:r>
        <w:rPr>
          <w:rFonts w:ascii="Arial" w:eastAsia="Arial" w:hAnsi="Arial" w:cs="Arial"/>
          <w:color w:val="000000"/>
          <w:sz w:val="20"/>
        </w:rPr>
        <w:t>It specifically noted that isolation at home would run counter to the "two evident judgments" the Supreme Court saw in the integration mandate:</w:t>
      </w:r>
    </w:p>
    <w:p w14:paraId="6911FA18" w14:textId="77777777" w:rsidR="002B10A6" w:rsidRDefault="00000000">
      <w:pPr>
        <w:pStyle w:val="Normal22"/>
        <w:widowControl w:val="0"/>
        <w:spacing w:before="200" w:line="260" w:lineRule="atLeast"/>
        <w:ind w:left="400"/>
        <w:jc w:val="both"/>
      </w:pPr>
      <w:bookmarkStart w:id="4032" w:name="Bookmark_para_89_0"/>
      <w:bookmarkStart w:id="4033" w:name="Bookmark_I61CDHY52HM6F70010000400_2"/>
      <w:bookmarkStart w:id="4034" w:name="Bookmark_I61CDHY52HM6F70030000400"/>
      <w:bookmarkStart w:id="4035" w:name="Bookmark_LNHNREFclscc38"/>
      <w:bookmarkEnd w:id="4032"/>
      <w:bookmarkEnd w:id="4033"/>
      <w:bookmarkEnd w:id="4034"/>
      <w:bookmarkEnd w:id="4035"/>
      <w:r>
        <w:rPr>
          <w:rFonts w:ascii="Arial" w:eastAsia="Arial" w:hAnsi="Arial" w:cs="Arial"/>
          <w:color w:val="000000"/>
          <w:sz w:val="20"/>
        </w:rPr>
        <w:t>The first is that "institutional placement of persons who can handle and benefit from community settings perpetuates unwarranted assumptions that persons so isolated are incapable or unworthy of participating in community life." The second is that "confinement in an institution severely diminishes the everyday life activities of individuals, including family relations, [**69]  social contacts, work options, economic independence, educational advancement, and cultural enrichment."</w:t>
      </w:r>
    </w:p>
    <w:p w14:paraId="71B4647A" w14:textId="77777777" w:rsidR="002B10A6" w:rsidRDefault="00000000">
      <w:pPr>
        <w:pStyle w:val="Normal22"/>
        <w:widowControl w:val="0"/>
        <w:spacing w:before="200" w:line="260" w:lineRule="atLeast"/>
        <w:jc w:val="both"/>
      </w:pPr>
      <w:bookmarkStart w:id="4036" w:name="Bookmark_I61CDHY52HM6F70030000400_2"/>
      <w:bookmarkStart w:id="4037" w:name="Bookmark_I61CDHY52HM6F70010000400_3"/>
      <w:bookmarkEnd w:id="4036"/>
      <w:bookmarkEnd w:id="4037"/>
      <w:r>
        <w:rPr>
          <w:rFonts w:ascii="Arial" w:eastAsia="Arial" w:hAnsi="Arial" w:cs="Arial"/>
          <w:color w:val="000000"/>
          <w:sz w:val="20"/>
        </w:rPr>
        <w:t> [***40] </w:t>
      </w:r>
      <w:r>
        <w:rPr>
          <w:rFonts w:ascii="Arial" w:eastAsia="Arial" w:hAnsi="Arial" w:cs="Arial"/>
          <w:i/>
          <w:color w:val="000000"/>
          <w:sz w:val="20"/>
        </w:rPr>
        <w:t>Id.</w:t>
      </w:r>
      <w:r>
        <w:rPr>
          <w:rFonts w:ascii="Arial" w:eastAsia="Arial" w:hAnsi="Arial" w:cs="Arial"/>
          <w:color w:val="000000"/>
          <w:sz w:val="20"/>
        </w:rPr>
        <w:t xml:space="preserve"> (citations omitted) (quoting </w:t>
      </w:r>
      <w:bookmarkStart w:id="4038" w:name="Bookmark_I61CDHY52D6P160050000400"/>
      <w:bookmarkEnd w:id="4038"/>
      <w:r>
        <w:rPr>
          <w:rFonts w:ascii="Arial" w:eastAsia="Arial" w:hAnsi="Arial" w:cs="Arial"/>
          <w:i/>
          <w:color w:val="000000"/>
          <w:sz w:val="20"/>
        </w:rPr>
        <w:t>Olmstead</w:t>
      </w:r>
      <w:r>
        <w:rPr>
          <w:rFonts w:ascii="Arial" w:eastAsia="Arial" w:hAnsi="Arial" w:cs="Arial"/>
          <w:color w:val="000000"/>
          <w:sz w:val="20"/>
        </w:rPr>
        <w:t xml:space="preserve">, 527 U.S. at 600-01). We agree that these concerns are as present when individuals are confined in home settings because that situation "can just as 'severely diminish[] the everyday life activities' of people with disabilities." </w:t>
      </w:r>
      <w:r>
        <w:rPr>
          <w:rFonts w:ascii="Arial" w:eastAsia="Arial" w:hAnsi="Arial" w:cs="Arial"/>
          <w:i/>
          <w:color w:val="000000"/>
          <w:sz w:val="20"/>
        </w:rPr>
        <w:t>Id.</w:t>
      </w:r>
      <w:r>
        <w:rPr>
          <w:rFonts w:ascii="Arial" w:eastAsia="Arial" w:hAnsi="Arial" w:cs="Arial"/>
          <w:color w:val="000000"/>
          <w:sz w:val="20"/>
        </w:rPr>
        <w:t xml:space="preserve"> (alteration in original) (quoting </w:t>
      </w:r>
      <w:bookmarkStart w:id="4039" w:name="Bookmark_I61CDHY52HM6F70020000400"/>
      <w:bookmarkEnd w:id="4039"/>
      <w:r>
        <w:rPr>
          <w:rFonts w:ascii="Arial" w:eastAsia="Arial" w:hAnsi="Arial" w:cs="Arial"/>
          <w:i/>
          <w:color w:val="000000"/>
          <w:sz w:val="20"/>
        </w:rPr>
        <w:t>Olmstead</w:t>
      </w:r>
      <w:r>
        <w:rPr>
          <w:rFonts w:ascii="Arial" w:eastAsia="Arial" w:hAnsi="Arial" w:cs="Arial"/>
          <w:color w:val="000000"/>
          <w:sz w:val="20"/>
        </w:rPr>
        <w:t xml:space="preserve">, 527 U.S. at 601). Accordingly, we adopt </w:t>
      </w:r>
      <w:r>
        <w:rPr>
          <w:rFonts w:ascii="Arial" w:eastAsia="Arial" w:hAnsi="Arial" w:cs="Arial"/>
          <w:i/>
          <w:color w:val="000000"/>
          <w:sz w:val="20"/>
        </w:rPr>
        <w:t>Steimel</w:t>
      </w:r>
      <w:r>
        <w:rPr>
          <w:rFonts w:ascii="Arial" w:eastAsia="Arial" w:hAnsi="Arial" w:cs="Arial"/>
          <w:color w:val="000000"/>
          <w:sz w:val="20"/>
        </w:rPr>
        <w:t>'s analysis and recognize that the isolation of individuals with disabilities in a home environment can also violate the integration mandate.</w:t>
      </w:r>
    </w:p>
    <w:p w14:paraId="307F87FE" w14:textId="77777777" w:rsidR="002B10A6" w:rsidRDefault="00000000">
      <w:pPr>
        <w:pStyle w:val="Normal22"/>
        <w:widowControl w:val="0"/>
        <w:spacing w:before="200" w:line="260" w:lineRule="atLeast"/>
        <w:jc w:val="both"/>
      </w:pPr>
      <w:bookmarkStart w:id="4040" w:name="Bookmark_para_90_0"/>
      <w:bookmarkEnd w:id="4040"/>
      <w:r>
        <w:rPr>
          <w:rFonts w:ascii="Arial" w:eastAsia="Arial" w:hAnsi="Arial" w:cs="Arial"/>
          <w:color w:val="000000"/>
          <w:sz w:val="20"/>
        </w:rPr>
        <w:t xml:space="preserve">Nevertheless, even accepting that home isolation might violate the integration mandate, the district court found that Plaintiffs' did not state a claim because they "have not alleged how the current budgeting method has rendered them effectively institutionalized at home." (Dist. Ct. Op., R. 164 at PageID #4377.) Again, this elides the well-pleaded allegations of Plaintiffs' complaint. According to Plaintiffs, Plaintiff Wiesner is only receiving eighty of the 120 CLS hours his IPOS requires per week because he cannot afford to hire providers for the remaining time. Because he must be accompanied by at least two CLS staff members in public, [**70]  he must use at least two service hours for every hour that he wishes to leave his home. This means that Plaintiff Wiesner can be outside his home a maximum of forty hours a week, rather than the sixty hours a week his IPOS would potentially allow. </w:t>
      </w:r>
      <w:bookmarkStart w:id="4041" w:name="Bookmark_I61CDHY52HM6F70050000400"/>
      <w:bookmarkEnd w:id="4041"/>
      <w:r>
        <w:rPr>
          <w:rFonts w:ascii="Arial" w:eastAsia="Arial" w:hAnsi="Arial" w:cs="Arial"/>
          <w:color w:val="000000"/>
          <w:sz w:val="20"/>
        </w:rPr>
        <w:t xml:space="preserve">As a practical matter, it stands to reason that Plaintiff Wiesner cannot use all forty hours outside the home if he needs to maximize the proportion of his time that he has care. Moreover, Plaintiff Wiesner has allegedly been able to hire only two CLS providers, rather than his  [*463]  IPOS-required three, leading to increased difficulty scheduling out-of-home time. As a result of being "stuck at home more," the complaint states, Plaintiff Wiesner's behavioral issues have worsened. (Am. Compl., R. 146 at PageID #3766.) This suggests that Plaintiff Wiesner is confined at home in a manner that does not enable him to engage with non-disabled persons "to the fullest extent possible," </w:t>
      </w:r>
      <w:bookmarkStart w:id="4042" w:name="Bookmark_I61CDHY52HM6F70040000400"/>
      <w:bookmarkEnd w:id="4042"/>
      <w:r>
        <w:rPr>
          <w:rFonts w:ascii="Arial" w:eastAsia="Arial" w:hAnsi="Arial" w:cs="Arial"/>
          <w:i/>
          <w:color w:val="000000"/>
          <w:sz w:val="20"/>
        </w:rPr>
        <w:t>Olmstead</w:t>
      </w:r>
      <w:r>
        <w:rPr>
          <w:rFonts w:ascii="Arial" w:eastAsia="Arial" w:hAnsi="Arial" w:cs="Arial"/>
          <w:color w:val="000000"/>
          <w:sz w:val="20"/>
        </w:rPr>
        <w:t xml:space="preserve">, 527 U.S. at 592 (quoting 28 C.F.R. pt. 35, App. A, p. 450 (1998)), which in turn causes "decline[s] in health, safety, or welfare" that could lead to institutionalization, U.S. Dep't of Justice, Statement on </w:t>
      </w:r>
      <w:r>
        <w:rPr>
          <w:rFonts w:ascii="Arial" w:eastAsia="Arial" w:hAnsi="Arial" w:cs="Arial"/>
          <w:i/>
          <w:color w:val="000000"/>
          <w:sz w:val="20"/>
        </w:rPr>
        <w:t>Olmstead</w:t>
      </w:r>
      <w:r>
        <w:rPr>
          <w:rFonts w:ascii="Arial" w:eastAsia="Arial" w:hAnsi="Arial" w:cs="Arial"/>
          <w:color w:val="000000"/>
          <w:sz w:val="20"/>
        </w:rPr>
        <w:t>.</w:t>
      </w:r>
    </w:p>
    <w:p w14:paraId="2790F5DD" w14:textId="77777777" w:rsidR="002B10A6" w:rsidRDefault="00000000">
      <w:pPr>
        <w:pStyle w:val="Normal22"/>
        <w:widowControl w:val="0"/>
        <w:spacing w:before="200" w:line="260" w:lineRule="atLeast"/>
        <w:jc w:val="both"/>
      </w:pPr>
      <w:bookmarkStart w:id="4043" w:name="Bookmark_para_91_0"/>
      <w:bookmarkEnd w:id="4043"/>
      <w:r>
        <w:rPr>
          <w:rFonts w:ascii="Arial" w:eastAsia="Arial" w:hAnsi="Arial" w:cs="Arial"/>
          <w:color w:val="000000"/>
          <w:sz w:val="20"/>
        </w:rPr>
        <w:t>Similarly, Plaintiffs allege that Plaintiff Waskul cannot hire sufficient staff under the current [**71]  budget methodology, and as a result, he must "go[] three weekdays (Monday through Wednesday) without his normal community routine," during which time he "is confined to his  [***41]  home." (Am. Compl., R. 146 at PageID #3753.) As previously discussed, Plaintiff Waskul has allegedly suffered from depression, worsened scoliosis, and anger management issues due to his reduced time in the community and with CLS providers.</w:t>
      </w:r>
    </w:p>
    <w:p w14:paraId="7F34E9E9" w14:textId="77777777" w:rsidR="002B10A6" w:rsidRDefault="00000000">
      <w:pPr>
        <w:pStyle w:val="Normal22"/>
        <w:widowControl w:val="0"/>
        <w:spacing w:before="200" w:line="260" w:lineRule="atLeast"/>
        <w:jc w:val="both"/>
      </w:pPr>
      <w:bookmarkStart w:id="4044" w:name="Bookmark_para_92_0"/>
      <w:bookmarkStart w:id="4045" w:name="Bookmark_I61CDHY52HM6F80020000400"/>
      <w:bookmarkStart w:id="4046" w:name="Bookmark_I61CDHY52HM6F80040000400"/>
      <w:bookmarkStart w:id="4047" w:name="Bookmark_I61CDHY62N1PSR0030000400"/>
      <w:bookmarkEnd w:id="4044"/>
      <w:bookmarkEnd w:id="4045"/>
      <w:bookmarkEnd w:id="4046"/>
      <w:bookmarkEnd w:id="4047"/>
      <w:r>
        <w:rPr>
          <w:rFonts w:ascii="Arial" w:eastAsia="Arial" w:hAnsi="Arial" w:cs="Arial"/>
          <w:color w:val="000000"/>
          <w:sz w:val="20"/>
        </w:rPr>
        <w:t xml:space="preserve">In </w:t>
      </w:r>
      <w:r>
        <w:rPr>
          <w:rFonts w:ascii="Arial" w:eastAsia="Arial" w:hAnsi="Arial" w:cs="Arial"/>
          <w:i/>
          <w:color w:val="000000"/>
          <w:sz w:val="20"/>
        </w:rPr>
        <w:t>Steimel</w:t>
      </w:r>
      <w:r>
        <w:rPr>
          <w:rFonts w:ascii="Arial" w:eastAsia="Arial" w:hAnsi="Arial" w:cs="Arial"/>
          <w:color w:val="000000"/>
          <w:sz w:val="20"/>
        </w:rPr>
        <w:t xml:space="preserve">, the Seventh Circuit reversed the district court's grant of summary judgment to the state defendants based on the plaintiffs' evidence that the state defendants' policies resulted in them only being able to leave their home for twelve hours a week. </w:t>
      </w:r>
      <w:bookmarkStart w:id="4048" w:name="Bookmark_I61CDHY52HM6F80010000400"/>
      <w:bookmarkEnd w:id="4048"/>
      <w:r>
        <w:rPr>
          <w:rFonts w:ascii="Arial" w:eastAsia="Arial" w:hAnsi="Arial" w:cs="Arial"/>
          <w:color w:val="000000"/>
          <w:sz w:val="20"/>
        </w:rPr>
        <w:t xml:space="preserve">823 F.3d at 918. To be sure, Plaintiffs' allegations in this case, as they stand, suggest that they may receive considerably more time outside the home than the </w:t>
      </w:r>
      <w:r>
        <w:rPr>
          <w:rFonts w:ascii="Arial" w:eastAsia="Arial" w:hAnsi="Arial" w:cs="Arial"/>
          <w:i/>
          <w:color w:val="000000"/>
          <w:sz w:val="20"/>
        </w:rPr>
        <w:t>Steimel</w:t>
      </w:r>
      <w:r>
        <w:rPr>
          <w:rFonts w:ascii="Arial" w:eastAsia="Arial" w:hAnsi="Arial" w:cs="Arial"/>
          <w:color w:val="000000"/>
          <w:sz w:val="20"/>
        </w:rPr>
        <w:t xml:space="preserve"> plaintiffs did. </w:t>
      </w:r>
      <w:bookmarkStart w:id="4049" w:name="Bookmark_LNHNREFclscc39"/>
      <w:bookmarkEnd w:id="4049"/>
      <w:r>
        <w:rPr>
          <w:rFonts w:ascii="Arial" w:eastAsia="Arial" w:hAnsi="Arial" w:cs="Arial"/>
          <w:color w:val="000000"/>
          <w:sz w:val="20"/>
        </w:rPr>
        <w:t xml:space="preserve">However, there is no numeric threshold that distinguishes the "most integrated setting" from a less integrated one. As the </w:t>
      </w:r>
      <w:r>
        <w:rPr>
          <w:rFonts w:ascii="Arial" w:eastAsia="Arial" w:hAnsi="Arial" w:cs="Arial"/>
          <w:i/>
          <w:color w:val="000000"/>
          <w:sz w:val="20"/>
        </w:rPr>
        <w:t>Olmstead</w:t>
      </w:r>
      <w:r>
        <w:rPr>
          <w:rFonts w:ascii="Arial" w:eastAsia="Arial" w:hAnsi="Arial" w:cs="Arial"/>
          <w:color w:val="000000"/>
          <w:sz w:val="20"/>
        </w:rPr>
        <w:t xml:space="preserve"> Court clarified, the integration mandate does not impose a "standard of care" or require "a certain level of benefits to individuals with disabilities." </w:t>
      </w:r>
      <w:bookmarkStart w:id="4050" w:name="Bookmark_I61CDHY52HM6F80030000400"/>
      <w:bookmarkEnd w:id="4050"/>
      <w:r>
        <w:rPr>
          <w:rFonts w:ascii="Arial" w:eastAsia="Arial" w:hAnsi="Arial" w:cs="Arial"/>
          <w:i/>
          <w:color w:val="000000"/>
          <w:sz w:val="20"/>
        </w:rPr>
        <w:t>Olmstead</w:t>
      </w:r>
      <w:r>
        <w:rPr>
          <w:rFonts w:ascii="Arial" w:eastAsia="Arial" w:hAnsi="Arial" w:cs="Arial"/>
          <w:color w:val="000000"/>
          <w:sz w:val="20"/>
        </w:rPr>
        <w:t xml:space="preserve">, 527 U.S. at 603 n.14 (quoting </w:t>
      </w:r>
      <w:bookmarkStart w:id="4051" w:name="Bookmark_I61CDHY52HM6F80050000400"/>
      <w:bookmarkEnd w:id="4051"/>
      <w:r>
        <w:rPr>
          <w:rFonts w:ascii="Arial" w:eastAsia="Arial" w:hAnsi="Arial" w:cs="Arial"/>
          <w:i/>
          <w:color w:val="000000"/>
          <w:sz w:val="20"/>
        </w:rPr>
        <w:t>id.</w:t>
      </w:r>
      <w:r>
        <w:rPr>
          <w:rFonts w:ascii="Arial" w:eastAsia="Arial" w:hAnsi="Arial" w:cs="Arial"/>
          <w:color w:val="000000"/>
          <w:sz w:val="20"/>
        </w:rPr>
        <w:t xml:space="preserve"> at 623-24 (Thomas, J., dissenting)). Instead, the question is whether Plaintiffs [**72]  are provided services in the setting "that enables [them] to interact with non-disabled persons to the fullest extent possible." </w:t>
      </w:r>
      <w:bookmarkStart w:id="4052" w:name="Bookmark_I61CDHY62N1PSR0020000400"/>
      <w:bookmarkEnd w:id="4052"/>
      <w:r>
        <w:rPr>
          <w:rFonts w:ascii="Arial" w:eastAsia="Arial" w:hAnsi="Arial" w:cs="Arial"/>
          <w:i/>
          <w:color w:val="000000"/>
          <w:sz w:val="20"/>
        </w:rPr>
        <w:t>Id.</w:t>
      </w:r>
      <w:r>
        <w:rPr>
          <w:rFonts w:ascii="Arial" w:eastAsia="Arial" w:hAnsi="Arial" w:cs="Arial"/>
          <w:color w:val="000000"/>
          <w:sz w:val="20"/>
        </w:rPr>
        <w:t xml:space="preserve"> at 592. The more hours one is provided outside the home, the less likely it is that one can show a violation of the integration mandate. But the simple fact that Plaintiffs have more than twelve hours outside the home per week does not foreclose their claim that they have been unjustifiably isolated within the home. As an initial matter, then, Plaintiffs' factual allegations suffice to state a claim for violation of the integration mandate.</w:t>
      </w:r>
    </w:p>
    <w:p w14:paraId="2BFE8C8D" w14:textId="77777777" w:rsidR="002B10A6" w:rsidRDefault="00000000">
      <w:pPr>
        <w:pStyle w:val="Normal22"/>
        <w:widowControl w:val="0"/>
        <w:spacing w:before="200" w:line="260" w:lineRule="atLeast"/>
        <w:jc w:val="both"/>
      </w:pPr>
      <w:bookmarkStart w:id="4053" w:name="Bookmark_para_93_0"/>
      <w:bookmarkEnd w:id="4053"/>
      <w:r>
        <w:rPr>
          <w:rFonts w:ascii="Arial" w:eastAsia="Arial" w:hAnsi="Arial" w:cs="Arial"/>
          <w:color w:val="000000"/>
          <w:sz w:val="20"/>
        </w:rPr>
        <w:t xml:space="preserve">However, our inquiry again does not end here. </w:t>
      </w:r>
      <w:bookmarkStart w:id="4054" w:name="Bookmark_LNHNREFclscc40"/>
      <w:bookmarkEnd w:id="4054"/>
      <w:r>
        <w:rPr>
          <w:rFonts w:ascii="Arial" w:eastAsia="Arial" w:hAnsi="Arial" w:cs="Arial"/>
          <w:color w:val="000000"/>
          <w:sz w:val="20"/>
        </w:rPr>
        <w:t>Under the integration mandate, public entities must "make reasonable modifications . . . necessary to avoid discrimination on the basis of disability," unless they "can demonstrate that making the modifications would fundamentally alter the nature of the service, program, or activity." 28 C.F.R. § 35.130(b)(7). The district court concluded that "the relief sought here," specifically "an overhaul of the budgeting method," would fundamentally alter Defendants' programs. (Dist. Ct. Op., R. 164 at PageID #4377.) But it did not justify that conclusion.</w:t>
      </w:r>
    </w:p>
    <w:p w14:paraId="5F62CF44" w14:textId="77777777" w:rsidR="002B10A6" w:rsidRDefault="00000000">
      <w:pPr>
        <w:pStyle w:val="Normal22"/>
        <w:widowControl w:val="0"/>
        <w:spacing w:before="200" w:line="260" w:lineRule="atLeast"/>
        <w:jc w:val="both"/>
      </w:pPr>
      <w:bookmarkStart w:id="4055" w:name="Bookmark_para_94_0"/>
      <w:bookmarkStart w:id="4056" w:name="Bookmark_I69C45223CJ0000624M00020"/>
      <w:bookmarkStart w:id="4057" w:name="Bookmark_I61CDHY62N1PSR0050000400"/>
      <w:bookmarkEnd w:id="4055"/>
      <w:bookmarkEnd w:id="4056"/>
      <w:bookmarkEnd w:id="4057"/>
      <w:r>
        <w:rPr>
          <w:rFonts w:ascii="Arial" w:eastAsia="Arial" w:hAnsi="Arial" w:cs="Arial"/>
          <w:color w:val="000000"/>
          <w:sz w:val="20"/>
        </w:rPr>
        <w:t xml:space="preserve">A plurality of the </w:t>
      </w:r>
      <w:r>
        <w:rPr>
          <w:rFonts w:ascii="Arial" w:eastAsia="Arial" w:hAnsi="Arial" w:cs="Arial"/>
          <w:i/>
          <w:color w:val="000000"/>
          <w:sz w:val="20"/>
        </w:rPr>
        <w:t>Olmstead</w:t>
      </w:r>
      <w:r>
        <w:rPr>
          <w:rFonts w:ascii="Arial" w:eastAsia="Arial" w:hAnsi="Arial" w:cs="Arial"/>
          <w:color w:val="000000"/>
          <w:sz w:val="20"/>
        </w:rPr>
        <w:t xml:space="preserve"> Court opined that a state might [**73]  show that a modification requires fundamental alteration of its programs if "in the allocation of available resources, immediate relief for the plaintiffs would be inequitable, given the responsibility the State has undertaken for the care and treatment of a large and diverse population of persons with mental  [***42]  disabilities." </w:t>
      </w:r>
      <w:bookmarkStart w:id="4058" w:name="Bookmark_I61CDHY62N1PSR0040000400"/>
      <w:bookmarkEnd w:id="4058"/>
      <w:r>
        <w:rPr>
          <w:rFonts w:ascii="Arial" w:eastAsia="Arial" w:hAnsi="Arial" w:cs="Arial"/>
          <w:color w:val="000000"/>
          <w:sz w:val="20"/>
        </w:rPr>
        <w:t xml:space="preserve">527 U.S. at 604 (plurality opinion). </w:t>
      </w:r>
      <w:bookmarkStart w:id="4059" w:name="Bookmark_I69C45224T20000624M00021"/>
      <w:bookmarkStart w:id="4060" w:name="Bookmark_I61CDHY628T4KD0020000400"/>
      <w:bookmarkEnd w:id="4059"/>
      <w:bookmarkEnd w:id="4060"/>
      <w:r>
        <w:rPr>
          <w:rFonts w:ascii="Arial" w:eastAsia="Arial" w:hAnsi="Arial" w:cs="Arial"/>
          <w:color w:val="000000"/>
          <w:sz w:val="20"/>
        </w:rPr>
        <w:t xml:space="preserve">Defendants have not carried their burden to make such a  [*464]  showing here. PIHP Defendants contend that the remedy Plaintiffs seek would be a fundamental alteration because the prior budget methodology caused them to operate on a deficit. But the facts alleged in Plaintiffs' complaint give rise to the inference that an alteration of the budget methodology is well within Defendants' capacity to provide, given that the amount they are spending under the current methodology is allegedly well below what the State had committed to spend under the Waiver. </w:t>
      </w:r>
      <w:bookmarkStart w:id="4061" w:name="Bookmark_I61CDHY628T4KD0020000400_2"/>
      <w:bookmarkEnd w:id="4061"/>
      <w:r>
        <w:rPr>
          <w:rFonts w:ascii="Arial" w:eastAsia="Arial" w:hAnsi="Arial" w:cs="Arial"/>
          <w:color w:val="000000"/>
          <w:sz w:val="20"/>
        </w:rPr>
        <w:t xml:space="preserve">Moreover, while Plaintiffs undoubtedly would like to return to the previous budget method, that is not the only potential remedy here. The </w:t>
      </w:r>
      <w:r>
        <w:rPr>
          <w:rFonts w:ascii="Arial" w:eastAsia="Arial" w:hAnsi="Arial" w:cs="Arial"/>
          <w:i/>
          <w:color w:val="000000"/>
          <w:sz w:val="20"/>
        </w:rPr>
        <w:t>Steimel</w:t>
      </w:r>
      <w:r>
        <w:rPr>
          <w:rFonts w:ascii="Arial" w:eastAsia="Arial" w:hAnsi="Arial" w:cs="Arial"/>
          <w:color w:val="000000"/>
          <w:sz w:val="20"/>
        </w:rPr>
        <w:t xml:space="preserve"> court rejected the state defendants' contention that it was not reasonable to require them to return to a previous method of determining individuals' eligibility [**74]  for certain care because that method was error-filled. </w:t>
      </w:r>
      <w:bookmarkStart w:id="4062" w:name="Bookmark_I61CDHY628T4KD0010000400"/>
      <w:bookmarkEnd w:id="4062"/>
      <w:r>
        <w:rPr>
          <w:rFonts w:ascii="Arial" w:eastAsia="Arial" w:hAnsi="Arial" w:cs="Arial"/>
          <w:color w:val="000000"/>
          <w:sz w:val="20"/>
        </w:rPr>
        <w:t xml:space="preserve">823 F.3d at 916. The court pointed out that "[w]hile that may be one of the outcomes [the plaintiffs] will accept, it is not the only one." </w:t>
      </w:r>
      <w:r>
        <w:rPr>
          <w:rFonts w:ascii="Arial" w:eastAsia="Arial" w:hAnsi="Arial" w:cs="Arial"/>
          <w:i/>
          <w:color w:val="000000"/>
          <w:sz w:val="20"/>
        </w:rPr>
        <w:t>Id.</w:t>
      </w:r>
      <w:r>
        <w:rPr>
          <w:rFonts w:ascii="Arial" w:eastAsia="Arial" w:hAnsi="Arial" w:cs="Arial"/>
          <w:color w:val="000000"/>
          <w:sz w:val="20"/>
        </w:rPr>
        <w:t xml:space="preserve"> So too here—to show that affording Plaintiffs relief would effect a fundamental alteration, Defendants must show that alteration of the budget methodology generally would be inequitable.</w:t>
      </w:r>
    </w:p>
    <w:p w14:paraId="6CB65FEF" w14:textId="77777777" w:rsidR="002B10A6" w:rsidRDefault="00000000">
      <w:pPr>
        <w:pStyle w:val="Normal22"/>
        <w:widowControl w:val="0"/>
        <w:spacing w:before="200" w:line="260" w:lineRule="atLeast"/>
        <w:jc w:val="both"/>
      </w:pPr>
      <w:bookmarkStart w:id="4063" w:name="Bookmark_para_95_0"/>
      <w:bookmarkEnd w:id="4063"/>
      <w:r>
        <w:rPr>
          <w:rFonts w:ascii="Arial" w:eastAsia="Arial" w:hAnsi="Arial" w:cs="Arial"/>
          <w:color w:val="000000"/>
          <w:sz w:val="20"/>
        </w:rPr>
        <w:t>Altogether, the facts alleged in Plaintiffs' complaint suggest that they are at serious risk of institutionalization and that they are unreasonably confined at home. Defendants have not carried their burden to show that modifying their budget methodology would result in a fundamental alteration of their programs. Thus, Plaintiffs have stated a plausible claim for violation of the integration mandate under Title II of the ADA and § 504 of the Rehabilitation Act. Accordingly, we also reverse the district court's dismissal of these claims.</w:t>
      </w:r>
    </w:p>
    <w:p w14:paraId="2B8B33CF" w14:textId="77777777" w:rsidR="002B10A6" w:rsidRDefault="00000000">
      <w:pPr>
        <w:pStyle w:val="Normal22"/>
        <w:widowControl w:val="0"/>
        <w:spacing w:before="240" w:line="260" w:lineRule="atLeast"/>
      </w:pPr>
      <w:r>
        <w:br/>
      </w:r>
      <w:r>
        <w:rPr>
          <w:rFonts w:ascii="Arial" w:eastAsia="Arial" w:hAnsi="Arial" w:cs="Arial"/>
          <w:b/>
          <w:color w:val="000000"/>
          <w:sz w:val="20"/>
        </w:rPr>
        <w:t>V. Michigan Mental Health Code, Mich. Comp. Laws §§ 330.1722(1) and (3)</w:t>
      </w:r>
    </w:p>
    <w:p w14:paraId="164F59E7" w14:textId="77777777" w:rsidR="002B10A6" w:rsidRDefault="00000000">
      <w:pPr>
        <w:pStyle w:val="Normal22"/>
        <w:widowControl w:val="0"/>
        <w:spacing w:before="200" w:line="260" w:lineRule="atLeast"/>
        <w:jc w:val="both"/>
      </w:pPr>
      <w:bookmarkStart w:id="4064" w:name="Bookmark_para_96_0"/>
      <w:bookmarkEnd w:id="4064"/>
      <w:r>
        <w:rPr>
          <w:rFonts w:ascii="Arial" w:eastAsia="Arial" w:hAnsi="Arial" w:cs="Arial"/>
          <w:color w:val="000000"/>
          <w:sz w:val="20"/>
        </w:rPr>
        <w:t>In their final claim, Plaintiffs assert that Defendants WCCMH and CMHPSM violated Michigan Compiled Laws § 330.1722 by subjecting them to "neglect." Defendants respond that they are entitled to governmental immunity under Michigan law and that, even if Plaintiffs could overcome this immunity, [**75]  they did not neglect Plaintiffs under that provision. The district court found that Defendants WCCMH and CMHPSM were entitled to immunity under Michigan law because Plaintiffs did not "allege[] that Defendants were grossly negligent with respect to adjusting the budget" and that, in the alternative, Plaintiffs had insufficiently alleged that they were subjected to non-accidental harm or not treated according to the standard of care. (Dist. Ct.  [***43]  Op., R. 164 at PageID #4379.) The district court erred in so concluding, and Plaintiffs have also stated a plausible claim for neglect under the Michigan Mental Health Code. We therefore also reverse the district court's decision as to this claim.</w:t>
      </w:r>
    </w:p>
    <w:p w14:paraId="7D38B441" w14:textId="77777777" w:rsidR="002B10A6" w:rsidRDefault="00000000">
      <w:pPr>
        <w:pStyle w:val="Normal22"/>
        <w:widowControl w:val="0"/>
        <w:spacing w:before="240" w:line="260" w:lineRule="atLeast"/>
      </w:pPr>
      <w:r>
        <w:br/>
      </w:r>
      <w:r>
        <w:rPr>
          <w:rFonts w:ascii="Arial" w:eastAsia="Arial" w:hAnsi="Arial" w:cs="Arial"/>
          <w:b/>
          <w:color w:val="000000"/>
          <w:sz w:val="20"/>
        </w:rPr>
        <w:t>A. Immunity</w:t>
      </w:r>
    </w:p>
    <w:p w14:paraId="03680A71" w14:textId="77777777" w:rsidR="002B10A6" w:rsidRDefault="00000000">
      <w:pPr>
        <w:pStyle w:val="Normal22"/>
        <w:widowControl w:val="0"/>
        <w:spacing w:before="200" w:line="260" w:lineRule="atLeast"/>
        <w:jc w:val="both"/>
      </w:pPr>
      <w:bookmarkStart w:id="4065" w:name="Bookmark_para_97_0"/>
      <w:bookmarkStart w:id="4066" w:name="Bookmark_I61CDHY628T4KD0040000400"/>
      <w:bookmarkStart w:id="4067" w:name="Bookmark_I61CDHY62SF8720010000400"/>
      <w:bookmarkEnd w:id="4065"/>
      <w:bookmarkEnd w:id="4066"/>
      <w:bookmarkEnd w:id="4067"/>
      <w:r>
        <w:rPr>
          <w:rFonts w:ascii="Arial" w:eastAsia="Arial" w:hAnsi="Arial" w:cs="Arial"/>
          <w:color w:val="000000"/>
          <w:sz w:val="20"/>
        </w:rPr>
        <w:t xml:space="preserve">First, we contend with the district court's conclusion that Defendants were entitled to immunity under Michigan Compiled Laws § 691.1407. </w:t>
      </w:r>
      <w:bookmarkStart w:id="4068" w:name="Bookmark_I61CDHY62SF8720030000400"/>
      <w:bookmarkStart w:id="4069" w:name="Bookmark_LNHNREFclscc41"/>
      <w:bookmarkEnd w:id="4068"/>
      <w:bookmarkEnd w:id="4069"/>
      <w:r>
        <w:rPr>
          <w:rFonts w:ascii="Arial" w:eastAsia="Arial" w:hAnsi="Arial" w:cs="Arial"/>
          <w:color w:val="000000"/>
          <w:sz w:val="20"/>
        </w:rPr>
        <w:t xml:space="preserve">It is true that Michigan Compiled Laws § 330.1722 "does not provide a statutory exception to governmental immunity for alleged abuse of mental health patients." </w:t>
      </w:r>
      <w:bookmarkStart w:id="4070" w:name="Bookmark_I61CDHY628T4KD0030000400"/>
      <w:bookmarkEnd w:id="4070"/>
      <w:r>
        <w:rPr>
          <w:rFonts w:ascii="Arial" w:eastAsia="Arial" w:hAnsi="Arial" w:cs="Arial"/>
          <w:i/>
          <w:color w:val="000000"/>
          <w:sz w:val="20"/>
        </w:rPr>
        <w:t>de Sanchez v. Genoves-Andrews</w:t>
      </w:r>
      <w:r>
        <w:rPr>
          <w:rFonts w:ascii="Arial" w:eastAsia="Arial" w:hAnsi="Arial" w:cs="Arial"/>
          <w:color w:val="000000"/>
          <w:sz w:val="20"/>
        </w:rPr>
        <w:t xml:space="preserve">, 179 Mich. App. 661, 446 N.W.2d 538, 542 (Mich. Ct. App. 1989). However, where "instead of seeking compensation to remedy [a civil] harm, the plaintiff elects some other remedy," such as "ask[ing] a court to enforce his or her rights under the law" through declaratory or injunctive relief, governmental immunity is "inapplicable." [**76]  </w:t>
      </w:r>
      <w:bookmarkStart w:id="4071" w:name="Bookmark_I61CDHY628T4KD0050000400"/>
      <w:bookmarkEnd w:id="4071"/>
      <w:r>
        <w:rPr>
          <w:rFonts w:ascii="Arial" w:eastAsia="Arial" w:hAnsi="Arial" w:cs="Arial"/>
          <w:i/>
          <w:color w:val="000000"/>
          <w:sz w:val="20"/>
        </w:rPr>
        <w:t>In re Bradley Estate</w:t>
      </w:r>
      <w:r>
        <w:rPr>
          <w:rFonts w:ascii="Arial" w:eastAsia="Arial" w:hAnsi="Arial" w:cs="Arial"/>
          <w:color w:val="000000"/>
          <w:sz w:val="20"/>
        </w:rPr>
        <w:t xml:space="preserve">, 494 Mich. 367, 835 N.W.2d 545, 557 n.54 (Mich. 2013). </w:t>
      </w:r>
      <w:bookmarkStart w:id="4072" w:name="Bookmark_I61CDHY62SF8720030000400_2"/>
      <w:bookmarkEnd w:id="4072"/>
      <w:r>
        <w:rPr>
          <w:rFonts w:ascii="Arial" w:eastAsia="Arial" w:hAnsi="Arial" w:cs="Arial"/>
          <w:color w:val="000000"/>
          <w:sz w:val="20"/>
        </w:rPr>
        <w:t xml:space="preserve">Accordingly, Michigan courts have simply found that "a tort claim </w:t>
      </w:r>
      <w:r>
        <w:rPr>
          <w:rFonts w:ascii="Arial" w:eastAsia="Arial" w:hAnsi="Arial" w:cs="Arial"/>
          <w:i/>
          <w:color w:val="000000"/>
          <w:sz w:val="20"/>
        </w:rPr>
        <w:t>for damages</w:t>
      </w:r>
      <w:r>
        <w:rPr>
          <w:rFonts w:ascii="Arial" w:eastAsia="Arial" w:hAnsi="Arial" w:cs="Arial"/>
          <w:color w:val="000000"/>
          <w:sz w:val="20"/>
        </w:rPr>
        <w:t xml:space="preserve"> does not constitute  [*465]  'appropriate civil relief' under [§ 330.1722] . . . because [defendants] are entitled to the protection of governmental immunity and [§ 330.1722] is not an exception to such immunity." </w:t>
      </w:r>
      <w:bookmarkStart w:id="4073" w:name="Bookmark_I61CDHY62SF8720020000400"/>
      <w:bookmarkEnd w:id="4073"/>
      <w:r>
        <w:rPr>
          <w:rFonts w:ascii="Arial" w:eastAsia="Arial" w:hAnsi="Arial" w:cs="Arial"/>
          <w:i/>
          <w:color w:val="000000"/>
          <w:sz w:val="20"/>
        </w:rPr>
        <w:t>Dockweiler v. Wentzell</w:t>
      </w:r>
      <w:r>
        <w:rPr>
          <w:rFonts w:ascii="Arial" w:eastAsia="Arial" w:hAnsi="Arial" w:cs="Arial"/>
          <w:color w:val="000000"/>
          <w:sz w:val="20"/>
        </w:rPr>
        <w:t>, 169 Mich. App. 368, 425 N.W.2d 468, 471 (Mich. Ct. App. 1988) (emphasis added). Plaintiffs seek only declaratory and prospective injunctive relief in this suit, and so Defendants WCCMH and CMHPSM are not entitled to immunity.</w:t>
      </w:r>
    </w:p>
    <w:p w14:paraId="49654906" w14:textId="77777777" w:rsidR="002B10A6" w:rsidRDefault="00000000">
      <w:pPr>
        <w:pStyle w:val="Normal22"/>
        <w:widowControl w:val="0"/>
        <w:spacing w:before="240" w:line="260" w:lineRule="atLeast"/>
      </w:pPr>
      <w:r>
        <w:br/>
      </w:r>
      <w:r>
        <w:rPr>
          <w:rFonts w:ascii="Arial" w:eastAsia="Arial" w:hAnsi="Arial" w:cs="Arial"/>
          <w:b/>
          <w:color w:val="000000"/>
          <w:sz w:val="20"/>
        </w:rPr>
        <w:t>B. Merits</w:t>
      </w:r>
    </w:p>
    <w:p w14:paraId="4DAF38F4" w14:textId="77777777" w:rsidR="002B10A6" w:rsidRDefault="00000000">
      <w:pPr>
        <w:pStyle w:val="Normal22"/>
        <w:widowControl w:val="0"/>
        <w:spacing w:before="200" w:line="260" w:lineRule="atLeast"/>
        <w:jc w:val="both"/>
      </w:pPr>
      <w:bookmarkStart w:id="4074" w:name="Bookmark_para_98_0"/>
      <w:bookmarkEnd w:id="4074"/>
      <w:r>
        <w:rPr>
          <w:rFonts w:ascii="Arial" w:eastAsia="Arial" w:hAnsi="Arial" w:cs="Arial"/>
          <w:color w:val="000000"/>
          <w:sz w:val="20"/>
        </w:rPr>
        <w:t xml:space="preserve">Turning to the merits, the relevant provisions of the Michigan Mental Health Code provide that "[a] recipient of mental health services shall not be subjected to abuse or neglect," and that those who are abused or neglected have "a right to pursue injunctive and other appropriate civil relief." Mich. Comp. Laws §§ 330.1722(1), (3). </w:t>
      </w:r>
      <w:bookmarkStart w:id="4075" w:name="Bookmark_LNHNREFclscc42"/>
      <w:bookmarkEnd w:id="4075"/>
      <w:r>
        <w:rPr>
          <w:rFonts w:ascii="Arial" w:eastAsia="Arial" w:hAnsi="Arial" w:cs="Arial"/>
          <w:color w:val="000000"/>
          <w:sz w:val="20"/>
        </w:rPr>
        <w:t>"Neglect" under the statute means</w:t>
      </w:r>
    </w:p>
    <w:p w14:paraId="5628D74F" w14:textId="77777777" w:rsidR="002B10A6" w:rsidRDefault="00000000">
      <w:pPr>
        <w:pStyle w:val="Normal22"/>
        <w:widowControl w:val="0"/>
        <w:spacing w:before="200" w:line="260" w:lineRule="atLeast"/>
        <w:ind w:left="400"/>
        <w:jc w:val="both"/>
      </w:pPr>
      <w:bookmarkStart w:id="4076" w:name="Bookmark_para_99_0"/>
      <w:bookmarkEnd w:id="4076"/>
      <w:r>
        <w:rPr>
          <w:rFonts w:ascii="Arial" w:eastAsia="Arial" w:hAnsi="Arial" w:cs="Arial"/>
          <w:color w:val="000000"/>
          <w:sz w:val="20"/>
        </w:rPr>
        <w:t>an act or failure to act committed by an employee or volunteer of the department, a community mental health services program, or a licensed hospital; a service provider under contract with the department, a community mental health services program, or a licensed hospital; or an employee or volunteer of a service provider under contract with the department, a community mental health services program,  [***44]  or a licensed hospital, that [**77]  denies a recipient the standard of care or treatment to which he or she is entitled under this act.</w:t>
      </w:r>
    </w:p>
    <w:p w14:paraId="77D8D666" w14:textId="77777777" w:rsidR="002B10A6" w:rsidRDefault="00000000">
      <w:pPr>
        <w:pStyle w:val="Normal22"/>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330.1100b(21).</w:t>
      </w:r>
    </w:p>
    <w:p w14:paraId="54A60C0D" w14:textId="77777777" w:rsidR="002B10A6" w:rsidRDefault="00000000">
      <w:pPr>
        <w:pStyle w:val="Normal22"/>
        <w:widowControl w:val="0"/>
        <w:spacing w:before="200" w:line="260" w:lineRule="atLeast"/>
        <w:jc w:val="both"/>
      </w:pPr>
      <w:bookmarkStart w:id="4077" w:name="Bookmark_para_100_0"/>
      <w:bookmarkStart w:id="4078" w:name="Bookmark_I61CDHY62SF8720050000400"/>
      <w:bookmarkStart w:id="4079" w:name="Bookmark_LNHNREFclscc43"/>
      <w:bookmarkEnd w:id="4077"/>
      <w:bookmarkEnd w:id="4078"/>
      <w:bookmarkEnd w:id="4079"/>
      <w:r>
        <w:rPr>
          <w:rFonts w:ascii="Arial" w:eastAsia="Arial" w:hAnsi="Arial" w:cs="Arial"/>
          <w:color w:val="000000"/>
          <w:sz w:val="20"/>
        </w:rPr>
        <w:t xml:space="preserve">The "[s]tandard for mental health services" provision of the Michigan Mental Health Code provides that "[a] recipient shall receive mental health services suited to his or her condition," and that they "shall be offered in the least restrictive setting that is appropriate and available." </w:t>
      </w:r>
      <w:r>
        <w:rPr>
          <w:rFonts w:ascii="Arial" w:eastAsia="Arial" w:hAnsi="Arial" w:cs="Arial"/>
          <w:i/>
          <w:color w:val="000000"/>
          <w:sz w:val="20"/>
        </w:rPr>
        <w:t>Id.</w:t>
      </w:r>
      <w:r>
        <w:rPr>
          <w:rFonts w:ascii="Arial" w:eastAsia="Arial" w:hAnsi="Arial" w:cs="Arial"/>
          <w:color w:val="000000"/>
          <w:sz w:val="20"/>
        </w:rPr>
        <w:t xml:space="preserve"> §§ 330.1708(1), (3). Thus, if Defendants' acts or failures to act denied Plaintiffs mental health services suitable to their condition in the least restrictive setting, they are liable. </w:t>
      </w:r>
      <w:bookmarkStart w:id="4080" w:name="Bookmark_LNHNREFclscc44"/>
      <w:bookmarkEnd w:id="4080"/>
      <w:r>
        <w:rPr>
          <w:rFonts w:ascii="Arial" w:eastAsia="Arial" w:hAnsi="Arial" w:cs="Arial"/>
          <w:color w:val="000000"/>
          <w:sz w:val="20"/>
        </w:rPr>
        <w:t xml:space="preserve">Michigan courts have interpreted § 330.1708 to cover an individual's "mental health treatment involv[ing] the implementation of [a] Behavior Treatment Plan . . . including [a] provision regarding [the individual's] movement in the community." </w:t>
      </w:r>
      <w:bookmarkStart w:id="4081" w:name="Bookmark_I61CDHY62SF8720040000400"/>
      <w:bookmarkEnd w:id="4081"/>
      <w:r>
        <w:rPr>
          <w:rFonts w:ascii="Arial" w:eastAsia="Arial" w:hAnsi="Arial" w:cs="Arial"/>
          <w:i/>
          <w:color w:val="000000"/>
          <w:sz w:val="20"/>
        </w:rPr>
        <w:t>Estate of Wrenn v. Spectrum Cmty. Servs.</w:t>
      </w:r>
      <w:r>
        <w:rPr>
          <w:rFonts w:ascii="Arial" w:eastAsia="Arial" w:hAnsi="Arial" w:cs="Arial"/>
          <w:color w:val="000000"/>
          <w:sz w:val="20"/>
        </w:rPr>
        <w:t>, Nos. 339594, 342320, 2019 Mich. App. LEXIS 324, 2019 WL 845711, at *3 (Mich. Ct. App. Feb. 21, 2019) (per curiam). Plaintiffs alleged that Defendants WCCMH and CMHPSM fail to "provide CLS participants with actual budgets tied to the services and supports listed in the IPOS," and that because of this the individual Plaintiffs are denied transportation, staff, and recreation activities medically necessary to address their conditions. (Am. [**78]  Compl., R. 146 at PageID ##3753, 3758-59, 3766, 3771-72, 3805.) This plausibly states a claim under the Michigan Mental Health Code.</w:t>
      </w:r>
    </w:p>
    <w:p w14:paraId="01293873" w14:textId="77777777" w:rsidR="002B10A6" w:rsidRDefault="00000000">
      <w:pPr>
        <w:pStyle w:val="Normal22"/>
        <w:widowControl w:val="0"/>
        <w:spacing w:before="200" w:line="260" w:lineRule="atLeast"/>
        <w:jc w:val="both"/>
      </w:pPr>
      <w:bookmarkStart w:id="4082" w:name="Bookmark_para_101_0"/>
      <w:bookmarkEnd w:id="4082"/>
      <w:r>
        <w:rPr>
          <w:rFonts w:ascii="Arial" w:eastAsia="Arial" w:hAnsi="Arial" w:cs="Arial"/>
          <w:color w:val="000000"/>
          <w:sz w:val="20"/>
        </w:rPr>
        <w:t>County Defendants respond that Plaintiffs have not identified any employee, volunteer, or service provider associated with WCCMH who subjected the individual Plaintiffs to neglect, and so they have not stated a claim because the definition of neglect requires one of these parties to be the actor. PIHP Defendants rightly do not contest that CMHPSM is covered by this definition. Of course, Plaintiffs allege that Defendants Cortes and Terwilliger—current or former employees of WCCMH and CMHPSM, respectively—are responsible for the implementation of the flawed budget methodology. Indeed, this allegation underlies all of their claims against Defendants Terwilliger and Cortes. Accordingly, County Defendants' argument is unpersuasive.</w:t>
      </w:r>
    </w:p>
    <w:p w14:paraId="25675292" w14:textId="77777777" w:rsidR="002B10A6" w:rsidRDefault="00000000">
      <w:pPr>
        <w:pStyle w:val="Normal22"/>
        <w:widowControl w:val="0"/>
        <w:spacing w:before="200" w:line="260" w:lineRule="atLeast"/>
        <w:jc w:val="both"/>
      </w:pPr>
      <w:bookmarkStart w:id="4083" w:name="Bookmark_para_102_0"/>
      <w:bookmarkEnd w:id="4083"/>
      <w:r>
        <w:rPr>
          <w:rFonts w:ascii="Arial" w:eastAsia="Arial" w:hAnsi="Arial" w:cs="Arial"/>
          <w:color w:val="000000"/>
          <w:sz w:val="20"/>
        </w:rPr>
        <w:t> [***45]  Plaintiffs have sufficiently alleged that the action or inaction of Defendants WCCMH and CMHPSM have denied them  [*466]  mental health services meeting the standard of care established in Michigan's mental health code. The district court's dismissal of this claim was thus in error, and this Court must reverse.</w:t>
      </w:r>
    </w:p>
    <w:p w14:paraId="07D766C3" w14:textId="77777777" w:rsidR="002B10A6" w:rsidRDefault="00000000">
      <w:pPr>
        <w:pStyle w:val="Normal22"/>
        <w:widowControl w:val="0"/>
        <w:spacing w:before="240" w:line="260" w:lineRule="atLeast"/>
      </w:pPr>
      <w:r>
        <w:br/>
      </w:r>
      <w:r>
        <w:rPr>
          <w:rFonts w:ascii="Arial" w:eastAsia="Arial" w:hAnsi="Arial" w:cs="Arial"/>
          <w:b/>
          <w:color w:val="000000"/>
          <w:sz w:val="20"/>
        </w:rPr>
        <w:t>CONCLUSION</w:t>
      </w:r>
    </w:p>
    <w:p w14:paraId="6D8DFCE6" w14:textId="77777777" w:rsidR="002B10A6" w:rsidRDefault="00000000">
      <w:pPr>
        <w:pStyle w:val="Normal22"/>
        <w:widowControl w:val="0"/>
        <w:spacing w:before="200" w:line="260" w:lineRule="atLeast"/>
        <w:jc w:val="both"/>
      </w:pPr>
      <w:bookmarkStart w:id="4084" w:name="Bookmark_para_103_0"/>
      <w:bookmarkEnd w:id="4084"/>
      <w:r>
        <w:rPr>
          <w:rFonts w:ascii="Arial" w:eastAsia="Arial" w:hAnsi="Arial" w:cs="Arial"/>
          <w:color w:val="000000"/>
          <w:sz w:val="20"/>
        </w:rPr>
        <w:t xml:space="preserve">For these reasons, [**79]  we </w:t>
      </w:r>
      <w:r>
        <w:rPr>
          <w:rFonts w:ascii="Arial" w:eastAsia="Arial" w:hAnsi="Arial" w:cs="Arial"/>
          <w:b/>
          <w:color w:val="000000"/>
          <w:sz w:val="20"/>
        </w:rPr>
        <w:t>REVERSE</w:t>
      </w:r>
      <w:r>
        <w:rPr>
          <w:rFonts w:ascii="Arial" w:eastAsia="Arial" w:hAnsi="Arial" w:cs="Arial"/>
          <w:color w:val="000000"/>
          <w:sz w:val="20"/>
        </w:rPr>
        <w:t xml:space="preserve"> the district court's decision and </w:t>
      </w:r>
      <w:r>
        <w:rPr>
          <w:rFonts w:ascii="Arial" w:eastAsia="Arial" w:hAnsi="Arial" w:cs="Arial"/>
          <w:b/>
          <w:color w:val="000000"/>
          <w:sz w:val="20"/>
        </w:rPr>
        <w:t>REMAND</w:t>
      </w:r>
      <w:r>
        <w:rPr>
          <w:rFonts w:ascii="Arial" w:eastAsia="Arial" w:hAnsi="Arial" w:cs="Arial"/>
          <w:color w:val="000000"/>
          <w:sz w:val="20"/>
        </w:rPr>
        <w:t xml:space="preserve"> for further proceedings consistent with this opinion.</w:t>
      </w:r>
    </w:p>
    <w:p w14:paraId="7B2BF2A2" w14:textId="77777777" w:rsidR="002B10A6" w:rsidRDefault="00000000">
      <w:pPr>
        <w:pStyle w:val="Normal22"/>
        <w:widowControl w:val="0"/>
        <w:spacing w:before="240" w:line="260" w:lineRule="atLeast"/>
      </w:pPr>
      <w:bookmarkStart w:id="4085" w:name="Dissent_by_1"/>
      <w:bookmarkEnd w:id="4085"/>
      <w:r>
        <w:rPr>
          <w:rFonts w:ascii="Arial" w:eastAsia="Arial" w:hAnsi="Arial" w:cs="Arial"/>
          <w:b/>
          <w:color w:val="000000"/>
          <w:sz w:val="20"/>
        </w:rPr>
        <w:t>Dissent by:</w:t>
      </w:r>
      <w:r>
        <w:rPr>
          <w:rFonts w:ascii="Arial" w:eastAsia="Arial" w:hAnsi="Arial" w:cs="Arial"/>
          <w:color w:val="000000"/>
          <w:sz w:val="20"/>
        </w:rPr>
        <w:t> CHAD A. READLER</w:t>
      </w:r>
    </w:p>
    <w:p w14:paraId="600828CF" w14:textId="77777777" w:rsidR="002B10A6" w:rsidRDefault="00000000">
      <w:pPr>
        <w:pStyle w:val="Normal22"/>
        <w:keepNext/>
        <w:widowControl w:val="0"/>
        <w:spacing w:before="240" w:line="340" w:lineRule="atLeast"/>
      </w:pPr>
      <w:bookmarkStart w:id="4086" w:name="Dissent_1"/>
      <w:bookmarkEnd w:id="4086"/>
      <w:r>
        <w:rPr>
          <w:rFonts w:ascii="Arial" w:eastAsia="Arial" w:hAnsi="Arial" w:cs="Arial"/>
          <w:b/>
          <w:color w:val="000000"/>
          <w:sz w:val="28"/>
        </w:rPr>
        <w:t>Dissent</w:t>
      </w:r>
    </w:p>
    <w:p w14:paraId="3412860F" w14:textId="702D32D4" w:rsidR="002B10A6" w:rsidRDefault="002D6974">
      <w:pPr>
        <w:pStyle w:val="Normal22"/>
        <w:spacing w:line="60" w:lineRule="exact"/>
      </w:pPr>
      <w:r>
        <w:rPr>
          <w:noProof/>
        </w:rPr>
        <mc:AlternateContent>
          <mc:Choice Requires="wps">
            <w:drawing>
              <wp:anchor distT="0" distB="0" distL="114300" distR="114300" simplePos="0" relativeHeight="251706368" behindDoc="0" locked="0" layoutInCell="1" allowOverlap="1" wp14:anchorId="53F78A36" wp14:editId="2A17DAAF">
                <wp:simplePos x="0" y="0"/>
                <wp:positionH relativeFrom="column">
                  <wp:posOffset>0</wp:posOffset>
                </wp:positionH>
                <wp:positionV relativeFrom="paragraph">
                  <wp:posOffset>25400</wp:posOffset>
                </wp:positionV>
                <wp:extent cx="3187700" cy="0"/>
                <wp:effectExtent l="19050" t="15875" r="12700" b="12700"/>
                <wp:wrapTopAndBottom/>
                <wp:docPr id="121977297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2FAB1" id="Line 48"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5ADC6C4" w14:textId="77777777" w:rsidR="002B10A6" w:rsidRDefault="002B10A6">
      <w:pPr>
        <w:pStyle w:val="Normal22"/>
        <w:spacing w:line="120" w:lineRule="exact"/>
      </w:pPr>
    </w:p>
    <w:p w14:paraId="36AF1476" w14:textId="77777777" w:rsidR="002B10A6" w:rsidRDefault="00000000">
      <w:pPr>
        <w:pStyle w:val="Normal22"/>
        <w:widowControl w:val="0"/>
        <w:spacing w:before="240" w:line="260" w:lineRule="atLeast"/>
      </w:pPr>
      <w:r>
        <w:br/>
      </w:r>
      <w:r>
        <w:rPr>
          <w:rFonts w:ascii="Arial" w:eastAsia="Arial" w:hAnsi="Arial" w:cs="Arial"/>
          <w:color w:val="000000"/>
          <w:sz w:val="20"/>
        </w:rPr>
        <w:t xml:space="preserve"> [***46]  </w:t>
      </w:r>
      <w:r>
        <w:rPr>
          <w:rFonts w:ascii="Arial" w:eastAsia="Arial" w:hAnsi="Arial" w:cs="Arial"/>
          <w:b/>
          <w:color w:val="000000"/>
          <w:sz w:val="20"/>
        </w:rPr>
        <w:t>CONCURRING IN PART AND DISSENTING IN PART</w:t>
      </w:r>
    </w:p>
    <w:p w14:paraId="75B0C2BD" w14:textId="77777777" w:rsidR="002B10A6" w:rsidRDefault="00000000">
      <w:pPr>
        <w:pStyle w:val="Normal22"/>
        <w:widowControl w:val="0"/>
        <w:spacing w:before="200" w:line="260" w:lineRule="atLeast"/>
        <w:jc w:val="both"/>
      </w:pPr>
      <w:bookmarkStart w:id="4087" w:name="Bookmark_para_104_0"/>
      <w:bookmarkEnd w:id="4087"/>
      <w:r>
        <w:rPr>
          <w:rFonts w:ascii="Arial" w:eastAsia="Arial" w:hAnsi="Arial" w:cs="Arial"/>
          <w:color w:val="000000"/>
          <w:sz w:val="20"/>
        </w:rPr>
        <w:t>CHAD A. READLER, Ciuit Judge, concurring in part, and dissenting in part. Save for three instances where the majority opinion extends acts of Congress in an extra-legislative, atextual manner, I agree that the complaint may proceed beyond the pleading stage.</w:t>
      </w:r>
    </w:p>
    <w:p w14:paraId="192BBEA1" w14:textId="77777777" w:rsidR="002B10A6" w:rsidRDefault="00000000">
      <w:pPr>
        <w:pStyle w:val="Normal22"/>
        <w:widowControl w:val="0"/>
        <w:spacing w:before="200" w:line="260" w:lineRule="atLeast"/>
        <w:jc w:val="both"/>
      </w:pPr>
      <w:bookmarkStart w:id="4088" w:name="Bookmark_para_105_0"/>
      <w:bookmarkStart w:id="4089" w:name="Bookmark_I69C45251FC0000624M00043"/>
      <w:bookmarkStart w:id="4090" w:name="Bookmark_I61CDHYJ2SF87R0020000400"/>
      <w:bookmarkEnd w:id="4088"/>
      <w:bookmarkEnd w:id="4089"/>
      <w:bookmarkEnd w:id="4090"/>
      <w:r>
        <w:rPr>
          <w:rFonts w:ascii="Arial" w:eastAsia="Arial" w:hAnsi="Arial" w:cs="Arial"/>
          <w:i/>
          <w:color w:val="000000"/>
          <w:sz w:val="20"/>
        </w:rPr>
        <w:t>Section 1396n(c)(2) of the Medicaid Act</w:t>
      </w:r>
      <w:r>
        <w:rPr>
          <w:rFonts w:ascii="Arial" w:eastAsia="Arial" w:hAnsi="Arial" w:cs="Arial"/>
          <w:color w:val="000000"/>
          <w:sz w:val="20"/>
        </w:rPr>
        <w:t xml:space="preserve">. Section 1396n(c)(2) does not grant Appellants legal rights they can enforce via 42 U.S.C. § 1983. </w:t>
      </w:r>
      <w:bookmarkStart w:id="4091" w:name="Bookmark_I69C45252TP0000624M00044"/>
      <w:bookmarkStart w:id="4092" w:name="Bookmark_I69C45255JY0000624M00046"/>
      <w:bookmarkStart w:id="4093" w:name="Bookmark_I61CDHYJ2SF87R0040000400"/>
      <w:bookmarkEnd w:id="4091"/>
      <w:bookmarkEnd w:id="4092"/>
      <w:bookmarkEnd w:id="4093"/>
      <w:r>
        <w:rPr>
          <w:rFonts w:ascii="Arial" w:eastAsia="Arial" w:hAnsi="Arial" w:cs="Arial"/>
          <w:color w:val="000000"/>
          <w:sz w:val="20"/>
        </w:rPr>
        <w:t xml:space="preserve">A statute creates individual rights only when Congress has expressed a clear intent to do so. </w:t>
      </w:r>
      <w:bookmarkStart w:id="4094" w:name="Bookmark_I61CDHYJ2SF87R0010000400"/>
      <w:bookmarkEnd w:id="4094"/>
      <w:r>
        <w:rPr>
          <w:rFonts w:ascii="Arial" w:eastAsia="Arial" w:hAnsi="Arial" w:cs="Arial"/>
          <w:i/>
          <w:color w:val="000000"/>
          <w:sz w:val="20"/>
        </w:rPr>
        <w:t>Gonzaga Univ. v. Doe</w:t>
      </w:r>
      <w:r>
        <w:rPr>
          <w:rFonts w:ascii="Arial" w:eastAsia="Arial" w:hAnsi="Arial" w:cs="Arial"/>
          <w:color w:val="000000"/>
          <w:sz w:val="20"/>
        </w:rPr>
        <w:t xml:space="preserve">, 536 U.S. 273, 286, 122 S. Ct. 2268, 153 L. Ed. 2d 309 (2002). </w:t>
      </w:r>
      <w:bookmarkStart w:id="4095" w:name="Bookmark_I69C45258860000624M00048"/>
      <w:bookmarkStart w:id="4096" w:name="Bookmark_I61CDHYJ2HM6FY0030000400"/>
      <w:bookmarkEnd w:id="4095"/>
      <w:bookmarkEnd w:id="4096"/>
      <w:r>
        <w:rPr>
          <w:rFonts w:ascii="Arial" w:eastAsia="Arial" w:hAnsi="Arial" w:cs="Arial"/>
          <w:color w:val="000000"/>
          <w:sz w:val="20"/>
        </w:rPr>
        <w:t xml:space="preserve">That intent will not be lurking in the shadows. </w:t>
      </w:r>
      <w:bookmarkStart w:id="4097" w:name="Bookmark_I61CDHYJ2HM6FY0030000400_2"/>
      <w:bookmarkStart w:id="4098" w:name="Bookmark_I61CDHYJ2SF87R0040000400_2"/>
      <w:bookmarkEnd w:id="4097"/>
      <w:bookmarkEnd w:id="4098"/>
      <w:r>
        <w:rPr>
          <w:rFonts w:ascii="Arial" w:eastAsia="Arial" w:hAnsi="Arial" w:cs="Arial"/>
          <w:color w:val="000000"/>
          <w:sz w:val="20"/>
        </w:rPr>
        <w:t xml:space="preserve">For when Congress intends to create an individual right, it does so expressly, in the light of day. </w:t>
      </w:r>
      <w:r>
        <w:rPr>
          <w:rFonts w:ascii="Arial" w:eastAsia="Arial" w:hAnsi="Arial" w:cs="Arial"/>
          <w:i/>
          <w:color w:val="000000"/>
          <w:sz w:val="20"/>
        </w:rPr>
        <w:t xml:space="preserve">See </w:t>
      </w:r>
      <w:bookmarkStart w:id="4099" w:name="Bookmark_I61CDHYJ2SF87R0030000400"/>
      <w:bookmarkEnd w:id="4099"/>
      <w:r>
        <w:rPr>
          <w:rFonts w:ascii="Arial" w:eastAsia="Arial" w:hAnsi="Arial" w:cs="Arial"/>
          <w:i/>
          <w:color w:val="000000"/>
          <w:sz w:val="20"/>
        </w:rPr>
        <w:t>Estate of Cornell v. Bayview Loan Servicing, LLC</w:t>
      </w:r>
      <w:r>
        <w:rPr>
          <w:rFonts w:ascii="Arial" w:eastAsia="Arial" w:hAnsi="Arial" w:cs="Arial"/>
          <w:color w:val="000000"/>
          <w:sz w:val="20"/>
        </w:rPr>
        <w:t xml:space="preserve">, 908 F.3d 1008, 1013 (6th Cir. 2018) (noting that statutory rights are only created when Congress does so in "clear and unambiguous terms" (quoting </w:t>
      </w:r>
      <w:bookmarkStart w:id="4100" w:name="Bookmark_I61CDHYJ2SF87R0050000400"/>
      <w:bookmarkEnd w:id="4100"/>
      <w:r>
        <w:rPr>
          <w:rFonts w:ascii="Arial" w:eastAsia="Arial" w:hAnsi="Arial" w:cs="Arial"/>
          <w:i/>
          <w:color w:val="000000"/>
          <w:sz w:val="20"/>
        </w:rPr>
        <w:t>Gonzaga</w:t>
      </w:r>
      <w:r>
        <w:rPr>
          <w:rFonts w:ascii="Arial" w:eastAsia="Arial" w:hAnsi="Arial" w:cs="Arial"/>
          <w:color w:val="000000"/>
          <w:sz w:val="20"/>
        </w:rPr>
        <w:t xml:space="preserve">, 536 U.S at 290)). So "unless Congress speaks with a clear voice, and manifests an unambiguous intent to confer individual rights, federal funding provisions provide no basis for private enforcement by § 1983." </w:t>
      </w:r>
      <w:bookmarkStart w:id="4101" w:name="Bookmark_I61CDHYJ2HM6FY0020000400"/>
      <w:bookmarkEnd w:id="4101"/>
      <w:r>
        <w:rPr>
          <w:rFonts w:ascii="Arial" w:eastAsia="Arial" w:hAnsi="Arial" w:cs="Arial"/>
          <w:i/>
          <w:color w:val="000000"/>
          <w:sz w:val="20"/>
        </w:rPr>
        <w:t>Gonzaga</w:t>
      </w:r>
      <w:r>
        <w:rPr>
          <w:rFonts w:ascii="Arial" w:eastAsia="Arial" w:hAnsi="Arial" w:cs="Arial"/>
          <w:color w:val="000000"/>
          <w:sz w:val="20"/>
        </w:rPr>
        <w:t>, 536 U.S. at 280 (cleaned up).</w:t>
      </w:r>
    </w:p>
    <w:p w14:paraId="3E3CE49B" w14:textId="77777777" w:rsidR="002B10A6" w:rsidRDefault="00000000">
      <w:pPr>
        <w:pStyle w:val="Normal22"/>
        <w:widowControl w:val="0"/>
        <w:spacing w:before="200" w:line="260" w:lineRule="atLeast"/>
        <w:jc w:val="both"/>
      </w:pPr>
      <w:bookmarkStart w:id="4102" w:name="Bookmark_para_106_0"/>
      <w:bookmarkStart w:id="4103" w:name="Bookmark_I69C4525C0T0000624M0004B"/>
      <w:bookmarkStart w:id="4104" w:name="Bookmark_I61CDHYJ2HM6FY0050000400"/>
      <w:bookmarkEnd w:id="4102"/>
      <w:bookmarkEnd w:id="4103"/>
      <w:bookmarkEnd w:id="4104"/>
      <w:r>
        <w:rPr>
          <w:rFonts w:ascii="Arial" w:eastAsia="Arial" w:hAnsi="Arial" w:cs="Arial"/>
          <w:color w:val="000000"/>
          <w:sz w:val="20"/>
        </w:rPr>
        <w:t xml:space="preserve">That one can identify beneficiaries from a statute's terms is not tantamount to a finding that the statute creates individual rights [**80]  in those beneficiaries. More than simply establishing benefits, the statute must also include unambiguous, rights-creating language generating an enforceable individual right. </w:t>
      </w:r>
      <w:bookmarkStart w:id="4105" w:name="Bookmark_I69C4525DBD0000624M0004C"/>
      <w:bookmarkStart w:id="4106" w:name="Bookmark_I69C4525H2Y0000624M0004F"/>
      <w:bookmarkStart w:id="4107" w:name="Bookmark_I69C4525KSY0000624M0004H"/>
      <w:bookmarkStart w:id="4108" w:name="Bookmark_I69C4525PGB0000624M0004K"/>
      <w:bookmarkStart w:id="4109" w:name="Bookmark_I61CDHYJ2N1PTF0020000400"/>
      <w:bookmarkStart w:id="4110" w:name="Bookmark_I61CDHYJ2HM6FY0040000400"/>
      <w:bookmarkEnd w:id="4105"/>
      <w:bookmarkEnd w:id="4106"/>
      <w:bookmarkEnd w:id="4107"/>
      <w:bookmarkEnd w:id="4108"/>
      <w:bookmarkEnd w:id="4109"/>
      <w:bookmarkEnd w:id="4110"/>
      <w:r>
        <w:rPr>
          <w:rFonts w:ascii="Arial" w:eastAsia="Arial" w:hAnsi="Arial" w:cs="Arial"/>
          <w:i/>
          <w:color w:val="000000"/>
          <w:sz w:val="20"/>
        </w:rPr>
        <w:t>Harris v. Olszewski</w:t>
      </w:r>
      <w:r>
        <w:rPr>
          <w:rFonts w:ascii="Arial" w:eastAsia="Arial" w:hAnsi="Arial" w:cs="Arial"/>
          <w:color w:val="000000"/>
          <w:sz w:val="20"/>
        </w:rPr>
        <w:t xml:space="preserve">, 442 F.3d 456, 460 (6th Cir. 2006) ("[A] claimant must demonstrate that the underlying statute creates enforceable rights because it is </w:t>
      </w:r>
      <w:r>
        <w:rPr>
          <w:rFonts w:ascii="Arial" w:eastAsia="Arial" w:hAnsi="Arial" w:cs="Arial"/>
          <w:i/>
          <w:color w:val="000000"/>
          <w:sz w:val="20"/>
        </w:rPr>
        <w:t>rights</w:t>
      </w:r>
      <w:r>
        <w:rPr>
          <w:rFonts w:ascii="Arial" w:eastAsia="Arial" w:hAnsi="Arial" w:cs="Arial"/>
          <w:color w:val="000000"/>
          <w:sz w:val="20"/>
        </w:rPr>
        <w:t xml:space="preserve"> after all, not the broader or vaguer benefits or interests, that may be enforced under the statute." (quotations omitted)). </w:t>
      </w:r>
      <w:bookmarkStart w:id="4111" w:name="Bookmark_I61CDHYJ2N1PTF0020000400_2"/>
      <w:bookmarkEnd w:id="4111"/>
      <w:r>
        <w:rPr>
          <w:rFonts w:ascii="Arial" w:eastAsia="Arial" w:hAnsi="Arial" w:cs="Arial"/>
          <w:color w:val="000000"/>
          <w:sz w:val="20"/>
        </w:rPr>
        <w:t xml:space="preserve">And where a statute's focus is on a regulated entity, no individual rights exist. </w:t>
      </w:r>
      <w:bookmarkStart w:id="4112" w:name="Bookmark_I61CDHYJ2N1PTF0010000400"/>
      <w:bookmarkEnd w:id="4112"/>
      <w:r>
        <w:rPr>
          <w:rFonts w:ascii="Arial" w:eastAsia="Arial" w:hAnsi="Arial" w:cs="Arial"/>
          <w:i/>
          <w:color w:val="000000"/>
          <w:sz w:val="20"/>
        </w:rPr>
        <w:t>Alexander v. Sandoval</w:t>
      </w:r>
      <w:r>
        <w:rPr>
          <w:rFonts w:ascii="Arial" w:eastAsia="Arial" w:hAnsi="Arial" w:cs="Arial"/>
          <w:color w:val="000000"/>
          <w:sz w:val="20"/>
        </w:rPr>
        <w:t xml:space="preserve">, 532 U.S. 275, 289, 121 S. Ct. 1511, 149 L. Ed. 2d 517 (2001) ("Statutes that focus on the person regulated rather than the individuals protected create 'no implication of an intent to confer rights on a particular class of persons.'" (quoting </w:t>
      </w:r>
      <w:bookmarkStart w:id="4113" w:name="Bookmark_I61CDHYJ2N1PTF0030000400"/>
      <w:bookmarkEnd w:id="4113"/>
      <w:r>
        <w:rPr>
          <w:rFonts w:ascii="Arial" w:eastAsia="Arial" w:hAnsi="Arial" w:cs="Arial"/>
          <w:i/>
          <w:color w:val="000000"/>
          <w:sz w:val="20"/>
        </w:rPr>
        <w:t>California v. Sierra Club</w:t>
      </w:r>
      <w:r>
        <w:rPr>
          <w:rFonts w:ascii="Arial" w:eastAsia="Arial" w:hAnsi="Arial" w:cs="Arial"/>
          <w:color w:val="000000"/>
          <w:sz w:val="20"/>
        </w:rPr>
        <w:t xml:space="preserve">, 451 U.S. 287, 294, 101 S. Ct. 1775, 68 L. Ed. 2d 101 (1981))); </w:t>
      </w:r>
      <w:r>
        <w:rPr>
          <w:rFonts w:ascii="Arial" w:eastAsia="Arial" w:hAnsi="Arial" w:cs="Arial"/>
          <w:i/>
          <w:color w:val="000000"/>
          <w:sz w:val="20"/>
        </w:rPr>
        <w:t xml:space="preserve">see also </w:t>
      </w:r>
      <w:bookmarkStart w:id="4114" w:name="Bookmark_I61CDHYJ2N1PTF0050000400"/>
      <w:bookmarkEnd w:id="4114"/>
      <w:r>
        <w:rPr>
          <w:rFonts w:ascii="Arial" w:eastAsia="Arial" w:hAnsi="Arial" w:cs="Arial"/>
          <w:i/>
          <w:color w:val="000000"/>
          <w:sz w:val="20"/>
        </w:rPr>
        <w:t>Gonzaga</w:t>
      </w:r>
      <w:r>
        <w:rPr>
          <w:rFonts w:ascii="Arial" w:eastAsia="Arial" w:hAnsi="Arial" w:cs="Arial"/>
          <w:color w:val="000000"/>
          <w:sz w:val="20"/>
        </w:rPr>
        <w:t>, 536 U.S. at 284 (noting that statutes create an individual right when there is an "</w:t>
      </w:r>
      <w:r>
        <w:rPr>
          <w:rFonts w:ascii="Arial" w:eastAsia="Arial" w:hAnsi="Arial" w:cs="Arial"/>
          <w:i/>
          <w:color w:val="000000"/>
          <w:sz w:val="20"/>
        </w:rPr>
        <w:t>unmistakable focus</w:t>
      </w:r>
      <w:r>
        <w:rPr>
          <w:rFonts w:ascii="Arial" w:eastAsia="Arial" w:hAnsi="Arial" w:cs="Arial"/>
          <w:color w:val="000000"/>
          <w:sz w:val="20"/>
        </w:rPr>
        <w:t xml:space="preserve"> on the benefited class" (quoting </w:t>
      </w:r>
      <w:bookmarkStart w:id="4115" w:name="Bookmark_I61CDHYK28T4M50020000400"/>
      <w:bookmarkEnd w:id="4115"/>
      <w:r>
        <w:rPr>
          <w:rFonts w:ascii="Arial" w:eastAsia="Arial" w:hAnsi="Arial" w:cs="Arial"/>
          <w:i/>
          <w:color w:val="000000"/>
          <w:sz w:val="20"/>
        </w:rPr>
        <w:t>Cannon v. Univ. of Chicago</w:t>
      </w:r>
      <w:r>
        <w:rPr>
          <w:rFonts w:ascii="Arial" w:eastAsia="Arial" w:hAnsi="Arial" w:cs="Arial"/>
          <w:color w:val="000000"/>
          <w:sz w:val="20"/>
        </w:rPr>
        <w:t>, 441 U.S. 677, 691, 99 S. Ct. 1946, 60 L. Ed. 2d 560 (1979))).</w:t>
      </w:r>
    </w:p>
    <w:p w14:paraId="411AD80A" w14:textId="77777777" w:rsidR="002B10A6" w:rsidRDefault="00000000">
      <w:pPr>
        <w:pStyle w:val="Normal22"/>
        <w:widowControl w:val="0"/>
        <w:spacing w:before="200" w:line="260" w:lineRule="atLeast"/>
        <w:jc w:val="both"/>
      </w:pPr>
      <w:bookmarkStart w:id="4116" w:name="Bookmark_para_107_0"/>
      <w:bookmarkEnd w:id="4116"/>
      <w:r>
        <w:rPr>
          <w:rFonts w:ascii="Arial" w:eastAsia="Arial" w:hAnsi="Arial" w:cs="Arial"/>
          <w:color w:val="000000"/>
          <w:sz w:val="20"/>
        </w:rPr>
        <w:t xml:space="preserve"> [***47]  Section 1396n(c)(2) fails to clear this high bar. To start, the section's focus is on the regulated state, not the beneficiaries. As a lead up to § 1396n(c)(2), § 1396n(c)(1) explains that "[t]he Secretary may by waiver provide that a State plan" include "medical assistance" to cover "the cost of home or community-based services . . . approved by the Secretary [of Health and Human Services]." 42 U.S.C. § 1396n(c)(1). Section 1396n(c)(2) in turn instructs the Secretary how to [**81]  regulate states seeking a waiver: "A waiver shall not be granted under this subsection unless the State provides assurances satisfactory to the Secretary . . . ." 42 U.S.C. § 1396n(c)(2). The  [*467]  provisions that follow go on to list the duties placed upon a participating state. It must implement safeguards to protect the health and welfare of the participants, demonstrate financial accountability, and inform individuals of their healthcare options. </w:t>
      </w:r>
      <w:bookmarkStart w:id="4117" w:name="Bookmark_I69C4525T5D0000624M0004N"/>
      <w:bookmarkStart w:id="4118" w:name="Bookmark_I69C452662K0000624M0004Y"/>
      <w:bookmarkStart w:id="4119" w:name="Bookmark_I61CDHYK28T4M50050000400"/>
      <w:bookmarkEnd w:id="4117"/>
      <w:bookmarkEnd w:id="4118"/>
      <w:bookmarkEnd w:id="4119"/>
      <w:r>
        <w:rPr>
          <w:rFonts w:ascii="Arial" w:eastAsia="Arial" w:hAnsi="Arial" w:cs="Arial"/>
          <w:i/>
          <w:color w:val="000000"/>
          <w:sz w:val="20"/>
        </w:rPr>
        <w:t>Id.</w:t>
      </w:r>
      <w:r>
        <w:rPr>
          <w:rFonts w:ascii="Arial" w:eastAsia="Arial" w:hAnsi="Arial" w:cs="Arial"/>
          <w:color w:val="000000"/>
          <w:sz w:val="20"/>
        </w:rPr>
        <w:t xml:space="preserve"> In some respects, each of these state-owed duties may result in benefits to individuals participating in a state's Medicaid program. But that is merely an ancillary result of a state's compliance with federal law, well short of the "unmistakable focus" required to demonstrate congressional intent to create individual rights. </w:t>
      </w:r>
      <w:bookmarkStart w:id="4120" w:name="Bookmark_I61CDHYK28T4M50040000400"/>
      <w:bookmarkEnd w:id="4120"/>
      <w:r>
        <w:rPr>
          <w:rFonts w:ascii="Arial" w:eastAsia="Arial" w:hAnsi="Arial" w:cs="Arial"/>
          <w:i/>
          <w:color w:val="000000"/>
          <w:sz w:val="20"/>
        </w:rPr>
        <w:t>Gonzaga</w:t>
      </w:r>
      <w:r>
        <w:rPr>
          <w:rFonts w:ascii="Arial" w:eastAsia="Arial" w:hAnsi="Arial" w:cs="Arial"/>
          <w:color w:val="000000"/>
          <w:sz w:val="20"/>
        </w:rPr>
        <w:t xml:space="preserve">, 536 U.S. at 284 (quoting </w:t>
      </w:r>
      <w:bookmarkStart w:id="4121" w:name="Bookmark_I61CDHYK2SF87T0010000400"/>
      <w:bookmarkEnd w:id="4121"/>
      <w:r>
        <w:rPr>
          <w:rFonts w:ascii="Arial" w:eastAsia="Arial" w:hAnsi="Arial" w:cs="Arial"/>
          <w:i/>
          <w:color w:val="000000"/>
          <w:sz w:val="20"/>
        </w:rPr>
        <w:t>Cannon</w:t>
      </w:r>
      <w:r>
        <w:rPr>
          <w:rFonts w:ascii="Arial" w:eastAsia="Arial" w:hAnsi="Arial" w:cs="Arial"/>
          <w:color w:val="000000"/>
          <w:sz w:val="20"/>
        </w:rPr>
        <w:t>, 441 U.S. at 691).</w:t>
      </w:r>
    </w:p>
    <w:p w14:paraId="3DDEC748" w14:textId="77777777" w:rsidR="002B10A6" w:rsidRDefault="00000000">
      <w:pPr>
        <w:pStyle w:val="Normal22"/>
        <w:widowControl w:val="0"/>
        <w:spacing w:before="200" w:line="260" w:lineRule="atLeast"/>
        <w:jc w:val="both"/>
      </w:pPr>
      <w:bookmarkStart w:id="4122" w:name="Bookmark_para_108_0"/>
      <w:bookmarkStart w:id="4123" w:name="Bookmark_I69C4525VH70000624M0004P"/>
      <w:bookmarkStart w:id="4124" w:name="Bookmark_I61CDHYK2SF87T0040000400"/>
      <w:bookmarkEnd w:id="4122"/>
      <w:bookmarkEnd w:id="4123"/>
      <w:bookmarkEnd w:id="4124"/>
      <w:r>
        <w:rPr>
          <w:rFonts w:ascii="Arial" w:eastAsia="Arial" w:hAnsi="Arial" w:cs="Arial"/>
          <w:color w:val="000000"/>
          <w:sz w:val="20"/>
        </w:rPr>
        <w:t xml:space="preserve">Confirming this reading of § 1396n(c)(2) is the remedy Congress employed for statutory violations. Should a state breach its assurances to the Secretary, the Secretary can strip the state's federal funds. </w:t>
      </w:r>
      <w:bookmarkStart w:id="4125" w:name="Bookmark_I69C4525WY80000624M0004R"/>
      <w:bookmarkStart w:id="4126" w:name="Bookmark_I69C45260MH0000624M0004T"/>
      <w:bookmarkStart w:id="4127" w:name="Bookmark_I69C45263B90000624M0004W"/>
      <w:bookmarkStart w:id="4128" w:name="Bookmark_I69C45267DD0000624M00050"/>
      <w:bookmarkStart w:id="4129" w:name="Bookmark_I61CDHYK2D6MS80010000400"/>
      <w:bookmarkEnd w:id="4125"/>
      <w:bookmarkEnd w:id="4126"/>
      <w:bookmarkEnd w:id="4127"/>
      <w:bookmarkEnd w:id="4128"/>
      <w:bookmarkEnd w:id="4129"/>
      <w:r>
        <w:rPr>
          <w:rFonts w:ascii="Arial" w:eastAsia="Arial" w:hAnsi="Arial" w:cs="Arial"/>
          <w:i/>
          <w:color w:val="000000"/>
          <w:sz w:val="20"/>
        </w:rPr>
        <w:t>See</w:t>
      </w:r>
      <w:r>
        <w:rPr>
          <w:rFonts w:ascii="Arial" w:eastAsia="Arial" w:hAnsi="Arial" w:cs="Arial"/>
          <w:color w:val="000000"/>
          <w:sz w:val="20"/>
        </w:rPr>
        <w:t xml:space="preserve"> 42 U.S.C. § 1396n(f)(1); </w:t>
      </w:r>
      <w:bookmarkStart w:id="4130" w:name="Bookmark_I61CDHYK2SF87T0030000400"/>
      <w:bookmarkEnd w:id="4130"/>
      <w:r>
        <w:rPr>
          <w:rFonts w:ascii="Arial" w:eastAsia="Arial" w:hAnsi="Arial" w:cs="Arial"/>
          <w:i/>
          <w:color w:val="000000"/>
          <w:sz w:val="20"/>
        </w:rPr>
        <w:t>Armstrong v. Exceptional Child Ctr., Inc.</w:t>
      </w:r>
      <w:r>
        <w:rPr>
          <w:rFonts w:ascii="Arial" w:eastAsia="Arial" w:hAnsi="Arial" w:cs="Arial"/>
          <w:color w:val="000000"/>
          <w:sz w:val="20"/>
        </w:rPr>
        <w:t xml:space="preserve">, 575 U.S. 320, 328, 135 S. Ct. 1378, 191 L. Ed. 2d 471 (2015) ("[T]he sole remedy Congress provided for a State's failure to comply with Medicaid's requirements . . . is the withholding of Medicaid funds by the Secretary of Health and Human Services."). </w:t>
      </w:r>
      <w:bookmarkStart w:id="4131" w:name="Bookmark_I61CDHYK2D6MS80010000400_2"/>
      <w:bookmarkEnd w:id="4131"/>
      <w:r>
        <w:rPr>
          <w:rFonts w:ascii="Arial" w:eastAsia="Arial" w:hAnsi="Arial" w:cs="Arial"/>
          <w:color w:val="000000"/>
          <w:sz w:val="20"/>
        </w:rPr>
        <w:t xml:space="preserve">By including this "express" remedy, Congress [**82]  surely "intended to preclude others," including the enforcement of statutory requirements by individuals. </w:t>
      </w:r>
      <w:bookmarkStart w:id="4132" w:name="Bookmark_I61CDHYK2SF87T0050000400"/>
      <w:bookmarkEnd w:id="4132"/>
      <w:r>
        <w:rPr>
          <w:rFonts w:ascii="Arial" w:eastAsia="Arial" w:hAnsi="Arial" w:cs="Arial"/>
          <w:i/>
          <w:color w:val="000000"/>
          <w:sz w:val="20"/>
        </w:rPr>
        <w:t>Armstrong</w:t>
      </w:r>
      <w:r>
        <w:rPr>
          <w:rFonts w:ascii="Arial" w:eastAsia="Arial" w:hAnsi="Arial" w:cs="Arial"/>
          <w:color w:val="000000"/>
          <w:sz w:val="20"/>
        </w:rPr>
        <w:t xml:space="preserve">, 575 U.S. at 328 (quoting </w:t>
      </w:r>
      <w:bookmarkStart w:id="4133" w:name="Bookmark_I61CDHYK2D6MS80020000400"/>
      <w:bookmarkEnd w:id="4133"/>
      <w:r>
        <w:rPr>
          <w:rFonts w:ascii="Arial" w:eastAsia="Arial" w:hAnsi="Arial" w:cs="Arial"/>
          <w:i/>
          <w:color w:val="000000"/>
          <w:sz w:val="20"/>
        </w:rPr>
        <w:t>Sandoval</w:t>
      </w:r>
      <w:r>
        <w:rPr>
          <w:rFonts w:ascii="Arial" w:eastAsia="Arial" w:hAnsi="Arial" w:cs="Arial"/>
          <w:color w:val="000000"/>
          <w:sz w:val="20"/>
        </w:rPr>
        <w:t xml:space="preserve">, 532 U.S. at 290); </w:t>
      </w:r>
      <w:r>
        <w:rPr>
          <w:rFonts w:ascii="Arial" w:eastAsia="Arial" w:hAnsi="Arial" w:cs="Arial"/>
          <w:i/>
          <w:color w:val="000000"/>
          <w:sz w:val="20"/>
        </w:rPr>
        <w:t xml:space="preserve">see also </w:t>
      </w:r>
      <w:bookmarkStart w:id="4134" w:name="Bookmark_I61CDHYK2D6MS80040000400"/>
      <w:bookmarkEnd w:id="4134"/>
      <w:r>
        <w:rPr>
          <w:rFonts w:ascii="Arial" w:eastAsia="Arial" w:hAnsi="Arial" w:cs="Arial"/>
          <w:i/>
          <w:color w:val="000000"/>
          <w:sz w:val="20"/>
        </w:rPr>
        <w:t>Gonzaga</w:t>
      </w:r>
      <w:r>
        <w:rPr>
          <w:rFonts w:ascii="Arial" w:eastAsia="Arial" w:hAnsi="Arial" w:cs="Arial"/>
          <w:color w:val="000000"/>
          <w:sz w:val="20"/>
        </w:rPr>
        <w:t xml:space="preserve">, 536 U.S. at 280 ("[T]he typical remedy for state noncompliance with federally imposed conditions is not a private cause of action for noncompliance but rather action by the Federal Government to terminate funds to the State." (citation omitted)); </w:t>
      </w:r>
      <w:bookmarkStart w:id="4135" w:name="Bookmark_I61CDHYK2HM6G10010000400"/>
      <w:bookmarkEnd w:id="4135"/>
      <w:r>
        <w:rPr>
          <w:rFonts w:ascii="Arial" w:eastAsia="Arial" w:hAnsi="Arial" w:cs="Arial"/>
          <w:i/>
          <w:color w:val="000000"/>
          <w:sz w:val="20"/>
        </w:rPr>
        <w:t>Nasello v. Eagleson</w:t>
      </w:r>
      <w:r>
        <w:rPr>
          <w:rFonts w:ascii="Arial" w:eastAsia="Arial" w:hAnsi="Arial" w:cs="Arial"/>
          <w:color w:val="000000"/>
          <w:sz w:val="20"/>
        </w:rPr>
        <w:t>, 977 F.3d 599, 2020 U.S. App. LEXIS 31722, 2020 WL 5905070, at *2 (7th Cir. Oct. 6, 2020) (holding that a similar section of the Medicaid Act does not authorize suits by individuals, and noting that individuals dissatisfied with a state's program could "ask the responsible federal officials to disapprove a state's plan or withhold reimbursement").</w:t>
      </w:r>
    </w:p>
    <w:p w14:paraId="268FF238" w14:textId="77777777" w:rsidR="002B10A6" w:rsidRDefault="00000000">
      <w:pPr>
        <w:pStyle w:val="Normal22"/>
        <w:widowControl w:val="0"/>
        <w:spacing w:before="200" w:line="260" w:lineRule="atLeast"/>
        <w:jc w:val="both"/>
      </w:pPr>
      <w:bookmarkStart w:id="4136" w:name="Bookmark_para_109_0"/>
      <w:bookmarkEnd w:id="4136"/>
      <w:r>
        <w:rPr>
          <w:rFonts w:ascii="Arial" w:eastAsia="Arial" w:hAnsi="Arial" w:cs="Arial"/>
          <w:color w:val="000000"/>
          <w:sz w:val="20"/>
        </w:rPr>
        <w:t xml:space="preserve"> [***48]  </w:t>
      </w:r>
      <w:bookmarkStart w:id="4137" w:name="Bookmark_I69C4522T3B0000624M0002G"/>
      <w:bookmarkStart w:id="4138" w:name="Bookmark_I61CDHYK2HM6G10040000400"/>
      <w:bookmarkEnd w:id="4137"/>
      <w:bookmarkEnd w:id="4138"/>
      <w:r>
        <w:rPr>
          <w:rFonts w:ascii="Arial" w:eastAsia="Arial" w:hAnsi="Arial" w:cs="Arial"/>
          <w:color w:val="000000"/>
          <w:sz w:val="20"/>
        </w:rPr>
        <w:t xml:space="preserve">In these ways, today's case tracks </w:t>
      </w:r>
      <w:r>
        <w:rPr>
          <w:rFonts w:ascii="Arial" w:eastAsia="Arial" w:hAnsi="Arial" w:cs="Arial"/>
          <w:i/>
          <w:color w:val="000000"/>
          <w:sz w:val="20"/>
        </w:rPr>
        <w:t>Gonzaga</w:t>
      </w:r>
      <w:r>
        <w:rPr>
          <w:rFonts w:ascii="Arial" w:eastAsia="Arial" w:hAnsi="Arial" w:cs="Arial"/>
          <w:color w:val="000000"/>
          <w:sz w:val="20"/>
        </w:rPr>
        <w:t xml:space="preserve">. </w:t>
      </w:r>
      <w:bookmarkStart w:id="4139" w:name="Bookmark_I69C4522VGJ0000624M0002H"/>
      <w:bookmarkStart w:id="4140" w:name="Bookmark_I61CDHYM2HM6G20010000400"/>
      <w:bookmarkEnd w:id="4139"/>
      <w:bookmarkEnd w:id="4140"/>
      <w:r>
        <w:rPr>
          <w:rFonts w:ascii="Arial" w:eastAsia="Arial" w:hAnsi="Arial" w:cs="Arial"/>
          <w:color w:val="000000"/>
          <w:sz w:val="20"/>
        </w:rPr>
        <w:t xml:space="preserve">There, the Supreme Court determined that the Family Educational Rights and Privacy Act (FERPA), which protects students from educational institutions mishandling their personal information, did not create individual rights enforceable via § 1983. </w:t>
      </w:r>
      <w:bookmarkStart w:id="4141" w:name="Bookmark_I69C4522Y6F0000624M0002K"/>
      <w:bookmarkStart w:id="4142" w:name="Bookmark_I61CDHYM2HM6G20030000400"/>
      <w:bookmarkStart w:id="4143" w:name="Bookmark_I61CDHYK2HM6G10030000400"/>
      <w:bookmarkEnd w:id="4141"/>
      <w:bookmarkEnd w:id="4142"/>
      <w:bookmarkEnd w:id="4143"/>
      <w:r>
        <w:rPr>
          <w:rFonts w:ascii="Arial" w:eastAsia="Arial" w:hAnsi="Arial" w:cs="Arial"/>
          <w:i/>
          <w:color w:val="000000"/>
          <w:sz w:val="20"/>
        </w:rPr>
        <w:t>Gonzaga</w:t>
      </w:r>
      <w:r>
        <w:rPr>
          <w:rFonts w:ascii="Arial" w:eastAsia="Arial" w:hAnsi="Arial" w:cs="Arial"/>
          <w:color w:val="000000"/>
          <w:sz w:val="20"/>
        </w:rPr>
        <w:t xml:space="preserve">, 536 U.S. at 276. </w:t>
      </w:r>
      <w:bookmarkStart w:id="4144" w:name="Bookmark_I61CDHYM2HM6G20030000400_2"/>
      <w:bookmarkStart w:id="4145" w:name="Bookmark_I61CDHYM2HM6G20010000400_2"/>
      <w:bookmarkEnd w:id="4144"/>
      <w:bookmarkEnd w:id="4145"/>
      <w:r>
        <w:rPr>
          <w:rFonts w:ascii="Arial" w:eastAsia="Arial" w:hAnsi="Arial" w:cs="Arial"/>
          <w:color w:val="000000"/>
          <w:sz w:val="20"/>
        </w:rPr>
        <w:t xml:space="preserve">That was so, the Supreme Court explained, because FERPA "speak[s] only in terms of institutional policy and practice, not individual instances of disclosure." </w:t>
      </w:r>
      <w:bookmarkStart w:id="4146" w:name="Bookmark_I61CDHYK2HM6G10050000400"/>
      <w:bookmarkEnd w:id="4146"/>
      <w:r>
        <w:rPr>
          <w:rFonts w:ascii="Arial" w:eastAsia="Arial" w:hAnsi="Arial" w:cs="Arial"/>
          <w:i/>
          <w:color w:val="000000"/>
          <w:sz w:val="20"/>
        </w:rPr>
        <w:t>Id.</w:t>
      </w:r>
      <w:r>
        <w:rPr>
          <w:rFonts w:ascii="Arial" w:eastAsia="Arial" w:hAnsi="Arial" w:cs="Arial"/>
          <w:color w:val="000000"/>
          <w:sz w:val="20"/>
        </w:rPr>
        <w:t xml:space="preserve"> at 288. The statute thus "lack[s] the sort of rights-creating language critical to showing the requisite [**83]  congressional intent to create new rights," and does not "confer the sort of </w:t>
      </w:r>
      <w:r>
        <w:rPr>
          <w:rFonts w:ascii="Arial" w:eastAsia="Arial" w:hAnsi="Arial" w:cs="Arial"/>
          <w:i/>
          <w:color w:val="000000"/>
          <w:sz w:val="20"/>
        </w:rPr>
        <w:t>individual</w:t>
      </w:r>
      <w:r>
        <w:rPr>
          <w:rFonts w:ascii="Arial" w:eastAsia="Arial" w:hAnsi="Arial" w:cs="Arial"/>
          <w:color w:val="000000"/>
          <w:sz w:val="20"/>
        </w:rPr>
        <w:t xml:space="preserve"> entitlement that is enforceable under § 1983." </w:t>
      </w:r>
      <w:bookmarkStart w:id="4147" w:name="Bookmark_I61CDHYM2HM6G20020000400"/>
      <w:bookmarkEnd w:id="4147"/>
      <w:r>
        <w:rPr>
          <w:rFonts w:ascii="Arial" w:eastAsia="Arial" w:hAnsi="Arial" w:cs="Arial"/>
          <w:i/>
          <w:color w:val="000000"/>
          <w:sz w:val="20"/>
        </w:rPr>
        <w:t>Id.</w:t>
      </w:r>
      <w:r>
        <w:rPr>
          <w:rFonts w:ascii="Arial" w:eastAsia="Arial" w:hAnsi="Arial" w:cs="Arial"/>
          <w:color w:val="000000"/>
          <w:sz w:val="20"/>
        </w:rPr>
        <w:t xml:space="preserve"> at 287 (citations and quotations omitted). </w:t>
      </w:r>
      <w:bookmarkStart w:id="4148" w:name="Bookmark_I69C45232390000624M0002N"/>
      <w:bookmarkStart w:id="4149" w:name="Bookmark_I61CDHYM2HM6G20050000400"/>
      <w:bookmarkEnd w:id="4148"/>
      <w:bookmarkEnd w:id="4149"/>
      <w:r>
        <w:rPr>
          <w:rFonts w:ascii="Arial" w:eastAsia="Arial" w:hAnsi="Arial" w:cs="Arial"/>
          <w:color w:val="000000"/>
          <w:sz w:val="20"/>
        </w:rPr>
        <w:t>FERPA's remedial provisions, which instruct that "the Secretary of Education . . . '</w:t>
      </w:r>
      <w:r>
        <w:rPr>
          <w:rFonts w:ascii="Arial" w:eastAsia="Arial" w:hAnsi="Arial" w:cs="Arial"/>
          <w:i/>
          <w:color w:val="000000"/>
          <w:sz w:val="20"/>
        </w:rPr>
        <w:t>deal with violations</w:t>
      </w:r>
      <w:r>
        <w:rPr>
          <w:rFonts w:ascii="Arial" w:eastAsia="Arial" w:hAnsi="Arial" w:cs="Arial"/>
          <w:color w:val="000000"/>
          <w:sz w:val="20"/>
        </w:rPr>
        <w:t xml:space="preserve">' of the Act," likewise cut against the creation of individual rights. </w:t>
      </w:r>
      <w:bookmarkStart w:id="4150" w:name="Bookmark_I61CDHYM2HM6G20040000400"/>
      <w:bookmarkEnd w:id="4150"/>
      <w:r>
        <w:rPr>
          <w:rFonts w:ascii="Arial" w:eastAsia="Arial" w:hAnsi="Arial" w:cs="Arial"/>
          <w:i/>
          <w:color w:val="000000"/>
          <w:sz w:val="20"/>
        </w:rPr>
        <w:t>Id.</w:t>
      </w:r>
      <w:r>
        <w:rPr>
          <w:rFonts w:ascii="Arial" w:eastAsia="Arial" w:hAnsi="Arial" w:cs="Arial"/>
          <w:color w:val="000000"/>
          <w:sz w:val="20"/>
        </w:rPr>
        <w:t xml:space="preserve"> at 289 (citation omitted). And comparing FERPA to § 1396n(c)(2), the similarities ring out. Both statutes speak in terms of institutional policies (not individual rights), and both contain express remedies that do not involve individuals.</w:t>
      </w:r>
    </w:p>
    <w:p w14:paraId="7B4C18BF" w14:textId="77777777" w:rsidR="002B10A6" w:rsidRDefault="00000000">
      <w:pPr>
        <w:pStyle w:val="Normal22"/>
        <w:widowControl w:val="0"/>
        <w:spacing w:before="200" w:line="260" w:lineRule="atLeast"/>
        <w:jc w:val="both"/>
      </w:pPr>
      <w:bookmarkStart w:id="4151" w:name="Bookmark_para_110_0"/>
      <w:bookmarkStart w:id="4152" w:name="Bookmark_I69C45233HH0000624M0002P"/>
      <w:bookmarkStart w:id="4153" w:name="Bookmark_I61CDHYM2N1PTH0020000400"/>
      <w:bookmarkEnd w:id="4151"/>
      <w:bookmarkEnd w:id="4152"/>
      <w:bookmarkEnd w:id="4153"/>
      <w:r>
        <w:rPr>
          <w:rFonts w:ascii="Arial" w:eastAsia="Arial" w:hAnsi="Arial" w:cs="Arial"/>
          <w:color w:val="000000"/>
          <w:sz w:val="20"/>
        </w:rPr>
        <w:t xml:space="preserve">If all of this is not enough to show why § 1396n(c)(2) fails to create individual rights, consider further the fact that the statute is "judicially unadministrable." </w:t>
      </w:r>
      <w:bookmarkStart w:id="4154" w:name="Bookmark_I61CDHYM2N1PTH0010000400"/>
      <w:bookmarkEnd w:id="4154"/>
      <w:r>
        <w:rPr>
          <w:rFonts w:ascii="Arial" w:eastAsia="Arial" w:hAnsi="Arial" w:cs="Arial"/>
          <w:i/>
          <w:color w:val="000000"/>
          <w:sz w:val="20"/>
        </w:rPr>
        <w:t>Armstrong</w:t>
      </w:r>
      <w:r>
        <w:rPr>
          <w:rFonts w:ascii="Arial" w:eastAsia="Arial" w:hAnsi="Arial" w:cs="Arial"/>
          <w:color w:val="000000"/>
          <w:sz w:val="20"/>
        </w:rPr>
        <w:t xml:space="preserve">, 575 U.S. at 328. In </w:t>
      </w:r>
      <w:r>
        <w:rPr>
          <w:rFonts w:ascii="Arial" w:eastAsia="Arial" w:hAnsi="Arial" w:cs="Arial"/>
          <w:i/>
          <w:color w:val="000000"/>
          <w:sz w:val="20"/>
        </w:rPr>
        <w:t>Armstrong</w:t>
      </w:r>
      <w:r>
        <w:rPr>
          <w:rFonts w:ascii="Arial" w:eastAsia="Arial" w:hAnsi="Arial" w:cs="Arial"/>
          <w:color w:val="000000"/>
          <w:sz w:val="20"/>
        </w:rPr>
        <w:t xml:space="preserve">, the Supreme Court held that a broad statutory directive for state "payments that are 'consistent with efficiency, economy, and quality of care,' all the while 'safeguarding against unnecessary utilization of care and services,'" undermines the suggestion that the Medicaid  [*468]  Act provisions at issue could be privately enforced. </w:t>
      </w:r>
      <w:bookmarkStart w:id="4155" w:name="Bookmark_I69C45234W70000624M0002R"/>
      <w:bookmarkStart w:id="4156" w:name="Bookmark_I69C45237NJ0000624M0002T"/>
      <w:bookmarkStart w:id="4157" w:name="Bookmark_I61CDHYM2N1PTH0040000400"/>
      <w:bookmarkEnd w:id="4155"/>
      <w:bookmarkEnd w:id="4156"/>
      <w:bookmarkEnd w:id="4157"/>
      <w:r>
        <w:rPr>
          <w:rFonts w:ascii="Arial" w:eastAsia="Arial" w:hAnsi="Arial" w:cs="Arial"/>
          <w:i/>
          <w:color w:val="000000"/>
          <w:sz w:val="20"/>
        </w:rPr>
        <w:t>Id.</w:t>
      </w:r>
      <w:r>
        <w:rPr>
          <w:rFonts w:ascii="Arial" w:eastAsia="Arial" w:hAnsi="Arial" w:cs="Arial"/>
          <w:color w:val="000000"/>
          <w:sz w:val="20"/>
        </w:rPr>
        <w:t xml:space="preserve"> (quoting 42 U.S.C. § 1396a(a)(30)(A)) (cleaned up). </w:t>
      </w:r>
      <w:bookmarkStart w:id="4158" w:name="Bookmark_I61CDHYM2N1PTH0040000400_2"/>
      <w:bookmarkEnd w:id="4158"/>
      <w:r>
        <w:rPr>
          <w:rFonts w:ascii="Arial" w:eastAsia="Arial" w:hAnsi="Arial" w:cs="Arial"/>
          <w:color w:val="000000"/>
          <w:sz w:val="20"/>
        </w:rPr>
        <w:t xml:space="preserve">Having utilized such a "judgment-laden standard," Congress no doubt intended to make administrative remedies exclusive. [**84]  </w:t>
      </w:r>
      <w:bookmarkStart w:id="4159" w:name="Bookmark_I69C4523BDK0000624M0002W"/>
      <w:bookmarkStart w:id="4160" w:name="Bookmark_I61CDHYM2N1PTJ0030000400"/>
      <w:bookmarkStart w:id="4161" w:name="Bookmark_I61CDHYM2N1PTH0030000400"/>
      <w:bookmarkEnd w:id="4159"/>
      <w:bookmarkEnd w:id="4160"/>
      <w:bookmarkEnd w:id="4161"/>
      <w:r>
        <w:rPr>
          <w:rFonts w:ascii="Arial" w:eastAsia="Arial" w:hAnsi="Arial" w:cs="Arial"/>
          <w:i/>
          <w:color w:val="000000"/>
          <w:sz w:val="20"/>
        </w:rPr>
        <w:t>Id.</w:t>
      </w:r>
      <w:r>
        <w:rPr>
          <w:rFonts w:ascii="Arial" w:eastAsia="Arial" w:hAnsi="Arial" w:cs="Arial"/>
          <w:color w:val="000000"/>
          <w:sz w:val="20"/>
        </w:rPr>
        <w:t xml:space="preserve"> at 328-29; </w:t>
      </w:r>
      <w:r>
        <w:rPr>
          <w:rFonts w:ascii="Arial" w:eastAsia="Arial" w:hAnsi="Arial" w:cs="Arial"/>
          <w:i/>
          <w:color w:val="000000"/>
          <w:sz w:val="20"/>
        </w:rPr>
        <w:t xml:space="preserve">see also </w:t>
      </w:r>
      <w:bookmarkStart w:id="4162" w:name="Bookmark_I61CDHYM2N1PTH0050000400"/>
      <w:bookmarkEnd w:id="4162"/>
      <w:r>
        <w:rPr>
          <w:rFonts w:ascii="Arial" w:eastAsia="Arial" w:hAnsi="Arial" w:cs="Arial"/>
          <w:i/>
          <w:color w:val="000000"/>
          <w:sz w:val="20"/>
        </w:rPr>
        <w:t>Westside Mothers v. Olszewski</w:t>
      </w:r>
      <w:r>
        <w:rPr>
          <w:rFonts w:ascii="Arial" w:eastAsia="Arial" w:hAnsi="Arial" w:cs="Arial"/>
          <w:color w:val="000000"/>
          <w:sz w:val="20"/>
        </w:rPr>
        <w:t xml:space="preserve">, 454 F.3d 532, 543 (6th Cir. 2006) (noting that "broad and nonspecific" language in the Medicaid Act "suggests that § 1396a(a)(30) is concerned with overall methodology rather than conferring individually enforceable rights on individual Medicaid recipients" (quotations and citations omitted)). </w:t>
      </w:r>
      <w:bookmarkStart w:id="4163" w:name="Bookmark_I61CDHYM2N1PTJ0030000400_2"/>
      <w:bookmarkStart w:id="4164" w:name="Bookmark_I69C4523F6W0000624M0002Y"/>
      <w:bookmarkStart w:id="4165" w:name="Bookmark_I61CDHYM2N1PTJ0050000400"/>
      <w:bookmarkEnd w:id="4163"/>
      <w:bookmarkEnd w:id="4164"/>
      <w:bookmarkEnd w:id="4165"/>
      <w:r>
        <w:rPr>
          <w:rFonts w:ascii="Arial" w:eastAsia="Arial" w:hAnsi="Arial" w:cs="Arial"/>
          <w:color w:val="000000"/>
          <w:sz w:val="20"/>
        </w:rPr>
        <w:t xml:space="preserve">Similar "judgment-laden" standards are at play here. Even more so, in fact. It is little exaggeration to say that § 1396n(c)(2)(A)'s references to "necessary safeguards," "adequate standards for provider participation," "health and welfare of individuals," and "financial accountability" are exceedingly difficult concepts for courts to administer. </w:t>
      </w:r>
      <w:r>
        <w:rPr>
          <w:rFonts w:ascii="Arial" w:eastAsia="Arial" w:hAnsi="Arial" w:cs="Arial"/>
          <w:i/>
          <w:color w:val="000000"/>
          <w:sz w:val="20"/>
        </w:rPr>
        <w:t xml:space="preserve">See </w:t>
      </w:r>
      <w:bookmarkStart w:id="4166" w:name="Bookmark_I61CDHYM2N1PTJ0020000400"/>
      <w:bookmarkEnd w:id="4166"/>
      <w:r>
        <w:rPr>
          <w:rFonts w:ascii="Arial" w:eastAsia="Arial" w:hAnsi="Arial" w:cs="Arial"/>
          <w:i/>
          <w:color w:val="000000"/>
          <w:sz w:val="20"/>
        </w:rPr>
        <w:t>Westside Mothers</w:t>
      </w:r>
      <w:r>
        <w:rPr>
          <w:rFonts w:ascii="Arial" w:eastAsia="Arial" w:hAnsi="Arial" w:cs="Arial"/>
          <w:color w:val="000000"/>
          <w:sz w:val="20"/>
        </w:rPr>
        <w:t xml:space="preserve">, 454 F.3d at 543 (noting a court has "little expertise" in the "interpretation and balancing of [the Medicaid statute's] general objectives" (citation omitted)). </w:t>
      </w:r>
      <w:bookmarkStart w:id="4167" w:name="Bookmark_I61CDHYM2N1PTJ0050000400_2"/>
      <w:bookmarkEnd w:id="4167"/>
      <w:r>
        <w:rPr>
          <w:rFonts w:ascii="Arial" w:eastAsia="Arial" w:hAnsi="Arial" w:cs="Arial"/>
          <w:color w:val="000000"/>
          <w:sz w:val="20"/>
        </w:rPr>
        <w:t xml:space="preserve"> [***49]  Not so for the Secretary, who enjoys "significant expertise" in overseeing Medicaid's "complex and highly technical regulatory program." </w:t>
      </w:r>
      <w:r>
        <w:rPr>
          <w:rFonts w:ascii="Arial" w:eastAsia="Arial" w:hAnsi="Arial" w:cs="Arial"/>
          <w:i/>
          <w:color w:val="000000"/>
          <w:sz w:val="20"/>
        </w:rPr>
        <w:t xml:space="preserve">See </w:t>
      </w:r>
      <w:bookmarkStart w:id="4168" w:name="Bookmark_I61CDHYM2N1PTJ0040000400"/>
      <w:bookmarkEnd w:id="4168"/>
      <w:r>
        <w:rPr>
          <w:rFonts w:ascii="Arial" w:eastAsia="Arial" w:hAnsi="Arial" w:cs="Arial"/>
          <w:i/>
          <w:color w:val="000000"/>
          <w:sz w:val="20"/>
        </w:rPr>
        <w:t>Thomas Jefferson Univ. v. Shalala</w:t>
      </w:r>
      <w:r>
        <w:rPr>
          <w:rFonts w:ascii="Arial" w:eastAsia="Arial" w:hAnsi="Arial" w:cs="Arial"/>
          <w:color w:val="000000"/>
          <w:sz w:val="20"/>
        </w:rPr>
        <w:t>, 512 U.S. 504, 512, 114 S. Ct. 2381, 129 L. Ed. 2d 405 (1994) (citation omitted). At day's end, all signs point to the absence of individual rights-creating language in § 1396n(c)(2).</w:t>
      </w:r>
    </w:p>
    <w:p w14:paraId="315E3F63" w14:textId="77777777" w:rsidR="002B10A6" w:rsidRDefault="00000000">
      <w:pPr>
        <w:pStyle w:val="Normal22"/>
        <w:widowControl w:val="0"/>
        <w:spacing w:before="200" w:line="260" w:lineRule="atLeast"/>
        <w:jc w:val="both"/>
      </w:pPr>
      <w:bookmarkStart w:id="4169" w:name="Bookmark_para_111_0"/>
      <w:bookmarkEnd w:id="4169"/>
      <w:r>
        <w:rPr>
          <w:rFonts w:ascii="Arial" w:eastAsia="Arial" w:hAnsi="Arial" w:cs="Arial"/>
          <w:i/>
          <w:color w:val="000000"/>
          <w:sz w:val="20"/>
        </w:rPr>
        <w:t>Section 12132 of the Americans with Disabilities Act</w:t>
      </w:r>
      <w:r>
        <w:rPr>
          <w:rFonts w:ascii="Arial" w:eastAsia="Arial" w:hAnsi="Arial" w:cs="Arial"/>
          <w:color w:val="000000"/>
          <w:sz w:val="20"/>
        </w:rPr>
        <w:t>. Appellants' contention that they are "at risk" of institutionalization is an insufficient basis for pleading violations of the ADA (or by extension, the Rehabilitation [**85]  Act). The ADA's text simply does not reach that far. And more than anything when it comes to statutory interpretation, we must respect the text Congress writes.</w:t>
      </w:r>
    </w:p>
    <w:p w14:paraId="07B2974E" w14:textId="77777777" w:rsidR="002B10A6" w:rsidRDefault="00000000">
      <w:pPr>
        <w:pStyle w:val="Normal22"/>
        <w:widowControl w:val="0"/>
        <w:spacing w:before="200" w:line="260" w:lineRule="atLeast"/>
        <w:jc w:val="both"/>
      </w:pPr>
      <w:bookmarkStart w:id="4170" w:name="Bookmark_para_112_0"/>
      <w:bookmarkEnd w:id="4170"/>
      <w:r>
        <w:rPr>
          <w:rFonts w:ascii="Arial" w:eastAsia="Arial" w:hAnsi="Arial" w:cs="Arial"/>
          <w:color w:val="000000"/>
          <w:sz w:val="20"/>
        </w:rPr>
        <w:t>The ADA instructs that "no qualified individual with a disability shall, by reason of such disability, be excluded from participation in or be denied the benefits of the services, programs, or activities of a public entity, or be subjected to discrimination by any such entity." 42 U.S.C. § 12132. To implement this provision of the ADA, the Attorney General, at Congress's instruction, promulgated a regulation known as the "integration mandate," a critical aspect of which states that a "public entity shall administer services, programs, and activities in the most integrated setting appropriate to the needs of qualified individuals with disabilities." 28 C.F.R. § 35.130(d) (2016).</w:t>
      </w:r>
    </w:p>
    <w:p w14:paraId="696332BF" w14:textId="77777777" w:rsidR="002B10A6" w:rsidRDefault="00000000">
      <w:pPr>
        <w:pStyle w:val="Normal22"/>
        <w:widowControl w:val="0"/>
        <w:spacing w:before="200" w:line="260" w:lineRule="atLeast"/>
        <w:jc w:val="both"/>
      </w:pPr>
      <w:bookmarkStart w:id="4171" w:name="Bookmark_para_113_0"/>
      <w:bookmarkStart w:id="4172" w:name="Bookmark_I69C4523HY70000624M00031"/>
      <w:bookmarkStart w:id="4173" w:name="Bookmark_I61CDHYM28T4M60020000400"/>
      <w:bookmarkEnd w:id="4171"/>
      <w:bookmarkEnd w:id="4172"/>
      <w:bookmarkEnd w:id="4173"/>
      <w:r>
        <w:rPr>
          <w:rFonts w:ascii="Arial" w:eastAsia="Arial" w:hAnsi="Arial" w:cs="Arial"/>
          <w:color w:val="000000"/>
          <w:sz w:val="20"/>
        </w:rPr>
        <w:t xml:space="preserve">Together with the text of the ADA, the Supreme Court has interpreted the integration mandate to prohibit the unwarranted institutionalization of disabled individuals. </w:t>
      </w:r>
      <w:bookmarkStart w:id="4174" w:name="Bookmark_I69C4523K9M0000624M00032"/>
      <w:bookmarkStart w:id="4175" w:name="Bookmark_I61CDHYM28T4M60040000400"/>
      <w:bookmarkStart w:id="4176" w:name="Bookmark_I61CDHYM28T4M60010000400"/>
      <w:bookmarkEnd w:id="4174"/>
      <w:bookmarkEnd w:id="4175"/>
      <w:bookmarkEnd w:id="4176"/>
      <w:r>
        <w:rPr>
          <w:rFonts w:ascii="Arial" w:eastAsia="Arial" w:hAnsi="Arial" w:cs="Arial"/>
          <w:i/>
          <w:color w:val="000000"/>
          <w:sz w:val="20"/>
        </w:rPr>
        <w:t>Olmstead v. L.C. ex rel. Zimring</w:t>
      </w:r>
      <w:r>
        <w:rPr>
          <w:rFonts w:ascii="Arial" w:eastAsia="Arial" w:hAnsi="Arial" w:cs="Arial"/>
          <w:color w:val="000000"/>
          <w:sz w:val="20"/>
        </w:rPr>
        <w:t xml:space="preserve">, 527 U.S. 581, 600, 119 S. Ct. 2176, 144 L. Ed. 2d 540 (1999). In the two decades that followed </w:t>
      </w:r>
      <w:r>
        <w:rPr>
          <w:rFonts w:ascii="Arial" w:eastAsia="Arial" w:hAnsi="Arial" w:cs="Arial"/>
          <w:i/>
          <w:color w:val="000000"/>
          <w:sz w:val="20"/>
        </w:rPr>
        <w:t>Olmstead</w:t>
      </w:r>
      <w:r>
        <w:rPr>
          <w:rFonts w:ascii="Arial" w:eastAsia="Arial" w:hAnsi="Arial" w:cs="Arial"/>
          <w:color w:val="000000"/>
          <w:sz w:val="20"/>
        </w:rPr>
        <w:t xml:space="preserve">, however, some lower courts (as does the majority opinion today) have extended that holding to find an ADA violation when a state's Medicaid plan places disabled individuals "at [**86]  risk" of institutionalization. </w:t>
      </w:r>
      <w:bookmarkStart w:id="4177" w:name="Bookmark_I61CDHYM28T4M60040000400_2"/>
      <w:bookmarkEnd w:id="4177"/>
      <w:r>
        <w:rPr>
          <w:rFonts w:ascii="Arial" w:eastAsia="Arial" w:hAnsi="Arial" w:cs="Arial"/>
          <w:i/>
          <w:color w:val="000000"/>
          <w:sz w:val="20"/>
        </w:rPr>
        <w:t xml:space="preserve">See, e.g., </w:t>
      </w:r>
      <w:bookmarkStart w:id="4178" w:name="Bookmark_I61CDHYM28T4M60030000400"/>
      <w:bookmarkEnd w:id="4178"/>
      <w:r>
        <w:rPr>
          <w:rFonts w:ascii="Arial" w:eastAsia="Arial" w:hAnsi="Arial" w:cs="Arial"/>
          <w:i/>
          <w:color w:val="000000"/>
          <w:sz w:val="20"/>
        </w:rPr>
        <w:t>M.R. v. Dreyfus</w:t>
      </w:r>
      <w:r>
        <w:rPr>
          <w:rFonts w:ascii="Arial" w:eastAsia="Arial" w:hAnsi="Arial" w:cs="Arial"/>
          <w:color w:val="000000"/>
          <w:sz w:val="20"/>
        </w:rPr>
        <w:t xml:space="preserve">, 663 F.3d 1100, 1117-18 (9th Cir. 2011). Where, one might ask, have courts found that prohibition? </w:t>
      </w:r>
      <w:bookmarkStart w:id="4179" w:name="Bookmark_I69C4523P1V0000624M00034"/>
      <w:bookmarkStart w:id="4180" w:name="Bookmark_I61CDHYN2SF87W0010000400"/>
      <w:bookmarkEnd w:id="4179"/>
      <w:bookmarkEnd w:id="4180"/>
      <w:r>
        <w:rPr>
          <w:rFonts w:ascii="Arial" w:eastAsia="Arial" w:hAnsi="Arial" w:cs="Arial"/>
          <w:color w:val="000000"/>
          <w:sz w:val="20"/>
        </w:rPr>
        <w:t xml:space="preserve">Not in the text of the ADA nor the integration mandate. Instead, courts have seized upon a Department of Justice guidance document instructing that the "serious risk of institutionalization" is sufficient to establish an ADA claim. U.S. Dep't of Justice, </w:t>
      </w:r>
      <w:r>
        <w:rPr>
          <w:rFonts w:ascii="Arial" w:eastAsia="Arial" w:hAnsi="Arial" w:cs="Arial"/>
          <w:i/>
          <w:color w:val="000000"/>
          <w:sz w:val="20"/>
        </w:rPr>
        <w:t>Statement of the Department of Justice on the Integration Mandate of Title II of the ADA and</w:t>
      </w:r>
      <w:r>
        <w:rPr>
          <w:rFonts w:ascii="Arial" w:eastAsia="Arial" w:hAnsi="Arial" w:cs="Arial"/>
          <w:color w:val="000000"/>
          <w:sz w:val="20"/>
        </w:rPr>
        <w:t xml:space="preserve"> Olmstead v. L.C., http://www.ada.gov/olmstead/q&amp;a_olmstead.htm (last updated Feb. 25, 2020) [hereinafter "DOJ Guidance"]; </w:t>
      </w:r>
      <w:r>
        <w:rPr>
          <w:rFonts w:ascii="Arial" w:eastAsia="Arial" w:hAnsi="Arial" w:cs="Arial"/>
          <w:i/>
          <w:color w:val="000000"/>
          <w:sz w:val="20"/>
        </w:rPr>
        <w:t xml:space="preserve">see, e.g., </w:t>
      </w:r>
      <w:bookmarkStart w:id="4181" w:name="Bookmark_I61CDHYM28T4M60050000400"/>
      <w:bookmarkEnd w:id="4181"/>
      <w:r>
        <w:rPr>
          <w:rFonts w:ascii="Arial" w:eastAsia="Arial" w:hAnsi="Arial" w:cs="Arial"/>
          <w:i/>
          <w:color w:val="000000"/>
          <w:sz w:val="20"/>
        </w:rPr>
        <w:t>Pashby v. Delia</w:t>
      </w:r>
      <w:r>
        <w:rPr>
          <w:rFonts w:ascii="Arial" w:eastAsia="Arial" w:hAnsi="Arial" w:cs="Arial"/>
          <w:color w:val="000000"/>
          <w:sz w:val="20"/>
        </w:rPr>
        <w:t xml:space="preserve">, 709 F.3d 307, 322 (4th Cir. 2013) ("Because Congress  [***50]  instructed the DOJ to issue regulations regarding  [*469]  Title II, we are especially swayed by the DOJ's determination that the ADA and the </w:t>
      </w:r>
      <w:r>
        <w:rPr>
          <w:rFonts w:ascii="Arial" w:eastAsia="Arial" w:hAnsi="Arial" w:cs="Arial"/>
          <w:i/>
          <w:color w:val="000000"/>
          <w:sz w:val="20"/>
        </w:rPr>
        <w:t>Olmstead</w:t>
      </w:r>
      <w:r>
        <w:rPr>
          <w:rFonts w:ascii="Arial" w:eastAsia="Arial" w:hAnsi="Arial" w:cs="Arial"/>
          <w:color w:val="000000"/>
          <w:sz w:val="20"/>
        </w:rPr>
        <w:t xml:space="preserve"> decision extend to persons at serious risk of institutionalization or segregation and are not limited to individuals currently in institutional or other segregated settings." (quotations omitted)).</w:t>
      </w:r>
    </w:p>
    <w:p w14:paraId="1D9EB80F" w14:textId="77777777" w:rsidR="002B10A6" w:rsidRDefault="00000000">
      <w:pPr>
        <w:pStyle w:val="Normal22"/>
        <w:widowControl w:val="0"/>
        <w:spacing w:before="200" w:line="260" w:lineRule="atLeast"/>
        <w:jc w:val="both"/>
      </w:pPr>
      <w:bookmarkStart w:id="4182" w:name="Bookmark_para_114_0"/>
      <w:bookmarkStart w:id="4183" w:name="Bookmark_I69C4523RCB0000624M00035"/>
      <w:bookmarkStart w:id="4184" w:name="Bookmark_I61CDHYN2SF87W0030000400"/>
      <w:bookmarkEnd w:id="4182"/>
      <w:bookmarkEnd w:id="4183"/>
      <w:bookmarkEnd w:id="4184"/>
      <w:r>
        <w:rPr>
          <w:rFonts w:ascii="Arial" w:eastAsia="Arial" w:hAnsi="Arial" w:cs="Arial"/>
          <w:color w:val="000000"/>
          <w:sz w:val="20"/>
        </w:rPr>
        <w:t xml:space="preserve">Doing so violates numerous aspects of current-day administrative law. One, the DOJ guidance is explicitly non-binding. </w:t>
      </w:r>
      <w:r>
        <w:rPr>
          <w:rFonts w:ascii="Arial" w:eastAsia="Arial" w:hAnsi="Arial" w:cs="Arial"/>
          <w:i/>
          <w:color w:val="000000"/>
          <w:sz w:val="20"/>
        </w:rPr>
        <w:t>See</w:t>
      </w:r>
      <w:r>
        <w:rPr>
          <w:rFonts w:ascii="Arial" w:eastAsia="Arial" w:hAnsi="Arial" w:cs="Arial"/>
          <w:color w:val="000000"/>
          <w:sz w:val="20"/>
        </w:rPr>
        <w:t xml:space="preserve"> DOJ Guidance (explaining that the "guidance document is not intended to be a final agency action [and] has no legally binding effect," [**87]  and thus does "not establish legally enforceable responsibilities beyond what is required by the terms of the applicable statutes, regulations, or binding judicial precedent"). </w:t>
      </w:r>
      <w:bookmarkStart w:id="4185" w:name="Bookmark_I69C4523SSN0000624M00036"/>
      <w:bookmarkStart w:id="4186" w:name="Bookmark_I61CDHYN2SF87W0050000400"/>
      <w:bookmarkEnd w:id="4185"/>
      <w:bookmarkEnd w:id="4186"/>
      <w:r>
        <w:rPr>
          <w:rFonts w:ascii="Arial" w:eastAsia="Arial" w:hAnsi="Arial" w:cs="Arial"/>
          <w:color w:val="000000"/>
          <w:sz w:val="20"/>
        </w:rPr>
        <w:t xml:space="preserve">That fact alone dramatically undercuts its use as an interpretive North Star. </w:t>
      </w:r>
      <w:r>
        <w:rPr>
          <w:rFonts w:ascii="Arial" w:eastAsia="Arial" w:hAnsi="Arial" w:cs="Arial"/>
          <w:i/>
          <w:color w:val="000000"/>
          <w:sz w:val="20"/>
        </w:rPr>
        <w:t xml:space="preserve">See </w:t>
      </w:r>
      <w:bookmarkStart w:id="4187" w:name="Bookmark_I61CDHYN2SF87W0020000400"/>
      <w:bookmarkEnd w:id="4187"/>
      <w:r>
        <w:rPr>
          <w:rFonts w:ascii="Arial" w:eastAsia="Arial" w:hAnsi="Arial" w:cs="Arial"/>
          <w:i/>
          <w:color w:val="000000"/>
          <w:sz w:val="20"/>
        </w:rPr>
        <w:t>Cement Kiln Recycling Coal. v. EPA</w:t>
      </w:r>
      <w:r>
        <w:rPr>
          <w:rFonts w:ascii="Arial" w:eastAsia="Arial" w:hAnsi="Arial" w:cs="Arial"/>
          <w:color w:val="000000"/>
          <w:sz w:val="20"/>
        </w:rPr>
        <w:t xml:space="preserve">, 493 F.3d 207, 228, 377 U.S. App. D.C. 234 (D.C. Cir. 2007) (noting that non-binding disclaimers are "relevant to the conclusion that a guidance document is non-binding"). </w:t>
      </w:r>
      <w:bookmarkStart w:id="4188" w:name="Bookmark_I61CDHYN2SF87W0050000400_2"/>
      <w:bookmarkEnd w:id="4188"/>
      <w:r>
        <w:rPr>
          <w:rFonts w:ascii="Arial" w:eastAsia="Arial" w:hAnsi="Arial" w:cs="Arial"/>
          <w:color w:val="000000"/>
          <w:sz w:val="20"/>
        </w:rPr>
        <w:t xml:space="preserve">Two, the DOJ has independently disavowed using guidance documents to create binding standards. </w:t>
      </w:r>
      <w:bookmarkStart w:id="4189" w:name="Bookmark_I69C4523WJH0000624M00038"/>
      <w:bookmarkStart w:id="4190" w:name="Bookmark_I61CDHYN2D6MSB0020000400"/>
      <w:bookmarkEnd w:id="4189"/>
      <w:bookmarkEnd w:id="4190"/>
      <w:r>
        <w:rPr>
          <w:rFonts w:ascii="Arial" w:eastAsia="Arial" w:hAnsi="Arial" w:cs="Arial"/>
          <w:i/>
          <w:color w:val="000000"/>
          <w:sz w:val="20"/>
        </w:rPr>
        <w:t>See</w:t>
      </w:r>
      <w:r>
        <w:rPr>
          <w:rFonts w:ascii="Arial" w:eastAsia="Arial" w:hAnsi="Arial" w:cs="Arial"/>
          <w:color w:val="000000"/>
          <w:sz w:val="20"/>
        </w:rPr>
        <w:t xml:space="preserve"> </w:t>
      </w:r>
      <w:bookmarkStart w:id="4191" w:name="Bookmark_I61CDHYN2SF87W0040000400"/>
      <w:bookmarkEnd w:id="4191"/>
      <w:r>
        <w:rPr>
          <w:rFonts w:ascii="Arial" w:eastAsia="Arial" w:hAnsi="Arial" w:cs="Arial"/>
          <w:color w:val="000000"/>
          <w:sz w:val="20"/>
        </w:rPr>
        <w:t xml:space="preserve">Prohibition on the Issuance of Improper Guidance Documents Within the Justice Department, 85 Fed. Reg. 50951 (Aug. 19, 2020) (to be codified at 28 C.F.R § 50) (instructing that guidance documents do not "create binding standards by which the [DOJ] will determine compliance with existing regulatory or statutory requirements"). </w:t>
      </w:r>
      <w:bookmarkStart w:id="4192" w:name="Bookmark_I61CDHYN2D6MSB0020000400_2"/>
      <w:bookmarkStart w:id="4193" w:name="Bookmark_I69C45240820000624M0003B"/>
      <w:bookmarkStart w:id="4194" w:name="Bookmark_I61CDHYN2D6MSB0040000400"/>
      <w:bookmarkEnd w:id="4192"/>
      <w:bookmarkEnd w:id="4193"/>
      <w:bookmarkEnd w:id="4194"/>
      <w:r>
        <w:rPr>
          <w:rFonts w:ascii="Arial" w:eastAsia="Arial" w:hAnsi="Arial" w:cs="Arial"/>
          <w:color w:val="000000"/>
          <w:sz w:val="20"/>
        </w:rPr>
        <w:t xml:space="preserve">That admission is understandable, as an agency's guidance document, unlike its formal rules and regulations, does not traverse the lengthy notice-and-comment period that tests an agency's proposal against the views of others. </w:t>
      </w:r>
      <w:r>
        <w:rPr>
          <w:rFonts w:ascii="Arial" w:eastAsia="Arial" w:hAnsi="Arial" w:cs="Arial"/>
          <w:i/>
          <w:color w:val="000000"/>
          <w:sz w:val="20"/>
        </w:rPr>
        <w:t xml:space="preserve">See </w:t>
      </w:r>
      <w:bookmarkStart w:id="4195" w:name="Bookmark_I61CDHYN2D6MSB0010000400"/>
      <w:bookmarkEnd w:id="4195"/>
      <w:r>
        <w:rPr>
          <w:rFonts w:ascii="Arial" w:eastAsia="Arial" w:hAnsi="Arial" w:cs="Arial"/>
          <w:i/>
          <w:color w:val="000000"/>
          <w:sz w:val="20"/>
        </w:rPr>
        <w:t>Christensen v. Harris County</w:t>
      </w:r>
      <w:r>
        <w:rPr>
          <w:rFonts w:ascii="Arial" w:eastAsia="Arial" w:hAnsi="Arial" w:cs="Arial"/>
          <w:color w:val="000000"/>
          <w:sz w:val="20"/>
        </w:rPr>
        <w:t xml:space="preserve">, 529 U.S. 576, 587, 120 S. Ct. 1655, 146 L. Ed. 2d 621 (2000) ("[W]e confront an interpretation contained in an opinion letter, not one arrived at after, for example, a formal adjudication or notice-and-comment rulemaking. </w:t>
      </w:r>
      <w:bookmarkStart w:id="4196" w:name="Bookmark_I61CDHYN2D6MSB0040000400_2"/>
      <w:bookmarkEnd w:id="4196"/>
      <w:r>
        <w:rPr>
          <w:rFonts w:ascii="Arial" w:eastAsia="Arial" w:hAnsi="Arial" w:cs="Arial"/>
          <w:color w:val="000000"/>
          <w:sz w:val="20"/>
        </w:rPr>
        <w:t xml:space="preserve">Interpretations such as those in opinion letters—like interpretations contained in policy statements, agency manuals, and enforcement guidelines, [**88]  . . . lack the force of law . . . ."); </w:t>
      </w:r>
      <w:r>
        <w:rPr>
          <w:rFonts w:ascii="Arial" w:eastAsia="Arial" w:hAnsi="Arial" w:cs="Arial"/>
          <w:i/>
          <w:color w:val="000000"/>
          <w:sz w:val="20"/>
        </w:rPr>
        <w:t xml:space="preserve">see also </w:t>
      </w:r>
      <w:bookmarkStart w:id="4197" w:name="Bookmark_I61CDHYN2D6MSB0030000400"/>
      <w:bookmarkEnd w:id="4197"/>
      <w:r>
        <w:rPr>
          <w:rFonts w:ascii="Arial" w:eastAsia="Arial" w:hAnsi="Arial" w:cs="Arial"/>
          <w:i/>
          <w:color w:val="000000"/>
          <w:sz w:val="20"/>
        </w:rPr>
        <w:t>Dismas Charities, Inc. v. U.S. Dep't of Justice</w:t>
      </w:r>
      <w:r>
        <w:rPr>
          <w:rFonts w:ascii="Arial" w:eastAsia="Arial" w:hAnsi="Arial" w:cs="Arial"/>
          <w:color w:val="000000"/>
          <w:sz w:val="20"/>
        </w:rPr>
        <w:t>, 401 F.3d 666, 680 (6th Cir. 2005) (noting that "the primary purpose of Congress in imposing notice and comment requirements for rulemaking [is] to get public input so as to get the wisest rules").</w:t>
      </w:r>
    </w:p>
    <w:p w14:paraId="6D07D5CA" w14:textId="77777777" w:rsidR="002B10A6" w:rsidRDefault="00000000">
      <w:pPr>
        <w:pStyle w:val="Normal22"/>
        <w:widowControl w:val="0"/>
        <w:spacing w:before="200" w:line="260" w:lineRule="atLeast"/>
        <w:jc w:val="both"/>
      </w:pPr>
      <w:bookmarkStart w:id="4198" w:name="Bookmark_para_115_0"/>
      <w:bookmarkStart w:id="4199" w:name="Bookmark_I69C452437G0000624M0003D"/>
      <w:bookmarkStart w:id="4200" w:name="Bookmark_I61CDHYP2D6MSC0010000400"/>
      <w:bookmarkEnd w:id="4198"/>
      <w:bookmarkEnd w:id="4199"/>
      <w:bookmarkEnd w:id="4200"/>
      <w:r>
        <w:rPr>
          <w:rFonts w:ascii="Arial" w:eastAsia="Arial" w:hAnsi="Arial" w:cs="Arial"/>
          <w:color w:val="000000"/>
          <w:sz w:val="20"/>
        </w:rPr>
        <w:t xml:space="preserve">The DOJ Guidance, in other words, has little practical effect here, by the DOJ's own admission. Reference to agency guidance might be appropriate where, as the majority opinion notes in separately concluding that the ADA reaches claims brought by those purportedly  [***51]  institutionalized at home, the guidance squarely supports what the agency rule already establishes. </w:t>
      </w:r>
      <w:r>
        <w:rPr>
          <w:rFonts w:ascii="Arial" w:eastAsia="Arial" w:hAnsi="Arial" w:cs="Arial"/>
          <w:i/>
          <w:color w:val="000000"/>
          <w:sz w:val="20"/>
        </w:rPr>
        <w:t>Compare</w:t>
      </w:r>
      <w:r>
        <w:rPr>
          <w:rFonts w:ascii="Arial" w:eastAsia="Arial" w:hAnsi="Arial" w:cs="Arial"/>
          <w:color w:val="000000"/>
          <w:sz w:val="20"/>
        </w:rPr>
        <w:t xml:space="preserve"> 28 C.F.R. § 35.130(d) (explaining that individuals should receive care in the "most integrated setting"), </w:t>
      </w:r>
      <w:r>
        <w:rPr>
          <w:rFonts w:ascii="Arial" w:eastAsia="Arial" w:hAnsi="Arial" w:cs="Arial"/>
          <w:i/>
          <w:color w:val="000000"/>
          <w:sz w:val="20"/>
        </w:rPr>
        <w:t>with</w:t>
      </w:r>
      <w:r>
        <w:rPr>
          <w:rFonts w:ascii="Arial" w:eastAsia="Arial" w:hAnsi="Arial" w:cs="Arial"/>
          <w:color w:val="000000"/>
          <w:sz w:val="20"/>
        </w:rPr>
        <w:t xml:space="preserve"> DOJ Guidance (defining what constitutes an "[i]ntegrated setting"); </w:t>
      </w:r>
      <w:r>
        <w:rPr>
          <w:rFonts w:ascii="Arial" w:eastAsia="Arial" w:hAnsi="Arial" w:cs="Arial"/>
          <w:i/>
          <w:color w:val="000000"/>
          <w:sz w:val="20"/>
        </w:rPr>
        <w:t xml:space="preserve">accord </w:t>
      </w:r>
      <w:bookmarkStart w:id="4201" w:name="Bookmark_I61CDHYN2D6MSB0050000400"/>
      <w:bookmarkEnd w:id="4201"/>
      <w:r>
        <w:rPr>
          <w:rFonts w:ascii="Arial" w:eastAsia="Arial" w:hAnsi="Arial" w:cs="Arial"/>
          <w:i/>
          <w:color w:val="000000"/>
          <w:sz w:val="20"/>
        </w:rPr>
        <w:t>Steimel v. Wernert</w:t>
      </w:r>
      <w:r>
        <w:rPr>
          <w:rFonts w:ascii="Arial" w:eastAsia="Arial" w:hAnsi="Arial" w:cs="Arial"/>
          <w:color w:val="000000"/>
          <w:sz w:val="20"/>
        </w:rPr>
        <w:t>, 823 F.3d 902, 912 (7th Cir. 2016) (explaining that the "most integrated setting" requirement is not satisfied when individuals effectively are forced to remain in their homes due to their disabilities and reasoning that "[i]f [the text of the regulation] stick[s] a knife in the state's argument, the DOJ guidelines twist it"). But that is not the case for claims centered on the risk of institutionalization, when an "at risk" provision is nowhere to be found in the ADA or the accompanying [**89]  regulation.</w:t>
      </w:r>
    </w:p>
    <w:p w14:paraId="60A18504" w14:textId="77777777" w:rsidR="002B10A6" w:rsidRDefault="00000000">
      <w:pPr>
        <w:pStyle w:val="Normal22"/>
        <w:widowControl w:val="0"/>
        <w:spacing w:before="200" w:line="260" w:lineRule="atLeast"/>
        <w:jc w:val="both"/>
      </w:pPr>
      <w:bookmarkStart w:id="4202" w:name="Bookmark_para_116"/>
      <w:bookmarkStart w:id="4203" w:name="Bookmark_I69C45244MB0000624M0003F"/>
      <w:bookmarkStart w:id="4204" w:name="Bookmark_I61CDHYP2D6MSC0030000400"/>
      <w:bookmarkEnd w:id="4202"/>
      <w:bookmarkEnd w:id="4203"/>
      <w:bookmarkEnd w:id="4204"/>
      <w:r>
        <w:rPr>
          <w:rFonts w:ascii="Arial" w:eastAsia="Arial" w:hAnsi="Arial" w:cs="Arial"/>
          <w:color w:val="000000"/>
          <w:sz w:val="20"/>
        </w:rPr>
        <w:t xml:space="preserve">Nor, at all events, is there reason to defer to agency guidance when the text of the ADA and the integration mandate are unambiguous on the point. </w:t>
      </w:r>
      <w:r>
        <w:rPr>
          <w:rFonts w:ascii="Arial" w:eastAsia="Arial" w:hAnsi="Arial" w:cs="Arial"/>
          <w:i/>
          <w:color w:val="000000"/>
          <w:sz w:val="20"/>
        </w:rPr>
        <w:t xml:space="preserve">See </w:t>
      </w:r>
      <w:bookmarkStart w:id="4205" w:name="Bookmark_I61CDHYP2D6MSC0020000400"/>
      <w:bookmarkEnd w:id="4205"/>
      <w:r>
        <w:rPr>
          <w:rFonts w:ascii="Arial" w:eastAsia="Arial" w:hAnsi="Arial" w:cs="Arial"/>
          <w:i/>
          <w:color w:val="000000"/>
          <w:sz w:val="20"/>
        </w:rPr>
        <w:t>Kisor v. Wilkie</w:t>
      </w:r>
      <w:r>
        <w:rPr>
          <w:rFonts w:ascii="Arial" w:eastAsia="Arial" w:hAnsi="Arial" w:cs="Arial"/>
          <w:color w:val="000000"/>
          <w:sz w:val="20"/>
        </w:rPr>
        <w:t xml:space="preserve">, 139 S. Ct. 2400, 2414, 204 L. Ed. 2d 841 (2019) (noting that "the possibility of deference can arise only if a regulation is genuinely ambiguous,"  [*470]  and adding that "when we use that term, we mean it—genuinely ambiguous"). </w:t>
      </w:r>
      <w:bookmarkStart w:id="4206" w:name="Bookmark_I69C45246030000624M0003G"/>
      <w:bookmarkStart w:id="4207" w:name="Bookmark_I61CDHYP2D6MSC0050000400"/>
      <w:bookmarkEnd w:id="4206"/>
      <w:bookmarkEnd w:id="4207"/>
      <w:r>
        <w:rPr>
          <w:rFonts w:ascii="Arial" w:eastAsia="Arial" w:hAnsi="Arial" w:cs="Arial"/>
          <w:color w:val="000000"/>
          <w:sz w:val="20"/>
        </w:rPr>
        <w:t xml:space="preserve">On that front, it bears noting that neither the ADA nor the mandate make any mention of institutionalization, let alone the risk of institutionalization. </w:t>
      </w:r>
      <w:bookmarkStart w:id="4208" w:name="Bookmark_I61CDHYP2D6MSC0050000400_2"/>
      <w:bookmarkStart w:id="4209" w:name="Bookmark_I69C45248RD0000624M0003J"/>
      <w:bookmarkStart w:id="4210" w:name="Bookmark_I61CDHYP2N1PTM0020000400"/>
      <w:bookmarkEnd w:id="4208"/>
      <w:bookmarkEnd w:id="4209"/>
      <w:bookmarkEnd w:id="4210"/>
      <w:r>
        <w:rPr>
          <w:rFonts w:ascii="Arial" w:eastAsia="Arial" w:hAnsi="Arial" w:cs="Arial"/>
          <w:i/>
          <w:color w:val="000000"/>
          <w:sz w:val="20"/>
        </w:rPr>
        <w:t>See</w:t>
      </w:r>
      <w:r>
        <w:rPr>
          <w:rFonts w:ascii="Arial" w:eastAsia="Arial" w:hAnsi="Arial" w:cs="Arial"/>
          <w:color w:val="000000"/>
          <w:sz w:val="20"/>
        </w:rPr>
        <w:t xml:space="preserve"> 42 U.S.C. § 12132; 28 C.F.R. § 35.130(d). With </w:t>
      </w:r>
      <w:r>
        <w:rPr>
          <w:rFonts w:ascii="Arial" w:eastAsia="Arial" w:hAnsi="Arial" w:cs="Arial"/>
          <w:i/>
          <w:color w:val="000000"/>
          <w:sz w:val="20"/>
        </w:rPr>
        <w:t>Kisor</w:t>
      </w:r>
      <w:r>
        <w:rPr>
          <w:rFonts w:ascii="Arial" w:eastAsia="Arial" w:hAnsi="Arial" w:cs="Arial"/>
          <w:color w:val="000000"/>
          <w:sz w:val="20"/>
        </w:rPr>
        <w:t xml:space="preserve"> now the controlling standard on deference to agency interpretation, one would not expect the majority opinion to invoke </w:t>
      </w:r>
      <w:bookmarkStart w:id="4211" w:name="Bookmark_I61CDHYP2D6MSC0040000400"/>
      <w:bookmarkEnd w:id="4211"/>
      <w:r>
        <w:rPr>
          <w:rFonts w:ascii="Arial" w:eastAsia="Arial" w:hAnsi="Arial" w:cs="Arial"/>
          <w:i/>
          <w:color w:val="000000"/>
          <w:sz w:val="20"/>
        </w:rPr>
        <w:t>Auer v. Robbins</w:t>
      </w:r>
      <w:r>
        <w:rPr>
          <w:rFonts w:ascii="Arial" w:eastAsia="Arial" w:hAnsi="Arial" w:cs="Arial"/>
          <w:color w:val="000000"/>
          <w:sz w:val="20"/>
        </w:rPr>
        <w:t xml:space="preserve">, 519 U.S. 452, 117 S. Ct. 905, 137 L. Ed. 2d 79 (1997). </w:t>
      </w:r>
      <w:bookmarkStart w:id="4212" w:name="Bookmark_I61CDHYP2N1PTM0020000400_2"/>
      <w:bookmarkStart w:id="4213" w:name="Bookmark_I69C4524CJ30000624M0003M"/>
      <w:bookmarkStart w:id="4214" w:name="Bookmark_I69C4524G800000624M0003P"/>
      <w:bookmarkStart w:id="4215" w:name="Bookmark_I61CDHYP2N1PTM0040000400"/>
      <w:bookmarkEnd w:id="4212"/>
      <w:bookmarkEnd w:id="4213"/>
      <w:bookmarkEnd w:id="4214"/>
      <w:bookmarkEnd w:id="4215"/>
      <w:r>
        <w:rPr>
          <w:rFonts w:ascii="Arial" w:eastAsia="Arial" w:hAnsi="Arial" w:cs="Arial"/>
          <w:i/>
          <w:color w:val="000000"/>
          <w:sz w:val="20"/>
        </w:rPr>
        <w:t xml:space="preserve">See </w:t>
      </w:r>
      <w:bookmarkStart w:id="4216" w:name="Bookmark_I61CDHYP2N1PTM0010000400"/>
      <w:bookmarkEnd w:id="4216"/>
      <w:r>
        <w:rPr>
          <w:rFonts w:ascii="Arial" w:eastAsia="Arial" w:hAnsi="Arial" w:cs="Arial"/>
          <w:i/>
          <w:color w:val="000000"/>
          <w:sz w:val="20"/>
        </w:rPr>
        <w:t>Kisor</w:t>
      </w:r>
      <w:r>
        <w:rPr>
          <w:rFonts w:ascii="Arial" w:eastAsia="Arial" w:hAnsi="Arial" w:cs="Arial"/>
          <w:color w:val="000000"/>
          <w:sz w:val="20"/>
        </w:rPr>
        <w:t xml:space="preserve">, 139 S. Ct. at 2426 (Gorsuch, J., concurring) (observing that </w:t>
      </w:r>
      <w:r>
        <w:rPr>
          <w:rFonts w:ascii="Arial" w:eastAsia="Arial" w:hAnsi="Arial" w:cs="Arial"/>
          <w:i/>
          <w:color w:val="000000"/>
          <w:sz w:val="20"/>
        </w:rPr>
        <w:t>Kisor</w:t>
      </w:r>
      <w:r>
        <w:rPr>
          <w:rFonts w:ascii="Arial" w:eastAsia="Arial" w:hAnsi="Arial" w:cs="Arial"/>
          <w:color w:val="000000"/>
          <w:sz w:val="20"/>
        </w:rPr>
        <w:t xml:space="preserve"> "has transformed </w:t>
      </w:r>
      <w:r>
        <w:rPr>
          <w:rFonts w:ascii="Arial" w:eastAsia="Arial" w:hAnsi="Arial" w:cs="Arial"/>
          <w:i/>
          <w:color w:val="000000"/>
          <w:sz w:val="20"/>
        </w:rPr>
        <w:t>Auer</w:t>
      </w:r>
      <w:r>
        <w:rPr>
          <w:rFonts w:ascii="Arial" w:eastAsia="Arial" w:hAnsi="Arial" w:cs="Arial"/>
          <w:color w:val="000000"/>
          <w:sz w:val="20"/>
        </w:rPr>
        <w:t xml:space="preserve"> into a paper tiger"). </w:t>
      </w:r>
      <w:bookmarkStart w:id="4217" w:name="Bookmark_I61CDHYP2N1PTM0040000400_2"/>
      <w:bookmarkEnd w:id="4217"/>
      <w:r>
        <w:rPr>
          <w:rFonts w:ascii="Arial" w:eastAsia="Arial" w:hAnsi="Arial" w:cs="Arial"/>
          <w:color w:val="000000"/>
          <w:sz w:val="20"/>
        </w:rPr>
        <w:t>Nor, for this same reason, do the pre-</w:t>
      </w:r>
      <w:r>
        <w:rPr>
          <w:rFonts w:ascii="Arial" w:eastAsia="Arial" w:hAnsi="Arial" w:cs="Arial"/>
          <w:i/>
          <w:color w:val="000000"/>
          <w:sz w:val="20"/>
        </w:rPr>
        <w:t>Kisor</w:t>
      </w:r>
      <w:r>
        <w:rPr>
          <w:rFonts w:ascii="Arial" w:eastAsia="Arial" w:hAnsi="Arial" w:cs="Arial"/>
          <w:color w:val="000000"/>
          <w:sz w:val="20"/>
        </w:rPr>
        <w:t xml:space="preserve"> cases relied upon in the majority opinion carry weight in a post-</w:t>
      </w:r>
      <w:r>
        <w:rPr>
          <w:rFonts w:ascii="Arial" w:eastAsia="Arial" w:hAnsi="Arial" w:cs="Arial"/>
          <w:i/>
          <w:color w:val="000000"/>
          <w:sz w:val="20"/>
        </w:rPr>
        <w:t>Kisor</w:t>
      </w:r>
      <w:r>
        <w:rPr>
          <w:rFonts w:ascii="Arial" w:eastAsia="Arial" w:hAnsi="Arial" w:cs="Arial"/>
          <w:color w:val="000000"/>
          <w:sz w:val="20"/>
        </w:rPr>
        <w:t xml:space="preserve"> world. </w:t>
      </w:r>
      <w:r>
        <w:rPr>
          <w:rFonts w:ascii="Arial" w:eastAsia="Arial" w:hAnsi="Arial" w:cs="Arial"/>
          <w:i/>
          <w:color w:val="000000"/>
          <w:sz w:val="20"/>
        </w:rPr>
        <w:t xml:space="preserve">See, e.g., </w:t>
      </w:r>
      <w:bookmarkStart w:id="4218" w:name="Bookmark_I61CDHYP2N1PTM0030000400"/>
      <w:bookmarkEnd w:id="4218"/>
      <w:r>
        <w:rPr>
          <w:rFonts w:ascii="Arial" w:eastAsia="Arial" w:hAnsi="Arial" w:cs="Arial"/>
          <w:i/>
          <w:color w:val="000000"/>
          <w:sz w:val="20"/>
        </w:rPr>
        <w:t>Steimel</w:t>
      </w:r>
      <w:r>
        <w:rPr>
          <w:rFonts w:ascii="Arial" w:eastAsia="Arial" w:hAnsi="Arial" w:cs="Arial"/>
          <w:color w:val="000000"/>
          <w:sz w:val="20"/>
        </w:rPr>
        <w:t>, 823 F.3d at 911 (employing the pre-</w:t>
      </w:r>
      <w:r>
        <w:rPr>
          <w:rFonts w:ascii="Arial" w:eastAsia="Arial" w:hAnsi="Arial" w:cs="Arial"/>
          <w:i/>
          <w:color w:val="000000"/>
          <w:sz w:val="20"/>
        </w:rPr>
        <w:t>Kisor</w:t>
      </w:r>
      <w:r>
        <w:rPr>
          <w:rFonts w:ascii="Arial" w:eastAsia="Arial" w:hAnsi="Arial" w:cs="Arial"/>
          <w:color w:val="000000"/>
          <w:sz w:val="20"/>
        </w:rPr>
        <w:t xml:space="preserve"> standard that "we defer to an agency's interpretation of its own regulation unless the agency's interpretation is plainly erroneous or inconsistent with the regulation or there is reason to suspect that the agency's interpretation does not reflect the agency's fair and considered judgment on the matter in question" [**90]  (quotations and citation omitted)); </w:t>
      </w:r>
      <w:bookmarkStart w:id="4219" w:name="Bookmark_I61CDHYP2N1PTM0050000400"/>
      <w:bookmarkEnd w:id="4219"/>
      <w:r>
        <w:rPr>
          <w:rFonts w:ascii="Arial" w:eastAsia="Arial" w:hAnsi="Arial" w:cs="Arial"/>
          <w:i/>
          <w:color w:val="000000"/>
          <w:sz w:val="20"/>
        </w:rPr>
        <w:t>Davis v. Shah</w:t>
      </w:r>
      <w:r>
        <w:rPr>
          <w:rFonts w:ascii="Arial" w:eastAsia="Arial" w:hAnsi="Arial" w:cs="Arial"/>
          <w:color w:val="000000"/>
          <w:sz w:val="20"/>
        </w:rPr>
        <w:t xml:space="preserve">, 821 F.3d 231, 263 (2d Cir. 2016) (citing </w:t>
      </w:r>
      <w:r>
        <w:rPr>
          <w:rFonts w:ascii="Arial" w:eastAsia="Arial" w:hAnsi="Arial" w:cs="Arial"/>
          <w:i/>
          <w:color w:val="000000"/>
          <w:sz w:val="20"/>
        </w:rPr>
        <w:t>Auer</w:t>
      </w:r>
      <w:r>
        <w:rPr>
          <w:rFonts w:ascii="Arial" w:eastAsia="Arial" w:hAnsi="Arial" w:cs="Arial"/>
          <w:color w:val="000000"/>
          <w:sz w:val="20"/>
        </w:rPr>
        <w:t xml:space="preserve"> for the proposition that "DOJ's interpretation . . . is controlling unless plainly erroneous or inconsistent with the regulation" (quotations and citation omitted)).</w:t>
      </w:r>
    </w:p>
    <w:p w14:paraId="2F78D42E" w14:textId="77777777" w:rsidR="002B10A6" w:rsidRDefault="00000000">
      <w:pPr>
        <w:pStyle w:val="Normal22"/>
        <w:widowControl w:val="0"/>
        <w:spacing w:before="200" w:line="260" w:lineRule="atLeast"/>
        <w:jc w:val="both"/>
      </w:pPr>
      <w:bookmarkStart w:id="4220" w:name="Bookmark_para_117"/>
      <w:bookmarkEnd w:id="4220"/>
      <w:r>
        <w:rPr>
          <w:rFonts w:ascii="Arial" w:eastAsia="Arial" w:hAnsi="Arial" w:cs="Arial"/>
          <w:color w:val="000000"/>
          <w:sz w:val="20"/>
        </w:rPr>
        <w:t xml:space="preserve">Embracing DOJ guidance to cover those "at risk" of institutionalization also creates a practical interpretive problem. What, after all, does it mean to say an individual is "at risk" of  [***52]  institutionalization? There is no articulable definition in the ADA, the mandate, or </w:t>
      </w:r>
      <w:r>
        <w:rPr>
          <w:rFonts w:ascii="Arial" w:eastAsia="Arial" w:hAnsi="Arial" w:cs="Arial"/>
          <w:i/>
          <w:color w:val="000000"/>
          <w:sz w:val="20"/>
        </w:rPr>
        <w:t>Olmstead</w:t>
      </w:r>
      <w:r>
        <w:rPr>
          <w:rFonts w:ascii="Arial" w:eastAsia="Arial" w:hAnsi="Arial" w:cs="Arial"/>
          <w:color w:val="000000"/>
          <w:sz w:val="20"/>
        </w:rPr>
        <w:t>. Nor does the majority opinion provide one. One could theoretically define "at risk" with some temporal connection to actual institutionalization—for example, one is "at risk" of institutionalization if she is expected to be institutionalized in the next few months, perhaps even a year. But setting aside the fact that such a standard has no textual mooring, even that generous articulation would not help Appellants. After all, as revealed at oral argument, Appellants have been claiming a risk of institutionalization for over four years. Yet none have been institutionalized.</w:t>
      </w:r>
    </w:p>
    <w:p w14:paraId="4970A780" w14:textId="77777777" w:rsidR="002B10A6" w:rsidRDefault="00000000">
      <w:pPr>
        <w:pStyle w:val="Normal22"/>
        <w:widowControl w:val="0"/>
        <w:spacing w:before="200" w:line="260" w:lineRule="atLeast"/>
        <w:jc w:val="both"/>
      </w:pPr>
      <w:bookmarkStart w:id="4221" w:name="Bookmark_para_118"/>
      <w:bookmarkStart w:id="4222" w:name="Bookmark_I69C4524JYM0000624M0003S"/>
      <w:bookmarkStart w:id="4223" w:name="Bookmark_I61CDHYP28T4M90030000400"/>
      <w:bookmarkEnd w:id="4221"/>
      <w:bookmarkEnd w:id="4222"/>
      <w:bookmarkEnd w:id="4223"/>
      <w:r>
        <w:rPr>
          <w:rFonts w:ascii="Arial" w:eastAsia="Arial" w:hAnsi="Arial" w:cs="Arial"/>
          <w:color w:val="000000"/>
          <w:sz w:val="20"/>
        </w:rPr>
        <w:t xml:space="preserve">Whether one is in fact institutionalized is a bright-line determination that can be fairly and uniformly applied by those who [**91]  sit on the federal bench. </w:t>
      </w:r>
      <w:r>
        <w:rPr>
          <w:rFonts w:ascii="Arial" w:eastAsia="Arial" w:hAnsi="Arial" w:cs="Arial"/>
          <w:i/>
          <w:color w:val="000000"/>
          <w:sz w:val="20"/>
        </w:rPr>
        <w:t xml:space="preserve">See </w:t>
      </w:r>
      <w:bookmarkStart w:id="4224" w:name="Bookmark_I61CDHYP28T4M90020000400"/>
      <w:bookmarkEnd w:id="4224"/>
      <w:r>
        <w:rPr>
          <w:rFonts w:ascii="Arial" w:eastAsia="Arial" w:hAnsi="Arial" w:cs="Arial"/>
          <w:i/>
          <w:color w:val="000000"/>
          <w:sz w:val="20"/>
        </w:rPr>
        <w:t>Daunt v. Benson</w:t>
      </w:r>
      <w:r>
        <w:rPr>
          <w:rFonts w:ascii="Arial" w:eastAsia="Arial" w:hAnsi="Arial" w:cs="Arial"/>
          <w:color w:val="000000"/>
          <w:sz w:val="20"/>
        </w:rPr>
        <w:t xml:space="preserve">, 956 F.3d 396, 424-25 (6th Cir. 2020) (Readler, J., concurring) (discussing the advantages of bright-line rules). But absent any textually articulated standards, how are we to decide when a benefits formula places individuals "at risk" of being institutionalized? That hazy approach is a surefire recipe for unequal and unpredictable application of the law, an unattractive option for litigants and courts alike. Antonin Scalia, </w:t>
      </w:r>
      <w:r>
        <w:rPr>
          <w:rFonts w:ascii="Arial" w:eastAsia="Arial" w:hAnsi="Arial" w:cs="Arial"/>
          <w:i/>
          <w:color w:val="000000"/>
          <w:sz w:val="20"/>
        </w:rPr>
        <w:t>The Rule of Law as a Law of Rules</w:t>
      </w:r>
      <w:r>
        <w:rPr>
          <w:rFonts w:ascii="Arial" w:eastAsia="Arial" w:hAnsi="Arial" w:cs="Arial"/>
          <w:color w:val="000000"/>
          <w:sz w:val="20"/>
        </w:rPr>
        <w:t>, 56 U. Chi. L. Rev. 1175, 1179 (1989) ("Even in simpler times uncertainty has been regarded as incompatible with the Rule of Law."). And it is likely why Congress never intended for judges to make this determination to begin with.</w:t>
      </w:r>
    </w:p>
    <w:p w14:paraId="01D6BB96" w14:textId="77777777" w:rsidR="002B10A6" w:rsidRDefault="00000000">
      <w:pPr>
        <w:pStyle w:val="Normal22"/>
        <w:widowControl w:val="0"/>
        <w:spacing w:before="200" w:line="260" w:lineRule="atLeast"/>
        <w:jc w:val="both"/>
      </w:pPr>
      <w:bookmarkStart w:id="4225" w:name="Bookmark_para_119"/>
      <w:bookmarkStart w:id="4226" w:name="Bookmark_I69C4524MB80000624M0003T"/>
      <w:bookmarkStart w:id="4227" w:name="Bookmark_I69C4524NR60000624M0003V"/>
      <w:bookmarkStart w:id="4228" w:name="Bookmark_I61CDHYP28T4M90050000400"/>
      <w:bookmarkEnd w:id="4225"/>
      <w:bookmarkEnd w:id="4226"/>
      <w:bookmarkEnd w:id="4227"/>
      <w:bookmarkEnd w:id="4228"/>
      <w:r>
        <w:rPr>
          <w:rFonts w:ascii="Arial" w:eastAsia="Arial" w:hAnsi="Arial" w:cs="Arial"/>
          <w:color w:val="000000"/>
          <w:sz w:val="20"/>
        </w:rPr>
        <w:t xml:space="preserve">Extending the ADA in this manner has yet one more unwelcome feature: It permits claims by individuals who are not seeking to remedy discriminatory conduct, but instead simply seek more Medicaid funding. </w:t>
      </w:r>
      <w:r>
        <w:rPr>
          <w:rFonts w:ascii="Arial" w:eastAsia="Arial" w:hAnsi="Arial" w:cs="Arial"/>
          <w:i/>
          <w:color w:val="000000"/>
          <w:sz w:val="20"/>
        </w:rPr>
        <w:t>Olmstead</w:t>
      </w:r>
      <w:r>
        <w:rPr>
          <w:rFonts w:ascii="Arial" w:eastAsia="Arial" w:hAnsi="Arial" w:cs="Arial"/>
          <w:color w:val="000000"/>
          <w:sz w:val="20"/>
        </w:rPr>
        <w:t xml:space="preserve">, however, expressly "disavowed" reading the ADA to "impose[] on the States" a duty to "provide a particular level of benefits to disabled persons." </w:t>
      </w:r>
      <w:bookmarkStart w:id="4229" w:name="Bookmark_I61CDHYP28T4M90040000400"/>
      <w:bookmarkEnd w:id="4229"/>
      <w:r>
        <w:rPr>
          <w:rFonts w:ascii="Arial" w:eastAsia="Arial" w:hAnsi="Arial" w:cs="Arial"/>
          <w:i/>
          <w:color w:val="000000"/>
          <w:sz w:val="20"/>
        </w:rPr>
        <w:t>Radaszewski ex rel. Radaszewski v. Maram</w:t>
      </w:r>
      <w:r>
        <w:rPr>
          <w:rFonts w:ascii="Arial" w:eastAsia="Arial" w:hAnsi="Arial" w:cs="Arial"/>
          <w:color w:val="000000"/>
          <w:sz w:val="20"/>
        </w:rPr>
        <w:t xml:space="preserve">, 383 F.3d 599, 608 (7th Cir. 2004) (citing </w:t>
      </w:r>
      <w:bookmarkStart w:id="4230" w:name="Bookmark_I61CDHYR2SF8800010000400"/>
      <w:bookmarkEnd w:id="4230"/>
      <w:r>
        <w:rPr>
          <w:rFonts w:ascii="Arial" w:eastAsia="Arial" w:hAnsi="Arial" w:cs="Arial"/>
          <w:i/>
          <w:color w:val="000000"/>
          <w:sz w:val="20"/>
        </w:rPr>
        <w:t>Olmstead</w:t>
      </w:r>
      <w:r>
        <w:rPr>
          <w:rFonts w:ascii="Arial" w:eastAsia="Arial" w:hAnsi="Arial" w:cs="Arial"/>
          <w:color w:val="000000"/>
          <w:sz w:val="20"/>
        </w:rPr>
        <w:t>, 527 U.S. at 603 n.14)). Consider the allegation before us today: Appellants allege that Washtenaw County's funding methodology is insufficient to satisfy the needs set forth in Appellants' individual plans [**92]  of service, placing them at a risk of institutionalization.  [*471]  Absent actual segregation from the public or institutionalization, this sort of claim, at bottom, is simply a request for more Medicaid funding, something the ADA does not permit.</w:t>
      </w:r>
    </w:p>
    <w:p w14:paraId="25E7140E" w14:textId="77777777" w:rsidR="002B10A6" w:rsidRDefault="00000000">
      <w:pPr>
        <w:pStyle w:val="Normal22"/>
        <w:widowControl w:val="0"/>
        <w:spacing w:before="200" w:line="260" w:lineRule="atLeast"/>
        <w:jc w:val="both"/>
      </w:pPr>
      <w:bookmarkStart w:id="4231" w:name="Bookmark_para_120"/>
      <w:bookmarkStart w:id="4232" w:name="Bookmark_I69C4524R2V0000624M0003W"/>
      <w:bookmarkStart w:id="4233" w:name="Bookmark_I61CDHYR2SF8800040000400"/>
      <w:bookmarkStart w:id="4234" w:name="Bookmark_I69C4524SF60000624M0003X"/>
      <w:bookmarkStart w:id="4235" w:name="Bookmark_I69C4524TX70000624M0003Y"/>
      <w:bookmarkStart w:id="4236" w:name="Bookmark_I61CDHYR2N1PTP0010000400"/>
      <w:bookmarkEnd w:id="4231"/>
      <w:bookmarkEnd w:id="4232"/>
      <w:bookmarkEnd w:id="4233"/>
      <w:bookmarkEnd w:id="4234"/>
      <w:bookmarkEnd w:id="4235"/>
      <w:bookmarkEnd w:id="4236"/>
      <w:r>
        <w:rPr>
          <w:rFonts w:ascii="Arial" w:eastAsia="Arial" w:hAnsi="Arial" w:cs="Arial"/>
          <w:color w:val="000000"/>
          <w:sz w:val="20"/>
        </w:rPr>
        <w:t xml:space="preserve"> [***53]  The majority opinion nonetheless believes its understanding of the ADA is necessary lest the landmark law risks losing its bite. But the more customary practice is that a definitive harm, not just the "risk" of one, is needed before legal action is ripe. </w:t>
      </w:r>
      <w:r>
        <w:rPr>
          <w:rFonts w:ascii="Arial" w:eastAsia="Arial" w:hAnsi="Arial" w:cs="Arial"/>
          <w:i/>
          <w:color w:val="000000"/>
          <w:sz w:val="20"/>
        </w:rPr>
        <w:t xml:space="preserve">See </w:t>
      </w:r>
      <w:bookmarkStart w:id="4237" w:name="Bookmark_I61CDHYR2SF8800030000400"/>
      <w:bookmarkEnd w:id="4237"/>
      <w:r>
        <w:rPr>
          <w:rFonts w:ascii="Arial" w:eastAsia="Arial" w:hAnsi="Arial" w:cs="Arial"/>
          <w:i/>
          <w:color w:val="000000"/>
          <w:sz w:val="20"/>
        </w:rPr>
        <w:t>Spokeo, Inc. v. Robins</w:t>
      </w:r>
      <w:r>
        <w:rPr>
          <w:rFonts w:ascii="Arial" w:eastAsia="Arial" w:hAnsi="Arial" w:cs="Arial"/>
          <w:color w:val="000000"/>
          <w:sz w:val="20"/>
        </w:rPr>
        <w:t xml:space="preserve">, 136 S. Ct. 1540, 1547-49, 194 L. Ed. 2d 635 (2016). At the very least, the risk of harm must be "certainly impending." </w:t>
      </w:r>
      <w:r>
        <w:rPr>
          <w:rFonts w:ascii="Arial" w:eastAsia="Arial" w:hAnsi="Arial" w:cs="Arial"/>
          <w:i/>
          <w:color w:val="000000"/>
          <w:sz w:val="20"/>
        </w:rPr>
        <w:t xml:space="preserve">See </w:t>
      </w:r>
      <w:bookmarkStart w:id="4238" w:name="Bookmark_I61CDHYR2SF8800050000400"/>
      <w:bookmarkEnd w:id="4238"/>
      <w:r>
        <w:rPr>
          <w:rFonts w:ascii="Arial" w:eastAsia="Arial" w:hAnsi="Arial" w:cs="Arial"/>
          <w:i/>
          <w:color w:val="000000"/>
          <w:sz w:val="20"/>
        </w:rPr>
        <w:t>Huff v. TeleCheck Servs.</w:t>
      </w:r>
      <w:r>
        <w:rPr>
          <w:rFonts w:ascii="Arial" w:eastAsia="Arial" w:hAnsi="Arial" w:cs="Arial"/>
          <w:color w:val="000000"/>
          <w:sz w:val="20"/>
        </w:rPr>
        <w:t xml:space="preserve">, 923 F.3d 458, 463 (6th Cir. 2019) (quoting </w:t>
      </w:r>
      <w:bookmarkStart w:id="4239" w:name="Bookmark_I61CDHYR2N1PTP0020000400"/>
      <w:bookmarkEnd w:id="4239"/>
      <w:r>
        <w:rPr>
          <w:rFonts w:ascii="Arial" w:eastAsia="Arial" w:hAnsi="Arial" w:cs="Arial"/>
          <w:i/>
          <w:color w:val="000000"/>
          <w:sz w:val="20"/>
        </w:rPr>
        <w:t>Clapper v. Amnesty Int'l USA</w:t>
      </w:r>
      <w:r>
        <w:rPr>
          <w:rFonts w:ascii="Arial" w:eastAsia="Arial" w:hAnsi="Arial" w:cs="Arial"/>
          <w:color w:val="000000"/>
          <w:sz w:val="20"/>
        </w:rPr>
        <w:t xml:space="preserve">, 568 U.S. 398, 409, 133 S. Ct. 1138, 185 L. Ed. 2d 264 (2013)). </w:t>
      </w:r>
      <w:bookmarkStart w:id="4240" w:name="Bookmark_I69C4524WB20000624M00040"/>
      <w:bookmarkStart w:id="4241" w:name="Bookmark_I69C4524XNS0000624M00041"/>
      <w:bookmarkStart w:id="4242" w:name="Bookmark_I61CDHYR2N1PTP0050000400"/>
      <w:bookmarkEnd w:id="4240"/>
      <w:bookmarkEnd w:id="4241"/>
      <w:bookmarkEnd w:id="4242"/>
      <w:r>
        <w:rPr>
          <w:rFonts w:ascii="Arial" w:eastAsia="Arial" w:hAnsi="Arial" w:cs="Arial"/>
          <w:color w:val="000000"/>
          <w:sz w:val="20"/>
        </w:rPr>
        <w:t xml:space="preserve">Rather than rewriting the ADA to cover premature claims, why not wait until institutionalization is at least "certainly impending" before allowing an ADA claim? And to ensure the law maintains its force, why not rely on the settled practice of securing a preliminary injunction to "preserve the relative positions of the parties until a trial on the merits"? </w:t>
      </w:r>
      <w:bookmarkStart w:id="4243" w:name="Bookmark_I61CDHYR2N1PTP0040000400"/>
      <w:bookmarkEnd w:id="4243"/>
      <w:r>
        <w:rPr>
          <w:rFonts w:ascii="Arial" w:eastAsia="Arial" w:hAnsi="Arial" w:cs="Arial"/>
          <w:i/>
          <w:color w:val="000000"/>
          <w:sz w:val="20"/>
        </w:rPr>
        <w:t>Tri-County Wholesale Distribs. v. Wine Grp., Inc.</w:t>
      </w:r>
      <w:r>
        <w:rPr>
          <w:rFonts w:ascii="Arial" w:eastAsia="Arial" w:hAnsi="Arial" w:cs="Arial"/>
          <w:color w:val="000000"/>
          <w:sz w:val="20"/>
        </w:rPr>
        <w:t xml:space="preserve">, 565 F. App'x 477, 480 (6th Cir. 2012) (quoting </w:t>
      </w:r>
      <w:bookmarkStart w:id="4244" w:name="Bookmark_I61CDHYS2D6MSH0010000400"/>
      <w:bookmarkEnd w:id="4244"/>
      <w:r>
        <w:rPr>
          <w:rFonts w:ascii="Arial" w:eastAsia="Arial" w:hAnsi="Arial" w:cs="Arial"/>
          <w:i/>
          <w:color w:val="000000"/>
          <w:sz w:val="20"/>
        </w:rPr>
        <w:t>Certified Restoration Dry Cleaning Network, L.L.C. v. Tenke Corp.</w:t>
      </w:r>
      <w:r>
        <w:rPr>
          <w:rFonts w:ascii="Arial" w:eastAsia="Arial" w:hAnsi="Arial" w:cs="Arial"/>
          <w:color w:val="000000"/>
          <w:sz w:val="20"/>
        </w:rPr>
        <w:t>, 511 F.3d 535, 542 (6th Cir. 2007)).</w:t>
      </w:r>
    </w:p>
    <w:p w14:paraId="2CF91729" w14:textId="77777777" w:rsidR="002B10A6" w:rsidRDefault="00000000">
      <w:pPr>
        <w:pStyle w:val="Normal22"/>
        <w:widowControl w:val="0"/>
        <w:spacing w:before="200" w:line="260" w:lineRule="atLeast"/>
        <w:jc w:val="both"/>
      </w:pPr>
      <w:bookmarkStart w:id="4245" w:name="Bookmark_para_121"/>
      <w:bookmarkStart w:id="4246" w:name="Bookmark_I69C452503S0000624M00042"/>
      <w:bookmarkStart w:id="4247" w:name="Bookmark_I61CDHYS2D6MSH0040000400"/>
      <w:bookmarkEnd w:id="4245"/>
      <w:bookmarkEnd w:id="4246"/>
      <w:bookmarkEnd w:id="4247"/>
      <w:r>
        <w:rPr>
          <w:rFonts w:ascii="Arial" w:eastAsia="Arial" w:hAnsi="Arial" w:cs="Arial"/>
          <w:color w:val="000000"/>
          <w:sz w:val="20"/>
        </w:rPr>
        <w:t xml:space="preserve">One can understand why a fair-minded judge might want to extend the ADA's reach to cover those at risk of institutionalization. But as has long been true, our job remains to "say what the law is," no more, and no less. </w:t>
      </w:r>
      <w:bookmarkStart w:id="4248" w:name="Bookmark_I61CDHYS2D6MSH0030000400"/>
      <w:bookmarkEnd w:id="4248"/>
      <w:r>
        <w:rPr>
          <w:rFonts w:ascii="Arial" w:eastAsia="Arial" w:hAnsi="Arial" w:cs="Arial"/>
          <w:i/>
          <w:color w:val="000000"/>
          <w:sz w:val="20"/>
        </w:rPr>
        <w:t>Marbury v. Madison</w:t>
      </w:r>
      <w:r>
        <w:rPr>
          <w:rFonts w:ascii="Arial" w:eastAsia="Arial" w:hAnsi="Arial" w:cs="Arial"/>
          <w:color w:val="000000"/>
          <w:sz w:val="20"/>
        </w:rPr>
        <w:t>, 5 U.S. (1 Cranch) 137, 177, 2 L. Ed. 60 (1803). Expanding the ADA in this [**93]  manner must come from Congress's drafting pen, in conjunction with supporting regulations enacted by the Attorney General.</w:t>
      </w:r>
    </w:p>
    <w:p w14:paraId="6AFA419B" w14:textId="77777777" w:rsidR="002B10A6" w:rsidRDefault="00000000">
      <w:pPr>
        <w:pStyle w:val="Normal22"/>
        <w:widowControl w:val="0"/>
        <w:spacing w:before="200" w:line="260" w:lineRule="atLeast"/>
        <w:jc w:val="both"/>
      </w:pPr>
      <w:bookmarkStart w:id="4249" w:name="Bookmark_para_122"/>
      <w:bookmarkEnd w:id="4249"/>
      <w:r>
        <w:rPr>
          <w:rFonts w:ascii="Arial" w:eastAsia="Arial" w:hAnsi="Arial" w:cs="Arial"/>
          <w:i/>
          <w:color w:val="000000"/>
          <w:sz w:val="20"/>
        </w:rPr>
        <w:t>Section 1396a(a)(10)(B) of the Medicaid Act</w:t>
      </w:r>
      <w:r>
        <w:rPr>
          <w:rFonts w:ascii="Arial" w:eastAsia="Arial" w:hAnsi="Arial" w:cs="Arial"/>
          <w:color w:val="000000"/>
          <w:sz w:val="20"/>
        </w:rPr>
        <w:t xml:space="preserve">. Finally, as to Count III, the majority opinion assumes, without deciding, that § 1396a(a)(10)(B) applies to Appellants' sufficiency-of-funding claims. In light of this "assumption," the majority opinion's application of § 1396a(a)(10)(B) has no controlling force beyond today. </w:t>
      </w:r>
      <w:bookmarkStart w:id="4250" w:name="Bookmark_I69C4522MWD0000624M0002C"/>
      <w:bookmarkStart w:id="4251" w:name="Bookmark_I69C4522P720000624M0002D"/>
      <w:bookmarkStart w:id="4252" w:name="Bookmark_I61CDHYS2SF8830010000400"/>
      <w:bookmarkEnd w:id="4250"/>
      <w:bookmarkEnd w:id="4251"/>
      <w:bookmarkEnd w:id="4252"/>
      <w:r>
        <w:rPr>
          <w:rFonts w:ascii="Arial" w:eastAsia="Arial" w:hAnsi="Arial" w:cs="Arial"/>
          <w:color w:val="000000"/>
          <w:sz w:val="20"/>
        </w:rPr>
        <w:t xml:space="preserve">Nor, I might add, does it have support in the statutory text. As explained in § 1396a(a)(10)(B), a state's medical assistance "shall not be less in amount, duration, or scope than the medical assistance made available to any other such individual." 42 U.S.C. § 1396a(a)(10)(B). By its terms, then, § 1396a(a)(10)(B) applies only to the comparison of medical services between disabled individuals. </w:t>
      </w:r>
      <w:r>
        <w:rPr>
          <w:rFonts w:ascii="Arial" w:eastAsia="Arial" w:hAnsi="Arial" w:cs="Arial"/>
          <w:i/>
          <w:color w:val="000000"/>
          <w:sz w:val="20"/>
        </w:rPr>
        <w:t xml:space="preserve">See </w:t>
      </w:r>
      <w:bookmarkStart w:id="4253" w:name="Bookmark_I61CDHYS2D6MSH0050000400"/>
      <w:bookmarkEnd w:id="4253"/>
      <w:r>
        <w:rPr>
          <w:rFonts w:ascii="Arial" w:eastAsia="Arial" w:hAnsi="Arial" w:cs="Arial"/>
          <w:i/>
          <w:color w:val="000000"/>
          <w:sz w:val="20"/>
        </w:rPr>
        <w:t>Schott v. Olszewski</w:t>
      </w:r>
      <w:r>
        <w:rPr>
          <w:rFonts w:ascii="Arial" w:eastAsia="Arial" w:hAnsi="Arial" w:cs="Arial"/>
          <w:color w:val="000000"/>
          <w:sz w:val="20"/>
        </w:rPr>
        <w:t xml:space="preserve">, 401 F.3d, 682, 686 (6th Cir. 2005) ("Under the Act, states must provide comparable medical assistance to all Medicaid recipients . . . ." (citing § 1396a(a)(10)(B))); </w:t>
      </w:r>
      <w:bookmarkStart w:id="4254" w:name="Bookmark_I61CDHYS2SF8830020000400"/>
      <w:bookmarkEnd w:id="4254"/>
      <w:r>
        <w:rPr>
          <w:rFonts w:ascii="Arial" w:eastAsia="Arial" w:hAnsi="Arial" w:cs="Arial"/>
          <w:i/>
          <w:color w:val="000000"/>
          <w:sz w:val="20"/>
        </w:rPr>
        <w:t>Rodriguez v. City of New York</w:t>
      </w:r>
      <w:r>
        <w:rPr>
          <w:rFonts w:ascii="Arial" w:eastAsia="Arial" w:hAnsi="Arial" w:cs="Arial"/>
          <w:color w:val="000000"/>
          <w:sz w:val="20"/>
        </w:rPr>
        <w:t>, 197 F.3d 611, 616 (2d Cir. 1999) ("Section 1396a(a)(10)(B)['s] . . . only proper application is in situations where the same benefit is funded for some recipients but not others.").  [***54]  So for Appellants to state a claim under § 1396a(a)(10)(B), they must allege they are receiving fewer benefits as compared to others.</w:t>
      </w:r>
    </w:p>
    <w:p w14:paraId="1DB3BC9D" w14:textId="77777777" w:rsidR="002B10A6" w:rsidRDefault="00000000">
      <w:pPr>
        <w:pStyle w:val="Normal22"/>
        <w:widowControl w:val="0"/>
        <w:spacing w:before="200" w:line="260" w:lineRule="atLeast"/>
        <w:jc w:val="both"/>
      </w:pPr>
      <w:bookmarkStart w:id="4255" w:name="Bookmark_para_123"/>
      <w:bookmarkEnd w:id="4255"/>
      <w:r>
        <w:rPr>
          <w:rFonts w:ascii="Arial" w:eastAsia="Arial" w:hAnsi="Arial" w:cs="Arial"/>
          <w:color w:val="000000"/>
          <w:sz w:val="20"/>
        </w:rPr>
        <w:t>Appellants make no such allegation. They describe their claim as a "Medicaid statutory claim under 42 U.S.C. § 1396a(a)(10)(B) for Defendants' [**94]  failure (caused by the May 2015 change in budgeting procedures) to pay for services in the amount, scope, and duration needed to reasonably achieve their purpose." No mention there of a comparison of benefits. Nor during oral argument, where Appellants conceded they are not making a comparability argument. Rather, Appellants take issue with the underlying method of calculating their respective Medicaid allotments. But the budgeting method at issue applies equally to all disabled individuals seeking benefits from Washtenaw County.  [*472]  It is thus difficult to see how a claim under § 1396a(a)(10)(B) is cognizable as a means for challenging an allegedly improper (yet uniform) benefits formula.</w:t>
      </w:r>
    </w:p>
    <w:p w14:paraId="13579CB1" w14:textId="77777777" w:rsidR="002B10A6" w:rsidRDefault="00000000">
      <w:pPr>
        <w:pStyle w:val="Normal22"/>
        <w:widowControl w:val="0"/>
        <w:spacing w:before="200" w:line="260" w:lineRule="atLeast"/>
        <w:jc w:val="both"/>
      </w:pPr>
      <w:bookmarkStart w:id="4256" w:name="Bookmark_para_124"/>
      <w:bookmarkEnd w:id="4256"/>
      <w:r>
        <w:rPr>
          <w:rFonts w:ascii="Arial" w:eastAsia="Arial" w:hAnsi="Arial" w:cs="Arial"/>
          <w:color w:val="000000"/>
          <w:sz w:val="20"/>
        </w:rPr>
        <w:t>* * * * *</w:t>
      </w:r>
    </w:p>
    <w:p w14:paraId="2322FAFC" w14:textId="77777777" w:rsidR="002B10A6" w:rsidRDefault="00000000">
      <w:pPr>
        <w:pStyle w:val="Normal22"/>
        <w:widowControl w:val="0"/>
        <w:spacing w:before="200" w:line="260" w:lineRule="atLeast"/>
        <w:jc w:val="both"/>
      </w:pPr>
      <w:bookmarkStart w:id="4257" w:name="Bookmark_para_125"/>
      <w:bookmarkEnd w:id="4257"/>
      <w:r>
        <w:rPr>
          <w:rFonts w:ascii="Arial" w:eastAsia="Arial" w:hAnsi="Arial" w:cs="Arial"/>
          <w:color w:val="000000"/>
          <w:sz w:val="20"/>
        </w:rPr>
        <w:t xml:space="preserve">One final point deserves mention. In Count IV, Plaintiffs tie together §§ 1396a(a)(8) and (a)(10)(A) of the Medicaid Act to allege a violation of their asserted right to receive medical support services with reasonable promptness. From the pleadings, however, it is not entirely clear whether Plaintiffs object to the promptness with which those services are provided or to the budgeting methodology employed by Washtenaw County to fund those services. The former may give rise to a cognizable claim. </w:t>
      </w:r>
      <w:bookmarkStart w:id="4258" w:name="Bookmark_I69C4522RPS0000624M0002F"/>
      <w:bookmarkStart w:id="4259" w:name="Bookmark_I61CDHYS2SF8830050000400"/>
      <w:bookmarkEnd w:id="4258"/>
      <w:bookmarkEnd w:id="4259"/>
      <w:r>
        <w:rPr>
          <w:rFonts w:ascii="Arial" w:eastAsia="Arial" w:hAnsi="Arial" w:cs="Arial"/>
          <w:i/>
          <w:color w:val="000000"/>
          <w:sz w:val="20"/>
        </w:rPr>
        <w:t>See</w:t>
      </w:r>
      <w:r>
        <w:rPr>
          <w:rFonts w:ascii="Arial" w:eastAsia="Arial" w:hAnsi="Arial" w:cs="Arial"/>
          <w:color w:val="000000"/>
          <w:sz w:val="20"/>
        </w:rPr>
        <w:t xml:space="preserve"> 42 U.S.C. § 1396a(a)(8). But if Plaintiffs' "grievance concerns [**95]  not the </w:t>
      </w:r>
      <w:r>
        <w:rPr>
          <w:rFonts w:ascii="Arial" w:eastAsia="Arial" w:hAnsi="Arial" w:cs="Arial"/>
          <w:i/>
          <w:color w:val="000000"/>
          <w:sz w:val="20"/>
        </w:rPr>
        <w:t>time</w:t>
      </w:r>
      <w:r>
        <w:rPr>
          <w:rFonts w:ascii="Arial" w:eastAsia="Arial" w:hAnsi="Arial" w:cs="Arial"/>
          <w:color w:val="000000"/>
          <w:sz w:val="20"/>
        </w:rPr>
        <w:t xml:space="preserve"> at which these ongoing benefits are paid but the </w:t>
      </w:r>
      <w:r>
        <w:rPr>
          <w:rFonts w:ascii="Arial" w:eastAsia="Arial" w:hAnsi="Arial" w:cs="Arial"/>
          <w:i/>
          <w:color w:val="000000"/>
          <w:sz w:val="20"/>
        </w:rPr>
        <w:t>amount</w:t>
      </w:r>
      <w:r>
        <w:rPr>
          <w:rFonts w:ascii="Arial" w:eastAsia="Arial" w:hAnsi="Arial" w:cs="Arial"/>
          <w:color w:val="000000"/>
          <w:sz w:val="20"/>
        </w:rPr>
        <w:t xml:space="preserve"> of those benefits," their claim is not cognizable under § 1396a(a)(8). </w:t>
      </w:r>
      <w:bookmarkStart w:id="4260" w:name="Bookmark_I61CDHYS2SF8830040000400"/>
      <w:bookmarkEnd w:id="4260"/>
      <w:r>
        <w:rPr>
          <w:rFonts w:ascii="Arial" w:eastAsia="Arial" w:hAnsi="Arial" w:cs="Arial"/>
          <w:i/>
          <w:color w:val="000000"/>
          <w:sz w:val="20"/>
        </w:rPr>
        <w:t>Nasello</w:t>
      </w:r>
      <w:r>
        <w:rPr>
          <w:rFonts w:ascii="Arial" w:eastAsia="Arial" w:hAnsi="Arial" w:cs="Arial"/>
          <w:color w:val="000000"/>
          <w:sz w:val="20"/>
        </w:rPr>
        <w:t>, 2020 U.S. App. LEXIS 31722, 2020 WL 5905070, at *2 ("It would not be appropriate for a federal court to turn a statute about the timing of benefits into a statute about the level of benefits."). Forthcoming proceedings will likely reveal the precise nature of Plaintiffs' claim.</w:t>
      </w:r>
    </w:p>
    <w:p w14:paraId="1003505E" w14:textId="77777777" w:rsidR="002B10A6" w:rsidRDefault="002B10A6">
      <w:pPr>
        <w:pStyle w:val="Normal22"/>
      </w:pPr>
    </w:p>
    <w:p w14:paraId="6A2EF02D" w14:textId="774AFA9E" w:rsidR="002B10A6" w:rsidRDefault="00000000">
      <w:pPr>
        <w:pStyle w:val="Normal22"/>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07392" behindDoc="0" locked="0" layoutInCell="1" allowOverlap="1" wp14:anchorId="5A7E291C" wp14:editId="0073D8A6">
                <wp:simplePos x="0" y="0"/>
                <wp:positionH relativeFrom="column">
                  <wp:posOffset>0</wp:posOffset>
                </wp:positionH>
                <wp:positionV relativeFrom="paragraph">
                  <wp:posOffset>127000</wp:posOffset>
                </wp:positionV>
                <wp:extent cx="6502400" cy="0"/>
                <wp:effectExtent l="9525" t="12700" r="12700" b="6350"/>
                <wp:wrapNone/>
                <wp:docPr id="1893318931"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A63C1C" id="Line 49"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5C0D9DF" w14:textId="77777777" w:rsidR="002B10A6" w:rsidRDefault="002B10A6">
      <w:pPr>
        <w:pStyle w:val="Normal23"/>
        <w:sectPr w:rsidR="002B10A6">
          <w:headerReference w:type="even" r:id="rId144"/>
          <w:headerReference w:type="default" r:id="rId145"/>
          <w:footerReference w:type="even" r:id="rId146"/>
          <w:footerReference w:type="default" r:id="rId147"/>
          <w:headerReference w:type="first" r:id="rId148"/>
          <w:footerReference w:type="first" r:id="rId149"/>
          <w:pgSz w:w="12240" w:h="15840"/>
          <w:pgMar w:top="840" w:right="1000" w:bottom="840" w:left="1000" w:header="400" w:footer="400" w:gutter="0"/>
          <w:cols w:space="720"/>
          <w:titlePg/>
        </w:sectPr>
      </w:pPr>
    </w:p>
    <w:p w14:paraId="72730C96" w14:textId="77777777" w:rsidR="002B10A6" w:rsidRDefault="002B10A6">
      <w:pPr>
        <w:pStyle w:val="Normal23"/>
      </w:pPr>
    </w:p>
    <w:p w14:paraId="42B6C8C2" w14:textId="77777777" w:rsidR="002B10A6" w:rsidRDefault="00000000">
      <w:pPr>
        <w:pStyle w:val="Heading122"/>
        <w:keepNext w:val="0"/>
        <w:widowControl w:val="0"/>
        <w:spacing w:after="200" w:line="340" w:lineRule="atLeast"/>
        <w:jc w:val="center"/>
      </w:pPr>
      <w:r>
        <w:rPr>
          <w:rFonts w:eastAsia="Arial"/>
          <w:color w:val="000000"/>
          <w:sz w:val="28"/>
        </w:rPr>
        <w:t>Exby-Stolley v. Bd. of Cty. Comm'rs</w:t>
      </w:r>
    </w:p>
    <w:p w14:paraId="79409476" w14:textId="77777777" w:rsidR="002B10A6" w:rsidRDefault="00000000">
      <w:pPr>
        <w:pStyle w:val="Normal23"/>
        <w:widowControl w:val="0"/>
        <w:spacing w:before="120" w:line="260" w:lineRule="atLeast"/>
        <w:jc w:val="center"/>
      </w:pPr>
      <w:r>
        <w:rPr>
          <w:rFonts w:ascii="Arial" w:eastAsia="Arial" w:hAnsi="Arial" w:cs="Arial"/>
          <w:color w:val="000000"/>
          <w:sz w:val="20"/>
        </w:rPr>
        <w:t>United States Court of Appeals for the Tenth Circuit</w:t>
      </w:r>
    </w:p>
    <w:p w14:paraId="3D8C78D7" w14:textId="77777777" w:rsidR="002B10A6" w:rsidRDefault="00000000">
      <w:pPr>
        <w:pStyle w:val="Normal23"/>
        <w:widowControl w:val="0"/>
        <w:spacing w:before="120" w:line="260" w:lineRule="atLeast"/>
        <w:jc w:val="center"/>
      </w:pPr>
      <w:r>
        <w:rPr>
          <w:rFonts w:ascii="Arial" w:eastAsia="Arial" w:hAnsi="Arial" w:cs="Arial"/>
          <w:color w:val="000000"/>
          <w:sz w:val="20"/>
        </w:rPr>
        <w:t>October 28, 2020, Filed</w:t>
      </w:r>
    </w:p>
    <w:p w14:paraId="5104A141" w14:textId="77777777" w:rsidR="002B10A6" w:rsidRDefault="00000000">
      <w:pPr>
        <w:pStyle w:val="Normal23"/>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16-1412</w:t>
      </w:r>
    </w:p>
    <w:p w14:paraId="39AB0997" w14:textId="77777777" w:rsidR="002B10A6" w:rsidRDefault="002B10A6">
      <w:pPr>
        <w:pStyle w:val="Normal23"/>
        <w:widowControl w:val="0"/>
        <w:spacing w:line="240" w:lineRule="atLeast"/>
        <w:jc w:val="both"/>
      </w:pPr>
      <w:bookmarkStart w:id="4261" w:name="Bookmark_24"/>
      <w:bookmarkEnd w:id="4261"/>
    </w:p>
    <w:p w14:paraId="719BAA90" w14:textId="77777777" w:rsidR="002B10A6" w:rsidRDefault="00000000">
      <w:pPr>
        <w:pStyle w:val="Normal23"/>
        <w:widowControl w:val="0"/>
        <w:spacing w:before="200" w:line="240" w:lineRule="atLeast"/>
      </w:pPr>
      <w:bookmarkStart w:id="4262" w:name="Reporter_22"/>
      <w:bookmarkEnd w:id="4262"/>
      <w:r>
        <w:rPr>
          <w:rFonts w:ascii="Arial" w:eastAsia="Arial" w:hAnsi="Arial" w:cs="Arial"/>
          <w:b/>
          <w:color w:val="000000"/>
          <w:sz w:val="18"/>
        </w:rPr>
        <w:t>Reporter</w:t>
      </w:r>
    </w:p>
    <w:p w14:paraId="7BEB45CD" w14:textId="77777777" w:rsidR="002B10A6" w:rsidRDefault="00000000">
      <w:pPr>
        <w:pStyle w:val="Normal23"/>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979 F.3d 784 *; 2020 U.S. App. LEXIS 33962 **; 19 Accom. Disabilities Dec. (CCH) P19-116; 2020 WL 6304349</w:t>
      </w:r>
    </w:p>
    <w:p w14:paraId="0BE1D478" w14:textId="77777777" w:rsidR="002B10A6" w:rsidRDefault="00000000">
      <w:pPr>
        <w:pStyle w:val="Normal23"/>
        <w:widowControl w:val="0"/>
        <w:spacing w:before="120" w:line="260" w:lineRule="atLeast"/>
      </w:pPr>
      <w:r>
        <w:rPr>
          <w:rFonts w:ascii="Arial" w:eastAsia="Arial" w:hAnsi="Arial" w:cs="Arial"/>
          <w:color w:val="000000"/>
          <w:sz w:val="20"/>
        </w:rPr>
        <w:t>LAURIE EXBY-STOLLEY, Plaintiff - Appellant, v. BOARD OF COUNTY COMMISSIONERS, WELD COUNTY, COLORADO, Defendant - Appellee. UNITED STATES OF AMERICA; COLORADO PLAINTIFF EMPLOYMENT LAWYERS ASSOCIATION; NATIONAL DISABILITY RIGHTS NETWORK; NATIONAL EMPLOYMENT LAWYERS ASSOCIATION, Amici Curiae.</w:t>
      </w:r>
    </w:p>
    <w:p w14:paraId="71A0B0F8" w14:textId="77777777" w:rsidR="002B10A6" w:rsidRDefault="00000000">
      <w:pPr>
        <w:pStyle w:val="Normal23"/>
        <w:widowControl w:val="0"/>
        <w:spacing w:before="240" w:line="260" w:lineRule="atLeast"/>
      </w:pPr>
      <w:bookmarkStart w:id="4263" w:name="Subsequent_History_7"/>
      <w:bookmarkEnd w:id="4263"/>
      <w:r>
        <w:rPr>
          <w:rFonts w:ascii="Arial" w:eastAsia="Arial" w:hAnsi="Arial" w:cs="Arial"/>
          <w:b/>
          <w:color w:val="000000"/>
          <w:sz w:val="20"/>
        </w:rPr>
        <w:t>Subsequent History:</w:t>
      </w:r>
      <w:r>
        <w:rPr>
          <w:rFonts w:ascii="Arial" w:eastAsia="Arial" w:hAnsi="Arial" w:cs="Arial"/>
          <w:color w:val="000000"/>
          <w:sz w:val="20"/>
        </w:rPr>
        <w:t> US Supreme Court certiorari denied by Bd. of County Comm'Rs v. Exby-Stolley, 2021 U.S. LEXIS 3414 (U.S., June 28, 2021)</w:t>
      </w:r>
    </w:p>
    <w:p w14:paraId="3CB20ED5" w14:textId="77777777" w:rsidR="002B10A6" w:rsidRDefault="00000000">
      <w:pPr>
        <w:pStyle w:val="Normal23"/>
        <w:widowControl w:val="0"/>
        <w:spacing w:before="240" w:line="260" w:lineRule="atLeast"/>
        <w:jc w:val="both"/>
      </w:pPr>
      <w:bookmarkStart w:id="4264" w:name="Prior_History_22"/>
      <w:bookmarkEnd w:id="4264"/>
      <w:r>
        <w:rPr>
          <w:rFonts w:ascii="Arial" w:eastAsia="Arial" w:hAnsi="Arial" w:cs="Arial"/>
          <w:b/>
          <w:color w:val="000000"/>
          <w:sz w:val="20"/>
        </w:rPr>
        <w:t>Prior History:</w:t>
      </w:r>
      <w:r>
        <w:rPr>
          <w:rFonts w:ascii="Arial" w:eastAsia="Arial" w:hAnsi="Arial" w:cs="Arial"/>
          <w:color w:val="000000"/>
          <w:sz w:val="20"/>
        </w:rPr>
        <w:t> </w:t>
      </w:r>
      <w:bookmarkStart w:id="4265" w:name="Bookmark_para_1_22"/>
      <w:bookmarkEnd w:id="4265"/>
      <w:r>
        <w:rPr>
          <w:rFonts w:ascii="Arial" w:eastAsia="Arial" w:hAnsi="Arial" w:cs="Arial"/>
          <w:color w:val="000000"/>
          <w:sz w:val="20"/>
        </w:rPr>
        <w:t> [**1] Appeal from the United States District Court for the District of Colorado. (D.C. No. 1:13-CV-01395-WYD-NYW).</w:t>
      </w:r>
    </w:p>
    <w:p w14:paraId="15EFDB39" w14:textId="77777777" w:rsidR="002B10A6" w:rsidRDefault="00000000">
      <w:pPr>
        <w:pStyle w:val="Normal23"/>
        <w:widowControl w:val="0"/>
        <w:spacing w:before="120" w:line="260" w:lineRule="atLeast"/>
      </w:pPr>
      <w:r>
        <w:rPr>
          <w:rFonts w:ascii="Arial" w:eastAsia="Arial" w:hAnsi="Arial" w:cs="Arial"/>
          <w:color w:val="000000"/>
          <w:sz w:val="20"/>
        </w:rPr>
        <w:t>Exby-Stolley v. Bd. of Cnty. Comm'rs, 2015 U.S. Dist. LEXIS 34975, 2015 WL 1326324 (D. Colo., Mar. 20, 2015)</w:t>
      </w:r>
    </w:p>
    <w:p w14:paraId="2DB9C504" w14:textId="77777777" w:rsidR="002B10A6" w:rsidRDefault="00000000">
      <w:pPr>
        <w:pStyle w:val="Normal23"/>
        <w:widowControl w:val="0"/>
        <w:spacing w:before="240" w:line="260" w:lineRule="atLeast"/>
      </w:pPr>
      <w:bookmarkStart w:id="4266" w:name="Counsel_22"/>
      <w:bookmarkEnd w:id="4266"/>
      <w:r>
        <w:rPr>
          <w:rFonts w:ascii="Arial" w:eastAsia="Arial" w:hAnsi="Arial" w:cs="Arial"/>
          <w:b/>
          <w:color w:val="000000"/>
          <w:sz w:val="20"/>
        </w:rPr>
        <w:t>Counsel:</w:t>
      </w:r>
      <w:r>
        <w:rPr>
          <w:rFonts w:ascii="Arial" w:eastAsia="Arial" w:hAnsi="Arial" w:cs="Arial"/>
          <w:color w:val="000000"/>
          <w:sz w:val="20"/>
        </w:rPr>
        <w:t> Jason B. Wesoky, Darling Milligan PC, Denver, Colorado, for Plaintiff-Appellant.</w:t>
      </w:r>
    </w:p>
    <w:p w14:paraId="4AC803D8" w14:textId="77777777" w:rsidR="002B10A6" w:rsidRDefault="00000000">
      <w:pPr>
        <w:pStyle w:val="Normal23"/>
        <w:widowControl w:val="0"/>
        <w:spacing w:before="120" w:line="260" w:lineRule="atLeast"/>
      </w:pPr>
      <w:r>
        <w:rPr>
          <w:rFonts w:ascii="Arial" w:eastAsia="Arial" w:hAnsi="Arial" w:cs="Arial"/>
          <w:color w:val="000000"/>
          <w:sz w:val="20"/>
        </w:rPr>
        <w:t>Alan Epstein (Thomas J. Lyons and Mark S. Ratner, with him on the brief), Hall &amp; Evans, L.L.C., Denver, Colorado, for Defendant-Appellee.</w:t>
      </w:r>
    </w:p>
    <w:p w14:paraId="764843B1" w14:textId="77777777" w:rsidR="002B10A6" w:rsidRDefault="00000000">
      <w:pPr>
        <w:pStyle w:val="Normal23"/>
        <w:widowControl w:val="0"/>
        <w:spacing w:before="120" w:line="260" w:lineRule="atLeast"/>
      </w:pPr>
      <w:r>
        <w:rPr>
          <w:rFonts w:ascii="Arial" w:eastAsia="Arial" w:hAnsi="Arial" w:cs="Arial"/>
          <w:color w:val="000000"/>
          <w:sz w:val="20"/>
        </w:rPr>
        <w:t>Anna Baldwin, Attorney, Appellate Section, Civil Rights Division, United States Department of Justice, Washington, D.C. (Eric S. Dreiband, Assistant Attorney General, Tovah R. Calderon, Attorney, United States Department of Justice, Washington, D.C.; James L. Lee, Deputy General Counsel, Jennifer S. Goldstein, Associate General Counsel, Elizabeth E. Theran, Assistant General Counsel, and Gail S. Coleman, Attorney, Equal Employment Opportunity Commission, Washington, D.C., with her on the brief) filed an amicus curiae brief for the United States.</w:t>
      </w:r>
    </w:p>
    <w:p w14:paraId="4D59CF6B" w14:textId="77777777" w:rsidR="002B10A6" w:rsidRDefault="00000000">
      <w:pPr>
        <w:pStyle w:val="Normal23"/>
        <w:widowControl w:val="0"/>
        <w:spacing w:before="120" w:line="260" w:lineRule="atLeast"/>
      </w:pPr>
      <w:r>
        <w:rPr>
          <w:rFonts w:ascii="Arial" w:eastAsia="Arial" w:hAnsi="Arial" w:cs="Arial"/>
          <w:color w:val="000000"/>
          <w:sz w:val="20"/>
        </w:rPr>
        <w:t>J. Bennett Lebsack, Lowrey Parady, LLC, Denver, Colorado, filed an amicus curiae brief for Colorado Plaintiff Employment Lawyers Association, National Disability Rights Network, and National Employment Lawyers Association.</w:t>
      </w:r>
    </w:p>
    <w:p w14:paraId="097707ED" w14:textId="77777777" w:rsidR="002B10A6" w:rsidRDefault="00000000">
      <w:pPr>
        <w:pStyle w:val="Normal23"/>
        <w:widowControl w:val="0"/>
        <w:spacing w:before="240" w:line="260" w:lineRule="atLeast"/>
      </w:pPr>
      <w:bookmarkStart w:id="4267" w:name="Judges_22"/>
      <w:bookmarkEnd w:id="4267"/>
      <w:r>
        <w:rPr>
          <w:rFonts w:ascii="Arial" w:eastAsia="Arial" w:hAnsi="Arial" w:cs="Arial"/>
          <w:b/>
          <w:color w:val="000000"/>
          <w:sz w:val="20"/>
        </w:rPr>
        <w:t>Judges:</w:t>
      </w:r>
      <w:r>
        <w:rPr>
          <w:rFonts w:ascii="Arial" w:eastAsia="Arial" w:hAnsi="Arial" w:cs="Arial"/>
          <w:color w:val="000000"/>
          <w:sz w:val="20"/>
        </w:rPr>
        <w:t> Before TYMKOVICH, Chief Judge, KELLY, BRISCOE, LUCERO, HARTZ, HOLMES, MATHESON, BACHARACH, PHILLIPS, McHUGH, [**2]  MORITZ, EID, and CARSON, Circuit Judges. McHUGH, Circuit Judge, dissenting, joined by Tymkovich, Chief Judge, and Kelly, Eid, and Carson, Circuit Judges; Hartz, Circuit Judge, also joins except as to section III.B.</w:t>
      </w:r>
    </w:p>
    <w:p w14:paraId="3677D096" w14:textId="77777777" w:rsidR="002B10A6" w:rsidRDefault="00000000">
      <w:pPr>
        <w:pStyle w:val="Normal23"/>
        <w:widowControl w:val="0"/>
        <w:spacing w:before="240" w:line="260" w:lineRule="atLeast"/>
      </w:pPr>
      <w:bookmarkStart w:id="4268" w:name="Opinion_by_17"/>
      <w:bookmarkEnd w:id="4268"/>
      <w:r>
        <w:rPr>
          <w:rFonts w:ascii="Arial" w:eastAsia="Arial" w:hAnsi="Arial" w:cs="Arial"/>
          <w:b/>
          <w:color w:val="000000"/>
          <w:sz w:val="20"/>
        </w:rPr>
        <w:t>Opinion by:</w:t>
      </w:r>
      <w:r>
        <w:rPr>
          <w:rFonts w:ascii="Arial" w:eastAsia="Arial" w:hAnsi="Arial" w:cs="Arial"/>
          <w:color w:val="000000"/>
          <w:sz w:val="20"/>
        </w:rPr>
        <w:t> HOLMES</w:t>
      </w:r>
    </w:p>
    <w:p w14:paraId="2D89DAE4" w14:textId="77777777" w:rsidR="002B10A6" w:rsidRDefault="00000000">
      <w:pPr>
        <w:pStyle w:val="Normal23"/>
        <w:keepNext/>
        <w:widowControl w:val="0"/>
        <w:spacing w:before="240" w:line="340" w:lineRule="atLeast"/>
      </w:pPr>
      <w:bookmarkStart w:id="4269" w:name="Opinion_22"/>
      <w:bookmarkEnd w:id="4269"/>
      <w:r>
        <w:rPr>
          <w:rFonts w:ascii="Arial" w:eastAsia="Arial" w:hAnsi="Arial" w:cs="Arial"/>
          <w:b/>
          <w:color w:val="000000"/>
          <w:sz w:val="28"/>
        </w:rPr>
        <w:t>Opinion</w:t>
      </w:r>
    </w:p>
    <w:p w14:paraId="1C9F32D9" w14:textId="4A6EB057" w:rsidR="002B10A6" w:rsidRDefault="002D6974">
      <w:pPr>
        <w:pStyle w:val="Normal23"/>
        <w:spacing w:line="60" w:lineRule="exact"/>
      </w:pPr>
      <w:r>
        <w:rPr>
          <w:noProof/>
        </w:rPr>
        <mc:AlternateContent>
          <mc:Choice Requires="wps">
            <w:drawing>
              <wp:anchor distT="0" distB="0" distL="114300" distR="114300" simplePos="0" relativeHeight="251708416" behindDoc="0" locked="0" layoutInCell="1" allowOverlap="1" wp14:anchorId="34FBFBCD" wp14:editId="537F01A3">
                <wp:simplePos x="0" y="0"/>
                <wp:positionH relativeFrom="column">
                  <wp:posOffset>0</wp:posOffset>
                </wp:positionH>
                <wp:positionV relativeFrom="paragraph">
                  <wp:posOffset>25400</wp:posOffset>
                </wp:positionV>
                <wp:extent cx="3187700" cy="0"/>
                <wp:effectExtent l="19050" t="15875" r="12700" b="12700"/>
                <wp:wrapTopAndBottom/>
                <wp:docPr id="207010819"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DA1C2" id="Line 50"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26E7664" w14:textId="77777777" w:rsidR="002B10A6" w:rsidRDefault="002B10A6">
      <w:pPr>
        <w:pStyle w:val="Normal23"/>
        <w:spacing w:line="120" w:lineRule="exact"/>
      </w:pPr>
    </w:p>
    <w:p w14:paraId="02C09FB7" w14:textId="77777777" w:rsidR="002B10A6" w:rsidRDefault="00000000">
      <w:pPr>
        <w:pStyle w:val="Normal23"/>
        <w:widowControl w:val="0"/>
        <w:spacing w:before="240" w:line="260" w:lineRule="atLeast"/>
      </w:pPr>
      <w:r>
        <w:br/>
      </w:r>
      <w:r>
        <w:rPr>
          <w:rFonts w:ascii="Arial" w:eastAsia="Arial" w:hAnsi="Arial" w:cs="Arial"/>
          <w:color w:val="000000"/>
          <w:sz w:val="20"/>
        </w:rPr>
        <w:t xml:space="preserve"> [*788]  </w:t>
      </w:r>
      <w:r>
        <w:rPr>
          <w:rFonts w:ascii="Arial" w:eastAsia="Arial" w:hAnsi="Arial" w:cs="Arial"/>
          <w:b/>
          <w:color w:val="000000"/>
          <w:sz w:val="20"/>
        </w:rPr>
        <w:t>OPINION ON REHEARING EN BANC</w:t>
      </w:r>
    </w:p>
    <w:p w14:paraId="32BBEA9A" w14:textId="77777777" w:rsidR="002B10A6" w:rsidRDefault="00000000">
      <w:pPr>
        <w:pStyle w:val="Normal23"/>
        <w:widowControl w:val="0"/>
        <w:spacing w:before="200" w:line="260" w:lineRule="atLeast"/>
        <w:jc w:val="both"/>
      </w:pPr>
      <w:bookmarkStart w:id="4270" w:name="Bookmark_para_2_22"/>
      <w:bookmarkEnd w:id="4270"/>
      <w:r>
        <w:rPr>
          <w:rFonts w:ascii="Arial" w:eastAsia="Arial" w:hAnsi="Arial" w:cs="Arial"/>
          <w:b/>
          <w:color w:val="000000"/>
          <w:sz w:val="20"/>
        </w:rPr>
        <w:t>HOLMES</w:t>
      </w:r>
      <w:r>
        <w:rPr>
          <w:rFonts w:ascii="Arial" w:eastAsia="Arial" w:hAnsi="Arial" w:cs="Arial"/>
          <w:color w:val="000000"/>
          <w:sz w:val="20"/>
        </w:rPr>
        <w:t xml:space="preserve">, Circuit Judge, joined by </w:t>
      </w:r>
      <w:r>
        <w:rPr>
          <w:rFonts w:ascii="Arial" w:eastAsia="Arial" w:hAnsi="Arial" w:cs="Arial"/>
          <w:b/>
          <w:color w:val="000000"/>
          <w:sz w:val="20"/>
        </w:rPr>
        <w:t>BRISCOE, LUCERO, MATHESON, BACHARACH, PHILLIPS</w:t>
      </w:r>
      <w:r>
        <w:rPr>
          <w:rFonts w:ascii="Arial" w:eastAsia="Arial" w:hAnsi="Arial" w:cs="Arial"/>
          <w:color w:val="000000"/>
          <w:sz w:val="20"/>
        </w:rPr>
        <w:t xml:space="preserve">, and </w:t>
      </w:r>
      <w:r>
        <w:rPr>
          <w:rFonts w:ascii="Arial" w:eastAsia="Arial" w:hAnsi="Arial" w:cs="Arial"/>
          <w:b/>
          <w:color w:val="000000"/>
          <w:sz w:val="20"/>
        </w:rPr>
        <w:t>MORITZ</w:t>
      </w:r>
      <w:r>
        <w:rPr>
          <w:rFonts w:ascii="Arial" w:eastAsia="Arial" w:hAnsi="Arial" w:cs="Arial"/>
          <w:color w:val="000000"/>
          <w:sz w:val="20"/>
        </w:rPr>
        <w:t>, Circuit Judges.</w:t>
      </w:r>
    </w:p>
    <w:p w14:paraId="6E23D57C" w14:textId="77777777" w:rsidR="002B10A6" w:rsidRDefault="00000000">
      <w:pPr>
        <w:pStyle w:val="Normal23"/>
        <w:widowControl w:val="0"/>
        <w:spacing w:before="200" w:line="260" w:lineRule="atLeast"/>
        <w:jc w:val="both"/>
      </w:pPr>
      <w:bookmarkStart w:id="4271" w:name="Bookmark_para_3_22"/>
      <w:bookmarkEnd w:id="4271"/>
      <w:r>
        <w:rPr>
          <w:rFonts w:ascii="Arial" w:eastAsia="Arial" w:hAnsi="Arial" w:cs="Arial"/>
          <w:color w:val="000000"/>
          <w:sz w:val="20"/>
        </w:rPr>
        <w:t xml:space="preserve">In this en banc appeal, we address whether </w:t>
      </w:r>
      <w:bookmarkStart w:id="4272" w:name="Bookmark_LNHNREFclscc1_19"/>
      <w:bookmarkEnd w:id="4272"/>
      <w:r>
        <w:rPr>
          <w:rFonts w:ascii="Arial" w:eastAsia="Arial" w:hAnsi="Arial" w:cs="Arial"/>
          <w:color w:val="000000"/>
          <w:sz w:val="20"/>
        </w:rPr>
        <w:t>an adverse employment action is a requisite element of a failure-to-accommodate claim under Title I of the Americans with Disabilities Act (the "ADA"), 42 U.S.C. §§ 12111-12117. We conclude that the answer is "no," reaching this determination through a comprehensive analysis, including consideration of the following: the ADA's text; our failure-to-accommodate precedent; the failure-to-accommodate decisions of our sister circuits; the views of the Equal Employment Opportunity Commission (the "EEOC"), the federal regulatory agency charged with administering the ADA; and the ADA's general remedial purposes.</w:t>
      </w:r>
    </w:p>
    <w:p w14:paraId="6FC1E816" w14:textId="77777777" w:rsidR="002B10A6" w:rsidRDefault="00000000">
      <w:pPr>
        <w:pStyle w:val="Normal23"/>
        <w:widowControl w:val="0"/>
        <w:spacing w:before="200" w:line="260" w:lineRule="atLeast"/>
        <w:jc w:val="both"/>
      </w:pPr>
      <w:bookmarkStart w:id="4273" w:name="Bookmark_para_4_22"/>
      <w:bookmarkStart w:id="4274" w:name="Bookmark_I61CDGGP2D6MWM0020000400"/>
      <w:bookmarkEnd w:id="4273"/>
      <w:bookmarkEnd w:id="4274"/>
      <w:r>
        <w:rPr>
          <w:rFonts w:ascii="Arial" w:eastAsia="Arial" w:hAnsi="Arial" w:cs="Arial"/>
          <w:color w:val="000000"/>
          <w:sz w:val="20"/>
        </w:rPr>
        <w:t xml:space="preserve">The district court in this case had instructed the jury that, in order to prevail on her ADA failure-to-accommodate claim, Plaintiff-Appellant Laurie Exby-Stolley was required to establish that she had suffered an [**3]  adverse employment action. </w:t>
      </w:r>
      <w:bookmarkStart w:id="4275" w:name="Bookmark_I61CDGGP2D6MWM0040000400"/>
      <w:bookmarkEnd w:id="4275"/>
      <w:r>
        <w:rPr>
          <w:rFonts w:ascii="Arial" w:eastAsia="Arial" w:hAnsi="Arial" w:cs="Arial"/>
          <w:color w:val="000000"/>
          <w:sz w:val="20"/>
        </w:rPr>
        <w:t xml:space="preserve">Over a dissenting opinion, a panel of this court agreed and affirmed the district court's judgment. </w:t>
      </w:r>
      <w:r>
        <w:rPr>
          <w:rFonts w:ascii="Arial" w:eastAsia="Arial" w:hAnsi="Arial" w:cs="Arial"/>
          <w:i/>
          <w:color w:val="000000"/>
          <w:sz w:val="20"/>
        </w:rPr>
        <w:t xml:space="preserve">See </w:t>
      </w:r>
      <w:bookmarkStart w:id="4276" w:name="Bookmark_I61CDGGP2D6MWM0010000400"/>
      <w:bookmarkEnd w:id="4276"/>
      <w:r>
        <w:rPr>
          <w:rFonts w:ascii="Arial" w:eastAsia="Arial" w:hAnsi="Arial" w:cs="Arial"/>
          <w:i/>
          <w:color w:val="000000"/>
          <w:sz w:val="20"/>
        </w:rPr>
        <w:t>Exby-Stolley v. Bd. of Cty. Comm'rs</w:t>
      </w:r>
      <w:r>
        <w:rPr>
          <w:rFonts w:ascii="Arial" w:eastAsia="Arial" w:hAnsi="Arial" w:cs="Arial"/>
          <w:color w:val="000000"/>
          <w:sz w:val="20"/>
        </w:rPr>
        <w:t xml:space="preserve">, 906 F.3d 900 (10th Cir. 2018) [hereinafter the Panel Majority]. </w:t>
      </w:r>
      <w:bookmarkStart w:id="4277" w:name="Bookmark_I61CDGGP2D6MWM0040000400_2"/>
      <w:bookmarkEnd w:id="4277"/>
      <w:r>
        <w:rPr>
          <w:rFonts w:ascii="Arial" w:eastAsia="Arial" w:hAnsi="Arial" w:cs="Arial"/>
          <w:color w:val="000000"/>
          <w:sz w:val="20"/>
        </w:rPr>
        <w:t xml:space="preserve">We granted rehearing en banc. "In accordance with our local rule, the judgment was vacated, the mandate stayed, and the case was restored as a pending appeal." </w:t>
      </w:r>
      <w:bookmarkStart w:id="4278" w:name="Bookmark_I61CDGGP2D6MWM0030000400"/>
      <w:bookmarkEnd w:id="4278"/>
      <w:r>
        <w:rPr>
          <w:rFonts w:ascii="Arial" w:eastAsia="Arial" w:hAnsi="Arial" w:cs="Arial"/>
          <w:i/>
          <w:color w:val="000000"/>
          <w:sz w:val="20"/>
        </w:rPr>
        <w:t>United States v. Nacchio</w:t>
      </w:r>
      <w:r>
        <w:rPr>
          <w:rFonts w:ascii="Arial" w:eastAsia="Arial" w:hAnsi="Arial" w:cs="Arial"/>
          <w:color w:val="000000"/>
          <w:sz w:val="20"/>
        </w:rPr>
        <w:t xml:space="preserve">, 555 F.3d 1234, 1236 (10th Cir. 2009) (en banc) (citing </w:t>
      </w:r>
      <w:r>
        <w:rPr>
          <w:rFonts w:ascii="Arial" w:eastAsia="Arial" w:hAnsi="Arial" w:cs="Arial"/>
          <w:smallCaps/>
          <w:color w:val="000000"/>
          <w:sz w:val="20"/>
        </w:rPr>
        <w:t>10th Cir. R.</w:t>
      </w:r>
      <w:r>
        <w:rPr>
          <w:rFonts w:ascii="Arial" w:eastAsia="Arial" w:hAnsi="Arial" w:cs="Arial"/>
          <w:color w:val="000000"/>
          <w:sz w:val="20"/>
        </w:rPr>
        <w:t xml:space="preserve"> 35.6).</w:t>
      </w:r>
    </w:p>
    <w:p w14:paraId="7CF17F83" w14:textId="77777777" w:rsidR="002B10A6" w:rsidRDefault="00000000">
      <w:pPr>
        <w:pStyle w:val="Normal23"/>
        <w:widowControl w:val="0"/>
        <w:spacing w:before="200" w:line="260" w:lineRule="atLeast"/>
        <w:jc w:val="both"/>
      </w:pPr>
      <w:bookmarkStart w:id="4279" w:name="Bookmark_para_5_22"/>
      <w:bookmarkStart w:id="4280" w:name="Bookmark_LNHNREFclscc2_19"/>
      <w:bookmarkEnd w:id="4279"/>
      <w:bookmarkEnd w:id="4280"/>
      <w:r>
        <w:rPr>
          <w:rFonts w:ascii="Arial" w:eastAsia="Arial" w:hAnsi="Arial" w:cs="Arial"/>
          <w:color w:val="000000"/>
          <w:sz w:val="20"/>
        </w:rPr>
        <w:t xml:space="preserve">On en banc rehearing and following oral argument, we now hold that the district court erred: </w:t>
      </w:r>
      <w:r>
        <w:rPr>
          <w:rFonts w:ascii="Arial" w:eastAsia="Arial" w:hAnsi="Arial" w:cs="Arial"/>
          <w:i/>
          <w:color w:val="000000"/>
          <w:sz w:val="20"/>
        </w:rPr>
        <w:t>viz.</w:t>
      </w:r>
      <w:r>
        <w:rPr>
          <w:rFonts w:ascii="Arial" w:eastAsia="Arial" w:hAnsi="Arial" w:cs="Arial"/>
          <w:color w:val="000000"/>
          <w:sz w:val="20"/>
        </w:rPr>
        <w:t xml:space="preserve">, an adverse employment action is not a requisite element of an ADA failure-to-accommodate claim. </w:t>
      </w:r>
      <w:bookmarkStart w:id="4281" w:name="Bookmark_I61CDGGR2N1PY20010000400"/>
      <w:bookmarkEnd w:id="4281"/>
      <w:r>
        <w:rPr>
          <w:rFonts w:ascii="Arial" w:eastAsia="Arial" w:hAnsi="Arial" w:cs="Arial"/>
          <w:color w:val="000000"/>
          <w:sz w:val="20"/>
        </w:rPr>
        <w:t xml:space="preserve">Accordingly, we </w:t>
      </w:r>
      <w:r>
        <w:rPr>
          <w:rFonts w:ascii="Arial" w:eastAsia="Arial" w:hAnsi="Arial" w:cs="Arial"/>
          <w:b/>
          <w:color w:val="000000"/>
          <w:sz w:val="20"/>
        </w:rPr>
        <w:t>reverse</w:t>
      </w:r>
      <w:r>
        <w:rPr>
          <w:rFonts w:ascii="Arial" w:eastAsia="Arial" w:hAnsi="Arial" w:cs="Arial"/>
          <w:color w:val="000000"/>
          <w:sz w:val="20"/>
        </w:rPr>
        <w:t xml:space="preserve"> the district court's judgment and </w:t>
      </w:r>
      <w:r>
        <w:rPr>
          <w:rFonts w:ascii="Arial" w:eastAsia="Arial" w:hAnsi="Arial" w:cs="Arial"/>
          <w:b/>
          <w:color w:val="000000"/>
          <w:sz w:val="20"/>
        </w:rPr>
        <w:t>remand</w:t>
      </w:r>
      <w:r>
        <w:rPr>
          <w:rFonts w:ascii="Arial" w:eastAsia="Arial" w:hAnsi="Arial" w:cs="Arial"/>
          <w:color w:val="000000"/>
          <w:sz w:val="20"/>
        </w:rPr>
        <w:t xml:space="preserve"> for a new trial. Because we remand for a new trial and the original decision turned on trial-related issues, we vacate in full the decision (including the dissent). </w:t>
      </w:r>
      <w:r>
        <w:rPr>
          <w:rFonts w:ascii="Arial" w:eastAsia="Arial" w:hAnsi="Arial" w:cs="Arial"/>
          <w:i/>
          <w:color w:val="000000"/>
          <w:sz w:val="20"/>
        </w:rPr>
        <w:t>See, e.g., id.</w:t>
      </w:r>
      <w:r>
        <w:rPr>
          <w:rFonts w:ascii="Arial" w:eastAsia="Arial" w:hAnsi="Arial" w:cs="Arial"/>
          <w:color w:val="000000"/>
          <w:sz w:val="20"/>
        </w:rPr>
        <w:t xml:space="preserve"> ("vacat[ing] the panel opinion insofar as it reversed the district court's judgment"); </w:t>
      </w:r>
      <w:bookmarkStart w:id="4282" w:name="Bookmark_I61CDGGP2D6MWM0050000400"/>
      <w:bookmarkEnd w:id="4282"/>
      <w:r>
        <w:rPr>
          <w:rFonts w:ascii="Arial" w:eastAsia="Arial" w:hAnsi="Arial" w:cs="Arial"/>
          <w:i/>
          <w:color w:val="000000"/>
          <w:sz w:val="20"/>
        </w:rPr>
        <w:t>The Tool Box v. Ogden City Corp.</w:t>
      </w:r>
      <w:r>
        <w:rPr>
          <w:rFonts w:ascii="Arial" w:eastAsia="Arial" w:hAnsi="Arial" w:cs="Arial"/>
          <w:color w:val="000000"/>
          <w:sz w:val="20"/>
        </w:rPr>
        <w:t>, 355 F.3d 1236, 1243 (10th Cir. 2004) ("[W]e VACATE the panel decision and AFFIRM the district court's judgment.").</w:t>
      </w:r>
    </w:p>
    <w:p w14:paraId="57B5B79B" w14:textId="77777777" w:rsidR="002B10A6" w:rsidRDefault="00000000">
      <w:pPr>
        <w:pStyle w:val="Normal23"/>
        <w:widowControl w:val="0"/>
        <w:spacing w:before="240" w:line="260" w:lineRule="atLeast"/>
      </w:pPr>
      <w:r>
        <w:br/>
      </w:r>
      <w:r>
        <w:rPr>
          <w:rFonts w:ascii="Arial" w:eastAsia="Arial" w:hAnsi="Arial" w:cs="Arial"/>
          <w:b/>
          <w:color w:val="000000"/>
          <w:sz w:val="20"/>
        </w:rPr>
        <w:t>I</w:t>
      </w:r>
    </w:p>
    <w:p w14:paraId="71518840" w14:textId="77777777" w:rsidR="002B10A6" w:rsidRDefault="00000000">
      <w:pPr>
        <w:pStyle w:val="Normal23"/>
        <w:widowControl w:val="0"/>
        <w:spacing w:before="200" w:line="260" w:lineRule="atLeast"/>
        <w:jc w:val="both"/>
      </w:pPr>
      <w:bookmarkStart w:id="4283" w:name="Bookmark_para_6_22"/>
      <w:bookmarkEnd w:id="4283"/>
      <w:r>
        <w:rPr>
          <w:rFonts w:ascii="Arial" w:eastAsia="Arial" w:hAnsi="Arial" w:cs="Arial"/>
          <w:color w:val="000000"/>
          <w:sz w:val="20"/>
        </w:rPr>
        <w:t>This en banc appeal centers on a pure issue of law: whether an adverse employment action is a requisite element of an ADA failure-to-accommodate claim. Therefore, we need not recount at length here the facts and procedural history. We only discuss [**4]  the factual and procedural background insofar as it is germane to our resolution of this appeal.</w:t>
      </w:r>
    </w:p>
    <w:p w14:paraId="5FE5025F" w14:textId="77777777" w:rsidR="002B10A6" w:rsidRDefault="00000000">
      <w:pPr>
        <w:pStyle w:val="Normal23"/>
        <w:widowControl w:val="0"/>
        <w:spacing w:before="200" w:line="260" w:lineRule="atLeast"/>
        <w:jc w:val="both"/>
      </w:pPr>
      <w:bookmarkStart w:id="4284" w:name="Bookmark_para_7_22"/>
      <w:bookmarkEnd w:id="4284"/>
      <w:r>
        <w:rPr>
          <w:rFonts w:ascii="Arial" w:eastAsia="Arial" w:hAnsi="Arial" w:cs="Arial"/>
          <w:color w:val="000000"/>
          <w:sz w:val="20"/>
        </w:rPr>
        <w:t xml:space="preserve">In 2013, Ms. Exby-Stolley sued her former employer, the Board of County Commissioners of Weld County, Colorado (the  [*789]  "County"). In particular, and as relevant here, Ms. Exby-Stolley contended that the County violated the ADA by failing to accommodate her disability. </w:t>
      </w:r>
      <w:r>
        <w:rPr>
          <w:rFonts w:ascii="Arial" w:eastAsia="Arial" w:hAnsi="Arial" w:cs="Arial"/>
          <w:i/>
          <w:color w:val="000000"/>
          <w:sz w:val="20"/>
        </w:rPr>
        <w:t>See</w:t>
      </w:r>
      <w:r>
        <w:rPr>
          <w:rFonts w:ascii="Arial" w:eastAsia="Arial" w:hAnsi="Arial" w:cs="Arial"/>
          <w:color w:val="000000"/>
          <w:sz w:val="20"/>
        </w:rPr>
        <w:t xml:space="preserve"> 42 U.S.C. § 12112(a), (b)(5)(A). More specifically, she claimed that the County had not reasonably accommodated her even though she had informed it that her physical limitations resulting from a workplace injury were preventing her from adequately completing her work, and even though she also had proposed to it various reasonable accommodations. Ms. Exby-Stolley also alleged that, beyond not being accommodated, she was compelled to resign, which she in fact did prior to filing this suit. The County, beyond disputing that it had failed to make sufficient efforts to reasonably accommodate Ms. Exby-Stolley, also alleged that her resignation had been voluntary.</w:t>
      </w:r>
    </w:p>
    <w:p w14:paraId="6F98F1EB" w14:textId="77777777" w:rsidR="002B10A6" w:rsidRDefault="00000000">
      <w:pPr>
        <w:pStyle w:val="Normal23"/>
        <w:widowControl w:val="0"/>
        <w:spacing w:before="200" w:line="260" w:lineRule="atLeast"/>
        <w:jc w:val="both"/>
      </w:pPr>
      <w:bookmarkStart w:id="4285" w:name="Bookmark_para_8_22"/>
      <w:bookmarkEnd w:id="4285"/>
      <w:r>
        <w:rPr>
          <w:rFonts w:ascii="Arial" w:eastAsia="Arial" w:hAnsi="Arial" w:cs="Arial"/>
          <w:color w:val="000000"/>
          <w:sz w:val="20"/>
        </w:rPr>
        <w:t>In its post-trial instructions to the jury regarding Ms. Exby-Stolley's failure-to-accommodate claim, the district court stated that</w:t>
      </w:r>
    </w:p>
    <w:p w14:paraId="5985A46E" w14:textId="77777777" w:rsidR="002B10A6" w:rsidRDefault="00000000">
      <w:pPr>
        <w:pStyle w:val="Normal23"/>
        <w:widowControl w:val="0"/>
        <w:spacing w:before="200" w:line="260" w:lineRule="atLeast"/>
        <w:ind w:left="400"/>
        <w:jc w:val="both"/>
      </w:pPr>
      <w:bookmarkStart w:id="4286" w:name="Bookmark_para_9_22"/>
      <w:bookmarkEnd w:id="4286"/>
      <w:r>
        <w:rPr>
          <w:rFonts w:ascii="Arial" w:eastAsia="Arial" w:hAnsi="Arial" w:cs="Arial"/>
          <w:color w:val="000000"/>
          <w:sz w:val="20"/>
        </w:rPr>
        <w:t>Plaintiff must prove each of the following facts by a preponderance [**5]  of the evidence:</w:t>
      </w:r>
    </w:p>
    <w:p w14:paraId="7701E4B4" w14:textId="77777777" w:rsidR="002B10A6" w:rsidRDefault="00000000">
      <w:pPr>
        <w:pStyle w:val="Normal23"/>
        <w:widowControl w:val="0"/>
        <w:spacing w:line="260" w:lineRule="atLeast"/>
        <w:ind w:left="400"/>
        <w:jc w:val="both"/>
      </w:pPr>
      <w:bookmarkStart w:id="4287" w:name="Bookmark_para_10_22"/>
      <w:bookmarkEnd w:id="4287"/>
      <w:r>
        <w:rPr>
          <w:rFonts w:ascii="Arial" w:eastAsia="Arial" w:hAnsi="Arial" w:cs="Arial"/>
          <w:color w:val="000000"/>
          <w:sz w:val="20"/>
        </w:rPr>
        <w:t>1. That Plaintiff had a "disability," as defined in these instructions;</w:t>
      </w:r>
    </w:p>
    <w:p w14:paraId="1EAFB7F1" w14:textId="77777777" w:rsidR="002B10A6" w:rsidRDefault="00000000">
      <w:pPr>
        <w:pStyle w:val="Normal23"/>
        <w:widowControl w:val="0"/>
        <w:spacing w:line="260" w:lineRule="atLeast"/>
        <w:ind w:left="400"/>
        <w:jc w:val="both"/>
      </w:pPr>
      <w:bookmarkStart w:id="4288" w:name="Bookmark_para_11_19"/>
      <w:bookmarkEnd w:id="4288"/>
      <w:r>
        <w:rPr>
          <w:rFonts w:ascii="Arial" w:eastAsia="Arial" w:hAnsi="Arial" w:cs="Arial"/>
          <w:color w:val="000000"/>
          <w:sz w:val="20"/>
        </w:rPr>
        <w:t>2. That Plaintiff was a "qualified individual," as defined in these instructions;</w:t>
      </w:r>
    </w:p>
    <w:p w14:paraId="5630576A" w14:textId="77777777" w:rsidR="002B10A6" w:rsidRDefault="00000000">
      <w:pPr>
        <w:pStyle w:val="Normal23"/>
        <w:widowControl w:val="0"/>
        <w:spacing w:before="200" w:line="260" w:lineRule="atLeast"/>
        <w:ind w:left="400"/>
        <w:jc w:val="both"/>
      </w:pPr>
      <w:bookmarkStart w:id="4289" w:name="Bookmark_para_12_18"/>
      <w:bookmarkEnd w:id="4289"/>
      <w:r>
        <w:rPr>
          <w:rFonts w:ascii="Arial" w:eastAsia="Arial" w:hAnsi="Arial" w:cs="Arial"/>
          <w:color w:val="000000"/>
          <w:sz w:val="20"/>
        </w:rPr>
        <w:t xml:space="preserve">3. That Plaintiff </w:t>
      </w:r>
      <w:r>
        <w:rPr>
          <w:rFonts w:ascii="Arial" w:eastAsia="Arial" w:hAnsi="Arial" w:cs="Arial"/>
          <w:i/>
          <w:color w:val="000000"/>
          <w:sz w:val="20"/>
        </w:rPr>
        <w:t>was discharged from employment or suffered another adverse employment action by Defendant</w:t>
      </w:r>
      <w:r>
        <w:rPr>
          <w:rFonts w:ascii="Arial" w:eastAsia="Arial" w:hAnsi="Arial" w:cs="Arial"/>
          <w:color w:val="000000"/>
          <w:sz w:val="20"/>
        </w:rPr>
        <w:t>; and</w:t>
      </w:r>
    </w:p>
    <w:p w14:paraId="1796668F" w14:textId="77777777" w:rsidR="002B10A6" w:rsidRDefault="00000000">
      <w:pPr>
        <w:pStyle w:val="Normal23"/>
        <w:widowControl w:val="0"/>
        <w:spacing w:line="260" w:lineRule="atLeast"/>
        <w:ind w:left="400"/>
        <w:jc w:val="both"/>
      </w:pPr>
      <w:bookmarkStart w:id="4290" w:name="Bookmark_para_13_18"/>
      <w:bookmarkEnd w:id="4290"/>
      <w:r>
        <w:rPr>
          <w:rFonts w:ascii="Arial" w:eastAsia="Arial" w:hAnsi="Arial" w:cs="Arial"/>
          <w:color w:val="000000"/>
          <w:sz w:val="20"/>
        </w:rPr>
        <w:t>4. That Plaintiff's disability was a substantial or motivating factor that prompted Defendant to take that action.</w:t>
      </w:r>
    </w:p>
    <w:p w14:paraId="7FE948BF" w14:textId="77777777" w:rsidR="002B10A6" w:rsidRDefault="00000000">
      <w:pPr>
        <w:pStyle w:val="Normal23"/>
        <w:widowControl w:val="0"/>
        <w:spacing w:before="200" w:line="260" w:lineRule="atLeast"/>
        <w:jc w:val="both"/>
      </w:pPr>
      <w:r>
        <w:rPr>
          <w:rFonts w:ascii="Arial" w:eastAsia="Arial" w:hAnsi="Arial" w:cs="Arial"/>
          <w:color w:val="000000"/>
          <w:sz w:val="20"/>
        </w:rPr>
        <w:t xml:space="preserve">Aplt.'s App., Vol. II, at 440 (Jury Instrs., filed Oct. 11, 2016) (emphasis added). The instructions specified that "[a]n adverse employment action constitutes a significant change in employment status, such a[s] hiring, firing, failing to promote, reassignment with significantly different responsibilities, or a decision causing a significant change in benefits." </w:t>
      </w:r>
      <w:r>
        <w:rPr>
          <w:rFonts w:ascii="Arial" w:eastAsia="Arial" w:hAnsi="Arial" w:cs="Arial"/>
          <w:i/>
          <w:color w:val="000000"/>
          <w:sz w:val="20"/>
        </w:rPr>
        <w:t>Id.</w:t>
      </w:r>
      <w:r>
        <w:rPr>
          <w:rFonts w:ascii="Arial" w:eastAsia="Arial" w:hAnsi="Arial" w:cs="Arial"/>
          <w:color w:val="000000"/>
          <w:sz w:val="20"/>
        </w:rPr>
        <w:t xml:space="preserve"> at 449.</w:t>
      </w:r>
    </w:p>
    <w:p w14:paraId="3398CE8F" w14:textId="77777777" w:rsidR="002B10A6" w:rsidRDefault="00000000">
      <w:pPr>
        <w:pStyle w:val="Normal23"/>
        <w:widowControl w:val="0"/>
        <w:spacing w:before="200" w:line="260" w:lineRule="atLeast"/>
        <w:jc w:val="both"/>
      </w:pPr>
      <w:bookmarkStart w:id="4291" w:name="Bookmark_para_14_18"/>
      <w:bookmarkEnd w:id="4291"/>
      <w:r>
        <w:rPr>
          <w:rFonts w:ascii="Arial" w:eastAsia="Arial" w:hAnsi="Arial" w:cs="Arial"/>
          <w:color w:val="000000"/>
          <w:sz w:val="20"/>
        </w:rPr>
        <w:t xml:space="preserve">In answers to special interrogatories, the jury found that Ms. Exby-Stolley had "proven by a preponderance of the evidence" both "that she had a disability, as defined in the instructions, at the time of the employment actions in question" and "that she is a qualified individual with a disability, as defined in the instructions." </w:t>
      </w:r>
      <w:r>
        <w:rPr>
          <w:rFonts w:ascii="Arial" w:eastAsia="Arial" w:hAnsi="Arial" w:cs="Arial"/>
          <w:i/>
          <w:color w:val="000000"/>
          <w:sz w:val="20"/>
        </w:rPr>
        <w:t>Id.</w:t>
      </w:r>
      <w:r>
        <w:rPr>
          <w:rFonts w:ascii="Arial" w:eastAsia="Arial" w:hAnsi="Arial" w:cs="Arial"/>
          <w:color w:val="000000"/>
          <w:sz w:val="20"/>
        </w:rPr>
        <w:t xml:space="preserve"> at 419 (Verdict Form, filed Oct. 11, 2016). But the jury nonetheless ruled in the County's favor, finding that Ms. Exby-Stolley had not "proven [**6]  by a preponderance of the evidence" that she had been "[discharged from employment] [not promoted] [or other adverse action] by Defendant." </w:t>
      </w:r>
      <w:r>
        <w:rPr>
          <w:rFonts w:ascii="Arial" w:eastAsia="Arial" w:hAnsi="Arial" w:cs="Arial"/>
          <w:i/>
          <w:color w:val="000000"/>
          <w:sz w:val="20"/>
        </w:rPr>
        <w:t>Id.</w:t>
      </w:r>
      <w:r>
        <w:rPr>
          <w:rFonts w:ascii="Arial" w:eastAsia="Arial" w:hAnsi="Arial" w:cs="Arial"/>
          <w:color w:val="000000"/>
          <w:sz w:val="20"/>
        </w:rPr>
        <w:t xml:space="preserve"> (brackets in original).</w:t>
      </w:r>
    </w:p>
    <w:p w14:paraId="08391181" w14:textId="77777777" w:rsidR="002B10A6" w:rsidRDefault="00000000">
      <w:pPr>
        <w:pStyle w:val="Normal23"/>
        <w:widowControl w:val="0"/>
        <w:spacing w:before="200" w:line="260" w:lineRule="atLeast"/>
        <w:jc w:val="both"/>
      </w:pPr>
      <w:bookmarkStart w:id="4292" w:name="Bookmark_para_15_18"/>
      <w:bookmarkStart w:id="4293" w:name="Bookmark_I61CDGGR2N1PY20030000400"/>
      <w:bookmarkEnd w:id="4292"/>
      <w:bookmarkEnd w:id="4293"/>
      <w:r>
        <w:rPr>
          <w:rFonts w:ascii="Arial" w:eastAsia="Arial" w:hAnsi="Arial" w:cs="Arial"/>
          <w:color w:val="000000"/>
          <w:sz w:val="20"/>
        </w:rPr>
        <w:t xml:space="preserve">Ms. Exby-Stolley appealed, arguing in part that the district court erred in instructing the jury that she had to prove an adverse employment action as part of her failure-to-accommodate claim. Over a dissenting opinion, the Panel Majority affirmed the district court's judgment, concluding as relevant here that "an adverse employment action is an element of a failure-to-accommodate claim." </w:t>
      </w:r>
      <w:bookmarkStart w:id="4294" w:name="Bookmark_I61CDGGR2N1PY20020000400"/>
      <w:bookmarkEnd w:id="4294"/>
      <w:r>
        <w:rPr>
          <w:rFonts w:ascii="Arial" w:eastAsia="Arial" w:hAnsi="Arial" w:cs="Arial"/>
          <w:i/>
          <w:color w:val="000000"/>
          <w:sz w:val="20"/>
        </w:rPr>
        <w:t>Exby-Stolley</w:t>
      </w:r>
      <w:r>
        <w:rPr>
          <w:rFonts w:ascii="Arial" w:eastAsia="Arial" w:hAnsi="Arial" w:cs="Arial"/>
          <w:color w:val="000000"/>
          <w:sz w:val="20"/>
        </w:rPr>
        <w:t>, 906 F.3d at 905.</w:t>
      </w:r>
    </w:p>
    <w:p w14:paraId="10613544" w14:textId="77777777" w:rsidR="002B10A6" w:rsidRDefault="00000000">
      <w:pPr>
        <w:pStyle w:val="Normal23"/>
        <w:widowControl w:val="0"/>
        <w:spacing w:before="200" w:line="260" w:lineRule="atLeast"/>
        <w:jc w:val="both"/>
      </w:pPr>
      <w:bookmarkStart w:id="4295" w:name="Bookmark_para_16_16"/>
      <w:bookmarkStart w:id="4296" w:name="Bookmark_I61CDGGR2N1PY20050000400"/>
      <w:bookmarkStart w:id="4297" w:name="Bookmark_I61CDGGR2N1PY30020000400"/>
      <w:bookmarkStart w:id="4298" w:name="Bookmark_I61CDGGR2N1PY30040000400"/>
      <w:bookmarkEnd w:id="4295"/>
      <w:bookmarkEnd w:id="4296"/>
      <w:bookmarkEnd w:id="4297"/>
      <w:bookmarkEnd w:id="4298"/>
      <w:r>
        <w:rPr>
          <w:rFonts w:ascii="Arial" w:eastAsia="Arial" w:hAnsi="Arial" w:cs="Arial"/>
          <w:color w:val="000000"/>
          <w:sz w:val="20"/>
        </w:rPr>
        <w:t xml:space="preserve">The Panel Majority acknowledged that "the language 'adverse employment action' does not appear in the ADA" but observed that it was "well established in judicial opinions" in the Title VII context, where this language has been used as a "shorthand" for language that is materially similar to the terms-conditions-and-privileges-of-employment language of § 12112(a) of the ADA. </w:t>
      </w:r>
      <w:bookmarkStart w:id="4299" w:name="Bookmark_I61CDGGR2N1PY20040000400"/>
      <w:bookmarkEnd w:id="4299"/>
      <w:r>
        <w:rPr>
          <w:rFonts w:ascii="Arial" w:eastAsia="Arial" w:hAnsi="Arial" w:cs="Arial"/>
          <w:i/>
          <w:color w:val="000000"/>
          <w:sz w:val="20"/>
        </w:rPr>
        <w:t>Id.</w:t>
      </w:r>
      <w:r>
        <w:rPr>
          <w:rFonts w:ascii="Arial" w:eastAsia="Arial" w:hAnsi="Arial" w:cs="Arial"/>
          <w:color w:val="000000"/>
          <w:sz w:val="20"/>
        </w:rPr>
        <w:t xml:space="preserve"> at 906-07. And the Panel Majority deemed it "natural to use the same shorthand—adverse employment action—for this statutory language in the ADA as is used for like language in Title  [*790]  VII." </w:t>
      </w:r>
      <w:bookmarkStart w:id="4300" w:name="Bookmark_I61CDGGR2N1PY30010000400"/>
      <w:bookmarkEnd w:id="4300"/>
      <w:r>
        <w:rPr>
          <w:rFonts w:ascii="Arial" w:eastAsia="Arial" w:hAnsi="Arial" w:cs="Arial"/>
          <w:i/>
          <w:color w:val="000000"/>
          <w:sz w:val="20"/>
        </w:rPr>
        <w:t>Id.</w:t>
      </w:r>
      <w:r>
        <w:rPr>
          <w:rFonts w:ascii="Arial" w:eastAsia="Arial" w:hAnsi="Arial" w:cs="Arial"/>
          <w:color w:val="000000"/>
          <w:sz w:val="20"/>
        </w:rPr>
        <w:t xml:space="preserve"> at 908. </w:t>
      </w:r>
      <w:bookmarkStart w:id="4301" w:name="Bookmark_I61CDGGR2SF8CC0010000400"/>
      <w:bookmarkEnd w:id="4301"/>
      <w:r>
        <w:rPr>
          <w:rFonts w:ascii="Arial" w:eastAsia="Arial" w:hAnsi="Arial" w:cs="Arial"/>
          <w:color w:val="000000"/>
          <w:sz w:val="20"/>
        </w:rPr>
        <w:t xml:space="preserve">It "is clear from the language of § 12112," reasoned the Panel Majority, that "[t]he terms-and-conditions-of-employment [**7]  language"—and, consequently, the shorthand, adverse-employment-action language—"applies to failure-to-accommodate claims under the ADA." </w:t>
      </w:r>
      <w:bookmarkStart w:id="4302" w:name="Bookmark_I61CDGGR2N1PY30030000400"/>
      <w:bookmarkEnd w:id="4302"/>
      <w:r>
        <w:rPr>
          <w:rFonts w:ascii="Arial" w:eastAsia="Arial" w:hAnsi="Arial" w:cs="Arial"/>
          <w:i/>
          <w:color w:val="000000"/>
          <w:sz w:val="20"/>
        </w:rPr>
        <w:t>Id.</w:t>
      </w:r>
      <w:r>
        <w:rPr>
          <w:rFonts w:ascii="Arial" w:eastAsia="Arial" w:hAnsi="Arial" w:cs="Arial"/>
          <w:color w:val="000000"/>
          <w:sz w:val="20"/>
        </w:rPr>
        <w:t xml:space="preserve"> at 907. </w:t>
      </w:r>
      <w:bookmarkStart w:id="4303" w:name="Bookmark_I61CDGGR2SF8CC0010000400_2"/>
      <w:bookmarkStart w:id="4304" w:name="Bookmark_I61CDGGR2SF8CC0030000400"/>
      <w:bookmarkEnd w:id="4303"/>
      <w:bookmarkEnd w:id="4304"/>
      <w:r>
        <w:rPr>
          <w:rFonts w:ascii="Arial" w:eastAsia="Arial" w:hAnsi="Arial" w:cs="Arial"/>
          <w:color w:val="000000"/>
          <w:sz w:val="20"/>
        </w:rPr>
        <w:t xml:space="preserve">And, critically, the Panel Majority concluded that "proof of a failure to accommodate does not automatically satisfy the terms-and-conditions language"—in other words, "[e]ven after proof of a failure to accommodate, there remains the requirement that the discrimination be 'in regard to job application procedures, . . . [or] other terms, conditions, or privileges of employment.' That is, the employee still needs to prove this component of an ADA discrimination claim based on a failure to accommodate." </w:t>
      </w:r>
      <w:bookmarkStart w:id="4305" w:name="Bookmark_I61CDGGR2N1PY30050000400"/>
      <w:bookmarkEnd w:id="4305"/>
      <w:r>
        <w:rPr>
          <w:rFonts w:ascii="Arial" w:eastAsia="Arial" w:hAnsi="Arial" w:cs="Arial"/>
          <w:i/>
          <w:color w:val="000000"/>
          <w:sz w:val="20"/>
        </w:rPr>
        <w:t>Id.</w:t>
      </w:r>
      <w:r>
        <w:rPr>
          <w:rFonts w:ascii="Arial" w:eastAsia="Arial" w:hAnsi="Arial" w:cs="Arial"/>
          <w:color w:val="000000"/>
          <w:sz w:val="20"/>
        </w:rPr>
        <w:t xml:space="preserve"> at 908 (second alteration and omission in original) (quoting 42 U.S.C. § 12112(a)). </w:t>
      </w:r>
      <w:bookmarkStart w:id="4306" w:name="Bookmark_I61CDGGR2SF8CC0030000400_2"/>
      <w:bookmarkEnd w:id="4306"/>
      <w:r>
        <w:rPr>
          <w:rFonts w:ascii="Arial" w:eastAsia="Arial" w:hAnsi="Arial" w:cs="Arial"/>
          <w:color w:val="000000"/>
          <w:sz w:val="20"/>
        </w:rPr>
        <w:t xml:space="preserve">And, because the adverse-employment-action language is simply shorthand for this additional terms-conditions-and-privileges-of-employment requirement, "it is evident" said the Panel Majority, that plaintiffs must establish an adverse employment action even where their ADA claim is "based on failure to make reasonable accommodations." </w:t>
      </w:r>
      <w:bookmarkStart w:id="4307" w:name="Bookmark_I61CDGGR2SF8CC0020000400"/>
      <w:bookmarkEnd w:id="4307"/>
      <w:r>
        <w:rPr>
          <w:rFonts w:ascii="Arial" w:eastAsia="Arial" w:hAnsi="Arial" w:cs="Arial"/>
          <w:i/>
          <w:color w:val="000000"/>
          <w:sz w:val="20"/>
        </w:rPr>
        <w:t>Id.</w:t>
      </w:r>
      <w:r>
        <w:rPr>
          <w:rFonts w:ascii="Arial" w:eastAsia="Arial" w:hAnsi="Arial" w:cs="Arial"/>
          <w:color w:val="000000"/>
          <w:sz w:val="20"/>
        </w:rPr>
        <w:t xml:space="preserve"> at 911.</w:t>
      </w:r>
    </w:p>
    <w:p w14:paraId="7C453C67" w14:textId="77777777" w:rsidR="002B10A6" w:rsidRDefault="00000000">
      <w:pPr>
        <w:pStyle w:val="Normal23"/>
        <w:widowControl w:val="0"/>
        <w:spacing w:before="200" w:line="260" w:lineRule="atLeast"/>
        <w:jc w:val="both"/>
      </w:pPr>
      <w:bookmarkStart w:id="4308" w:name="Bookmark_para_17_16"/>
      <w:bookmarkEnd w:id="4308"/>
      <w:r>
        <w:rPr>
          <w:rFonts w:ascii="Arial" w:eastAsia="Arial" w:hAnsi="Arial" w:cs="Arial"/>
          <w:color w:val="000000"/>
          <w:sz w:val="20"/>
        </w:rPr>
        <w:t>This court subsequently agreed to rehear the case en banc, requesting supplemental briefing specifically as to whether the district court erred when it instructed [**8]  the jury that an adverse employment action is a requisite element of a failure-to-accommodate claim under the ADA. We turn now to that question.</w:t>
      </w:r>
      <w:r>
        <w:rPr>
          <w:rFonts w:ascii="Arial" w:eastAsia="Arial" w:hAnsi="Arial" w:cs="Arial"/>
          <w:vertAlign w:val="superscript"/>
        </w:rPr>
        <w:footnoteReference w:customMarkFollows="1" w:id="165"/>
        <w:t>1</w:t>
      </w:r>
    </w:p>
    <w:p w14:paraId="072B3F4C" w14:textId="77777777" w:rsidR="002B10A6" w:rsidRDefault="00000000">
      <w:pPr>
        <w:pStyle w:val="Normal23"/>
        <w:widowControl w:val="0"/>
        <w:spacing w:before="240" w:line="260" w:lineRule="atLeast"/>
      </w:pPr>
      <w:r>
        <w:br/>
      </w:r>
      <w:r>
        <w:rPr>
          <w:rFonts w:ascii="Arial" w:eastAsia="Arial" w:hAnsi="Arial" w:cs="Arial"/>
          <w:b/>
          <w:color w:val="000000"/>
          <w:sz w:val="20"/>
        </w:rPr>
        <w:t>II</w:t>
      </w:r>
    </w:p>
    <w:p w14:paraId="2127EE19" w14:textId="77777777" w:rsidR="002B10A6" w:rsidRDefault="00000000">
      <w:pPr>
        <w:pStyle w:val="Normal23"/>
        <w:widowControl w:val="0"/>
        <w:spacing w:before="240" w:line="260" w:lineRule="atLeast"/>
      </w:pPr>
      <w:r>
        <w:br/>
      </w:r>
      <w:r>
        <w:rPr>
          <w:rFonts w:ascii="Arial" w:eastAsia="Arial" w:hAnsi="Arial" w:cs="Arial"/>
          <w:b/>
          <w:color w:val="000000"/>
          <w:sz w:val="20"/>
        </w:rPr>
        <w:t>A</w:t>
      </w:r>
    </w:p>
    <w:p w14:paraId="13E6045C" w14:textId="77777777" w:rsidR="002B10A6" w:rsidRDefault="00000000">
      <w:pPr>
        <w:pStyle w:val="Normal23"/>
        <w:widowControl w:val="0"/>
        <w:spacing w:before="200" w:line="260" w:lineRule="atLeast"/>
        <w:jc w:val="both"/>
      </w:pPr>
      <w:bookmarkStart w:id="4310" w:name="Bookmark_para_18_16"/>
      <w:bookmarkStart w:id="4311" w:name="Bookmark_I61CDGGR2SF8CC0050000400"/>
      <w:bookmarkStart w:id="4312" w:name="Bookmark_LNHNREFclscc3_19"/>
      <w:bookmarkEnd w:id="4310"/>
      <w:bookmarkEnd w:id="4311"/>
      <w:bookmarkEnd w:id="4312"/>
      <w:r>
        <w:rPr>
          <w:rFonts w:ascii="Arial" w:eastAsia="Arial" w:hAnsi="Arial" w:cs="Arial"/>
          <w:color w:val="000000"/>
          <w:sz w:val="20"/>
        </w:rPr>
        <w:t xml:space="preserve">"We review de novo whether, 'as a whole, the district court's jury instructions correctly stated the governing law and provided the jury with an ample understanding of the issues and applicable standards.'" </w:t>
      </w:r>
      <w:bookmarkStart w:id="4313" w:name="Bookmark_I61CDGGR2SF8CC0040000400"/>
      <w:bookmarkEnd w:id="4313"/>
      <w:r>
        <w:rPr>
          <w:rFonts w:ascii="Arial" w:eastAsia="Arial" w:hAnsi="Arial" w:cs="Arial"/>
          <w:i/>
          <w:color w:val="000000"/>
          <w:sz w:val="20"/>
        </w:rPr>
        <w:t>Liberty Mut. Fire Ins. Co. v. Woolman</w:t>
      </w:r>
      <w:r>
        <w:rPr>
          <w:rFonts w:ascii="Arial" w:eastAsia="Arial" w:hAnsi="Arial" w:cs="Arial"/>
          <w:color w:val="000000"/>
          <w:sz w:val="20"/>
        </w:rPr>
        <w:t xml:space="preserve">, 913 F.3d 977, 992 (10th Cir. 2019) (quoting </w:t>
      </w:r>
      <w:bookmarkStart w:id="4314" w:name="Bookmark_I61CDGGR2HM6KM0010000400"/>
      <w:bookmarkEnd w:id="4314"/>
      <w:r>
        <w:rPr>
          <w:rFonts w:ascii="Arial" w:eastAsia="Arial" w:hAnsi="Arial" w:cs="Arial"/>
          <w:i/>
          <w:color w:val="000000"/>
          <w:sz w:val="20"/>
        </w:rPr>
        <w:t>Martinez v. Caterpillar, Inc.</w:t>
      </w:r>
      <w:r>
        <w:rPr>
          <w:rFonts w:ascii="Arial" w:eastAsia="Arial" w:hAnsi="Arial" w:cs="Arial"/>
          <w:color w:val="000000"/>
          <w:sz w:val="20"/>
        </w:rPr>
        <w:t xml:space="preserve">, 572 F.3d 1129, 1132 (10th Cir. 2009)); </w:t>
      </w:r>
      <w:r>
        <w:rPr>
          <w:rFonts w:ascii="Arial" w:eastAsia="Arial" w:hAnsi="Arial" w:cs="Arial"/>
          <w:i/>
          <w:color w:val="000000"/>
          <w:sz w:val="20"/>
        </w:rPr>
        <w:t xml:space="preserve">accord </w:t>
      </w:r>
      <w:bookmarkStart w:id="4315" w:name="Bookmark_I61CDGGR2HM6KM0030000400"/>
      <w:bookmarkEnd w:id="4315"/>
      <w:r>
        <w:rPr>
          <w:rFonts w:ascii="Arial" w:eastAsia="Arial" w:hAnsi="Arial" w:cs="Arial"/>
          <w:i/>
          <w:color w:val="000000"/>
          <w:sz w:val="20"/>
        </w:rPr>
        <w:t>Davoll v. Webb</w:t>
      </w:r>
      <w:r>
        <w:rPr>
          <w:rFonts w:ascii="Arial" w:eastAsia="Arial" w:hAnsi="Arial" w:cs="Arial"/>
          <w:color w:val="000000"/>
          <w:sz w:val="20"/>
        </w:rPr>
        <w:t>, 194 F.3d 1116, 1131 (10th Cir. 1999). The foundational governing law in this case is found in the ADA's text.</w:t>
      </w:r>
    </w:p>
    <w:p w14:paraId="7A41F7A3" w14:textId="77777777" w:rsidR="002B10A6" w:rsidRDefault="00000000">
      <w:pPr>
        <w:pStyle w:val="Normal23"/>
        <w:widowControl w:val="0"/>
        <w:spacing w:before="200" w:line="260" w:lineRule="atLeast"/>
        <w:jc w:val="both"/>
      </w:pPr>
      <w:bookmarkStart w:id="4316" w:name="Bookmark_para_19_15"/>
      <w:bookmarkStart w:id="4317" w:name="Bookmark_I61CDGGY2HM6M30010000400"/>
      <w:bookmarkStart w:id="4318" w:name="Bookmark_LNHNREFclscc4_19"/>
      <w:bookmarkEnd w:id="4316"/>
      <w:bookmarkEnd w:id="4317"/>
      <w:bookmarkEnd w:id="4318"/>
      <w:r>
        <w:rPr>
          <w:rFonts w:ascii="Arial" w:eastAsia="Arial" w:hAnsi="Arial" w:cs="Arial"/>
          <w:color w:val="000000"/>
          <w:sz w:val="20"/>
        </w:rPr>
        <w:t>42 U.S.C. § 12112(a), entitled "General rule," provides the general, employment-discrimination proscription of Title I of the ADA, stating that</w:t>
      </w:r>
    </w:p>
    <w:p w14:paraId="4FC62D96" w14:textId="77777777" w:rsidR="002B10A6" w:rsidRDefault="00000000">
      <w:pPr>
        <w:pStyle w:val="Normal23"/>
        <w:widowControl w:val="0"/>
        <w:spacing w:line="260" w:lineRule="atLeast"/>
        <w:ind w:left="400"/>
        <w:jc w:val="both"/>
      </w:pPr>
      <w:bookmarkStart w:id="4319" w:name="Bookmark_para_20_15"/>
      <w:bookmarkStart w:id="4320" w:name="Bookmark_I61CDGGY2HM6M30010000400_2"/>
      <w:bookmarkEnd w:id="4319"/>
      <w:bookmarkEnd w:id="4320"/>
      <w:r>
        <w:rPr>
          <w:rFonts w:ascii="Arial" w:eastAsia="Arial" w:hAnsi="Arial" w:cs="Arial"/>
          <w:color w:val="000000"/>
          <w:sz w:val="20"/>
        </w:rPr>
        <w:t>[n]o covered entity shall discriminate against a qualified individual on the basis of disability in regard to job application procedures, the hiring, advancement, or discharge of employees, employee compensation, job training, and other terms, conditions, and privileges of employment.</w:t>
      </w:r>
    </w:p>
    <w:p w14:paraId="00CFB9A0" w14:textId="77777777" w:rsidR="002B10A6" w:rsidRDefault="00000000">
      <w:pPr>
        <w:pStyle w:val="Normal23"/>
        <w:widowControl w:val="0"/>
        <w:spacing w:before="200" w:line="260" w:lineRule="atLeast"/>
        <w:jc w:val="both"/>
      </w:pPr>
      <w:bookmarkStart w:id="4321" w:name="Bookmark_I61CDGGY2HM6M30010000400_3"/>
      <w:bookmarkEnd w:id="4321"/>
      <w:r>
        <w:rPr>
          <w:rFonts w:ascii="Arial" w:eastAsia="Arial" w:hAnsi="Arial" w:cs="Arial"/>
          <w:color w:val="000000"/>
          <w:sz w:val="20"/>
        </w:rPr>
        <w:t>42 U.S.C. § 12112(a)</w:t>
      </w:r>
      <w:r>
        <w:rPr>
          <w:rFonts w:ascii="Arial" w:eastAsia="Arial" w:hAnsi="Arial" w:cs="Arial"/>
          <w:vertAlign w:val="superscript"/>
        </w:rPr>
        <w:footnoteReference w:customMarkFollows="1" w:id="166"/>
        <w:t>2</w:t>
      </w:r>
      <w:r>
        <w:rPr>
          <w:rFonts w:ascii="Arial" w:eastAsia="Arial" w:hAnsi="Arial" w:cs="Arial"/>
          <w:color w:val="000000"/>
          <w:sz w:val="20"/>
        </w:rPr>
        <w:t xml:space="preserve">; </w:t>
      </w:r>
      <w:r>
        <w:rPr>
          <w:rFonts w:ascii="Arial" w:eastAsia="Arial" w:hAnsi="Arial" w:cs="Arial"/>
          <w:i/>
          <w:color w:val="000000"/>
          <w:sz w:val="20"/>
        </w:rPr>
        <w:t xml:space="preserve">see </w:t>
      </w:r>
      <w:bookmarkStart w:id="4324" w:name="Bookmark_I61CDGGR2HM6KM0050000400"/>
      <w:bookmarkEnd w:id="4324"/>
      <w:r>
        <w:rPr>
          <w:rFonts w:ascii="Arial" w:eastAsia="Arial" w:hAnsi="Arial" w:cs="Arial"/>
          <w:i/>
          <w:color w:val="000000"/>
          <w:sz w:val="20"/>
        </w:rPr>
        <w:t>PGA Tour, Inc. v. Martin</w:t>
      </w:r>
      <w:r>
        <w:rPr>
          <w:rFonts w:ascii="Arial" w:eastAsia="Arial" w:hAnsi="Arial" w:cs="Arial"/>
          <w:color w:val="000000"/>
          <w:sz w:val="20"/>
        </w:rPr>
        <w:t>, 532 U.S. 661, 675, 121 S. Ct. 1879, 149 L. Ed. 2d 904 (2001) ("To effectuate its sweeping purpose, the ADA forbids discrimination against disabled individuals in major areas of public life, among them employment (Title I of the Act), public  [*791]  services (Title II), and public accommodations (Title III)." (footnotes omitted)).</w:t>
      </w:r>
    </w:p>
    <w:p w14:paraId="3C10D258" w14:textId="77777777" w:rsidR="002B10A6" w:rsidRDefault="00000000">
      <w:pPr>
        <w:pStyle w:val="Normal23"/>
        <w:widowControl w:val="0"/>
        <w:spacing w:before="200" w:line="260" w:lineRule="atLeast"/>
        <w:jc w:val="both"/>
      </w:pPr>
      <w:bookmarkStart w:id="4325" w:name="Bookmark_para_21_15"/>
      <w:bookmarkStart w:id="4326" w:name="Bookmark_LNHNREFclscc6_17"/>
      <w:bookmarkEnd w:id="4325"/>
      <w:bookmarkEnd w:id="4326"/>
      <w:r>
        <w:rPr>
          <w:rFonts w:ascii="Arial" w:eastAsia="Arial" w:hAnsi="Arial" w:cs="Arial"/>
          <w:color w:val="000000"/>
          <w:sz w:val="20"/>
        </w:rPr>
        <w:t>Subsection 12112(b), entitled "Construction," is inextricably intertwined [**9]  with § 12112(a)'s "General rule." Critically, § 12112(b) particularizes and makes concrete this rule by offering in non-comprehensive fashion examples of the kinds of disability discrimination that qualified individuals may be subjected to "in regard to job application procedures, the hiring, advancement, or discharge of employees, employee compensation, job training, and other terms, conditions, and privileges of employment." 42 U.S.C. § 12112(a). (We frequently refer to the latter, quoted language of § 12112(a), in brief, as "the terms-conditions-and-privileges-of-employment language.") As most relevant here, subsection (b) provides the following:</w:t>
      </w:r>
    </w:p>
    <w:p w14:paraId="6C623BAE" w14:textId="77777777" w:rsidR="002B10A6" w:rsidRDefault="00000000">
      <w:pPr>
        <w:pStyle w:val="Normal23"/>
        <w:widowControl w:val="0"/>
        <w:spacing w:line="260" w:lineRule="atLeast"/>
        <w:ind w:left="400"/>
        <w:jc w:val="both"/>
      </w:pPr>
      <w:bookmarkStart w:id="4327" w:name="Bookmark_para_22_15"/>
      <w:bookmarkEnd w:id="4327"/>
      <w:r>
        <w:rPr>
          <w:rFonts w:ascii="Arial" w:eastAsia="Arial" w:hAnsi="Arial" w:cs="Arial"/>
          <w:color w:val="000000"/>
          <w:sz w:val="20"/>
        </w:rPr>
        <w:t>As used in subsection (a), the term "discriminate against a qualified individual on the basis of disability" includes—</w:t>
      </w:r>
    </w:p>
    <w:p w14:paraId="0F9872FB" w14:textId="77777777" w:rsidR="002B10A6" w:rsidRDefault="00000000">
      <w:pPr>
        <w:pStyle w:val="Normal23"/>
        <w:widowControl w:val="0"/>
        <w:spacing w:line="260" w:lineRule="atLeast"/>
        <w:ind w:left="800"/>
        <w:jc w:val="both"/>
      </w:pPr>
      <w:bookmarkStart w:id="4328" w:name="Bookmark_para_23_15"/>
      <w:bookmarkEnd w:id="4328"/>
      <w:r>
        <w:rPr>
          <w:rFonts w:ascii="Arial" w:eastAsia="Arial" w:hAnsi="Arial" w:cs="Arial"/>
          <w:color w:val="000000"/>
          <w:sz w:val="20"/>
        </w:rPr>
        <w:t>. . . .</w:t>
      </w:r>
    </w:p>
    <w:p w14:paraId="667FC8E5" w14:textId="77777777" w:rsidR="002B10A6" w:rsidRDefault="00000000">
      <w:pPr>
        <w:pStyle w:val="Normal23"/>
        <w:widowControl w:val="0"/>
        <w:spacing w:before="200" w:line="260" w:lineRule="atLeast"/>
        <w:ind w:left="800"/>
        <w:jc w:val="both"/>
      </w:pPr>
      <w:bookmarkStart w:id="4329" w:name="Bookmark_para_24_15"/>
      <w:bookmarkEnd w:id="4329"/>
      <w:r>
        <w:rPr>
          <w:rFonts w:ascii="Arial" w:eastAsia="Arial" w:hAnsi="Arial" w:cs="Arial"/>
          <w:b/>
          <w:color w:val="000000"/>
          <w:sz w:val="20"/>
        </w:rPr>
        <w:t>(5)(A)</w:t>
      </w:r>
      <w:r>
        <w:rPr>
          <w:rFonts w:ascii="Arial" w:eastAsia="Arial" w:hAnsi="Arial" w:cs="Arial"/>
          <w:color w:val="000000"/>
          <w:sz w:val="20"/>
        </w:rPr>
        <w:t xml:space="preserve"> not making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w:t>
      </w:r>
    </w:p>
    <w:p w14:paraId="4F4ADE7E" w14:textId="77777777" w:rsidR="002B10A6" w:rsidRDefault="00000000">
      <w:pPr>
        <w:pStyle w:val="Normal23"/>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12112(b).</w:t>
      </w:r>
    </w:p>
    <w:p w14:paraId="064677CC" w14:textId="77777777" w:rsidR="002B10A6" w:rsidRDefault="00000000">
      <w:pPr>
        <w:pStyle w:val="Normal23"/>
        <w:widowControl w:val="0"/>
        <w:spacing w:before="200" w:line="260" w:lineRule="atLeast"/>
        <w:jc w:val="both"/>
      </w:pPr>
      <w:bookmarkStart w:id="4330" w:name="Bookmark_para_25_15"/>
      <w:bookmarkEnd w:id="4330"/>
      <w:r>
        <w:rPr>
          <w:rFonts w:ascii="Arial" w:eastAsia="Arial" w:hAnsi="Arial" w:cs="Arial"/>
          <w:color w:val="000000"/>
          <w:sz w:val="20"/>
        </w:rPr>
        <w:t>It is undisputed that the language "adverse employment action" does not expressly appear in the plain terms of the failure-to-accommodate statutory provision, § 12112(b)(5)(A) [**10] , nor in the "General rule" of § 12112(a) that the failure-to-accommodate provision particularizes. And, for the reasons that we discuss at length below, we conclude that the district court erred when it charged the jury that an adverse employment action is a requisite element of a failure-to-accommodate claim.</w:t>
      </w:r>
    </w:p>
    <w:p w14:paraId="586E6F6D" w14:textId="77777777" w:rsidR="002B10A6" w:rsidRDefault="00000000">
      <w:pPr>
        <w:pStyle w:val="Normal23"/>
        <w:widowControl w:val="0"/>
        <w:spacing w:before="200" w:line="260" w:lineRule="atLeast"/>
        <w:jc w:val="both"/>
      </w:pPr>
      <w:bookmarkStart w:id="4331" w:name="Bookmark_para_26_15"/>
      <w:bookmarkStart w:id="4332" w:name="Bookmark_I61CDGGY2HM6M30030000400"/>
      <w:bookmarkEnd w:id="4331"/>
      <w:bookmarkEnd w:id="4332"/>
      <w:r>
        <w:rPr>
          <w:rFonts w:ascii="Arial" w:eastAsia="Arial" w:hAnsi="Arial" w:cs="Arial"/>
          <w:color w:val="000000"/>
          <w:sz w:val="20"/>
        </w:rPr>
        <w:t xml:space="preserve">We put aside for the moment—but return to later—the fact that by charging the jury in this fashion, the district court effectively added language to the ADA's plain text (i.e., "adverse employment action"); ordinarily, as here, this is an impermissible method of interpreting the governing statutory law. </w:t>
      </w:r>
      <w:r>
        <w:rPr>
          <w:rFonts w:ascii="Arial" w:eastAsia="Arial" w:hAnsi="Arial" w:cs="Arial"/>
          <w:i/>
          <w:color w:val="000000"/>
          <w:sz w:val="20"/>
        </w:rPr>
        <w:t xml:space="preserve">See, e.g., </w:t>
      </w:r>
      <w:bookmarkStart w:id="4333" w:name="Bookmark_I61CDGGY2HM6M30020000400"/>
      <w:bookmarkEnd w:id="4333"/>
      <w:r>
        <w:rPr>
          <w:rFonts w:ascii="Arial" w:eastAsia="Arial" w:hAnsi="Arial" w:cs="Arial"/>
          <w:i/>
          <w:color w:val="000000"/>
          <w:sz w:val="20"/>
        </w:rPr>
        <w:t>Dean v. United States</w:t>
      </w:r>
      <w:r>
        <w:rPr>
          <w:rFonts w:ascii="Arial" w:eastAsia="Arial" w:hAnsi="Arial" w:cs="Arial"/>
          <w:color w:val="000000"/>
          <w:sz w:val="20"/>
        </w:rPr>
        <w:t xml:space="preserve">, 556 U.S. 568, 572, 129 S. Ct. 1849, 173 L. Ed. 2d 785 (2009) (noting that "we ordinarily resist reading words or elements into a statute that do not appear on its face") (quoting </w:t>
      </w:r>
      <w:bookmarkStart w:id="4334" w:name="Bookmark_I61CDGGY2HM6M30040000400"/>
      <w:bookmarkEnd w:id="4334"/>
      <w:r>
        <w:rPr>
          <w:rFonts w:ascii="Arial" w:eastAsia="Arial" w:hAnsi="Arial" w:cs="Arial"/>
          <w:i/>
          <w:color w:val="000000"/>
          <w:sz w:val="20"/>
        </w:rPr>
        <w:t>Bates v. United States</w:t>
      </w:r>
      <w:r>
        <w:rPr>
          <w:rFonts w:ascii="Arial" w:eastAsia="Arial" w:hAnsi="Arial" w:cs="Arial"/>
          <w:color w:val="000000"/>
          <w:sz w:val="20"/>
        </w:rPr>
        <w:t xml:space="preserve">, 522 U.S. 23, 29, 118 S. Ct. 285, 139 L. Ed. 2d 215 (1997))); </w:t>
      </w:r>
      <w:bookmarkStart w:id="4335" w:name="Bookmark_I61CDGH02N1PYP0010000400"/>
      <w:bookmarkEnd w:id="4335"/>
      <w:r>
        <w:rPr>
          <w:rFonts w:ascii="Arial" w:eastAsia="Arial" w:hAnsi="Arial" w:cs="Arial"/>
          <w:i/>
          <w:color w:val="000000"/>
          <w:sz w:val="20"/>
        </w:rPr>
        <w:t>Pueblo of San Ildefonso v. Ridlon</w:t>
      </w:r>
      <w:r>
        <w:rPr>
          <w:rFonts w:ascii="Arial" w:eastAsia="Arial" w:hAnsi="Arial" w:cs="Arial"/>
          <w:color w:val="000000"/>
          <w:sz w:val="20"/>
        </w:rPr>
        <w:t>, 103 F.3d 936, 939 (10th Cir. 1996) ("</w:t>
      </w:r>
      <w:bookmarkStart w:id="4336" w:name="Bookmark_LNHNREFclscc7_17"/>
      <w:bookmarkEnd w:id="4336"/>
      <w:r>
        <w:rPr>
          <w:rFonts w:ascii="Arial" w:eastAsia="Arial" w:hAnsi="Arial" w:cs="Arial"/>
          <w:color w:val="000000"/>
          <w:sz w:val="20"/>
        </w:rPr>
        <w:t>Where statutory language is clear and unambiguous, that language is controlling and courts should not add to that language."). That is because, perhaps most critically, the incorporation of an adverse-employment-action requirement into an ADA failure-to-accommodate claim is squarely at odds with, among other things, our own precedent; the views of the EEOC—the agency responsible for administering the ADA; and the regularly followed practices of all of our [**11]  sister circuits. Let us explain.</w:t>
      </w:r>
    </w:p>
    <w:p w14:paraId="1FB589C8" w14:textId="77777777" w:rsidR="002B10A6" w:rsidRDefault="00000000">
      <w:pPr>
        <w:pStyle w:val="Normal23"/>
        <w:widowControl w:val="0"/>
        <w:spacing w:before="240" w:line="260" w:lineRule="atLeast"/>
      </w:pPr>
      <w:r>
        <w:br/>
      </w:r>
      <w:r>
        <w:rPr>
          <w:rFonts w:ascii="Arial" w:eastAsia="Arial" w:hAnsi="Arial" w:cs="Arial"/>
          <w:b/>
          <w:color w:val="000000"/>
          <w:sz w:val="20"/>
        </w:rPr>
        <w:t>B</w:t>
      </w:r>
    </w:p>
    <w:p w14:paraId="127387B0" w14:textId="77777777" w:rsidR="002B10A6" w:rsidRDefault="00000000">
      <w:pPr>
        <w:pStyle w:val="Normal23"/>
        <w:widowControl w:val="0"/>
        <w:spacing w:before="200" w:line="260" w:lineRule="atLeast"/>
        <w:jc w:val="both"/>
      </w:pPr>
      <w:bookmarkStart w:id="4337" w:name="Bookmark_para_27_15"/>
      <w:bookmarkEnd w:id="4337"/>
      <w:r>
        <w:rPr>
          <w:rFonts w:ascii="Arial" w:eastAsia="Arial" w:hAnsi="Arial" w:cs="Arial"/>
          <w:color w:val="000000"/>
          <w:sz w:val="20"/>
        </w:rPr>
        <w:t>More specifically, the district court's incorporation of an adverse-employment-action requirement into an ADA failure-to-accommodate claim was contrary to (1) our controlling precedent; (2) the inherent nature of a failure-to-accommodate claim, as contrasted with a disparate-treatment claim; (3) the general remedial purposes of the ADA; (4) the EEOC's understanding of the elements of an ADA failure-to-accommodate claim; and (5) the regularly followed practices of all of our  [*792]  sister circuits. We address these matters in turn.</w:t>
      </w:r>
    </w:p>
    <w:p w14:paraId="75293018" w14:textId="77777777" w:rsidR="002B10A6" w:rsidRDefault="00000000">
      <w:pPr>
        <w:pStyle w:val="Normal23"/>
        <w:widowControl w:val="0"/>
        <w:spacing w:before="240" w:line="260" w:lineRule="atLeast"/>
      </w:pPr>
      <w:r>
        <w:br/>
      </w:r>
      <w:r>
        <w:rPr>
          <w:rFonts w:ascii="Arial" w:eastAsia="Arial" w:hAnsi="Arial" w:cs="Arial"/>
          <w:b/>
          <w:color w:val="000000"/>
          <w:sz w:val="20"/>
        </w:rPr>
        <w:t>1</w:t>
      </w:r>
    </w:p>
    <w:p w14:paraId="4826FBA9" w14:textId="77777777" w:rsidR="002B10A6" w:rsidRDefault="00000000">
      <w:pPr>
        <w:pStyle w:val="Normal23"/>
        <w:widowControl w:val="0"/>
        <w:spacing w:before="200" w:line="260" w:lineRule="atLeast"/>
        <w:jc w:val="both"/>
      </w:pPr>
      <w:bookmarkStart w:id="4338" w:name="Bookmark_para_28_15"/>
      <w:bookmarkStart w:id="4339" w:name="Bookmark_I61CDGH02N1PYP0040000400"/>
      <w:bookmarkStart w:id="4340" w:name="Bookmark_LNHNREFclscc8_16"/>
      <w:bookmarkEnd w:id="4338"/>
      <w:bookmarkEnd w:id="4339"/>
      <w:bookmarkEnd w:id="4340"/>
      <w:r>
        <w:rPr>
          <w:rFonts w:ascii="Arial" w:eastAsia="Arial" w:hAnsi="Arial" w:cs="Arial"/>
          <w:color w:val="000000"/>
          <w:sz w:val="20"/>
        </w:rPr>
        <w:t xml:space="preserve">Our controlling precedents make clear that an adverse employment action is not a requisite element of a failure-to-accommodate claim. For starters, our precedents have repeatedly and invariably presented the prima facie case for an ADA failure-to-accommodate claim without mentioning an adverse-employment-action requirement. </w:t>
      </w:r>
      <w:bookmarkStart w:id="4341" w:name="Bookmark_I61CDGH128T4SG0020000400"/>
      <w:bookmarkEnd w:id="4341"/>
      <w:r>
        <w:rPr>
          <w:rFonts w:ascii="Arial" w:eastAsia="Arial" w:hAnsi="Arial" w:cs="Arial"/>
          <w:i/>
          <w:color w:val="000000"/>
          <w:sz w:val="20"/>
        </w:rPr>
        <w:t xml:space="preserve">See </w:t>
      </w:r>
      <w:bookmarkStart w:id="4342" w:name="Bookmark_I61CDGH02N1PYP0030000400"/>
      <w:bookmarkEnd w:id="4342"/>
      <w:r>
        <w:rPr>
          <w:rFonts w:ascii="Arial" w:eastAsia="Arial" w:hAnsi="Arial" w:cs="Arial"/>
          <w:i/>
          <w:color w:val="000000"/>
          <w:sz w:val="20"/>
        </w:rPr>
        <w:t>Lincoln v. BNSF Ry. Co.</w:t>
      </w:r>
      <w:r>
        <w:rPr>
          <w:rFonts w:ascii="Arial" w:eastAsia="Arial" w:hAnsi="Arial" w:cs="Arial"/>
          <w:color w:val="000000"/>
          <w:sz w:val="20"/>
        </w:rPr>
        <w:t xml:space="preserve">, 900 F.3d 1166, 1204 (10th Cir. 2018) (noting that under the "modified </w:t>
      </w:r>
      <w:r>
        <w:rPr>
          <w:rFonts w:ascii="Arial" w:eastAsia="Arial" w:hAnsi="Arial" w:cs="Arial"/>
          <w:i/>
          <w:color w:val="000000"/>
          <w:sz w:val="20"/>
        </w:rPr>
        <w:t>McDonnell Douglas</w:t>
      </w:r>
      <w:r>
        <w:rPr>
          <w:rFonts w:ascii="Arial" w:eastAsia="Arial" w:hAnsi="Arial" w:cs="Arial"/>
          <w:color w:val="000000"/>
          <w:sz w:val="20"/>
        </w:rPr>
        <w:t xml:space="preserve"> burden-shifting framework" governing failure-to-accommodate claims, a plaintiff may establish a prima facie case by demonstrating "that '(1) [he] is disabled; (2) [he] is otherwise qualified; and (3) [he] requested a plausibly reasonable accommodation'" (alterations [**12]  in original) (quoting </w:t>
      </w:r>
      <w:bookmarkStart w:id="4343" w:name="Bookmark_I61CDGH02N1PYP0050000400"/>
      <w:bookmarkEnd w:id="4343"/>
      <w:r>
        <w:rPr>
          <w:rFonts w:ascii="Arial" w:eastAsia="Arial" w:hAnsi="Arial" w:cs="Arial"/>
          <w:i/>
          <w:color w:val="000000"/>
          <w:sz w:val="20"/>
        </w:rPr>
        <w:t>Punt v. Kelly Servs.</w:t>
      </w:r>
      <w:r>
        <w:rPr>
          <w:rFonts w:ascii="Arial" w:eastAsia="Arial" w:hAnsi="Arial" w:cs="Arial"/>
          <w:color w:val="000000"/>
          <w:sz w:val="20"/>
        </w:rPr>
        <w:t xml:space="preserve">, 862 F.3d 1040, 1050 (10th Cir. 2017))); </w:t>
      </w:r>
      <w:r>
        <w:rPr>
          <w:rFonts w:ascii="Arial" w:eastAsia="Arial" w:hAnsi="Arial" w:cs="Arial"/>
          <w:i/>
          <w:color w:val="000000"/>
          <w:sz w:val="20"/>
        </w:rPr>
        <w:t xml:space="preserve">see also </w:t>
      </w:r>
      <w:bookmarkStart w:id="4344" w:name="Bookmark_I61CDGH02N1PYS0020000400"/>
      <w:bookmarkEnd w:id="4344"/>
      <w:r>
        <w:rPr>
          <w:rFonts w:ascii="Arial" w:eastAsia="Arial" w:hAnsi="Arial" w:cs="Arial"/>
          <w:i/>
          <w:color w:val="000000"/>
          <w:sz w:val="20"/>
        </w:rPr>
        <w:t>Bartee v. Michelin N. Am., Inc.</w:t>
      </w:r>
      <w:r>
        <w:rPr>
          <w:rFonts w:ascii="Arial" w:eastAsia="Arial" w:hAnsi="Arial" w:cs="Arial"/>
          <w:color w:val="000000"/>
          <w:sz w:val="20"/>
        </w:rPr>
        <w:t xml:space="preserve">, 374 F.3d 906, 912 n.4 (10th Cir. 2004); </w:t>
      </w:r>
      <w:bookmarkStart w:id="4345" w:name="Bookmark_I61CDGH02N1PYS0040000400"/>
      <w:bookmarkEnd w:id="4345"/>
      <w:r>
        <w:rPr>
          <w:rFonts w:ascii="Arial" w:eastAsia="Arial" w:hAnsi="Arial" w:cs="Arial"/>
          <w:i/>
          <w:color w:val="000000"/>
          <w:sz w:val="20"/>
        </w:rPr>
        <w:t>Smith v. Midland Brake, Inc.</w:t>
      </w:r>
      <w:r>
        <w:rPr>
          <w:rFonts w:ascii="Arial" w:eastAsia="Arial" w:hAnsi="Arial" w:cs="Arial"/>
          <w:color w:val="000000"/>
          <w:sz w:val="20"/>
        </w:rPr>
        <w:t xml:space="preserve">, 180 F.3d 1154, 1179 (10th Cir. 1999) (en banc). </w:t>
      </w:r>
      <w:bookmarkStart w:id="4346" w:name="Bookmark_I61CDGH128T4SG0020000400_2"/>
      <w:bookmarkEnd w:id="4346"/>
      <w:r>
        <w:rPr>
          <w:rFonts w:ascii="Arial" w:eastAsia="Arial" w:hAnsi="Arial" w:cs="Arial"/>
          <w:color w:val="000000"/>
          <w:sz w:val="20"/>
        </w:rPr>
        <w:t xml:space="preserve">Moreover, we have made clear that these articulations of the prima facie case for a failure-to-accommodate claim </w:t>
      </w:r>
      <w:r>
        <w:rPr>
          <w:rFonts w:ascii="Arial" w:eastAsia="Arial" w:hAnsi="Arial" w:cs="Arial"/>
          <w:i/>
          <w:color w:val="000000"/>
          <w:sz w:val="20"/>
        </w:rPr>
        <w:t>exhaustively</w:t>
      </w:r>
      <w:r>
        <w:rPr>
          <w:rFonts w:ascii="Arial" w:eastAsia="Arial" w:hAnsi="Arial" w:cs="Arial"/>
          <w:color w:val="000000"/>
          <w:sz w:val="20"/>
        </w:rPr>
        <w:t xml:space="preserve"> enumerate the essential elements of that claim. </w:t>
      </w:r>
      <w:r>
        <w:rPr>
          <w:rFonts w:ascii="Arial" w:eastAsia="Arial" w:hAnsi="Arial" w:cs="Arial"/>
          <w:i/>
          <w:color w:val="000000"/>
          <w:sz w:val="20"/>
        </w:rPr>
        <w:t xml:space="preserve">See, e.g., </w:t>
      </w:r>
      <w:bookmarkStart w:id="4347" w:name="Bookmark_I61CDGH128T4SG0010000400"/>
      <w:bookmarkEnd w:id="4347"/>
      <w:r>
        <w:rPr>
          <w:rFonts w:ascii="Arial" w:eastAsia="Arial" w:hAnsi="Arial" w:cs="Arial"/>
          <w:i/>
          <w:color w:val="000000"/>
          <w:sz w:val="20"/>
        </w:rPr>
        <w:t>Lincoln</w:t>
      </w:r>
      <w:r>
        <w:rPr>
          <w:rFonts w:ascii="Arial" w:eastAsia="Arial" w:hAnsi="Arial" w:cs="Arial"/>
          <w:color w:val="000000"/>
          <w:sz w:val="20"/>
        </w:rPr>
        <w:t xml:space="preserve">, 900 F.3d at 1204 (stating, under the heading "Standard governing claim &amp; burden of proof framework," not only the prima facie case for an ADA failure-to-accommodate claim, but also the employer's subsequent proof burden of undue hardship where the prima facie case has been satisfied, without even an intimation that such satisfaction of the prima facie case requires the plaintiff to demonstrate an adverse employment action); </w:t>
      </w:r>
      <w:bookmarkStart w:id="4348" w:name="Bookmark_I61CDGH128T4SG0030000400"/>
      <w:bookmarkEnd w:id="4348"/>
      <w:r>
        <w:rPr>
          <w:rFonts w:ascii="Arial" w:eastAsia="Arial" w:hAnsi="Arial" w:cs="Arial"/>
          <w:i/>
          <w:color w:val="000000"/>
          <w:sz w:val="20"/>
        </w:rPr>
        <w:t>Punt</w:t>
      </w:r>
      <w:r>
        <w:rPr>
          <w:rFonts w:ascii="Arial" w:eastAsia="Arial" w:hAnsi="Arial" w:cs="Arial"/>
          <w:color w:val="000000"/>
          <w:sz w:val="20"/>
        </w:rPr>
        <w:t xml:space="preserve">, 862 F.3d at 1050 (similarly presenting an ADA failure-to-accommodate claimant's initial burden and the employer's contingent burden, with complete silence as to an adverse-employment-action requirement); </w:t>
      </w:r>
      <w:bookmarkStart w:id="4349" w:name="Bookmark_I61CDGH128T4SG0050000400"/>
      <w:bookmarkEnd w:id="4349"/>
      <w:r>
        <w:rPr>
          <w:rFonts w:ascii="Arial" w:eastAsia="Arial" w:hAnsi="Arial" w:cs="Arial"/>
          <w:i/>
          <w:color w:val="000000"/>
          <w:sz w:val="20"/>
        </w:rPr>
        <w:t>Smith</w:t>
      </w:r>
      <w:r>
        <w:rPr>
          <w:rFonts w:ascii="Arial" w:eastAsia="Arial" w:hAnsi="Arial" w:cs="Arial"/>
          <w:color w:val="000000"/>
          <w:sz w:val="20"/>
        </w:rPr>
        <w:t xml:space="preserve">, 180 F.3d at 1179 (describing the prima facie case for an ADA failure-to-accommodate claim—which the court presented without an adverse-employment-action requirement—as what the plaintiff must show "[t]o survive summary judgment on an ADA claim of failure to accommodate"); </w:t>
      </w:r>
      <w:r>
        <w:rPr>
          <w:rFonts w:ascii="Arial" w:eastAsia="Arial" w:hAnsi="Arial" w:cs="Arial"/>
          <w:i/>
          <w:color w:val="000000"/>
          <w:sz w:val="20"/>
        </w:rPr>
        <w:t xml:space="preserve">cf. </w:t>
      </w:r>
      <w:bookmarkStart w:id="4350" w:name="Bookmark_I61CDGH12SF8D40020000400"/>
      <w:bookmarkEnd w:id="4350"/>
      <w:r>
        <w:rPr>
          <w:rFonts w:ascii="Arial" w:eastAsia="Arial" w:hAnsi="Arial" w:cs="Arial"/>
          <w:i/>
          <w:color w:val="000000"/>
          <w:sz w:val="20"/>
        </w:rPr>
        <w:t>MacDonald v. Delta Air Lines, Inc.</w:t>
      </w:r>
      <w:r>
        <w:rPr>
          <w:rFonts w:ascii="Arial" w:eastAsia="Arial" w:hAnsi="Arial" w:cs="Arial"/>
          <w:color w:val="000000"/>
          <w:sz w:val="20"/>
        </w:rPr>
        <w:t>, 94 F.3d 1437, 1440 (10th Cir. 1996) (indicating, in an ADA case, that the establishment of a prima facie case means that a "reasonable jury could [**13]  return a verdict in [the plaintiff's] favor").</w:t>
      </w:r>
    </w:p>
    <w:p w14:paraId="1A914E73" w14:textId="77777777" w:rsidR="002B10A6" w:rsidRDefault="00000000">
      <w:pPr>
        <w:pStyle w:val="Normal23"/>
        <w:widowControl w:val="0"/>
        <w:spacing w:before="200" w:line="260" w:lineRule="atLeast"/>
        <w:jc w:val="both"/>
      </w:pPr>
      <w:bookmarkStart w:id="4351" w:name="Bookmark_para_29_15"/>
      <w:bookmarkStart w:id="4352" w:name="Bookmark_I61CDGH12SF8D40050000400"/>
      <w:bookmarkEnd w:id="4351"/>
      <w:bookmarkEnd w:id="4352"/>
      <w:r>
        <w:rPr>
          <w:rFonts w:ascii="Arial" w:eastAsia="Arial" w:hAnsi="Arial" w:cs="Arial"/>
          <w:color w:val="000000"/>
          <w:sz w:val="20"/>
        </w:rPr>
        <w:t xml:space="preserve">An appellate court that effectively declares that it is comprehensively delineating the elements of "a prima facie failure to accommodate claim," </w:t>
      </w:r>
      <w:bookmarkStart w:id="4353" w:name="Bookmark_I61CDGH12SF8D40040000400"/>
      <w:bookmarkEnd w:id="4353"/>
      <w:r>
        <w:rPr>
          <w:rFonts w:ascii="Arial" w:eastAsia="Arial" w:hAnsi="Arial" w:cs="Arial"/>
          <w:i/>
          <w:color w:val="000000"/>
          <w:sz w:val="20"/>
        </w:rPr>
        <w:t>Bartee</w:t>
      </w:r>
      <w:r>
        <w:rPr>
          <w:rFonts w:ascii="Arial" w:eastAsia="Arial" w:hAnsi="Arial" w:cs="Arial"/>
          <w:color w:val="000000"/>
          <w:sz w:val="20"/>
        </w:rPr>
        <w:t xml:space="preserve">, 374 F.3d at 912 n.4, but instead then excludes an </w:t>
      </w:r>
      <w:r>
        <w:rPr>
          <w:rFonts w:ascii="Arial" w:eastAsia="Arial" w:hAnsi="Arial" w:cs="Arial"/>
          <w:i/>
          <w:color w:val="000000"/>
          <w:sz w:val="20"/>
        </w:rPr>
        <w:t>ostensibly</w:t>
      </w:r>
      <w:r>
        <w:rPr>
          <w:rFonts w:ascii="Arial" w:eastAsia="Arial" w:hAnsi="Arial" w:cs="Arial"/>
          <w:color w:val="000000"/>
          <w:sz w:val="20"/>
        </w:rPr>
        <w:t xml:space="preserve"> essential element of that claim—that is, an adverse-employment-action requirement—would run a serious risk of misleading lower courts and the public about the contours of the law. We are not inclined to believe that our colleagues—in our previous failure-to-accommodate cases—would be so careless. Rather, we are confident that they omitted an adverse-employment-action element from their comprehensive statements of the prima facie case for an ADA failure-to-accommodate claim for a reason: </w:t>
      </w:r>
      <w:r>
        <w:rPr>
          <w:rFonts w:ascii="Arial" w:eastAsia="Arial" w:hAnsi="Arial" w:cs="Arial"/>
          <w:i/>
          <w:color w:val="000000"/>
          <w:sz w:val="20"/>
        </w:rPr>
        <w:t>viz.</w:t>
      </w:r>
      <w:r>
        <w:rPr>
          <w:rFonts w:ascii="Arial" w:eastAsia="Arial" w:hAnsi="Arial" w:cs="Arial"/>
          <w:color w:val="000000"/>
          <w:sz w:val="20"/>
        </w:rPr>
        <w:t>, there is no such element in an ADA failure-to-accommodate claim.</w:t>
      </w:r>
    </w:p>
    <w:p w14:paraId="537B5344" w14:textId="77777777" w:rsidR="002B10A6" w:rsidRDefault="00000000">
      <w:pPr>
        <w:pStyle w:val="Normal23"/>
        <w:widowControl w:val="0"/>
        <w:spacing w:before="200" w:line="260" w:lineRule="atLeast"/>
        <w:jc w:val="both"/>
      </w:pPr>
      <w:bookmarkStart w:id="4354" w:name="Bookmark_para_30_14"/>
      <w:bookmarkStart w:id="4355" w:name="Bookmark_I61CDGH12HM6MC0020000400"/>
      <w:bookmarkStart w:id="4356" w:name="Bookmark_I61CDGH12HM6MC0040000400"/>
      <w:bookmarkStart w:id="4357" w:name="Bookmark_I61CDGH22HM6MJ0020000400"/>
      <w:bookmarkEnd w:id="4354"/>
      <w:bookmarkEnd w:id="4355"/>
      <w:bookmarkEnd w:id="4356"/>
      <w:bookmarkEnd w:id="4357"/>
      <w:r>
        <w:rPr>
          <w:rFonts w:ascii="Arial" w:eastAsia="Arial" w:hAnsi="Arial" w:cs="Arial"/>
          <w:color w:val="000000"/>
          <w:sz w:val="20"/>
        </w:rPr>
        <w:t xml:space="preserve">Moreover, the telling omission of an adverse-employment-action requirement from our prior articulations of the ADA prima facie case for a failure-to-accommodate claim is perhaps especially notable, given that where an adverse employment action is a required element of other claims, whether under the ADA or otherwise, we have not been reticent to acknowledge that. </w:t>
      </w:r>
      <w:r>
        <w:rPr>
          <w:rFonts w:ascii="Arial" w:eastAsia="Arial" w:hAnsi="Arial" w:cs="Arial"/>
          <w:i/>
          <w:color w:val="000000"/>
          <w:sz w:val="20"/>
        </w:rPr>
        <w:t xml:space="preserve">See, e.g., </w:t>
      </w:r>
      <w:bookmarkStart w:id="4358" w:name="Bookmark_I61CDGH12HM6MC0010000400"/>
      <w:bookmarkEnd w:id="4358"/>
      <w:r>
        <w:rPr>
          <w:rFonts w:ascii="Arial" w:eastAsia="Arial" w:hAnsi="Arial" w:cs="Arial"/>
          <w:i/>
          <w:color w:val="000000"/>
          <w:sz w:val="20"/>
        </w:rPr>
        <w:t>EEOC v. Abercrombie &amp; Fitch Stores, Inc.</w:t>
      </w:r>
      <w:r>
        <w:rPr>
          <w:rFonts w:ascii="Arial" w:eastAsia="Arial" w:hAnsi="Arial" w:cs="Arial"/>
          <w:color w:val="000000"/>
          <w:sz w:val="20"/>
        </w:rPr>
        <w:t xml:space="preserve">, 731 F.3d 1106, 1122 (10th Cir. 2013) (stating that  [*793]  "[i]n [Title [**14]  VII] religio[us]-accommodation cases, . . . . [t]he prima facie case requires the employee to 'show that (1) he or she had a bona fide religious belief that conflicts with an employment requirement; (2) he or she informed his or her employer of this belief; and (3) </w:t>
      </w:r>
      <w:r>
        <w:rPr>
          <w:rFonts w:ascii="Arial" w:eastAsia="Arial" w:hAnsi="Arial" w:cs="Arial"/>
          <w:i/>
          <w:color w:val="000000"/>
          <w:sz w:val="20"/>
        </w:rPr>
        <w:t>he or she was fired</w:t>
      </w:r>
      <w:r>
        <w:rPr>
          <w:rFonts w:ascii="Arial" w:eastAsia="Arial" w:hAnsi="Arial" w:cs="Arial"/>
          <w:color w:val="000000"/>
          <w:sz w:val="20"/>
        </w:rPr>
        <w:t xml:space="preserve"> [</w:t>
      </w:r>
      <w:r>
        <w:rPr>
          <w:rFonts w:ascii="Arial" w:eastAsia="Arial" w:hAnsi="Arial" w:cs="Arial"/>
          <w:i/>
          <w:color w:val="000000"/>
          <w:sz w:val="20"/>
        </w:rPr>
        <w:t>or not hired</w:t>
      </w:r>
      <w:r>
        <w:rPr>
          <w:rFonts w:ascii="Arial" w:eastAsia="Arial" w:hAnsi="Arial" w:cs="Arial"/>
          <w:color w:val="000000"/>
          <w:sz w:val="20"/>
        </w:rPr>
        <w:t xml:space="preserve">] </w:t>
      </w:r>
      <w:r>
        <w:rPr>
          <w:rFonts w:ascii="Arial" w:eastAsia="Arial" w:hAnsi="Arial" w:cs="Arial"/>
          <w:i/>
          <w:color w:val="000000"/>
          <w:sz w:val="20"/>
        </w:rPr>
        <w:t>for failure to comply with the conflicting employment requirement</w:t>
      </w:r>
      <w:r>
        <w:rPr>
          <w:rFonts w:ascii="Arial" w:eastAsia="Arial" w:hAnsi="Arial" w:cs="Arial"/>
          <w:color w:val="000000"/>
          <w:sz w:val="20"/>
        </w:rPr>
        <w:t xml:space="preserve">'" (final alteration in original) (emphasis omitted in second clause, and emphasis added in third clause) (quoting </w:t>
      </w:r>
      <w:bookmarkStart w:id="4359" w:name="Bookmark_I61CDGH12HM6MC0030000400"/>
      <w:bookmarkEnd w:id="4359"/>
      <w:r>
        <w:rPr>
          <w:rFonts w:ascii="Arial" w:eastAsia="Arial" w:hAnsi="Arial" w:cs="Arial"/>
          <w:i/>
          <w:color w:val="000000"/>
          <w:sz w:val="20"/>
        </w:rPr>
        <w:t>Thomas v. Nat'l Ass'n of Letter Carriers</w:t>
      </w:r>
      <w:r>
        <w:rPr>
          <w:rFonts w:ascii="Arial" w:eastAsia="Arial" w:hAnsi="Arial" w:cs="Arial"/>
          <w:color w:val="000000"/>
          <w:sz w:val="20"/>
        </w:rPr>
        <w:t xml:space="preserve">, 225 F.3d 1149, 1155 (10th Cir. 2000)), </w:t>
      </w:r>
      <w:r>
        <w:rPr>
          <w:rFonts w:ascii="Arial" w:eastAsia="Arial" w:hAnsi="Arial" w:cs="Arial"/>
          <w:i/>
          <w:color w:val="000000"/>
          <w:sz w:val="20"/>
        </w:rPr>
        <w:t>rev'd on other grounds</w:t>
      </w:r>
      <w:r>
        <w:rPr>
          <w:rFonts w:ascii="Arial" w:eastAsia="Arial" w:hAnsi="Arial" w:cs="Arial"/>
          <w:color w:val="000000"/>
          <w:sz w:val="20"/>
        </w:rPr>
        <w:t>, 575 U.S. 768, 135 S. Ct. 2028, 192 L. Ed. 2d 35 (2015))</w:t>
      </w:r>
      <w:r>
        <w:rPr>
          <w:rFonts w:ascii="Arial" w:eastAsia="Arial" w:hAnsi="Arial" w:cs="Arial"/>
          <w:vertAlign w:val="superscript"/>
        </w:rPr>
        <w:footnoteReference w:customMarkFollows="1" w:id="167"/>
        <w:t>3</w:t>
      </w:r>
      <w:r>
        <w:rPr>
          <w:rFonts w:ascii="Arial" w:eastAsia="Arial" w:hAnsi="Arial" w:cs="Arial"/>
          <w:color w:val="000000"/>
          <w:sz w:val="20"/>
        </w:rPr>
        <w:t xml:space="preserve">; </w:t>
      </w:r>
      <w:bookmarkStart w:id="4377" w:name="Bookmark_I61CDGH12HM6MC0050000400"/>
      <w:bookmarkEnd w:id="4377"/>
      <w:r>
        <w:rPr>
          <w:rFonts w:ascii="Arial" w:eastAsia="Arial" w:hAnsi="Arial" w:cs="Arial"/>
          <w:i/>
          <w:color w:val="000000"/>
          <w:sz w:val="20"/>
        </w:rPr>
        <w:t>EEOC v. C.R. England, Inc.</w:t>
      </w:r>
      <w:r>
        <w:rPr>
          <w:rFonts w:ascii="Arial" w:eastAsia="Arial" w:hAnsi="Arial" w:cs="Arial"/>
          <w:color w:val="000000"/>
          <w:sz w:val="20"/>
        </w:rPr>
        <w:t xml:space="preserve">, 644 F.3d 1028, 1039 (10th Cir. 2011) (stating, in the context of describing an ADA disparate-treatment claim under § 12112(b)(1), that, "as part of their prima facie case . . ., the [plaintiffs] must demonstrate that [they] suffered from an 'adverse employment action'" (quoting </w:t>
      </w:r>
      <w:bookmarkStart w:id="4378" w:name="Bookmark_I61CDGH12D6MXN0020000400"/>
      <w:bookmarkEnd w:id="4378"/>
      <w:r>
        <w:rPr>
          <w:rFonts w:ascii="Arial" w:eastAsia="Arial" w:hAnsi="Arial" w:cs="Arial"/>
          <w:i/>
          <w:color w:val="000000"/>
          <w:sz w:val="20"/>
        </w:rPr>
        <w:t>Mathews v. Denver Post</w:t>
      </w:r>
      <w:r>
        <w:rPr>
          <w:rFonts w:ascii="Arial" w:eastAsia="Arial" w:hAnsi="Arial" w:cs="Arial"/>
          <w:color w:val="000000"/>
          <w:sz w:val="20"/>
        </w:rPr>
        <w:t xml:space="preserve">, 263 F.3d 1164, 1167 (10th Cir. 2001))); </w:t>
      </w:r>
      <w:bookmarkStart w:id="4379" w:name="Bookmark_I61CDGH12D6MXN0040000400"/>
      <w:bookmarkEnd w:id="4379"/>
      <w:r>
        <w:rPr>
          <w:rFonts w:ascii="Arial" w:eastAsia="Arial" w:hAnsi="Arial" w:cs="Arial"/>
          <w:i/>
          <w:color w:val="000000"/>
          <w:sz w:val="20"/>
        </w:rPr>
        <w:t>Carney v. City &amp; Cty. of Denver</w:t>
      </w:r>
      <w:r>
        <w:rPr>
          <w:rFonts w:ascii="Arial" w:eastAsia="Arial" w:hAnsi="Arial" w:cs="Arial"/>
          <w:color w:val="000000"/>
          <w:sz w:val="20"/>
        </w:rPr>
        <w:t xml:space="preserve">, 534 F.3d 1269, 1273 (10th Cir. 2008) (including adverse employment action as element of prima facie case "[i]n racial discrimination suits . . . brought under . . . Title VII" (quoting </w:t>
      </w:r>
      <w:bookmarkStart w:id="4380" w:name="Bookmark_I61CDGH22HM6MJ0010000400"/>
      <w:bookmarkEnd w:id="4380"/>
      <w:r>
        <w:rPr>
          <w:rFonts w:ascii="Arial" w:eastAsia="Arial" w:hAnsi="Arial" w:cs="Arial"/>
          <w:i/>
          <w:color w:val="000000"/>
          <w:sz w:val="20"/>
        </w:rPr>
        <w:t>Baca v. Sklar</w:t>
      </w:r>
      <w:r>
        <w:rPr>
          <w:rFonts w:ascii="Arial" w:eastAsia="Arial" w:hAnsi="Arial" w:cs="Arial"/>
          <w:color w:val="000000"/>
          <w:sz w:val="20"/>
        </w:rPr>
        <w:t xml:space="preserve">, 398 F.3d 1210, 1218 n.3 (10th Cir. 2005))); </w:t>
      </w:r>
      <w:bookmarkStart w:id="4381" w:name="Bookmark_I61CDGH22HM6MJ0030000400"/>
      <w:bookmarkEnd w:id="4381"/>
      <w:r>
        <w:rPr>
          <w:rFonts w:ascii="Arial" w:eastAsia="Arial" w:hAnsi="Arial" w:cs="Arial"/>
          <w:i/>
          <w:color w:val="000000"/>
          <w:sz w:val="20"/>
        </w:rPr>
        <w:t>Orr v. City of Albuquerque</w:t>
      </w:r>
      <w:r>
        <w:rPr>
          <w:rFonts w:ascii="Arial" w:eastAsia="Arial" w:hAnsi="Arial" w:cs="Arial"/>
          <w:color w:val="000000"/>
          <w:sz w:val="20"/>
        </w:rPr>
        <w:t xml:space="preserve">, 417 F.3d 1144, 1149 (10th Cir. 2005) (including adverse employment action as element of prima facie case for Title VII sex- and pregnancy-discrimination claims); </w:t>
      </w:r>
      <w:bookmarkStart w:id="4382" w:name="Bookmark_I61CDGH22HM6MJ0050000400"/>
      <w:bookmarkEnd w:id="4382"/>
      <w:r>
        <w:rPr>
          <w:rFonts w:ascii="Arial" w:eastAsia="Arial" w:hAnsi="Arial" w:cs="Arial"/>
          <w:i/>
          <w:color w:val="000000"/>
          <w:sz w:val="20"/>
        </w:rPr>
        <w:t>Anderson v. Coors Brewing Co.</w:t>
      </w:r>
      <w:r>
        <w:rPr>
          <w:rFonts w:ascii="Arial" w:eastAsia="Arial" w:hAnsi="Arial" w:cs="Arial"/>
          <w:color w:val="000000"/>
          <w:sz w:val="20"/>
        </w:rPr>
        <w:t xml:space="preserve">, 181 F.3d 1171, 1178 (10th Cir. 1999) ("In order to establish a prima facie case [for an ADA retaliation claim], Plaintiff must show: . . . 2) she was subjected to adverse employment action subsequent to or contemporaneous [**15]  with the protected activity; . . . ."); </w:t>
      </w:r>
      <w:bookmarkStart w:id="4383" w:name="Bookmark_I61CDGH328T4SS0020000400"/>
      <w:bookmarkEnd w:id="4383"/>
      <w:r>
        <w:rPr>
          <w:rFonts w:ascii="Arial" w:eastAsia="Arial" w:hAnsi="Arial" w:cs="Arial"/>
          <w:i/>
          <w:color w:val="000000"/>
          <w:sz w:val="20"/>
        </w:rPr>
        <w:t>Sanchez v.  [*794]  Denver Pub. Sch.</w:t>
      </w:r>
      <w:r>
        <w:rPr>
          <w:rFonts w:ascii="Arial" w:eastAsia="Arial" w:hAnsi="Arial" w:cs="Arial"/>
          <w:color w:val="000000"/>
          <w:sz w:val="20"/>
        </w:rPr>
        <w:t xml:space="preserve">, 164 F.3d 527, 531 (10th Cir. 1998) (including adverse employment action as element of prima facie case for involuntary-transfer claim under the Age Discrimination in Employment Act and Title VII); </w:t>
      </w:r>
      <w:bookmarkStart w:id="4384" w:name="Bookmark_I61CDGH328T4SS0040000400"/>
      <w:bookmarkEnd w:id="4384"/>
      <w:r>
        <w:rPr>
          <w:rFonts w:ascii="Arial" w:eastAsia="Arial" w:hAnsi="Arial" w:cs="Arial"/>
          <w:i/>
          <w:color w:val="000000"/>
          <w:sz w:val="20"/>
        </w:rPr>
        <w:t>Den Hartog v. Wasatch Acad.</w:t>
      </w:r>
      <w:r>
        <w:rPr>
          <w:rFonts w:ascii="Arial" w:eastAsia="Arial" w:hAnsi="Arial" w:cs="Arial"/>
          <w:color w:val="000000"/>
          <w:sz w:val="20"/>
        </w:rPr>
        <w:t>, 129 F.3d 1076, 1085 (10th Cir. 1997) ("[I]n order to establish a prima facie case of 'association discrimination' under [the ADA], a plaintiff must demonstrate the following: . . . (2) the plaintiff was subjected to adverse employment action; . . . ." (italics omitted)).</w:t>
      </w:r>
    </w:p>
    <w:p w14:paraId="3D36281A" w14:textId="77777777" w:rsidR="002B10A6" w:rsidRDefault="00000000">
      <w:pPr>
        <w:pStyle w:val="Normal23"/>
        <w:widowControl w:val="0"/>
        <w:spacing w:before="200" w:line="260" w:lineRule="atLeast"/>
        <w:jc w:val="both"/>
      </w:pPr>
      <w:bookmarkStart w:id="4385" w:name="Bookmark_para_31_14"/>
      <w:bookmarkEnd w:id="4385"/>
      <w:r>
        <w:rPr>
          <w:rFonts w:ascii="Arial" w:eastAsia="Arial" w:hAnsi="Arial" w:cs="Arial"/>
          <w:color w:val="000000"/>
          <w:sz w:val="20"/>
        </w:rPr>
        <w:t xml:space="preserve">Beyond repeatedly omitting an adverse-employment-action requirement from comprehensive articulations of the prima facie case for ADA failure-to-accommodate claims, our cases have frequently made other statements in stark conflict with the ostensible existence of an adverse-employment-action requirement for failure-to-accommodate claims. </w:t>
      </w:r>
      <w:bookmarkStart w:id="4386" w:name="Bookmark_I61CDGH428T4SY0050000400"/>
      <w:bookmarkEnd w:id="4386"/>
      <w:r>
        <w:rPr>
          <w:rFonts w:ascii="Arial" w:eastAsia="Arial" w:hAnsi="Arial" w:cs="Arial"/>
          <w:color w:val="000000"/>
          <w:sz w:val="20"/>
        </w:rPr>
        <w:t xml:space="preserve">For instance, in </w:t>
      </w:r>
      <w:r>
        <w:rPr>
          <w:rFonts w:ascii="Arial" w:eastAsia="Arial" w:hAnsi="Arial" w:cs="Arial"/>
          <w:i/>
          <w:color w:val="000000"/>
          <w:sz w:val="20"/>
        </w:rPr>
        <w:t>Bartee</w:t>
      </w:r>
      <w:r>
        <w:rPr>
          <w:rFonts w:ascii="Arial" w:eastAsia="Arial" w:hAnsi="Arial" w:cs="Arial"/>
          <w:color w:val="000000"/>
          <w:sz w:val="20"/>
        </w:rPr>
        <w:t xml:space="preserve">, we juxtaposed the elements of an ADA disparate-treatment claim with the elements of an ADA failure-to-accommodate claim. </w:t>
      </w:r>
      <w:bookmarkStart w:id="4387" w:name="Bookmark_LNHNREFclscc10_14"/>
      <w:bookmarkEnd w:id="4387"/>
      <w:r>
        <w:rPr>
          <w:rFonts w:ascii="Arial" w:eastAsia="Arial" w:hAnsi="Arial" w:cs="Arial"/>
          <w:color w:val="000000"/>
          <w:sz w:val="20"/>
        </w:rPr>
        <w:t xml:space="preserve">And, in so doing, we observed that the element in the former of an adverse [**16]  employment action—in that instance, a termination of employment—was not an element of the latter. </w:t>
      </w:r>
      <w:bookmarkStart w:id="4388" w:name="Bookmark_I61CDGH42N1R0C0010000400"/>
      <w:bookmarkEnd w:id="4388"/>
      <w:r>
        <w:rPr>
          <w:rFonts w:ascii="Arial" w:eastAsia="Arial" w:hAnsi="Arial" w:cs="Arial"/>
          <w:i/>
          <w:color w:val="000000"/>
          <w:sz w:val="20"/>
        </w:rPr>
        <w:t>See</w:t>
      </w:r>
      <w:r>
        <w:rPr>
          <w:rFonts w:ascii="Arial" w:eastAsia="Arial" w:hAnsi="Arial" w:cs="Arial"/>
          <w:color w:val="000000"/>
          <w:sz w:val="20"/>
        </w:rPr>
        <w:t xml:space="preserve"> </w:t>
      </w:r>
      <w:bookmarkStart w:id="4389" w:name="Bookmark_I61CDGH428T4SY0040000400"/>
      <w:bookmarkEnd w:id="4389"/>
      <w:r>
        <w:rPr>
          <w:rFonts w:ascii="Arial" w:eastAsia="Arial" w:hAnsi="Arial" w:cs="Arial"/>
          <w:color w:val="000000"/>
          <w:sz w:val="20"/>
        </w:rPr>
        <w:t xml:space="preserve">374 F.3d at 912 n.4 ("To present a claim of wrongful termination, [the plaintiff] must show: (1) he is disabled within the meaning of the ADA; (2) he can perform, either with or without reasonable accommodation, the essential functions of the desired job; and (3) 'that [the defendant] terminated him because of his disability.' To present a prima facie failure to accommodate claim, </w:t>
      </w:r>
      <w:r>
        <w:rPr>
          <w:rFonts w:ascii="Arial" w:eastAsia="Arial" w:hAnsi="Arial" w:cs="Arial"/>
          <w:i/>
          <w:color w:val="000000"/>
          <w:sz w:val="20"/>
        </w:rPr>
        <w:t>the first two elements remain the same</w:t>
      </w:r>
      <w:r>
        <w:rPr>
          <w:rFonts w:ascii="Arial" w:eastAsia="Arial" w:hAnsi="Arial" w:cs="Arial"/>
          <w:color w:val="000000"/>
          <w:sz w:val="20"/>
        </w:rPr>
        <w:t xml:space="preserve">, while the third is met by showing that 'an employer [did not] take reasonable steps to [accommodate the employee].'" (third alteration in original) (emphasis added) (citation omitted) (first quoting </w:t>
      </w:r>
      <w:bookmarkStart w:id="4390" w:name="Bookmark_I61CDGH42D6MY30010000400"/>
      <w:bookmarkEnd w:id="4390"/>
      <w:r>
        <w:rPr>
          <w:rFonts w:ascii="Arial" w:eastAsia="Arial" w:hAnsi="Arial" w:cs="Arial"/>
          <w:i/>
          <w:color w:val="000000"/>
          <w:sz w:val="20"/>
        </w:rPr>
        <w:t>White v. York Int'l Corp.</w:t>
      </w:r>
      <w:r>
        <w:rPr>
          <w:rFonts w:ascii="Arial" w:eastAsia="Arial" w:hAnsi="Arial" w:cs="Arial"/>
          <w:color w:val="000000"/>
          <w:sz w:val="20"/>
        </w:rPr>
        <w:t xml:space="preserve">, 45 F.3d 357, 360-61 (10th Cir. 1995), and then quoting </w:t>
      </w:r>
      <w:bookmarkStart w:id="4391" w:name="Bookmark_I61CDGH42D6MY30030000400"/>
      <w:bookmarkEnd w:id="4391"/>
      <w:r>
        <w:rPr>
          <w:rFonts w:ascii="Arial" w:eastAsia="Arial" w:hAnsi="Arial" w:cs="Arial"/>
          <w:i/>
          <w:color w:val="000000"/>
          <w:sz w:val="20"/>
        </w:rPr>
        <w:t>Albert v. Smith's Food &amp; Drug Ctrs., Inc.</w:t>
      </w:r>
      <w:r>
        <w:rPr>
          <w:rFonts w:ascii="Arial" w:eastAsia="Arial" w:hAnsi="Arial" w:cs="Arial"/>
          <w:color w:val="000000"/>
          <w:sz w:val="20"/>
        </w:rPr>
        <w:t xml:space="preserve">, 356 F.3d 1242, 1252 (10th Cir. 2004))). </w:t>
      </w:r>
      <w:bookmarkStart w:id="4392" w:name="Bookmark_I61CDGH42N1R0C0010000400_2"/>
      <w:bookmarkEnd w:id="4392"/>
      <w:r>
        <w:rPr>
          <w:rFonts w:ascii="Arial" w:eastAsia="Arial" w:hAnsi="Arial" w:cs="Arial"/>
          <w:color w:val="000000"/>
          <w:sz w:val="20"/>
        </w:rPr>
        <w:t xml:space="preserve">Similarly, in </w:t>
      </w:r>
      <w:r>
        <w:rPr>
          <w:rFonts w:ascii="Arial" w:eastAsia="Arial" w:hAnsi="Arial" w:cs="Arial"/>
          <w:i/>
          <w:color w:val="000000"/>
          <w:sz w:val="20"/>
        </w:rPr>
        <w:t>C.R. England</w:t>
      </w:r>
      <w:r>
        <w:rPr>
          <w:rFonts w:ascii="Arial" w:eastAsia="Arial" w:hAnsi="Arial" w:cs="Arial"/>
          <w:color w:val="000000"/>
          <w:sz w:val="20"/>
        </w:rPr>
        <w:t xml:space="preserve">, we discussed several claims under the ADA and made clear that both disparate-treatment and retaliation claims require an adverse employment action. </w:t>
      </w:r>
      <w:bookmarkStart w:id="4393" w:name="Bookmark_I61CDGH42N1R0C0030000400"/>
      <w:bookmarkEnd w:id="4393"/>
      <w:r>
        <w:rPr>
          <w:rFonts w:ascii="Arial" w:eastAsia="Arial" w:hAnsi="Arial" w:cs="Arial"/>
          <w:i/>
          <w:color w:val="000000"/>
          <w:sz w:val="20"/>
        </w:rPr>
        <w:t>See</w:t>
      </w:r>
      <w:r>
        <w:rPr>
          <w:rFonts w:ascii="Arial" w:eastAsia="Arial" w:hAnsi="Arial" w:cs="Arial"/>
          <w:color w:val="000000"/>
          <w:sz w:val="20"/>
        </w:rPr>
        <w:t xml:space="preserve"> </w:t>
      </w:r>
      <w:bookmarkStart w:id="4394" w:name="Bookmark_I61CDGH42D6MY30050000400"/>
      <w:bookmarkEnd w:id="4394"/>
      <w:r>
        <w:rPr>
          <w:rFonts w:ascii="Arial" w:eastAsia="Arial" w:hAnsi="Arial" w:cs="Arial"/>
          <w:color w:val="000000"/>
          <w:sz w:val="20"/>
        </w:rPr>
        <w:t xml:space="preserve">644 F.3d at 1039, 1050-51. </w:t>
      </w:r>
      <w:bookmarkStart w:id="4395" w:name="Bookmark_I61CDGH42N1R0C0030000400_2"/>
      <w:bookmarkEnd w:id="4395"/>
      <w:r>
        <w:rPr>
          <w:rFonts w:ascii="Arial" w:eastAsia="Arial" w:hAnsi="Arial" w:cs="Arial"/>
          <w:color w:val="000000"/>
          <w:sz w:val="20"/>
        </w:rPr>
        <w:t xml:space="preserve">However, we sandwiched between our discussion of disparate-treatment claims and retaliation claims a discussion of failure-to-accommodate claims, and there we made no mention of an adverse-employment-action requirement. </w:t>
      </w:r>
      <w:r>
        <w:rPr>
          <w:rFonts w:ascii="Arial" w:eastAsia="Arial" w:hAnsi="Arial" w:cs="Arial"/>
          <w:i/>
          <w:color w:val="000000"/>
          <w:sz w:val="20"/>
        </w:rPr>
        <w:t xml:space="preserve">See </w:t>
      </w:r>
      <w:bookmarkStart w:id="4396" w:name="Bookmark_I61CDGH42N1R0C0020000400"/>
      <w:bookmarkEnd w:id="4396"/>
      <w:r>
        <w:rPr>
          <w:rFonts w:ascii="Arial" w:eastAsia="Arial" w:hAnsi="Arial" w:cs="Arial"/>
          <w:i/>
          <w:color w:val="000000"/>
          <w:sz w:val="20"/>
        </w:rPr>
        <w:t>id.</w:t>
      </w:r>
      <w:r>
        <w:rPr>
          <w:rFonts w:ascii="Arial" w:eastAsia="Arial" w:hAnsi="Arial" w:cs="Arial"/>
          <w:color w:val="000000"/>
          <w:sz w:val="20"/>
        </w:rPr>
        <w:t xml:space="preserve"> at 1048-50.</w:t>
      </w:r>
      <w:r>
        <w:rPr>
          <w:rFonts w:ascii="Arial" w:eastAsia="Arial" w:hAnsi="Arial" w:cs="Arial"/>
          <w:vertAlign w:val="superscript"/>
        </w:rPr>
        <w:footnoteReference w:customMarkFollows="1" w:id="168"/>
        <w:t>4</w:t>
      </w:r>
    </w:p>
    <w:p w14:paraId="61AD4376" w14:textId="77777777" w:rsidR="002B10A6" w:rsidRDefault="00000000">
      <w:pPr>
        <w:pStyle w:val="Normal23"/>
        <w:widowControl w:val="0"/>
        <w:spacing w:before="200" w:line="260" w:lineRule="atLeast"/>
        <w:jc w:val="both"/>
      </w:pPr>
      <w:bookmarkStart w:id="4404" w:name="Bookmark_para_32_14"/>
      <w:bookmarkStart w:id="4405" w:name="Bookmark_I61CDGH52N1R0D0010000400"/>
      <w:bookmarkStart w:id="4406" w:name="Bookmark_LNHNREFclscc12_13"/>
      <w:bookmarkEnd w:id="4404"/>
      <w:bookmarkEnd w:id="4405"/>
      <w:bookmarkEnd w:id="4406"/>
      <w:r>
        <w:rPr>
          <w:rFonts w:ascii="Arial" w:eastAsia="Arial" w:hAnsi="Arial" w:cs="Arial"/>
          <w:color w:val="000000"/>
          <w:sz w:val="20"/>
        </w:rPr>
        <w:t xml:space="preserve">Additionally, we have stated on multiple occasions that the ADA "establishes a cause of action for disabled employees </w:t>
      </w:r>
      <w:r>
        <w:rPr>
          <w:rFonts w:ascii="Arial" w:eastAsia="Arial" w:hAnsi="Arial" w:cs="Arial"/>
          <w:i/>
          <w:color w:val="000000"/>
          <w:sz w:val="20"/>
        </w:rPr>
        <w:t>whose employers fail to reasonably accommodate them</w:t>
      </w:r>
      <w:r>
        <w:rPr>
          <w:rFonts w:ascii="Arial" w:eastAsia="Arial" w:hAnsi="Arial" w:cs="Arial"/>
          <w:color w:val="000000"/>
          <w:sz w:val="20"/>
        </w:rPr>
        <w:t xml:space="preserve">." </w:t>
      </w:r>
      <w:bookmarkStart w:id="4407" w:name="Bookmark_I61CDGH428T4T20050000400"/>
      <w:bookmarkEnd w:id="4407"/>
      <w:r>
        <w:rPr>
          <w:rFonts w:ascii="Arial" w:eastAsia="Arial" w:hAnsi="Arial" w:cs="Arial"/>
          <w:i/>
          <w:color w:val="000000"/>
          <w:sz w:val="20"/>
        </w:rPr>
        <w:t>Id.</w:t>
      </w:r>
      <w:r>
        <w:rPr>
          <w:rFonts w:ascii="Arial" w:eastAsia="Arial" w:hAnsi="Arial" w:cs="Arial"/>
          <w:color w:val="000000"/>
          <w:sz w:val="20"/>
        </w:rPr>
        <w:t xml:space="preserve"> at 1048 (emphasis added) (quoting </w:t>
      </w:r>
      <w:bookmarkStart w:id="4408" w:name="Bookmark_I61CDGH52N1R0D0020000400"/>
      <w:bookmarkEnd w:id="4408"/>
      <w:r>
        <w:rPr>
          <w:rFonts w:ascii="Arial" w:eastAsia="Arial" w:hAnsi="Arial" w:cs="Arial"/>
          <w:i/>
          <w:color w:val="000000"/>
          <w:sz w:val="20"/>
        </w:rPr>
        <w:t>Selenke v. Med. Imaging of Colo.</w:t>
      </w:r>
      <w:r>
        <w:rPr>
          <w:rFonts w:ascii="Arial" w:eastAsia="Arial" w:hAnsi="Arial" w:cs="Arial"/>
          <w:color w:val="000000"/>
          <w:sz w:val="20"/>
        </w:rPr>
        <w:t xml:space="preserve">, 248 F.3d 1249, 1261 (10th Cir. 2001))). This general statement says nothing about the ostensible need for such disabled employees to </w:t>
      </w:r>
      <w:r>
        <w:rPr>
          <w:rFonts w:ascii="Arial" w:eastAsia="Arial" w:hAnsi="Arial" w:cs="Arial"/>
          <w:i/>
          <w:color w:val="000000"/>
          <w:sz w:val="20"/>
        </w:rPr>
        <w:t>also</w:t>
      </w:r>
      <w:r>
        <w:rPr>
          <w:rFonts w:ascii="Arial" w:eastAsia="Arial" w:hAnsi="Arial" w:cs="Arial"/>
          <w:color w:val="000000"/>
          <w:sz w:val="20"/>
        </w:rPr>
        <w:t xml:space="preserve"> demonstrate an adverse employment action before their  [*795]  failure-to-accommodate claim will be viable.</w:t>
      </w:r>
    </w:p>
    <w:p w14:paraId="4F01F3C9" w14:textId="77777777" w:rsidR="002B10A6" w:rsidRDefault="00000000">
      <w:pPr>
        <w:pStyle w:val="Normal23"/>
        <w:widowControl w:val="0"/>
        <w:spacing w:before="200" w:line="260" w:lineRule="atLeast"/>
        <w:jc w:val="both"/>
      </w:pPr>
      <w:bookmarkStart w:id="4409" w:name="Bookmark_para_33_13"/>
      <w:bookmarkStart w:id="4410" w:name="Bookmark_I61CDGH52N1R0D0050000400"/>
      <w:bookmarkStart w:id="4411" w:name="Bookmark_LNHNREFclscc13_11"/>
      <w:bookmarkEnd w:id="4409"/>
      <w:bookmarkEnd w:id="4410"/>
      <w:bookmarkEnd w:id="4411"/>
      <w:r>
        <w:rPr>
          <w:rFonts w:ascii="Arial" w:eastAsia="Arial" w:hAnsi="Arial" w:cs="Arial"/>
          <w:color w:val="000000"/>
          <w:sz w:val="20"/>
        </w:rPr>
        <w:t xml:space="preserve">Similarly, as we have expressly noted, the ADA imposes on "the employer . . . an </w:t>
      </w:r>
      <w:r>
        <w:rPr>
          <w:rFonts w:ascii="Arial" w:eastAsia="Arial" w:hAnsi="Arial" w:cs="Arial"/>
          <w:i/>
          <w:color w:val="000000"/>
          <w:sz w:val="20"/>
        </w:rPr>
        <w:t>affirmative obligation</w:t>
      </w:r>
      <w:r>
        <w:rPr>
          <w:rFonts w:ascii="Arial" w:eastAsia="Arial" w:hAnsi="Arial" w:cs="Arial"/>
          <w:color w:val="000000"/>
          <w:sz w:val="20"/>
        </w:rPr>
        <w:t xml:space="preserve"> to make a reasonable accommodation," </w:t>
      </w:r>
      <w:bookmarkStart w:id="4412" w:name="Bookmark_I61CDGH52N1R0D0040000400"/>
      <w:bookmarkEnd w:id="4412"/>
      <w:r>
        <w:rPr>
          <w:rFonts w:ascii="Arial" w:eastAsia="Arial" w:hAnsi="Arial" w:cs="Arial"/>
          <w:i/>
          <w:color w:val="000000"/>
          <w:sz w:val="20"/>
        </w:rPr>
        <w:t>Thomas</w:t>
      </w:r>
      <w:r>
        <w:rPr>
          <w:rFonts w:ascii="Arial" w:eastAsia="Arial" w:hAnsi="Arial" w:cs="Arial"/>
          <w:color w:val="000000"/>
          <w:sz w:val="20"/>
        </w:rPr>
        <w:t>, 225 F.3d at 1155 n.5 (emphasis added), and we have referred to this duty as an "</w:t>
      </w:r>
      <w:r>
        <w:rPr>
          <w:rFonts w:ascii="Arial" w:eastAsia="Arial" w:hAnsi="Arial" w:cs="Arial"/>
          <w:i/>
          <w:color w:val="000000"/>
          <w:sz w:val="20"/>
        </w:rPr>
        <w:t>unvarnished obligation</w:t>
      </w:r>
      <w:r>
        <w:rPr>
          <w:rFonts w:ascii="Arial" w:eastAsia="Arial" w:hAnsi="Arial" w:cs="Arial"/>
          <w:color w:val="000000"/>
          <w:sz w:val="20"/>
        </w:rPr>
        <w:t xml:space="preserve">," </w:t>
      </w:r>
      <w:bookmarkStart w:id="4413" w:name="Bookmark_I61CDGH52HM6MY0010000400"/>
      <w:bookmarkEnd w:id="4413"/>
      <w:r>
        <w:rPr>
          <w:rFonts w:ascii="Arial" w:eastAsia="Arial" w:hAnsi="Arial" w:cs="Arial"/>
          <w:i/>
          <w:color w:val="000000"/>
          <w:sz w:val="20"/>
        </w:rPr>
        <w:t>Smith</w:t>
      </w:r>
      <w:r>
        <w:rPr>
          <w:rFonts w:ascii="Arial" w:eastAsia="Arial" w:hAnsi="Arial" w:cs="Arial"/>
          <w:color w:val="000000"/>
          <w:sz w:val="20"/>
        </w:rPr>
        <w:t xml:space="preserve">, 180 F.3d at 1169 (emphasis added); </w:t>
      </w:r>
      <w:r>
        <w:rPr>
          <w:rFonts w:ascii="Arial" w:eastAsia="Arial" w:hAnsi="Arial" w:cs="Arial"/>
          <w:i/>
          <w:color w:val="000000"/>
          <w:sz w:val="20"/>
        </w:rPr>
        <w:t xml:space="preserve">accord </w:t>
      </w:r>
      <w:bookmarkStart w:id="4414" w:name="Bookmark_I61CDGH52HM6MY0030000400"/>
      <w:bookmarkEnd w:id="4414"/>
      <w:r>
        <w:rPr>
          <w:rFonts w:ascii="Arial" w:eastAsia="Arial" w:hAnsi="Arial" w:cs="Arial"/>
          <w:i/>
          <w:color w:val="000000"/>
          <w:sz w:val="20"/>
        </w:rPr>
        <w:t>C.R. England</w:t>
      </w:r>
      <w:r>
        <w:rPr>
          <w:rFonts w:ascii="Arial" w:eastAsia="Arial" w:hAnsi="Arial" w:cs="Arial"/>
          <w:color w:val="000000"/>
          <w:sz w:val="20"/>
        </w:rPr>
        <w:t>, 644 F.3d at 1049 (referring to the employer's "duty" and "obligation" to provide reasonable accommodations). It is hard to imagine that a federal statute might place an "affirmative" or "unvarnished" obligation on an employer, and yet expose that employer to absolutely no consequences for breaching the obligation, so long as that employer does not take some additional action—that is, an adverse employment action. And, consistent with the statements in our controlling precedent, we are disinclined here to read the ADA in such an [**18]  unnatural manner.</w:t>
      </w:r>
    </w:p>
    <w:p w14:paraId="18F251C5" w14:textId="77777777" w:rsidR="002B10A6" w:rsidRDefault="00000000">
      <w:pPr>
        <w:pStyle w:val="Normal23"/>
        <w:widowControl w:val="0"/>
        <w:spacing w:before="200" w:line="260" w:lineRule="atLeast"/>
        <w:jc w:val="both"/>
      </w:pPr>
      <w:bookmarkStart w:id="4415" w:name="Bookmark_para_34_12"/>
      <w:bookmarkStart w:id="4416" w:name="Bookmark_I61CDGH52N1R0F0010000400"/>
      <w:bookmarkStart w:id="4417" w:name="Bookmark_LNHNREFclscc14_11"/>
      <w:bookmarkEnd w:id="4415"/>
      <w:bookmarkEnd w:id="4416"/>
      <w:bookmarkEnd w:id="4417"/>
      <w:r>
        <w:rPr>
          <w:rFonts w:ascii="Arial" w:eastAsia="Arial" w:hAnsi="Arial" w:cs="Arial"/>
          <w:color w:val="000000"/>
          <w:sz w:val="20"/>
        </w:rPr>
        <w:t xml:space="preserve">Finally, in our discussions of the overarching features of ADA discrimination claims, we also have made clear that an ADA failure-to-accommodate claim does not contain an adverse-employment-action requirement. </w:t>
      </w:r>
      <w:bookmarkStart w:id="4418" w:name="Bookmark_I61CDGH52N1R0F0050000400"/>
      <w:bookmarkEnd w:id="4418"/>
      <w:r>
        <w:rPr>
          <w:rFonts w:ascii="Arial" w:eastAsia="Arial" w:hAnsi="Arial" w:cs="Arial"/>
          <w:color w:val="000000"/>
          <w:sz w:val="20"/>
        </w:rPr>
        <w:t xml:space="preserve">As a general matter in an ADA discrimination claim, we have stated that "an employee must show: (1) she is disabled within the meaning of the ADA; (2) she is qualified, with or without reasonable accommodation, to perform the essential functions of the job held or desired; and (3) she was discriminated against because of her disability." </w:t>
      </w:r>
      <w:bookmarkStart w:id="4419" w:name="Bookmark_I61CDGH52HM6MY0050000400"/>
      <w:bookmarkEnd w:id="4419"/>
      <w:r>
        <w:rPr>
          <w:rFonts w:ascii="Arial" w:eastAsia="Arial" w:hAnsi="Arial" w:cs="Arial"/>
          <w:i/>
          <w:color w:val="000000"/>
          <w:sz w:val="20"/>
        </w:rPr>
        <w:t>Osborne v. Baxter Healthcare Corp.</w:t>
      </w:r>
      <w:r>
        <w:rPr>
          <w:rFonts w:ascii="Arial" w:eastAsia="Arial" w:hAnsi="Arial" w:cs="Arial"/>
          <w:color w:val="000000"/>
          <w:sz w:val="20"/>
        </w:rPr>
        <w:t xml:space="preserve">, 798 F.3d 1260, 1266 (10th Cir. 2015) (quoting </w:t>
      </w:r>
      <w:bookmarkStart w:id="4420" w:name="Bookmark_I61CDGH52N1R0F0020000400"/>
      <w:bookmarkEnd w:id="4420"/>
      <w:r>
        <w:rPr>
          <w:rFonts w:ascii="Arial" w:eastAsia="Arial" w:hAnsi="Arial" w:cs="Arial"/>
          <w:i/>
          <w:color w:val="000000"/>
          <w:sz w:val="20"/>
        </w:rPr>
        <w:t>Mason v. Avaya Commc'ns, Inc.</w:t>
      </w:r>
      <w:r>
        <w:rPr>
          <w:rFonts w:ascii="Arial" w:eastAsia="Arial" w:hAnsi="Arial" w:cs="Arial"/>
          <w:color w:val="000000"/>
          <w:sz w:val="20"/>
        </w:rPr>
        <w:t xml:space="preserve">, 357 F.3d 1114, 1118 (10th Cir. 2004)). Yet, moving down a level of specificity, our cases have made clear that the third element of this general test—that the individual was "discriminated against because of her disability"—is satisfied in a failure-to-accommodate claim </w:t>
      </w:r>
      <w:r>
        <w:rPr>
          <w:rFonts w:ascii="Arial" w:eastAsia="Arial" w:hAnsi="Arial" w:cs="Arial"/>
          <w:i/>
          <w:color w:val="000000"/>
          <w:sz w:val="20"/>
        </w:rPr>
        <w:t>as soon as</w:t>
      </w:r>
      <w:r>
        <w:rPr>
          <w:rFonts w:ascii="Arial" w:eastAsia="Arial" w:hAnsi="Arial" w:cs="Arial"/>
          <w:color w:val="000000"/>
          <w:sz w:val="20"/>
        </w:rPr>
        <w:t xml:space="preserve"> the employer, with adequate notice of the disabled employee's request for some accommodation, fails to provide a reasonable accommodation. </w:t>
      </w:r>
      <w:bookmarkStart w:id="4421" w:name="Bookmark_I61CDGH52N1R0F0050000400_2"/>
      <w:bookmarkEnd w:id="4421"/>
      <w:r>
        <w:rPr>
          <w:rFonts w:ascii="Arial" w:eastAsia="Arial" w:hAnsi="Arial" w:cs="Arial"/>
          <w:i/>
          <w:color w:val="000000"/>
          <w:sz w:val="20"/>
        </w:rPr>
        <w:t xml:space="preserve">See </w:t>
      </w:r>
      <w:bookmarkStart w:id="4422" w:name="Bookmark_I61CDGH52N1R0F0040000400"/>
      <w:bookmarkEnd w:id="4422"/>
      <w:r>
        <w:rPr>
          <w:rFonts w:ascii="Arial" w:eastAsia="Arial" w:hAnsi="Arial" w:cs="Arial"/>
          <w:i/>
          <w:color w:val="000000"/>
          <w:sz w:val="20"/>
        </w:rPr>
        <w:t>C.R. England</w:t>
      </w:r>
      <w:r>
        <w:rPr>
          <w:rFonts w:ascii="Arial" w:eastAsia="Arial" w:hAnsi="Arial" w:cs="Arial"/>
          <w:color w:val="000000"/>
          <w:sz w:val="20"/>
        </w:rPr>
        <w:t xml:space="preserve">, 644 F.3d at 1048 ("[A]n employer can unlawfully 'discriminate' against an employee by failing to 'mak[e] reasonable accommodations to the known physical or mental limitations of an otherwise qualified individual with a disability who is an . . . employee.'" [**19]  (omission and second alteration in original) (quoting 42 U.S.C. § 12112(b)(5)(A))); </w:t>
      </w:r>
      <w:bookmarkStart w:id="4423" w:name="Bookmark_I61CDGH52N1R0J0010000400"/>
      <w:bookmarkEnd w:id="4423"/>
      <w:r>
        <w:rPr>
          <w:rFonts w:ascii="Arial" w:eastAsia="Arial" w:hAnsi="Arial" w:cs="Arial"/>
          <w:i/>
          <w:color w:val="000000"/>
          <w:sz w:val="20"/>
        </w:rPr>
        <w:t>Smith</w:t>
      </w:r>
      <w:r>
        <w:rPr>
          <w:rFonts w:ascii="Arial" w:eastAsia="Arial" w:hAnsi="Arial" w:cs="Arial"/>
          <w:color w:val="000000"/>
          <w:sz w:val="20"/>
        </w:rPr>
        <w:t xml:space="preserve">, 180 F.3d at 1169 ("[A]n employer </w:t>
      </w:r>
      <w:r>
        <w:rPr>
          <w:rFonts w:ascii="Arial" w:eastAsia="Arial" w:hAnsi="Arial" w:cs="Arial"/>
          <w:i/>
          <w:color w:val="000000"/>
          <w:sz w:val="20"/>
        </w:rPr>
        <w:t>discriminates</w:t>
      </w:r>
      <w:r>
        <w:rPr>
          <w:rFonts w:ascii="Arial" w:eastAsia="Arial" w:hAnsi="Arial" w:cs="Arial"/>
          <w:color w:val="000000"/>
          <w:sz w:val="20"/>
        </w:rPr>
        <w:t xml:space="preserve"> against a qualified individual with a disability if the employer fails to offer a reasonable accommodation."); </w:t>
      </w:r>
      <w:bookmarkStart w:id="4424" w:name="Bookmark_I61CDGH52N1R0J0030000400"/>
      <w:bookmarkEnd w:id="4424"/>
      <w:r>
        <w:rPr>
          <w:rFonts w:ascii="Arial" w:eastAsia="Arial" w:hAnsi="Arial" w:cs="Arial"/>
          <w:i/>
          <w:color w:val="000000"/>
          <w:sz w:val="20"/>
        </w:rPr>
        <w:t>id.</w:t>
      </w:r>
      <w:r>
        <w:rPr>
          <w:rFonts w:ascii="Arial" w:eastAsia="Arial" w:hAnsi="Arial" w:cs="Arial"/>
          <w:color w:val="000000"/>
          <w:sz w:val="20"/>
        </w:rPr>
        <w:t xml:space="preserve"> at 1178 n.12 ("[A] failure to offer a reasonable accommodation to an otherwise qualified disabled employee </w:t>
      </w:r>
      <w:r>
        <w:rPr>
          <w:rFonts w:ascii="Arial" w:eastAsia="Arial" w:hAnsi="Arial" w:cs="Arial"/>
          <w:i/>
          <w:color w:val="000000"/>
          <w:sz w:val="20"/>
        </w:rPr>
        <w:t>is</w:t>
      </w:r>
      <w:r>
        <w:rPr>
          <w:rFonts w:ascii="Arial" w:eastAsia="Arial" w:hAnsi="Arial" w:cs="Arial"/>
          <w:color w:val="000000"/>
          <w:sz w:val="20"/>
        </w:rPr>
        <w:t xml:space="preserve"> unlawful discrimination."). In other words, under our precedent, once plaintiffs have established their employers' failure to reasonably accommodate their disability, they need not go further and establish that they have suffered an adverse employment action. The district court erroneously deviated from this settled precedent in its jury instructions.</w:t>
      </w:r>
    </w:p>
    <w:p w14:paraId="2337ADB0" w14:textId="77777777" w:rsidR="002B10A6" w:rsidRDefault="00000000">
      <w:pPr>
        <w:pStyle w:val="Normal23"/>
        <w:widowControl w:val="0"/>
        <w:spacing w:before="240" w:line="260" w:lineRule="atLeast"/>
      </w:pPr>
      <w:r>
        <w:br/>
      </w:r>
      <w:r>
        <w:rPr>
          <w:rFonts w:ascii="Arial" w:eastAsia="Arial" w:hAnsi="Arial" w:cs="Arial"/>
          <w:b/>
          <w:color w:val="000000"/>
          <w:sz w:val="20"/>
        </w:rPr>
        <w:t>2</w:t>
      </w:r>
    </w:p>
    <w:p w14:paraId="2A0EF87A" w14:textId="77777777" w:rsidR="002B10A6" w:rsidRDefault="00000000">
      <w:pPr>
        <w:pStyle w:val="Normal23"/>
        <w:widowControl w:val="0"/>
        <w:spacing w:before="200" w:line="260" w:lineRule="atLeast"/>
        <w:jc w:val="both"/>
      </w:pPr>
      <w:bookmarkStart w:id="4425" w:name="Bookmark_para_35_12"/>
      <w:bookmarkStart w:id="4426" w:name="Bookmark_I61CDGH528T4T60010000400"/>
      <w:bookmarkStart w:id="4427" w:name="Bookmark_LNHNREFclscc15_9"/>
      <w:bookmarkEnd w:id="4425"/>
      <w:bookmarkEnd w:id="4426"/>
      <w:bookmarkEnd w:id="4427"/>
      <w:r>
        <w:rPr>
          <w:rFonts w:ascii="Arial" w:eastAsia="Arial" w:hAnsi="Arial" w:cs="Arial"/>
          <w:color w:val="000000"/>
          <w:sz w:val="20"/>
        </w:rPr>
        <w:t xml:space="preserve">Any attempt to incorporate an adverse-employment-action requirement into an ADA failure-to-accommodate claim likely stems from "confusion . . . [in] failing to clearly differentiate between disparate treatment and failure to accommodate claims": the former require a showing of an adverse employment action but the latter do not. Megan I. Brennan, </w:t>
      </w:r>
      <w:r>
        <w:rPr>
          <w:rFonts w:ascii="Arial" w:eastAsia="Arial" w:hAnsi="Arial" w:cs="Arial"/>
          <w:i/>
          <w:color w:val="000000"/>
          <w:sz w:val="20"/>
        </w:rPr>
        <w:t>Need I Prove More: Why an Adverse Employment Action Prong Has No Place in a Failure to Accommodate Disability Claim</w:t>
      </w:r>
      <w:r>
        <w:rPr>
          <w:rFonts w:ascii="Arial" w:eastAsia="Arial" w:hAnsi="Arial" w:cs="Arial"/>
          <w:color w:val="000000"/>
          <w:sz w:val="20"/>
        </w:rPr>
        <w:t xml:space="preserve">, 36 HAMLINE L. REV. 497, 501 (2013); </w:t>
      </w:r>
      <w:r>
        <w:rPr>
          <w:rFonts w:ascii="Arial" w:eastAsia="Arial" w:hAnsi="Arial" w:cs="Arial"/>
          <w:i/>
          <w:color w:val="000000"/>
          <w:sz w:val="20"/>
        </w:rPr>
        <w:t xml:space="preserve">cf. </w:t>
      </w:r>
      <w:bookmarkStart w:id="4428" w:name="Bookmark_I61CDGH52N1R0J0050000400"/>
      <w:bookmarkEnd w:id="4428"/>
      <w:r>
        <w:rPr>
          <w:rFonts w:ascii="Arial" w:eastAsia="Arial" w:hAnsi="Arial" w:cs="Arial"/>
          <w:i/>
          <w:color w:val="000000"/>
          <w:sz w:val="20"/>
        </w:rPr>
        <w:t>EEOC v. LHC Grp., Inc.</w:t>
      </w:r>
      <w:r>
        <w:rPr>
          <w:rFonts w:ascii="Arial" w:eastAsia="Arial" w:hAnsi="Arial" w:cs="Arial"/>
          <w:color w:val="000000"/>
          <w:sz w:val="20"/>
        </w:rPr>
        <w:t xml:space="preserve">, 773 F.3d 688, 703 n.6 (5th Cir. 2014) ("A failure-to-accommodate claim provides a  [*796]  mechanism to combat workplace discrimination [**20]  even when the employee in question </w:t>
      </w:r>
      <w:r>
        <w:rPr>
          <w:rFonts w:ascii="Arial" w:eastAsia="Arial" w:hAnsi="Arial" w:cs="Arial"/>
          <w:i/>
          <w:color w:val="000000"/>
          <w:sz w:val="20"/>
        </w:rPr>
        <w:t>has not</w:t>
      </w:r>
      <w:r>
        <w:rPr>
          <w:rFonts w:ascii="Arial" w:eastAsia="Arial" w:hAnsi="Arial" w:cs="Arial"/>
          <w:color w:val="000000"/>
          <w:sz w:val="20"/>
        </w:rPr>
        <w:t xml:space="preserve"> suffered adverse employment action.").</w:t>
      </w:r>
    </w:p>
    <w:p w14:paraId="1B5F3B5C" w14:textId="77777777" w:rsidR="002B10A6" w:rsidRDefault="00000000">
      <w:pPr>
        <w:pStyle w:val="Normal23"/>
        <w:widowControl w:val="0"/>
        <w:spacing w:before="200" w:line="260" w:lineRule="atLeast"/>
        <w:jc w:val="both"/>
      </w:pPr>
      <w:bookmarkStart w:id="4429" w:name="Bookmark_para_36_12"/>
      <w:bookmarkStart w:id="4430" w:name="Bookmark_LNHNREFclscc16_7"/>
      <w:bookmarkEnd w:id="4429"/>
      <w:bookmarkEnd w:id="4430"/>
      <w:r>
        <w:rPr>
          <w:rFonts w:ascii="Arial" w:eastAsia="Arial" w:hAnsi="Arial" w:cs="Arial"/>
          <w:color w:val="000000"/>
          <w:sz w:val="20"/>
        </w:rPr>
        <w:t xml:space="preserve">More concretely, disparate-treatment claims under the ADA allege that the employer discriminated against the employee by </w:t>
      </w:r>
      <w:r>
        <w:rPr>
          <w:rFonts w:ascii="Arial" w:eastAsia="Arial" w:hAnsi="Arial" w:cs="Arial"/>
          <w:i/>
          <w:color w:val="000000"/>
          <w:sz w:val="20"/>
        </w:rPr>
        <w:t>acting</w:t>
      </w:r>
      <w:r>
        <w:rPr>
          <w:rFonts w:ascii="Arial" w:eastAsia="Arial" w:hAnsi="Arial" w:cs="Arial"/>
          <w:color w:val="000000"/>
          <w:sz w:val="20"/>
        </w:rPr>
        <w:t xml:space="preserve"> in a discriminatory manner. </w:t>
      </w:r>
      <w:bookmarkStart w:id="4431" w:name="Bookmark_I61CDGH528T4T60030000400"/>
      <w:bookmarkEnd w:id="4431"/>
      <w:r>
        <w:rPr>
          <w:rFonts w:ascii="Arial" w:eastAsia="Arial" w:hAnsi="Arial" w:cs="Arial"/>
          <w:i/>
          <w:color w:val="000000"/>
          <w:sz w:val="20"/>
        </w:rPr>
        <w:t>See, e.g.</w:t>
      </w:r>
      <w:r>
        <w:rPr>
          <w:rFonts w:ascii="Arial" w:eastAsia="Arial" w:hAnsi="Arial" w:cs="Arial"/>
          <w:color w:val="000000"/>
          <w:sz w:val="20"/>
        </w:rPr>
        <w:t>, 42 U.S.C. § 12112(b)(1) (labeling as discrimination "</w:t>
      </w:r>
      <w:r>
        <w:rPr>
          <w:rFonts w:ascii="Arial" w:eastAsia="Arial" w:hAnsi="Arial" w:cs="Arial"/>
          <w:i/>
          <w:color w:val="000000"/>
          <w:sz w:val="20"/>
        </w:rPr>
        <w:t>limiting, segregating, or classifying</w:t>
      </w:r>
      <w:r>
        <w:rPr>
          <w:rFonts w:ascii="Arial" w:eastAsia="Arial" w:hAnsi="Arial" w:cs="Arial"/>
          <w:color w:val="000000"/>
          <w:sz w:val="20"/>
        </w:rPr>
        <w:t xml:space="preserve"> a job applicant or employee in a way that adversely affects the opportunities or status of such applicant or employee because of the disability of such applicant or employee" (emphasis added)); </w:t>
      </w:r>
      <w:r>
        <w:rPr>
          <w:rFonts w:ascii="Arial" w:eastAsia="Arial" w:hAnsi="Arial" w:cs="Arial"/>
          <w:i/>
          <w:color w:val="000000"/>
          <w:sz w:val="20"/>
        </w:rPr>
        <w:t>id.</w:t>
      </w:r>
      <w:r>
        <w:rPr>
          <w:rFonts w:ascii="Arial" w:eastAsia="Arial" w:hAnsi="Arial" w:cs="Arial"/>
          <w:color w:val="000000"/>
          <w:sz w:val="20"/>
        </w:rPr>
        <w:t xml:space="preserve"> § 12112(b)(6) (labeling as discrimination "</w:t>
      </w:r>
      <w:r>
        <w:rPr>
          <w:rFonts w:ascii="Arial" w:eastAsia="Arial" w:hAnsi="Arial" w:cs="Arial"/>
          <w:i/>
          <w:color w:val="000000"/>
          <w:sz w:val="20"/>
        </w:rPr>
        <w:t>using</w:t>
      </w:r>
      <w:r>
        <w:rPr>
          <w:rFonts w:ascii="Arial" w:eastAsia="Arial" w:hAnsi="Arial" w:cs="Arial"/>
          <w:color w:val="000000"/>
          <w:sz w:val="20"/>
        </w:rPr>
        <w:t xml:space="preserve"> qualification standards, employment tests or other selection criteria that screen out or tend to screen out an individual with a disability" (emphasis added)). It thus necessarily follows that a plaintiff must establish an employment </w:t>
      </w:r>
      <w:r>
        <w:rPr>
          <w:rFonts w:ascii="Arial" w:eastAsia="Arial" w:hAnsi="Arial" w:cs="Arial"/>
          <w:i/>
          <w:color w:val="000000"/>
          <w:sz w:val="20"/>
        </w:rPr>
        <w:t>action</w:t>
      </w:r>
      <w:r>
        <w:rPr>
          <w:rFonts w:ascii="Arial" w:eastAsia="Arial" w:hAnsi="Arial" w:cs="Arial"/>
          <w:color w:val="000000"/>
          <w:sz w:val="20"/>
        </w:rPr>
        <w:t xml:space="preserve"> as part of an ADA disparate-treatment claim. </w:t>
      </w:r>
      <w:r>
        <w:rPr>
          <w:rFonts w:ascii="Arial" w:eastAsia="Arial" w:hAnsi="Arial" w:cs="Arial"/>
          <w:i/>
          <w:color w:val="000000"/>
          <w:sz w:val="20"/>
        </w:rPr>
        <w:t xml:space="preserve">See, e.g., </w:t>
      </w:r>
      <w:bookmarkStart w:id="4432" w:name="Bookmark_I61CDGH528T4T60020000400"/>
      <w:bookmarkEnd w:id="4432"/>
      <w:r>
        <w:rPr>
          <w:rFonts w:ascii="Arial" w:eastAsia="Arial" w:hAnsi="Arial" w:cs="Arial"/>
          <w:i/>
          <w:color w:val="000000"/>
          <w:sz w:val="20"/>
        </w:rPr>
        <w:t>C.R. England</w:t>
      </w:r>
      <w:r>
        <w:rPr>
          <w:rFonts w:ascii="Arial" w:eastAsia="Arial" w:hAnsi="Arial" w:cs="Arial"/>
          <w:color w:val="000000"/>
          <w:sz w:val="20"/>
        </w:rPr>
        <w:t xml:space="preserve">, 644 F.3d at 1038 (while describing an ADA disparate-treatment claim, stating that "a plaintiff generally must show that he has suffered an 'adverse employment </w:t>
      </w:r>
      <w:r>
        <w:rPr>
          <w:rFonts w:ascii="Arial" w:eastAsia="Arial" w:hAnsi="Arial" w:cs="Arial"/>
          <w:i/>
          <w:color w:val="000000"/>
          <w:sz w:val="20"/>
        </w:rPr>
        <w:t>action</w:t>
      </w:r>
      <w:r>
        <w:rPr>
          <w:rFonts w:ascii="Arial" w:eastAsia="Arial" w:hAnsi="Arial" w:cs="Arial"/>
          <w:color w:val="000000"/>
          <w:sz w:val="20"/>
        </w:rPr>
        <w:t xml:space="preserve"> because of the disability'" (emphasis added) (quoting </w:t>
      </w:r>
      <w:bookmarkStart w:id="4433" w:name="Bookmark_I61CDGH528T4T60040000400"/>
      <w:bookmarkEnd w:id="4433"/>
      <w:r>
        <w:rPr>
          <w:rFonts w:ascii="Arial" w:eastAsia="Arial" w:hAnsi="Arial" w:cs="Arial"/>
          <w:i/>
          <w:color w:val="000000"/>
          <w:sz w:val="20"/>
        </w:rPr>
        <w:t>Mathews</w:t>
      </w:r>
      <w:r>
        <w:rPr>
          <w:rFonts w:ascii="Arial" w:eastAsia="Arial" w:hAnsi="Arial" w:cs="Arial"/>
          <w:color w:val="000000"/>
          <w:sz w:val="20"/>
        </w:rPr>
        <w:t>, 263 F.3d at 1167)).</w:t>
      </w:r>
    </w:p>
    <w:p w14:paraId="2F750680" w14:textId="77777777" w:rsidR="002B10A6" w:rsidRDefault="00000000">
      <w:pPr>
        <w:pStyle w:val="Normal23"/>
        <w:widowControl w:val="0"/>
        <w:spacing w:before="200" w:line="260" w:lineRule="atLeast"/>
        <w:jc w:val="both"/>
      </w:pPr>
      <w:bookmarkStart w:id="4434" w:name="Bookmark_para_37_11"/>
      <w:bookmarkStart w:id="4435" w:name="Bookmark_I61CDGH62N1R0K0020000400"/>
      <w:bookmarkStart w:id="4436" w:name="Bookmark_LNHNREFclscc17_6"/>
      <w:bookmarkEnd w:id="4434"/>
      <w:bookmarkEnd w:id="4435"/>
      <w:bookmarkEnd w:id="4436"/>
      <w:r>
        <w:rPr>
          <w:rFonts w:ascii="Arial" w:eastAsia="Arial" w:hAnsi="Arial" w:cs="Arial"/>
          <w:color w:val="000000"/>
          <w:sz w:val="20"/>
        </w:rPr>
        <w:t xml:space="preserve">On the other hand, failure-to-accommodate claims do not allege that the employer </w:t>
      </w:r>
      <w:r>
        <w:rPr>
          <w:rFonts w:ascii="Arial" w:eastAsia="Arial" w:hAnsi="Arial" w:cs="Arial"/>
          <w:i/>
          <w:color w:val="000000"/>
          <w:sz w:val="20"/>
        </w:rPr>
        <w:t>acted</w:t>
      </w:r>
      <w:r>
        <w:rPr>
          <w:rFonts w:ascii="Arial" w:eastAsia="Arial" w:hAnsi="Arial" w:cs="Arial"/>
          <w:color w:val="000000"/>
          <w:sz w:val="20"/>
        </w:rPr>
        <w:t xml:space="preserve">, but rather that the employer </w:t>
      </w:r>
      <w:r>
        <w:rPr>
          <w:rFonts w:ascii="Arial" w:eastAsia="Arial" w:hAnsi="Arial" w:cs="Arial"/>
          <w:i/>
          <w:color w:val="000000"/>
          <w:sz w:val="20"/>
        </w:rPr>
        <w:t>failed to act. See</w:t>
      </w:r>
      <w:r>
        <w:rPr>
          <w:rFonts w:ascii="Arial" w:eastAsia="Arial" w:hAnsi="Arial" w:cs="Arial"/>
          <w:color w:val="000000"/>
          <w:sz w:val="20"/>
        </w:rPr>
        <w:t xml:space="preserve"> 42 U.S.C. § 12112(b)(5)(A) (listing, [**21]  as the basis of a failure-to-accommodate claim, "</w:t>
      </w:r>
      <w:r>
        <w:rPr>
          <w:rFonts w:ascii="Arial" w:eastAsia="Arial" w:hAnsi="Arial" w:cs="Arial"/>
          <w:i/>
          <w:color w:val="000000"/>
          <w:sz w:val="20"/>
        </w:rPr>
        <w:t>not making</w:t>
      </w:r>
      <w:r>
        <w:rPr>
          <w:rFonts w:ascii="Arial" w:eastAsia="Arial" w:hAnsi="Arial" w:cs="Arial"/>
          <w:color w:val="000000"/>
          <w:sz w:val="20"/>
        </w:rPr>
        <w:t xml:space="preserve"> reasonable accommodations to the known physical or mental limitations of an otherwise qualified individual with a disability" (emphasis added)). </w:t>
      </w:r>
      <w:bookmarkStart w:id="4437" w:name="Bookmark_I61CDGH628T4TB0010000400"/>
      <w:bookmarkEnd w:id="4437"/>
      <w:r>
        <w:rPr>
          <w:rFonts w:ascii="Arial" w:eastAsia="Arial" w:hAnsi="Arial" w:cs="Arial"/>
          <w:color w:val="000000"/>
          <w:sz w:val="20"/>
        </w:rPr>
        <w:t xml:space="preserve">That is, failure-to-accommodate claims concern an omission rather than an action; such claims allege that the employer discriminated against the employee by not satisfying an affirmative, ADA-created duty to provide reasonable accommodations. </w:t>
      </w:r>
      <w:r>
        <w:rPr>
          <w:rFonts w:ascii="Arial" w:eastAsia="Arial" w:hAnsi="Arial" w:cs="Arial"/>
          <w:i/>
          <w:color w:val="000000"/>
          <w:sz w:val="20"/>
        </w:rPr>
        <w:t xml:space="preserve">See </w:t>
      </w:r>
      <w:bookmarkStart w:id="4438" w:name="Bookmark_I61CDGH62N1R0K0010000400"/>
      <w:bookmarkEnd w:id="4438"/>
      <w:r>
        <w:rPr>
          <w:rFonts w:ascii="Arial" w:eastAsia="Arial" w:hAnsi="Arial" w:cs="Arial"/>
          <w:i/>
          <w:color w:val="000000"/>
          <w:sz w:val="20"/>
        </w:rPr>
        <w:t>US Airways, Inc. v. Barnett</w:t>
      </w:r>
      <w:r>
        <w:rPr>
          <w:rFonts w:ascii="Arial" w:eastAsia="Arial" w:hAnsi="Arial" w:cs="Arial"/>
          <w:color w:val="000000"/>
          <w:sz w:val="20"/>
        </w:rPr>
        <w:t xml:space="preserve">, 535 U.S. 391, 397, 122 S. Ct. 1516, 152 L. Ed. 2d 589 (2002) ("[The ADA] </w:t>
      </w:r>
      <w:r>
        <w:rPr>
          <w:rFonts w:ascii="Arial" w:eastAsia="Arial" w:hAnsi="Arial" w:cs="Arial"/>
          <w:i/>
          <w:color w:val="000000"/>
          <w:sz w:val="20"/>
        </w:rPr>
        <w:t>requires preferences</w:t>
      </w:r>
      <w:r>
        <w:rPr>
          <w:rFonts w:ascii="Arial" w:eastAsia="Arial" w:hAnsi="Arial" w:cs="Arial"/>
          <w:color w:val="000000"/>
          <w:sz w:val="20"/>
        </w:rPr>
        <w:t xml:space="preserve"> in the form of 'reasonable accommodations' that are needed for those with disabilities to obtain the </w:t>
      </w:r>
      <w:r>
        <w:rPr>
          <w:rFonts w:ascii="Arial" w:eastAsia="Arial" w:hAnsi="Arial" w:cs="Arial"/>
          <w:i/>
          <w:color w:val="000000"/>
          <w:sz w:val="20"/>
        </w:rPr>
        <w:t>same</w:t>
      </w:r>
      <w:r>
        <w:rPr>
          <w:rFonts w:ascii="Arial" w:eastAsia="Arial" w:hAnsi="Arial" w:cs="Arial"/>
          <w:color w:val="000000"/>
          <w:sz w:val="20"/>
        </w:rPr>
        <w:t xml:space="preserve"> workplace opportunities that those without disabilities automatically enjoy." (first emphasis added)); </w:t>
      </w:r>
      <w:bookmarkStart w:id="4439" w:name="Bookmark_I61CDGH62N1R0K0030000400"/>
      <w:bookmarkEnd w:id="4439"/>
      <w:r>
        <w:rPr>
          <w:rFonts w:ascii="Arial" w:eastAsia="Arial" w:hAnsi="Arial" w:cs="Arial"/>
          <w:i/>
          <w:color w:val="000000"/>
          <w:sz w:val="20"/>
        </w:rPr>
        <w:t>Peebles v. Potter</w:t>
      </w:r>
      <w:r>
        <w:rPr>
          <w:rFonts w:ascii="Arial" w:eastAsia="Arial" w:hAnsi="Arial" w:cs="Arial"/>
          <w:color w:val="000000"/>
          <w:sz w:val="20"/>
        </w:rPr>
        <w:t xml:space="preserve">, 354 F.3d 761, 767 (8th Cir. 2004) ("In a reasonable accommodation case, the 'discrimination' is framed in terms of the failure to fulfill an affirmative duty—the failure to reasonably accommodate the disabled individual's limitations. . . . </w:t>
      </w:r>
      <w:bookmarkStart w:id="4440" w:name="Bookmark_I61CDGH628T4TB0010000400_2"/>
      <w:bookmarkEnd w:id="4440"/>
      <w:r>
        <w:rPr>
          <w:rFonts w:ascii="Arial" w:eastAsia="Arial" w:hAnsi="Arial" w:cs="Arial"/>
          <w:i/>
          <w:color w:val="000000"/>
          <w:sz w:val="20"/>
        </w:rPr>
        <w:t>The concern is compelling behavior, not policing an employer's actions</w:t>
      </w:r>
      <w:r>
        <w:rPr>
          <w:rFonts w:ascii="Arial" w:eastAsia="Arial" w:hAnsi="Arial" w:cs="Arial"/>
          <w:color w:val="000000"/>
          <w:sz w:val="20"/>
        </w:rPr>
        <w:t xml:space="preserve"> that, when accompanied by an invidious discriminatory intent, are unlawful." (emphasis added)); </w:t>
      </w:r>
      <w:bookmarkStart w:id="4441" w:name="Bookmark_I61CDGH62N1R0K0050000400"/>
      <w:bookmarkEnd w:id="4441"/>
      <w:r>
        <w:rPr>
          <w:rFonts w:ascii="Arial" w:eastAsia="Arial" w:hAnsi="Arial" w:cs="Arial"/>
          <w:i/>
          <w:color w:val="000000"/>
          <w:sz w:val="20"/>
        </w:rPr>
        <w:t>Thomas</w:t>
      </w:r>
      <w:r>
        <w:rPr>
          <w:rFonts w:ascii="Arial" w:eastAsia="Arial" w:hAnsi="Arial" w:cs="Arial"/>
          <w:color w:val="000000"/>
          <w:sz w:val="20"/>
        </w:rPr>
        <w:t xml:space="preserve">, 225 F.3d at 1155 n.5 (stating that under the ADA, "the employer has an </w:t>
      </w:r>
      <w:r>
        <w:rPr>
          <w:rFonts w:ascii="Arial" w:eastAsia="Arial" w:hAnsi="Arial" w:cs="Arial"/>
          <w:i/>
          <w:color w:val="000000"/>
          <w:sz w:val="20"/>
        </w:rPr>
        <w:t>affirmative obligation</w:t>
      </w:r>
      <w:r>
        <w:rPr>
          <w:rFonts w:ascii="Arial" w:eastAsia="Arial" w:hAnsi="Arial" w:cs="Arial"/>
          <w:color w:val="000000"/>
          <w:sz w:val="20"/>
        </w:rPr>
        <w:t xml:space="preserve"> to make a reasonable accommodation" (emphasis added)); </w:t>
      </w:r>
      <w:bookmarkStart w:id="4442" w:name="Bookmark_I61CDGH628T4TB0020000400"/>
      <w:bookmarkEnd w:id="4442"/>
      <w:r>
        <w:rPr>
          <w:rFonts w:ascii="Arial" w:eastAsia="Arial" w:hAnsi="Arial" w:cs="Arial"/>
          <w:i/>
          <w:color w:val="000000"/>
          <w:sz w:val="20"/>
        </w:rPr>
        <w:t>Smith</w:t>
      </w:r>
      <w:r>
        <w:rPr>
          <w:rFonts w:ascii="Arial" w:eastAsia="Arial" w:hAnsi="Arial" w:cs="Arial"/>
          <w:color w:val="000000"/>
          <w:sz w:val="20"/>
        </w:rPr>
        <w:t>, 180 F.3d at 1169 [**22]  (describing the ADA's requirement for employers to make reasonable accommodations as an "</w:t>
      </w:r>
      <w:r>
        <w:rPr>
          <w:rFonts w:ascii="Arial" w:eastAsia="Arial" w:hAnsi="Arial" w:cs="Arial"/>
          <w:i/>
          <w:color w:val="000000"/>
          <w:sz w:val="20"/>
        </w:rPr>
        <w:t>unvarnished obligation</w:t>
      </w:r>
      <w:r>
        <w:rPr>
          <w:rFonts w:ascii="Arial" w:eastAsia="Arial" w:hAnsi="Arial" w:cs="Arial"/>
          <w:color w:val="000000"/>
          <w:sz w:val="20"/>
        </w:rPr>
        <w:t xml:space="preserve">" (emphasis added)); </w:t>
      </w:r>
      <w:r>
        <w:rPr>
          <w:rFonts w:ascii="Arial" w:eastAsia="Arial" w:hAnsi="Arial" w:cs="Arial"/>
          <w:i/>
          <w:color w:val="000000"/>
          <w:sz w:val="20"/>
        </w:rPr>
        <w:t xml:space="preserve">see also </w:t>
      </w:r>
      <w:bookmarkStart w:id="4443" w:name="Bookmark_I61CDGH628T4TB0040000400"/>
      <w:bookmarkEnd w:id="4443"/>
      <w:r>
        <w:rPr>
          <w:rFonts w:ascii="Arial" w:eastAsia="Arial" w:hAnsi="Arial" w:cs="Arial"/>
          <w:i/>
          <w:color w:val="000000"/>
          <w:sz w:val="20"/>
        </w:rPr>
        <w:t>Timmons v. Gen. Motors Corp.</w:t>
      </w:r>
      <w:r>
        <w:rPr>
          <w:rFonts w:ascii="Arial" w:eastAsia="Arial" w:hAnsi="Arial" w:cs="Arial"/>
          <w:color w:val="000000"/>
          <w:sz w:val="20"/>
        </w:rPr>
        <w:t>, 469 F.3d 1122, 1125 (7th Cir. 2006) ("</w:t>
      </w:r>
      <w:r>
        <w:rPr>
          <w:rFonts w:ascii="Arial" w:eastAsia="Arial" w:hAnsi="Arial" w:cs="Arial"/>
          <w:i/>
          <w:color w:val="000000"/>
          <w:sz w:val="20"/>
        </w:rPr>
        <w:t>In addition to prohibiting adverse employment actions</w:t>
      </w:r>
      <w:r>
        <w:rPr>
          <w:rFonts w:ascii="Arial" w:eastAsia="Arial" w:hAnsi="Arial" w:cs="Arial"/>
          <w:color w:val="000000"/>
          <w:sz w:val="20"/>
        </w:rPr>
        <w:t xml:space="preserve"> against disabled persons because of their disabilities, the ADA requires employers </w:t>
      </w:r>
      <w:r>
        <w:rPr>
          <w:rFonts w:ascii="Arial" w:eastAsia="Arial" w:hAnsi="Arial" w:cs="Arial"/>
          <w:i/>
          <w:color w:val="000000"/>
          <w:sz w:val="20"/>
        </w:rPr>
        <w:t>to make reasonable accommodations</w:t>
      </w:r>
      <w:r>
        <w:rPr>
          <w:rFonts w:ascii="Arial" w:eastAsia="Arial" w:hAnsi="Arial" w:cs="Arial"/>
          <w:color w:val="000000"/>
          <w:sz w:val="20"/>
        </w:rPr>
        <w:t xml:space="preserve"> for the disabilities of qualified individuals." (emphases added)); </w:t>
      </w:r>
      <w:bookmarkStart w:id="4444" w:name="Bookmark_I61CDGH62HM6N70010000400"/>
      <w:bookmarkEnd w:id="4444"/>
      <w:r>
        <w:rPr>
          <w:rFonts w:ascii="Arial" w:eastAsia="Arial" w:hAnsi="Arial" w:cs="Arial"/>
          <w:i/>
          <w:color w:val="000000"/>
          <w:sz w:val="20"/>
        </w:rPr>
        <w:t>Davidson v. Am. Online, Inc.</w:t>
      </w:r>
      <w:r>
        <w:rPr>
          <w:rFonts w:ascii="Arial" w:eastAsia="Arial" w:hAnsi="Arial" w:cs="Arial"/>
          <w:color w:val="000000"/>
          <w:sz w:val="20"/>
        </w:rPr>
        <w:t xml:space="preserve">, 337 F.3d 1179, 1188-89 (10th Cir. 2003) (distinguishing between "disparate treatment," which "means </w:t>
      </w:r>
      <w:r>
        <w:rPr>
          <w:rFonts w:ascii="Arial" w:eastAsia="Arial" w:hAnsi="Arial" w:cs="Arial"/>
          <w:i/>
          <w:color w:val="000000"/>
          <w:sz w:val="20"/>
        </w:rPr>
        <w:t>treating</w:t>
      </w:r>
      <w:r>
        <w:rPr>
          <w:rFonts w:ascii="Arial" w:eastAsia="Arial" w:hAnsi="Arial" w:cs="Arial"/>
          <w:color w:val="000000"/>
          <w:sz w:val="20"/>
        </w:rPr>
        <w:t xml:space="preserve"> 'a qualified individual with a disability' differently because of the disability," and "failing to provide a reasonable accommodation," which means "</w:t>
      </w:r>
      <w:r>
        <w:rPr>
          <w:rFonts w:ascii="Arial" w:eastAsia="Arial" w:hAnsi="Arial" w:cs="Arial"/>
          <w:i/>
          <w:color w:val="000000"/>
          <w:sz w:val="20"/>
        </w:rPr>
        <w:t>not making</w:t>
      </w:r>
      <w:r>
        <w:rPr>
          <w:rFonts w:ascii="Arial" w:eastAsia="Arial" w:hAnsi="Arial" w:cs="Arial"/>
          <w:color w:val="000000"/>
          <w:sz w:val="20"/>
        </w:rPr>
        <w:t xml:space="preserve"> reasonable accommodations to the known physical or mental limitations of an otherwise qualified individual" (emphases added) (quoting 42 U.S.C. § 12112(b)(5)(A))).</w:t>
      </w:r>
    </w:p>
    <w:p w14:paraId="37871A51" w14:textId="77777777" w:rsidR="002B10A6" w:rsidRDefault="00000000">
      <w:pPr>
        <w:pStyle w:val="Normal23"/>
        <w:widowControl w:val="0"/>
        <w:spacing w:before="200" w:line="260" w:lineRule="atLeast"/>
        <w:jc w:val="both"/>
      </w:pPr>
      <w:bookmarkStart w:id="4445" w:name="Bookmark_para_38_10"/>
      <w:bookmarkEnd w:id="4445"/>
      <w:r>
        <w:rPr>
          <w:rFonts w:ascii="Arial" w:eastAsia="Arial" w:hAnsi="Arial" w:cs="Arial"/>
          <w:color w:val="000000"/>
          <w:sz w:val="20"/>
        </w:rPr>
        <w:t xml:space="preserve"> [*797]  </w:t>
      </w:r>
      <w:bookmarkStart w:id="4446" w:name="Bookmark_I61CDGH62HM6N70040000400"/>
      <w:bookmarkStart w:id="4447" w:name="Bookmark_LNHNREFclscc18_3"/>
      <w:bookmarkEnd w:id="4446"/>
      <w:bookmarkEnd w:id="4447"/>
      <w:r>
        <w:rPr>
          <w:rFonts w:ascii="Arial" w:eastAsia="Arial" w:hAnsi="Arial" w:cs="Arial"/>
          <w:color w:val="000000"/>
          <w:sz w:val="20"/>
        </w:rPr>
        <w:t xml:space="preserve">And because the ADA's reasonable-accommodation mandate focuses on "compelling behavior" rather than "policing an employer's actions," </w:t>
      </w:r>
      <w:bookmarkStart w:id="4448" w:name="Bookmark_I61CDGH62HM6N70030000400"/>
      <w:bookmarkEnd w:id="4448"/>
      <w:r>
        <w:rPr>
          <w:rFonts w:ascii="Arial" w:eastAsia="Arial" w:hAnsi="Arial" w:cs="Arial"/>
          <w:i/>
          <w:color w:val="000000"/>
          <w:sz w:val="20"/>
        </w:rPr>
        <w:t>Peebles</w:t>
      </w:r>
      <w:r>
        <w:rPr>
          <w:rFonts w:ascii="Arial" w:eastAsia="Arial" w:hAnsi="Arial" w:cs="Arial"/>
          <w:color w:val="000000"/>
          <w:sz w:val="20"/>
        </w:rPr>
        <w:t xml:space="preserve">, 354 F.3d at 767, it would make little sense to require the showing of an adverse employment </w:t>
      </w:r>
      <w:r>
        <w:rPr>
          <w:rFonts w:ascii="Arial" w:eastAsia="Arial" w:hAnsi="Arial" w:cs="Arial"/>
          <w:i/>
          <w:color w:val="000000"/>
          <w:sz w:val="20"/>
        </w:rPr>
        <w:t>action</w:t>
      </w:r>
      <w:r>
        <w:rPr>
          <w:rFonts w:ascii="Arial" w:eastAsia="Arial" w:hAnsi="Arial" w:cs="Arial"/>
          <w:color w:val="000000"/>
          <w:sz w:val="20"/>
        </w:rPr>
        <w:t xml:space="preserve"> as part of a failure-to-accommodate claim. In other words, it would verge on the illogical to require failure-to-accommodate plaintiffs to establish that their employer </w:t>
      </w:r>
      <w:r>
        <w:rPr>
          <w:rFonts w:ascii="Arial" w:eastAsia="Arial" w:hAnsi="Arial" w:cs="Arial"/>
          <w:i/>
          <w:color w:val="000000"/>
          <w:sz w:val="20"/>
        </w:rPr>
        <w:t>acted</w:t>
      </w:r>
      <w:r>
        <w:rPr>
          <w:rFonts w:ascii="Arial" w:eastAsia="Arial" w:hAnsi="Arial" w:cs="Arial"/>
          <w:color w:val="000000"/>
          <w:sz w:val="20"/>
        </w:rPr>
        <w:t xml:space="preserve"> adversely toward them</w:t>
      </w:r>
      <w:r>
        <w:rPr>
          <w:rFonts w:ascii="Arial" w:eastAsia="Arial" w:hAnsi="Arial" w:cs="Arial"/>
          <w:i/>
          <w:color w:val="000000"/>
          <w:sz w:val="20"/>
        </w:rPr>
        <w:t>—</w:t>
      </w:r>
      <w:r>
        <w:rPr>
          <w:rFonts w:ascii="Arial" w:eastAsia="Arial" w:hAnsi="Arial" w:cs="Arial"/>
          <w:color w:val="000000"/>
          <w:sz w:val="20"/>
        </w:rPr>
        <w:t xml:space="preserve">when the fundamental nature of the claim is that the employer </w:t>
      </w:r>
      <w:r>
        <w:rPr>
          <w:rFonts w:ascii="Arial" w:eastAsia="Arial" w:hAnsi="Arial" w:cs="Arial"/>
          <w:i/>
          <w:color w:val="000000"/>
          <w:sz w:val="20"/>
        </w:rPr>
        <w:t>failed to act</w:t>
      </w:r>
      <w:r>
        <w:rPr>
          <w:rFonts w:ascii="Arial" w:eastAsia="Arial" w:hAnsi="Arial" w:cs="Arial"/>
          <w:color w:val="000000"/>
          <w:sz w:val="20"/>
        </w:rPr>
        <w:t>.</w:t>
      </w:r>
    </w:p>
    <w:p w14:paraId="550969A5" w14:textId="77777777" w:rsidR="002B10A6" w:rsidRDefault="00000000">
      <w:pPr>
        <w:pStyle w:val="Normal23"/>
        <w:widowControl w:val="0"/>
        <w:spacing w:before="200" w:line="260" w:lineRule="atLeast"/>
        <w:jc w:val="both"/>
      </w:pPr>
      <w:bookmarkStart w:id="4449" w:name="Bookmark_para_39_10"/>
      <w:bookmarkStart w:id="4450" w:name="Bookmark_I61CDGH728T4TF0010000400"/>
      <w:bookmarkEnd w:id="4449"/>
      <w:bookmarkEnd w:id="4450"/>
      <w:r>
        <w:rPr>
          <w:rFonts w:ascii="Arial" w:eastAsia="Arial" w:hAnsi="Arial" w:cs="Arial"/>
          <w:color w:val="000000"/>
          <w:sz w:val="20"/>
        </w:rPr>
        <w:t xml:space="preserve">This distinction between disparate-treatment claims  [*798]  and failure-to-accommodate claims under the ADA also explains in part why the question of intent is treated quite differently as to each. </w:t>
      </w:r>
      <w:bookmarkStart w:id="4451" w:name="Bookmark_LNHNREFclscc19_3"/>
      <w:bookmarkEnd w:id="4451"/>
      <w:r>
        <w:rPr>
          <w:rFonts w:ascii="Arial" w:eastAsia="Arial" w:hAnsi="Arial" w:cs="Arial"/>
          <w:color w:val="000000"/>
          <w:sz w:val="20"/>
        </w:rPr>
        <w:t xml:space="preserve">In particular, since disparate-treatment claims concern discrimination in the form of an </w:t>
      </w:r>
      <w:r>
        <w:rPr>
          <w:rFonts w:ascii="Arial" w:eastAsia="Arial" w:hAnsi="Arial" w:cs="Arial"/>
          <w:i/>
          <w:color w:val="000000"/>
          <w:sz w:val="20"/>
        </w:rPr>
        <w:t>action</w:t>
      </w:r>
      <w:r>
        <w:rPr>
          <w:rFonts w:ascii="Arial" w:eastAsia="Arial" w:hAnsi="Arial" w:cs="Arial"/>
          <w:color w:val="000000"/>
          <w:sz w:val="20"/>
        </w:rPr>
        <w:t xml:space="preserve">, it naturally follows that a plaintiff alleging such a claim of discrimination must establish, </w:t>
      </w:r>
      <w:r>
        <w:rPr>
          <w:rFonts w:ascii="Arial" w:eastAsia="Arial" w:hAnsi="Arial" w:cs="Arial"/>
          <w:i/>
          <w:color w:val="000000"/>
          <w:sz w:val="20"/>
        </w:rPr>
        <w:t>inter alia</w:t>
      </w:r>
      <w:r>
        <w:rPr>
          <w:rFonts w:ascii="Arial" w:eastAsia="Arial" w:hAnsi="Arial" w:cs="Arial"/>
          <w:color w:val="000000"/>
          <w:sz w:val="20"/>
        </w:rPr>
        <w:t xml:space="preserve">, that there was both an employment action and that the action was undertaken with an intent [**23]  that made it discriminatory, or phrased differently, that the action was taken "because of the disability." </w:t>
      </w:r>
      <w:bookmarkStart w:id="4452" w:name="Bookmark_I61CDGH62HM6N70050000400"/>
      <w:bookmarkEnd w:id="4452"/>
      <w:r>
        <w:rPr>
          <w:rFonts w:ascii="Arial" w:eastAsia="Arial" w:hAnsi="Arial" w:cs="Arial"/>
          <w:i/>
          <w:color w:val="000000"/>
          <w:sz w:val="20"/>
        </w:rPr>
        <w:t>Davidson</w:t>
      </w:r>
      <w:r>
        <w:rPr>
          <w:rFonts w:ascii="Arial" w:eastAsia="Arial" w:hAnsi="Arial" w:cs="Arial"/>
          <w:color w:val="000000"/>
          <w:sz w:val="20"/>
        </w:rPr>
        <w:t xml:space="preserve">, 337 F.3d at 1188. On the other hand, because failure-to-accommodate claims concern discrimination in the form of a failure to meet an affirmative obligation, there is no </w:t>
      </w:r>
      <w:r>
        <w:rPr>
          <w:rFonts w:ascii="Arial" w:eastAsia="Arial" w:hAnsi="Arial" w:cs="Arial"/>
          <w:i/>
          <w:color w:val="000000"/>
          <w:sz w:val="20"/>
        </w:rPr>
        <w:t>action</w:t>
      </w:r>
      <w:r>
        <w:rPr>
          <w:rFonts w:ascii="Arial" w:eastAsia="Arial" w:hAnsi="Arial" w:cs="Arial"/>
          <w:color w:val="000000"/>
          <w:sz w:val="20"/>
        </w:rPr>
        <w:t xml:space="preserve"> that must be shown to have been taken with any particular intent. </w:t>
      </w:r>
      <w:r>
        <w:rPr>
          <w:rFonts w:ascii="Arial" w:eastAsia="Arial" w:hAnsi="Arial" w:cs="Arial"/>
          <w:i/>
          <w:color w:val="000000"/>
          <w:sz w:val="20"/>
        </w:rPr>
        <w:t>See, e.g.</w:t>
      </w:r>
      <w:r>
        <w:rPr>
          <w:rFonts w:ascii="Arial" w:eastAsia="Arial" w:hAnsi="Arial" w:cs="Arial"/>
          <w:color w:val="000000"/>
          <w:sz w:val="20"/>
        </w:rPr>
        <w:t xml:space="preserve">, Kevin W. Williams, </w:t>
      </w:r>
      <w:r>
        <w:rPr>
          <w:rFonts w:ascii="Arial" w:eastAsia="Arial" w:hAnsi="Arial" w:cs="Arial"/>
          <w:i/>
          <w:color w:val="000000"/>
          <w:sz w:val="20"/>
        </w:rPr>
        <w:t>The Reasonable Accommodation Difference: The Effect of Applying the Burden Shifting Frameworks Developed Under Title VII in Disparate Treatment Cases to Claims Brought Under Title I of the Americans with Disabilities Act</w:t>
      </w:r>
      <w:r>
        <w:rPr>
          <w:rFonts w:ascii="Arial" w:eastAsia="Arial" w:hAnsi="Arial" w:cs="Arial"/>
          <w:color w:val="000000"/>
          <w:sz w:val="20"/>
        </w:rPr>
        <w:t xml:space="preserve">, 18 </w:t>
      </w:r>
      <w:r>
        <w:rPr>
          <w:rFonts w:ascii="Arial" w:eastAsia="Arial" w:hAnsi="Arial" w:cs="Arial"/>
          <w:smallCaps/>
          <w:color w:val="000000"/>
          <w:sz w:val="20"/>
        </w:rPr>
        <w:t>Berkeley J. Emp. &amp; Lab. L.</w:t>
      </w:r>
      <w:r>
        <w:rPr>
          <w:rFonts w:ascii="Arial" w:eastAsia="Arial" w:hAnsi="Arial" w:cs="Arial"/>
          <w:color w:val="000000"/>
          <w:sz w:val="20"/>
        </w:rPr>
        <w:t xml:space="preserve"> 98, 152 (1997) (stating that, in contrast to disparate-treatment claims, failure-to-accommodate claims require no showing of discriminatory intent; rather, for failure-to-accommodate claims, "the 'elusive factual question' to be determined is whether the employer </w:t>
      </w:r>
      <w:r>
        <w:rPr>
          <w:rFonts w:ascii="Arial" w:eastAsia="Arial" w:hAnsi="Arial" w:cs="Arial"/>
          <w:i/>
          <w:color w:val="000000"/>
          <w:sz w:val="20"/>
        </w:rPr>
        <w:t>complied with its statutory obligation to provide reasonable accommodation</w:t>
      </w:r>
      <w:r>
        <w:rPr>
          <w:rFonts w:ascii="Arial" w:eastAsia="Arial" w:hAnsi="Arial" w:cs="Arial"/>
          <w:color w:val="000000"/>
          <w:sz w:val="20"/>
        </w:rPr>
        <w:t>" (emphasis added)).</w:t>
      </w:r>
    </w:p>
    <w:p w14:paraId="6526BF13" w14:textId="77777777" w:rsidR="002B10A6" w:rsidRDefault="00000000">
      <w:pPr>
        <w:pStyle w:val="Normal23"/>
        <w:widowControl w:val="0"/>
        <w:spacing w:before="200" w:line="260" w:lineRule="atLeast"/>
        <w:jc w:val="both"/>
      </w:pPr>
      <w:bookmarkStart w:id="4453" w:name="Bookmark_para_40_10"/>
      <w:bookmarkStart w:id="4454" w:name="Bookmark_I61CDGH728T4TF0030000400"/>
      <w:bookmarkStart w:id="4455" w:name="Bookmark_I61CDGH72SF8F30040000400"/>
      <w:bookmarkStart w:id="4456" w:name="Bookmark_LNHNREFclscc20_2"/>
      <w:bookmarkEnd w:id="4453"/>
      <w:bookmarkEnd w:id="4454"/>
      <w:bookmarkEnd w:id="4455"/>
      <w:bookmarkEnd w:id="4456"/>
      <w:r>
        <w:rPr>
          <w:rFonts w:ascii="Arial" w:eastAsia="Arial" w:hAnsi="Arial" w:cs="Arial"/>
          <w:color w:val="000000"/>
          <w:sz w:val="20"/>
        </w:rPr>
        <w:t xml:space="preserve">That is, in the context of a failure-to-accommodate claim, once an employee "make[s] an adequate request [for an accommodation], thereby putting the employer on notice," </w:t>
      </w:r>
      <w:bookmarkStart w:id="4457" w:name="Bookmark_I61CDGH728T4TF0020000400"/>
      <w:bookmarkEnd w:id="4457"/>
      <w:r>
        <w:rPr>
          <w:rFonts w:ascii="Arial" w:eastAsia="Arial" w:hAnsi="Arial" w:cs="Arial"/>
          <w:i/>
          <w:color w:val="000000"/>
          <w:sz w:val="20"/>
        </w:rPr>
        <w:t>C.R. England</w:t>
      </w:r>
      <w:r>
        <w:rPr>
          <w:rFonts w:ascii="Arial" w:eastAsia="Arial" w:hAnsi="Arial" w:cs="Arial"/>
          <w:color w:val="000000"/>
          <w:sz w:val="20"/>
        </w:rPr>
        <w:t xml:space="preserve">, 644 F.3d at 1049, an employer's "failure to offer a reasonable accommodation to an otherwise qualified disabled employee [**24]  </w:t>
      </w:r>
      <w:r>
        <w:rPr>
          <w:rFonts w:ascii="Arial" w:eastAsia="Arial" w:hAnsi="Arial" w:cs="Arial"/>
          <w:i/>
          <w:color w:val="000000"/>
          <w:sz w:val="20"/>
        </w:rPr>
        <w:t>is</w:t>
      </w:r>
      <w:r>
        <w:rPr>
          <w:rFonts w:ascii="Arial" w:eastAsia="Arial" w:hAnsi="Arial" w:cs="Arial"/>
          <w:color w:val="000000"/>
          <w:sz w:val="20"/>
        </w:rPr>
        <w:t xml:space="preserve"> unlawful discrimination," </w:t>
      </w:r>
      <w:bookmarkStart w:id="4458" w:name="Bookmark_I61CDGH728T4TF0040000400"/>
      <w:bookmarkEnd w:id="4458"/>
      <w:r>
        <w:rPr>
          <w:rFonts w:ascii="Arial" w:eastAsia="Arial" w:hAnsi="Arial" w:cs="Arial"/>
          <w:i/>
          <w:color w:val="000000"/>
          <w:sz w:val="20"/>
        </w:rPr>
        <w:t>Smith</w:t>
      </w:r>
      <w:r>
        <w:rPr>
          <w:rFonts w:ascii="Arial" w:eastAsia="Arial" w:hAnsi="Arial" w:cs="Arial"/>
          <w:color w:val="000000"/>
          <w:sz w:val="20"/>
        </w:rPr>
        <w:t xml:space="preserve">, 180 F.3d at 1178 n.12—irrespective of whether the employer harbored invidious intent (or discriminatory animus) toward the employee when the employer failed to act. </w:t>
      </w:r>
      <w:r>
        <w:rPr>
          <w:rFonts w:ascii="Arial" w:eastAsia="Arial" w:hAnsi="Arial" w:cs="Arial"/>
          <w:i/>
          <w:color w:val="000000"/>
          <w:sz w:val="20"/>
        </w:rPr>
        <w:t xml:space="preserve">See </w:t>
      </w:r>
      <w:bookmarkStart w:id="4459" w:name="Bookmark_I61CDGH72SF8F30010000400"/>
      <w:bookmarkEnd w:id="4459"/>
      <w:r>
        <w:rPr>
          <w:rFonts w:ascii="Arial" w:eastAsia="Arial" w:hAnsi="Arial" w:cs="Arial"/>
          <w:i/>
          <w:color w:val="000000"/>
          <w:sz w:val="20"/>
        </w:rPr>
        <w:t>Punt</w:t>
      </w:r>
      <w:r>
        <w:rPr>
          <w:rFonts w:ascii="Arial" w:eastAsia="Arial" w:hAnsi="Arial" w:cs="Arial"/>
          <w:color w:val="000000"/>
          <w:sz w:val="20"/>
        </w:rPr>
        <w:t xml:space="preserve">, 862 F.3d at 1048 ("There is at least one type of ADA claim, however, which does not require any evidence of discriminatory intent, whether direct or circumstantial: a failure-to-accommodate claim. . . . [T]he employer's failure to provide a reasonable accommodation for the disability establishes the required nexus between the disability and the alleged discrimination without the need to delve into the employer's subjective motivations."); </w:t>
      </w:r>
      <w:bookmarkStart w:id="4460" w:name="Bookmark_I61CDGH72SF8F30030000400"/>
      <w:bookmarkEnd w:id="4460"/>
      <w:r>
        <w:rPr>
          <w:rFonts w:ascii="Arial" w:eastAsia="Arial" w:hAnsi="Arial" w:cs="Arial"/>
          <w:i/>
          <w:color w:val="000000"/>
          <w:sz w:val="20"/>
        </w:rPr>
        <w:t>Peebles</w:t>
      </w:r>
      <w:r>
        <w:rPr>
          <w:rFonts w:ascii="Arial" w:eastAsia="Arial" w:hAnsi="Arial" w:cs="Arial"/>
          <w:color w:val="000000"/>
          <w:sz w:val="20"/>
        </w:rPr>
        <w:t xml:space="preserve">, 354 F.3d at 767 (stating that for ADA failure-to-accommodate claims, unlike disparate-treatment claims, "[t]he concern is compelling behavior, </w:t>
      </w:r>
      <w:r>
        <w:rPr>
          <w:rFonts w:ascii="Arial" w:eastAsia="Arial" w:hAnsi="Arial" w:cs="Arial"/>
          <w:i/>
          <w:color w:val="000000"/>
          <w:sz w:val="20"/>
        </w:rPr>
        <w:t>not policing an employer's actions that, when accompanied by an invidious discriminatory intent, are unlawful</w:t>
      </w:r>
      <w:r>
        <w:rPr>
          <w:rFonts w:ascii="Arial" w:eastAsia="Arial" w:hAnsi="Arial" w:cs="Arial"/>
          <w:color w:val="000000"/>
          <w:sz w:val="20"/>
        </w:rPr>
        <w:t xml:space="preserve">. As such, it is </w:t>
      </w:r>
      <w:r>
        <w:rPr>
          <w:rFonts w:ascii="Arial" w:eastAsia="Arial" w:hAnsi="Arial" w:cs="Arial"/>
          <w:i/>
          <w:color w:val="000000"/>
          <w:sz w:val="20"/>
        </w:rPr>
        <w:t>not</w:t>
      </w:r>
      <w:r>
        <w:rPr>
          <w:rFonts w:ascii="Arial" w:eastAsia="Arial" w:hAnsi="Arial" w:cs="Arial"/>
          <w:color w:val="000000"/>
          <w:sz w:val="20"/>
        </w:rPr>
        <w:t xml:space="preserve"> the employer's discriminatory intent in taking adverse employment action against a disabled individual that matters. Rather, discrimination occurs when the employer </w:t>
      </w:r>
      <w:r>
        <w:rPr>
          <w:rFonts w:ascii="Arial" w:eastAsia="Arial" w:hAnsi="Arial" w:cs="Arial"/>
          <w:i/>
          <w:color w:val="000000"/>
          <w:sz w:val="20"/>
        </w:rPr>
        <w:t>fails to abide by a legally imposed duty</w:t>
      </w:r>
      <w:r>
        <w:rPr>
          <w:rFonts w:ascii="Arial" w:eastAsia="Arial" w:hAnsi="Arial" w:cs="Arial"/>
          <w:color w:val="000000"/>
          <w:sz w:val="20"/>
        </w:rPr>
        <w:t xml:space="preserve">" (emphases added)). It is likely—we must respectfully submit—that the district court here was mistaken or "confus[ed]," Brennan, </w:t>
      </w:r>
      <w:r>
        <w:rPr>
          <w:rFonts w:ascii="Arial" w:eastAsia="Arial" w:hAnsi="Arial" w:cs="Arial"/>
          <w:i/>
          <w:color w:val="000000"/>
          <w:sz w:val="20"/>
        </w:rPr>
        <w:t>supra</w:t>
      </w:r>
      <w:r>
        <w:rPr>
          <w:rFonts w:ascii="Arial" w:eastAsia="Arial" w:hAnsi="Arial" w:cs="Arial"/>
          <w:color w:val="000000"/>
          <w:sz w:val="20"/>
        </w:rPr>
        <w:t>, at 501, regarding the [**25]  foregoing matter, that is, concerning the important distinctions between disparate-treatment claims and failure-to-accommodate claims under the ADA, when it incorporated an adverse-employment-action element, suitable for the former (i.e., a disparate-treatment claim), into the jury instruction for the latter (i.e., a failure-to-accommodate claim).</w:t>
      </w:r>
      <w:r>
        <w:rPr>
          <w:rFonts w:ascii="Arial" w:eastAsia="Arial" w:hAnsi="Arial" w:cs="Arial"/>
          <w:vertAlign w:val="superscript"/>
        </w:rPr>
        <w:footnoteReference w:customMarkFollows="1" w:id="169"/>
        <w:t>5</w:t>
      </w:r>
    </w:p>
    <w:p w14:paraId="1A7D1778" w14:textId="77777777" w:rsidR="002B10A6" w:rsidRDefault="00000000">
      <w:pPr>
        <w:pStyle w:val="Normal23"/>
        <w:widowControl w:val="0"/>
        <w:spacing w:before="240" w:line="260" w:lineRule="atLeast"/>
      </w:pPr>
      <w:r>
        <w:br/>
      </w:r>
      <w:r>
        <w:rPr>
          <w:rFonts w:ascii="Arial" w:eastAsia="Arial" w:hAnsi="Arial" w:cs="Arial"/>
          <w:b/>
          <w:color w:val="000000"/>
          <w:sz w:val="20"/>
        </w:rPr>
        <w:t>3</w:t>
      </w:r>
    </w:p>
    <w:p w14:paraId="4BFA08B8" w14:textId="77777777" w:rsidR="002B10A6" w:rsidRDefault="00000000">
      <w:pPr>
        <w:pStyle w:val="Normal23"/>
        <w:widowControl w:val="0"/>
        <w:spacing w:before="200" w:line="260" w:lineRule="atLeast"/>
        <w:jc w:val="both"/>
      </w:pPr>
      <w:bookmarkStart w:id="4464" w:name="Bookmark_para_41_10"/>
      <w:bookmarkStart w:id="4465" w:name="Bookmark_I61CDGH72D6MYJ0030000400"/>
      <w:bookmarkEnd w:id="4464"/>
      <w:bookmarkEnd w:id="4465"/>
      <w:r>
        <w:rPr>
          <w:rFonts w:ascii="Arial" w:eastAsia="Arial" w:hAnsi="Arial" w:cs="Arial"/>
          <w:color w:val="000000"/>
          <w:sz w:val="20"/>
        </w:rPr>
        <w:t xml:space="preserve">Moreover, introducing an adverse-employment-action requirement into an ADA failure-to-accommodate claim would significantly frustrate the ADA's remedial purposes. </w:t>
      </w:r>
      <w:r>
        <w:rPr>
          <w:rFonts w:ascii="Arial" w:eastAsia="Arial" w:hAnsi="Arial" w:cs="Arial"/>
          <w:i/>
          <w:color w:val="000000"/>
          <w:sz w:val="20"/>
        </w:rPr>
        <w:t xml:space="preserve">Cf. </w:t>
      </w:r>
      <w:bookmarkStart w:id="4466" w:name="Bookmark_I61CDGH72D6MYJ0020000400"/>
      <w:bookmarkEnd w:id="4466"/>
      <w:r>
        <w:rPr>
          <w:rFonts w:ascii="Arial" w:eastAsia="Arial" w:hAnsi="Arial" w:cs="Arial"/>
          <w:i/>
          <w:color w:val="000000"/>
          <w:sz w:val="20"/>
        </w:rPr>
        <w:t>Hamer v. City of Trinidad</w:t>
      </w:r>
      <w:r>
        <w:rPr>
          <w:rFonts w:ascii="Arial" w:eastAsia="Arial" w:hAnsi="Arial" w:cs="Arial"/>
          <w:color w:val="000000"/>
          <w:sz w:val="20"/>
        </w:rPr>
        <w:t xml:space="preserve">, 924 F.3d 1093, 1100, 1106 (10th Cir. 2019) (holding that the repeated-violations doctrine, which "divides what might otherwise represent a single, time-barred cause of action into several separate claims," applies to claims under Title II of the ADA in part because the ADA's "goal[] of full participation" is "consistent with and suggestive of the repeated violations doctrine" (emphasis omitted) (quoting Kyle Graham, </w:t>
      </w:r>
      <w:r>
        <w:rPr>
          <w:rFonts w:ascii="Arial" w:eastAsia="Arial" w:hAnsi="Arial" w:cs="Arial"/>
          <w:i/>
          <w:color w:val="000000"/>
          <w:sz w:val="20"/>
        </w:rPr>
        <w:t>The Continuing Violations Doctrine</w:t>
      </w:r>
      <w:r>
        <w:rPr>
          <w:rFonts w:ascii="Arial" w:eastAsia="Arial" w:hAnsi="Arial" w:cs="Arial"/>
          <w:color w:val="000000"/>
          <w:sz w:val="20"/>
        </w:rPr>
        <w:t xml:space="preserve">, 43 GONZ. L. REV. 271, 275 (2008))); </w:t>
      </w:r>
      <w:bookmarkStart w:id="4467" w:name="Bookmark_I61CDGH72D6MYJ0040000400"/>
      <w:bookmarkEnd w:id="4467"/>
      <w:r>
        <w:rPr>
          <w:rFonts w:ascii="Arial" w:eastAsia="Arial" w:hAnsi="Arial" w:cs="Arial"/>
          <w:i/>
          <w:color w:val="000000"/>
          <w:sz w:val="20"/>
        </w:rPr>
        <w:t>Am. Fed'n of Gov't Emps., Local 1592 v. Fed. Labor Relations Auth.</w:t>
      </w:r>
      <w:r>
        <w:rPr>
          <w:rFonts w:ascii="Arial" w:eastAsia="Arial" w:hAnsi="Arial" w:cs="Arial"/>
          <w:color w:val="000000"/>
          <w:sz w:val="20"/>
        </w:rPr>
        <w:t xml:space="preserve">, 836 F.3d 1291, 1295 (10th Cir. 2016) (stating that a "statute's . . . purpose" is one of the traditional "tools" of statutory construction (quoting </w:t>
      </w:r>
      <w:bookmarkStart w:id="4468" w:name="Bookmark_I61CDGH728T4TJ0010000400"/>
      <w:bookmarkEnd w:id="4468"/>
      <w:r>
        <w:rPr>
          <w:rFonts w:ascii="Arial" w:eastAsia="Arial" w:hAnsi="Arial" w:cs="Arial"/>
          <w:i/>
          <w:color w:val="000000"/>
          <w:sz w:val="20"/>
        </w:rPr>
        <w:t>Harbert v. Healthcare Servs. Grp., Inc.</w:t>
      </w:r>
      <w:r>
        <w:rPr>
          <w:rFonts w:ascii="Arial" w:eastAsia="Arial" w:hAnsi="Arial" w:cs="Arial"/>
          <w:color w:val="000000"/>
          <w:sz w:val="20"/>
        </w:rPr>
        <w:t xml:space="preserve">, 391 F.3d 1140, 1147 (10th Cir. 2004))); </w:t>
      </w:r>
      <w:bookmarkStart w:id="4469" w:name="Bookmark_I61CDGH728T4TJ0030000400"/>
      <w:bookmarkEnd w:id="4469"/>
      <w:r>
        <w:rPr>
          <w:rFonts w:ascii="Arial" w:eastAsia="Arial" w:hAnsi="Arial" w:cs="Arial"/>
          <w:i/>
          <w:color w:val="000000"/>
          <w:sz w:val="20"/>
        </w:rPr>
        <w:t>N.Y. State Dep't of Soc. Servs. v. Dublino</w:t>
      </w:r>
      <w:r>
        <w:rPr>
          <w:rFonts w:ascii="Arial" w:eastAsia="Arial" w:hAnsi="Arial" w:cs="Arial"/>
          <w:color w:val="000000"/>
          <w:sz w:val="20"/>
        </w:rPr>
        <w:t>, 413 U.S. 405, 419-20, 93 S. Ct. 2507, 37 L. Ed. 2d 688 (1973) ("We cannot interpret federal statutes to negate their own stated purposes.").</w:t>
      </w:r>
    </w:p>
    <w:p w14:paraId="522D688A" w14:textId="77777777" w:rsidR="002B10A6" w:rsidRDefault="00000000">
      <w:pPr>
        <w:pStyle w:val="Normal23"/>
        <w:widowControl w:val="0"/>
        <w:spacing w:before="200" w:line="260" w:lineRule="atLeast"/>
        <w:jc w:val="both"/>
      </w:pPr>
      <w:bookmarkStart w:id="4470" w:name="Bookmark_para_42_10"/>
      <w:bookmarkStart w:id="4471" w:name="Bookmark_I61CDGH828T4TK0010000400"/>
      <w:bookmarkStart w:id="4472" w:name="Bookmark_I61CDGH828T4TP0020000400"/>
      <w:bookmarkStart w:id="4473" w:name="Bookmark_LNHNREFclscc21_1"/>
      <w:bookmarkEnd w:id="4470"/>
      <w:bookmarkEnd w:id="4471"/>
      <w:bookmarkEnd w:id="4472"/>
      <w:bookmarkEnd w:id="4473"/>
      <w:r>
        <w:rPr>
          <w:rFonts w:ascii="Arial" w:eastAsia="Arial" w:hAnsi="Arial" w:cs="Arial"/>
          <w:color w:val="000000"/>
          <w:sz w:val="20"/>
        </w:rPr>
        <w:t xml:space="preserve">The ADA's purposes include "assuring . . . 'full participation'" [**26]  in society for individuals with disabilities, as well as "equality of opportunity," </w:t>
      </w:r>
      <w:bookmarkStart w:id="4474" w:name="Bookmark_I61CDGH728T4TJ0050000400"/>
      <w:bookmarkEnd w:id="4474"/>
      <w:r>
        <w:rPr>
          <w:rFonts w:ascii="Arial" w:eastAsia="Arial" w:hAnsi="Arial" w:cs="Arial"/>
          <w:i/>
          <w:color w:val="000000"/>
          <w:sz w:val="20"/>
        </w:rPr>
        <w:t>C.R. England</w:t>
      </w:r>
      <w:r>
        <w:rPr>
          <w:rFonts w:ascii="Arial" w:eastAsia="Arial" w:hAnsi="Arial" w:cs="Arial"/>
          <w:color w:val="000000"/>
          <w:sz w:val="20"/>
        </w:rPr>
        <w:t xml:space="preserve">, 644 F.3d at 1037 (quoting </w:t>
      </w:r>
      <w:bookmarkStart w:id="4475" w:name="Bookmark_I61CDGH828T4TK0020000400"/>
      <w:bookmarkEnd w:id="4475"/>
      <w:r>
        <w:rPr>
          <w:rFonts w:ascii="Arial" w:eastAsia="Arial" w:hAnsi="Arial" w:cs="Arial"/>
          <w:i/>
          <w:color w:val="000000"/>
          <w:sz w:val="20"/>
        </w:rPr>
        <w:t>Chaffin v. Kan. State Fair Bd.</w:t>
      </w:r>
      <w:r>
        <w:rPr>
          <w:rFonts w:ascii="Arial" w:eastAsia="Arial" w:hAnsi="Arial" w:cs="Arial"/>
          <w:color w:val="000000"/>
          <w:sz w:val="20"/>
        </w:rPr>
        <w:t xml:space="preserve">, 348 F.3d 850, 858 (10th Cir. 2003), </w:t>
      </w:r>
      <w:r>
        <w:rPr>
          <w:rFonts w:ascii="Arial" w:eastAsia="Arial" w:hAnsi="Arial" w:cs="Arial"/>
          <w:i/>
          <w:color w:val="000000"/>
          <w:sz w:val="20"/>
        </w:rPr>
        <w:t xml:space="preserve">overruled on other grounds as recognized by </w:t>
      </w:r>
      <w:bookmarkStart w:id="4476" w:name="Bookmark_I61CDGH828T4TK0040000400"/>
      <w:bookmarkEnd w:id="4476"/>
      <w:r>
        <w:rPr>
          <w:rFonts w:ascii="Arial" w:eastAsia="Arial" w:hAnsi="Arial" w:cs="Arial"/>
          <w:i/>
          <w:color w:val="000000"/>
          <w:sz w:val="20"/>
        </w:rPr>
        <w:t>Muscogee (Creek) Nation v. Pruitt</w:t>
      </w:r>
      <w:r>
        <w:rPr>
          <w:rFonts w:ascii="Arial" w:eastAsia="Arial" w:hAnsi="Arial" w:cs="Arial"/>
          <w:color w:val="000000"/>
          <w:sz w:val="20"/>
        </w:rPr>
        <w:t xml:space="preserve">, 669 F.3d 1159, 1167 n.4 (10th Cir. 2012)); </w:t>
      </w:r>
      <w:r>
        <w:rPr>
          <w:rFonts w:ascii="Arial" w:eastAsia="Arial" w:hAnsi="Arial" w:cs="Arial"/>
          <w:i/>
          <w:color w:val="000000"/>
          <w:sz w:val="20"/>
        </w:rPr>
        <w:t>see</w:t>
      </w:r>
      <w:r>
        <w:rPr>
          <w:rFonts w:ascii="Arial" w:eastAsia="Arial" w:hAnsi="Arial" w:cs="Arial"/>
          <w:color w:val="000000"/>
          <w:sz w:val="20"/>
        </w:rPr>
        <w:t xml:space="preserve"> 42 U.S.C. § 12101(a)(7), so that disabled individuals may "compete on an equal basis and . . . pursue those opportunities for which our free society is justifiably famous." 42 U.S.C. § 12101(a)(8). </w:t>
      </w:r>
      <w:r>
        <w:rPr>
          <w:rFonts w:ascii="Arial" w:eastAsia="Arial" w:hAnsi="Arial" w:cs="Arial"/>
          <w:i/>
          <w:color w:val="000000"/>
          <w:sz w:val="20"/>
        </w:rPr>
        <w:t xml:space="preserve">See </w:t>
      </w:r>
      <w:bookmarkStart w:id="4477" w:name="Bookmark_I61CDGH828T4TP0010000400"/>
      <w:bookmarkEnd w:id="4477"/>
      <w:r>
        <w:rPr>
          <w:rFonts w:ascii="Arial" w:eastAsia="Arial" w:hAnsi="Arial" w:cs="Arial"/>
          <w:i/>
          <w:color w:val="000000"/>
          <w:sz w:val="20"/>
        </w:rPr>
        <w:t>Cleveland v. Policy Mgmt. Sys. Corp.</w:t>
      </w:r>
      <w:r>
        <w:rPr>
          <w:rFonts w:ascii="Arial" w:eastAsia="Arial" w:hAnsi="Arial" w:cs="Arial"/>
          <w:color w:val="000000"/>
          <w:sz w:val="20"/>
        </w:rPr>
        <w:t xml:space="preserve">, 526 U.S. 795, 801, 119 S. Ct. 1597, 143 L. Ed. 2d 966 (1999) ("The ADA seeks to . . . guarantee [disabled] individuals equal opportunity and to provide the Nation with the benefit of their consequently increased productivity."); </w:t>
      </w:r>
      <w:bookmarkStart w:id="4478" w:name="Bookmark_I61CDGH828T4TP0030000400"/>
      <w:bookmarkEnd w:id="4478"/>
      <w:r>
        <w:rPr>
          <w:rFonts w:ascii="Arial" w:eastAsia="Arial" w:hAnsi="Arial" w:cs="Arial"/>
          <w:i/>
          <w:color w:val="000000"/>
          <w:sz w:val="20"/>
        </w:rPr>
        <w:t>Hamer</w:t>
      </w:r>
      <w:r>
        <w:rPr>
          <w:rFonts w:ascii="Arial" w:eastAsia="Arial" w:hAnsi="Arial" w:cs="Arial"/>
          <w:color w:val="000000"/>
          <w:sz w:val="20"/>
        </w:rPr>
        <w:t>, 924 F.3d at 1106 (mentioning "Congress's goal[] of full participation" in enacting the ADA).</w:t>
      </w:r>
    </w:p>
    <w:p w14:paraId="33104CFA" w14:textId="77777777" w:rsidR="002B10A6" w:rsidRDefault="00000000">
      <w:pPr>
        <w:pStyle w:val="Normal23"/>
        <w:widowControl w:val="0"/>
        <w:spacing w:before="200" w:line="260" w:lineRule="atLeast"/>
        <w:jc w:val="both"/>
      </w:pPr>
      <w:bookmarkStart w:id="4479" w:name="Bookmark_para_43_9"/>
      <w:bookmarkStart w:id="4480" w:name="Bookmark_I61CDGH82N1R130010000400"/>
      <w:bookmarkStart w:id="4481" w:name="Bookmark_LNHNREFclscc22_1"/>
      <w:bookmarkEnd w:id="4479"/>
      <w:bookmarkEnd w:id="4480"/>
      <w:bookmarkEnd w:id="4481"/>
      <w:r>
        <w:rPr>
          <w:rFonts w:ascii="Arial" w:eastAsia="Arial" w:hAnsi="Arial" w:cs="Arial"/>
          <w:color w:val="000000"/>
          <w:sz w:val="20"/>
        </w:rPr>
        <w:t xml:space="preserve">And these purposes of promoting full participation and equal opportunity are effectuated in meaningful part by the "affirmative obligation" that the ADA places on covered employers "to make a reasonable accommodation." </w:t>
      </w:r>
      <w:bookmarkStart w:id="4482" w:name="Bookmark_I61CDGH828T4TP0050000400"/>
      <w:bookmarkEnd w:id="4482"/>
      <w:r>
        <w:rPr>
          <w:rFonts w:ascii="Arial" w:eastAsia="Arial" w:hAnsi="Arial" w:cs="Arial"/>
          <w:i/>
          <w:color w:val="000000"/>
          <w:sz w:val="20"/>
        </w:rPr>
        <w:t>Thomas</w:t>
      </w:r>
      <w:r>
        <w:rPr>
          <w:rFonts w:ascii="Arial" w:eastAsia="Arial" w:hAnsi="Arial" w:cs="Arial"/>
          <w:color w:val="000000"/>
          <w:sz w:val="20"/>
        </w:rPr>
        <w:t xml:space="preserve">, 225 F.3d at 1155 n.5; </w:t>
      </w:r>
      <w:r>
        <w:rPr>
          <w:rFonts w:ascii="Arial" w:eastAsia="Arial" w:hAnsi="Arial" w:cs="Arial"/>
          <w:i/>
          <w:color w:val="000000"/>
          <w:sz w:val="20"/>
        </w:rPr>
        <w:t xml:space="preserve">see </w:t>
      </w:r>
      <w:bookmarkStart w:id="4483" w:name="Bookmark_I61CDGH82N1R130020000400"/>
      <w:bookmarkEnd w:id="4483"/>
      <w:r>
        <w:rPr>
          <w:rFonts w:ascii="Arial" w:eastAsia="Arial" w:hAnsi="Arial" w:cs="Arial"/>
          <w:i/>
          <w:color w:val="000000"/>
          <w:sz w:val="20"/>
        </w:rPr>
        <w:t>US Airways</w:t>
      </w:r>
      <w:r>
        <w:rPr>
          <w:rFonts w:ascii="Arial" w:eastAsia="Arial" w:hAnsi="Arial" w:cs="Arial"/>
          <w:color w:val="000000"/>
          <w:sz w:val="20"/>
        </w:rPr>
        <w:t xml:space="preserve">, 535 U.S. at 397 ("[The ADA] requires preferences in the form of 'reasonable accommodations' that are needed for those with disabilities to obtain the </w:t>
      </w:r>
      <w:r>
        <w:rPr>
          <w:rFonts w:ascii="Arial" w:eastAsia="Arial" w:hAnsi="Arial" w:cs="Arial"/>
          <w:i/>
          <w:color w:val="000000"/>
          <w:sz w:val="20"/>
        </w:rPr>
        <w:t>same</w:t>
      </w:r>
      <w:r>
        <w:rPr>
          <w:rFonts w:ascii="Arial" w:eastAsia="Arial" w:hAnsi="Arial" w:cs="Arial"/>
          <w:color w:val="000000"/>
          <w:sz w:val="20"/>
        </w:rPr>
        <w:t xml:space="preserve"> workplace opportunities that those without disabilities automatically enjoy."); </w:t>
      </w:r>
      <w:bookmarkStart w:id="4484" w:name="Bookmark_I61CDGH82N1R130040000400"/>
      <w:bookmarkEnd w:id="4484"/>
      <w:r>
        <w:rPr>
          <w:rFonts w:ascii="Arial" w:eastAsia="Arial" w:hAnsi="Arial" w:cs="Arial"/>
          <w:i/>
          <w:color w:val="000000"/>
          <w:sz w:val="20"/>
        </w:rPr>
        <w:t>Peebles</w:t>
      </w:r>
      <w:r>
        <w:rPr>
          <w:rFonts w:ascii="Arial" w:eastAsia="Arial" w:hAnsi="Arial" w:cs="Arial"/>
          <w:color w:val="000000"/>
          <w:sz w:val="20"/>
        </w:rPr>
        <w:t xml:space="preserve">, 354 F.3d at 767 ("The [ADA] compels employers to modify their work requirements to enable disabled individuals to have the same opportunities as their non-disabled  [*799]  counterparts."); </w:t>
      </w:r>
      <w:bookmarkStart w:id="4485" w:name="Bookmark_I61CDGH82SF8FC0010000400"/>
      <w:bookmarkEnd w:id="4485"/>
      <w:r>
        <w:rPr>
          <w:rFonts w:ascii="Arial" w:eastAsia="Arial" w:hAnsi="Arial" w:cs="Arial"/>
          <w:i/>
          <w:color w:val="000000"/>
          <w:sz w:val="20"/>
        </w:rPr>
        <w:t>Smith</w:t>
      </w:r>
      <w:r>
        <w:rPr>
          <w:rFonts w:ascii="Arial" w:eastAsia="Arial" w:hAnsi="Arial" w:cs="Arial"/>
          <w:color w:val="000000"/>
          <w:sz w:val="20"/>
        </w:rPr>
        <w:t xml:space="preserve">, 180 F.3d at 1168 ("[B]y defining discrimination [in the ADA] [**27]  . . . to include the failure to offer reasonable accommodations, one of Congress' objectives was to facilitate economic independence for otherwise qualified disabled individuals."); EEOC Interpretive Guidance on Title I of the Americans With Disabilities Act, 29 C.F.R. pt. 1630, app. § 1630.9 ("The reasonable accommodation requirement is best understood as a means by which barriers to the equal employment opportunity of an individual with a disability are removed or alleviated. . . . The reasonable accommodation that is required . . . should provide the individual with a disability with an equal employment opportunity. Equal employment opportunity means an opportunity to </w:t>
      </w:r>
      <w:r>
        <w:rPr>
          <w:rFonts w:ascii="Arial" w:eastAsia="Arial" w:hAnsi="Arial" w:cs="Arial"/>
          <w:i/>
          <w:color w:val="000000"/>
          <w:sz w:val="20"/>
        </w:rPr>
        <w:t>attain the same level of performance</w:t>
      </w:r>
      <w:r>
        <w:rPr>
          <w:rFonts w:ascii="Arial" w:eastAsia="Arial" w:hAnsi="Arial" w:cs="Arial"/>
          <w:color w:val="000000"/>
          <w:sz w:val="20"/>
        </w:rPr>
        <w:t>, or to enjoy the same level of benefits and privileges of employment as are available to the average similarly situated employee without a disability." (emphasis added)).</w:t>
      </w:r>
    </w:p>
    <w:p w14:paraId="1365DA4E" w14:textId="77777777" w:rsidR="002B10A6" w:rsidRDefault="00000000">
      <w:pPr>
        <w:pStyle w:val="Normal23"/>
        <w:widowControl w:val="0"/>
        <w:spacing w:before="200" w:line="260" w:lineRule="atLeast"/>
        <w:jc w:val="both"/>
      </w:pPr>
      <w:bookmarkStart w:id="4486" w:name="Bookmark_para_44_9"/>
      <w:bookmarkStart w:id="4487" w:name="Bookmark_I61CDGH82SF8FC0040000400"/>
      <w:bookmarkEnd w:id="4486"/>
      <w:bookmarkEnd w:id="4487"/>
      <w:r>
        <w:rPr>
          <w:rFonts w:ascii="Arial" w:eastAsia="Arial" w:hAnsi="Arial" w:cs="Arial"/>
          <w:color w:val="000000"/>
          <w:sz w:val="20"/>
        </w:rPr>
        <w:t xml:space="preserve">Those purposes, and the ability of the ADA's reasonable-accommodation mandate to promote them, would be significantly frustrated by including an adverse employment action as a necessary element of a failure-to-accommodate claim. Employers would </w:t>
      </w:r>
      <w:r>
        <w:rPr>
          <w:rFonts w:ascii="Arial" w:eastAsia="Arial" w:hAnsi="Arial" w:cs="Arial"/>
          <w:i/>
          <w:color w:val="000000"/>
          <w:sz w:val="20"/>
        </w:rPr>
        <w:t>not</w:t>
      </w:r>
      <w:r>
        <w:rPr>
          <w:rFonts w:ascii="Arial" w:eastAsia="Arial" w:hAnsi="Arial" w:cs="Arial"/>
          <w:color w:val="000000"/>
          <w:sz w:val="20"/>
        </w:rPr>
        <w:t xml:space="preserve"> be held accountable for failing to reasonably accommodate their disabled employees so long [**28]  as those employers did not also subject their employees to an adverse employment action. How could the ADA's reasonable-accommodation mandate meaningfully help to ensure that qualified individuals with disabilities who have been denied a reasonable accommodation can "obtain the </w:t>
      </w:r>
      <w:r>
        <w:rPr>
          <w:rFonts w:ascii="Arial" w:eastAsia="Arial" w:hAnsi="Arial" w:cs="Arial"/>
          <w:i/>
          <w:color w:val="000000"/>
          <w:sz w:val="20"/>
        </w:rPr>
        <w:t>same</w:t>
      </w:r>
      <w:r>
        <w:rPr>
          <w:rFonts w:ascii="Arial" w:eastAsia="Arial" w:hAnsi="Arial" w:cs="Arial"/>
          <w:color w:val="000000"/>
          <w:sz w:val="20"/>
        </w:rPr>
        <w:t xml:space="preserve"> workplace opportunities that those without disabilities automatically enjoy," </w:t>
      </w:r>
      <w:bookmarkStart w:id="4488" w:name="Bookmark_I61CDGH82SF8FC0030000400"/>
      <w:bookmarkEnd w:id="4488"/>
      <w:r>
        <w:rPr>
          <w:rFonts w:ascii="Arial" w:eastAsia="Arial" w:hAnsi="Arial" w:cs="Arial"/>
          <w:i/>
          <w:color w:val="000000"/>
          <w:sz w:val="20"/>
        </w:rPr>
        <w:t>US Airways</w:t>
      </w:r>
      <w:r>
        <w:rPr>
          <w:rFonts w:ascii="Arial" w:eastAsia="Arial" w:hAnsi="Arial" w:cs="Arial"/>
          <w:color w:val="000000"/>
          <w:sz w:val="20"/>
        </w:rPr>
        <w:t xml:space="preserve">, 535 U.S. at 397, and "enjoy the same level of benefits and privileges of employment" as their peers without disabilities, 29 C.F.R. pt. 1630, app. § 1630.9, if the statute is construed as providing such disabled individuals a failure-to-accommodate remedy </w:t>
      </w:r>
      <w:r>
        <w:rPr>
          <w:rFonts w:ascii="Arial" w:eastAsia="Arial" w:hAnsi="Arial" w:cs="Arial"/>
          <w:i/>
          <w:color w:val="000000"/>
          <w:sz w:val="20"/>
        </w:rPr>
        <w:t>only</w:t>
      </w:r>
      <w:r>
        <w:rPr>
          <w:rFonts w:ascii="Arial" w:eastAsia="Arial" w:hAnsi="Arial" w:cs="Arial"/>
          <w:color w:val="000000"/>
          <w:sz w:val="20"/>
        </w:rPr>
        <w:t xml:space="preserve"> when their employers </w:t>
      </w:r>
      <w:r>
        <w:rPr>
          <w:rFonts w:ascii="Arial" w:eastAsia="Arial" w:hAnsi="Arial" w:cs="Arial"/>
          <w:i/>
          <w:color w:val="000000"/>
          <w:sz w:val="20"/>
        </w:rPr>
        <w:t>also</w:t>
      </w:r>
      <w:r>
        <w:rPr>
          <w:rFonts w:ascii="Arial" w:eastAsia="Arial" w:hAnsi="Arial" w:cs="Arial"/>
          <w:color w:val="000000"/>
          <w:sz w:val="20"/>
        </w:rPr>
        <w:t xml:space="preserve"> have subjected them to an adverse employment action? To ask the question is to answer it: the ADA could not meaningfully effectuate its full-participation and equal-opportunity purposes, if so interpreted. And we thus decline to construe the statute in this way.</w:t>
      </w:r>
    </w:p>
    <w:p w14:paraId="4574A0C0" w14:textId="77777777" w:rsidR="002B10A6" w:rsidRDefault="00000000">
      <w:pPr>
        <w:pStyle w:val="Normal23"/>
        <w:widowControl w:val="0"/>
        <w:spacing w:before="200" w:line="260" w:lineRule="atLeast"/>
        <w:jc w:val="both"/>
      </w:pPr>
      <w:bookmarkStart w:id="4489" w:name="Bookmark_para_45_9"/>
      <w:bookmarkEnd w:id="4489"/>
      <w:r>
        <w:rPr>
          <w:rFonts w:ascii="Arial" w:eastAsia="Arial" w:hAnsi="Arial" w:cs="Arial"/>
          <w:color w:val="000000"/>
          <w:sz w:val="20"/>
        </w:rPr>
        <w:t xml:space="preserve">To make the matter more concrete, consider the following hypothetical. Imagine that a judge of this court hires a blind law clerk who can, without accommodation, write two draft judicial opinions per month. Also assume that the widely accepted standard for a successful law clerk is one who can write three draft judicial opinions [**29]  per month, and that the blind law clerk can reach that level with the help of a reasonable accommodation. Further assume, for purposes of this hypothetical only, the following: (1) that a qualified, low-wage personal reader would constitute such a reasonable accommodation under the ADA, </w:t>
      </w:r>
      <w:r>
        <w:rPr>
          <w:rFonts w:ascii="Arial" w:eastAsia="Arial" w:hAnsi="Arial" w:cs="Arial"/>
          <w:i/>
          <w:color w:val="000000"/>
          <w:sz w:val="20"/>
        </w:rPr>
        <w:t>see</w:t>
      </w:r>
      <w:r>
        <w:rPr>
          <w:rFonts w:ascii="Arial" w:eastAsia="Arial" w:hAnsi="Arial" w:cs="Arial"/>
          <w:color w:val="000000"/>
          <w:sz w:val="20"/>
        </w:rPr>
        <w:t xml:space="preserve"> 42 U.S.C. § 12111(9)(B) (defining "reasonable accommodation" to potentially include "the provision of qualified readers or interpreters"), and (2) that such a reader undisputedly would not impose an undue hardship on the office operations of the blind law clerk's employer (i.e., the judge), </w:t>
      </w:r>
      <w:r>
        <w:rPr>
          <w:rFonts w:ascii="Arial" w:eastAsia="Arial" w:hAnsi="Arial" w:cs="Arial"/>
          <w:i/>
          <w:color w:val="000000"/>
          <w:sz w:val="20"/>
        </w:rPr>
        <w:t>see id.</w:t>
      </w:r>
      <w:r>
        <w:rPr>
          <w:rFonts w:ascii="Arial" w:eastAsia="Arial" w:hAnsi="Arial" w:cs="Arial"/>
          <w:color w:val="000000"/>
          <w:sz w:val="20"/>
        </w:rPr>
        <w:t xml:space="preserve"> § 12112(b)(5)(A) (allowing an employer to avoid liability for failing to provide a reasonable accommodation to "an otherwise qualified individual with a disability" if the employer "can demonstrate that the accommodation would impose an undue hardship" on the operation of the employer's business). Now imagine that the judge denies the blind law clerk's request for this assumed reasonable accommodation and refuses to discuss any other possible reasonable accommodation—simply telling the law clerk that drafting two opinions per month is minimally sufficient and actually about what the judge expected, given the law clerk's  [*800]  blindness, and that [**30]  this level of production will be just fine, even though the judge's other law clerks regularly reach the three-opinion, monthly target.</w:t>
      </w:r>
    </w:p>
    <w:p w14:paraId="2647CB5B" w14:textId="77777777" w:rsidR="002B10A6" w:rsidRDefault="00000000">
      <w:pPr>
        <w:pStyle w:val="Normal23"/>
        <w:widowControl w:val="0"/>
        <w:spacing w:before="200" w:line="260" w:lineRule="atLeast"/>
        <w:jc w:val="both"/>
      </w:pPr>
      <w:bookmarkStart w:id="4490" w:name="Bookmark_para_46_8"/>
      <w:bookmarkStart w:id="4491" w:name="Bookmark_I61CDGH828T4TS0010000400"/>
      <w:bookmarkStart w:id="4492" w:name="Bookmark_I61CDGH828T4TS0050000400"/>
      <w:bookmarkEnd w:id="4490"/>
      <w:bookmarkEnd w:id="4491"/>
      <w:bookmarkEnd w:id="4492"/>
      <w:r>
        <w:rPr>
          <w:rFonts w:ascii="Arial" w:eastAsia="Arial" w:hAnsi="Arial" w:cs="Arial"/>
          <w:color w:val="000000"/>
          <w:sz w:val="20"/>
        </w:rPr>
        <w:t xml:space="preserve">The law clerk in this hypothetical has suffered no adverse employment action as defined in our precedent and in the jury instructions at issue in this case—that is, the law clerk has not been subjected to "a </w:t>
      </w:r>
      <w:r>
        <w:rPr>
          <w:rFonts w:ascii="Arial" w:eastAsia="Arial" w:hAnsi="Arial" w:cs="Arial"/>
          <w:i/>
          <w:color w:val="000000"/>
          <w:sz w:val="20"/>
        </w:rPr>
        <w:t>significant change in employment status</w:t>
      </w:r>
      <w:r>
        <w:rPr>
          <w:rFonts w:ascii="Arial" w:eastAsia="Arial" w:hAnsi="Arial" w:cs="Arial"/>
          <w:color w:val="000000"/>
          <w:sz w:val="20"/>
        </w:rPr>
        <w:t xml:space="preserve">, such a[s] . . . firing, [or a] fail[ure] to promote." Aplt.'s App., Vol. II, at 449 (emphasis added); </w:t>
      </w:r>
      <w:r>
        <w:rPr>
          <w:rFonts w:ascii="Arial" w:eastAsia="Arial" w:hAnsi="Arial" w:cs="Arial"/>
          <w:i/>
          <w:color w:val="000000"/>
          <w:sz w:val="20"/>
        </w:rPr>
        <w:t xml:space="preserve">see </w:t>
      </w:r>
      <w:bookmarkStart w:id="4493" w:name="Bookmark_I61CDGH82SF8FC0050000400"/>
      <w:bookmarkEnd w:id="4493"/>
      <w:r>
        <w:rPr>
          <w:rFonts w:ascii="Arial" w:eastAsia="Arial" w:hAnsi="Arial" w:cs="Arial"/>
          <w:i/>
          <w:color w:val="000000"/>
          <w:sz w:val="20"/>
        </w:rPr>
        <w:t>Hiatt v. Colo. Seminary</w:t>
      </w:r>
      <w:r>
        <w:rPr>
          <w:rFonts w:ascii="Arial" w:eastAsia="Arial" w:hAnsi="Arial" w:cs="Arial"/>
          <w:color w:val="000000"/>
          <w:sz w:val="20"/>
        </w:rPr>
        <w:t xml:space="preserve">, 858 F.3d 1307, 1316 (10th Cir. 2017) (using the same definition of "adverse employment action"); </w:t>
      </w:r>
      <w:bookmarkStart w:id="4494" w:name="Bookmark_I61CDGH828T4TS0020000400"/>
      <w:bookmarkEnd w:id="4494"/>
      <w:r>
        <w:rPr>
          <w:rFonts w:ascii="Arial" w:eastAsia="Arial" w:hAnsi="Arial" w:cs="Arial"/>
          <w:i/>
          <w:color w:val="000000"/>
          <w:sz w:val="20"/>
        </w:rPr>
        <w:t>Annett v. Univ. of Kan.</w:t>
      </w:r>
      <w:r>
        <w:rPr>
          <w:rFonts w:ascii="Arial" w:eastAsia="Arial" w:hAnsi="Arial" w:cs="Arial"/>
          <w:color w:val="000000"/>
          <w:sz w:val="20"/>
        </w:rPr>
        <w:t xml:space="preserve">, 371 F.3d 1233, 1237-38 (10th Cir. 2004) (same). But, by not being reasonably accommodated, the blind law clerk surely has been prevented from fully participating in society and, more specifically, achieving the law clerk's full professional potential in the law clerk's position. </w:t>
      </w:r>
      <w:r>
        <w:rPr>
          <w:rFonts w:ascii="Arial" w:eastAsia="Arial" w:hAnsi="Arial" w:cs="Arial"/>
          <w:i/>
          <w:color w:val="000000"/>
          <w:sz w:val="20"/>
        </w:rPr>
        <w:t xml:space="preserve">Cf. </w:t>
      </w:r>
      <w:bookmarkStart w:id="4495" w:name="Bookmark_I61CDGH828T4TS0040000400"/>
      <w:bookmarkEnd w:id="4495"/>
      <w:r>
        <w:rPr>
          <w:rFonts w:ascii="Arial" w:eastAsia="Arial" w:hAnsi="Arial" w:cs="Arial"/>
          <w:i/>
          <w:color w:val="000000"/>
          <w:sz w:val="20"/>
        </w:rPr>
        <w:t>Hamer</w:t>
      </w:r>
      <w:r>
        <w:rPr>
          <w:rFonts w:ascii="Arial" w:eastAsia="Arial" w:hAnsi="Arial" w:cs="Arial"/>
          <w:color w:val="000000"/>
          <w:sz w:val="20"/>
        </w:rPr>
        <w:t>, 924 F.3d at 1106 (noting that "[a] qualified individual is not a full participant or fully included in a service, program, or activity if she cannot utilize it in a similar way as persons without disabilities"). More specifically, this law clerk has been prevented from "compet[ing] on an equal basis" with her fellow law clerks who do not have disabilities, 42 U.S.C. § 12101(a)(8), and "enjoy[ing] the same level of . . . privileges of employment" as those law clerks, 29 C.F.R. pt. 1630, app. [**31]  § 1630.9.</w:t>
      </w:r>
      <w:r>
        <w:rPr>
          <w:rFonts w:ascii="Arial" w:eastAsia="Arial" w:hAnsi="Arial" w:cs="Arial"/>
          <w:vertAlign w:val="superscript"/>
        </w:rPr>
        <w:footnoteReference w:customMarkFollows="1" w:id="170"/>
        <w:t>6</w:t>
      </w:r>
      <w:r>
        <w:rPr>
          <w:rFonts w:ascii="Arial" w:eastAsia="Arial" w:hAnsi="Arial" w:cs="Arial"/>
          <w:color w:val="000000"/>
          <w:sz w:val="20"/>
        </w:rPr>
        <w:t xml:space="preserve"> We are disinclined to adopt a reading of the ADA's failure-to-accommodate proscription that would yield such an outcome.</w:t>
      </w:r>
      <w:r>
        <w:rPr>
          <w:rFonts w:ascii="Arial" w:eastAsia="Arial" w:hAnsi="Arial" w:cs="Arial"/>
          <w:vertAlign w:val="superscript"/>
        </w:rPr>
        <w:footnoteReference w:customMarkFollows="1" w:id="171"/>
        <w:t>7</w:t>
      </w:r>
    </w:p>
    <w:p w14:paraId="2B51213A" w14:textId="77777777" w:rsidR="002B10A6" w:rsidRDefault="00000000">
      <w:pPr>
        <w:pStyle w:val="Normal23"/>
        <w:widowControl w:val="0"/>
        <w:spacing w:before="200" w:line="260" w:lineRule="atLeast"/>
        <w:jc w:val="both"/>
      </w:pPr>
      <w:bookmarkStart w:id="4501" w:name="Bookmark_para_47_8"/>
      <w:bookmarkStart w:id="4502" w:name="Bookmark_I61CDGH92SF8FJ0010000400"/>
      <w:bookmarkEnd w:id="4501"/>
      <w:bookmarkEnd w:id="4502"/>
      <w:r>
        <w:rPr>
          <w:rFonts w:ascii="Arial" w:eastAsia="Arial" w:hAnsi="Arial" w:cs="Arial"/>
          <w:color w:val="000000"/>
          <w:sz w:val="20"/>
        </w:rPr>
        <w:t xml:space="preserve">Put otherwise, the ADA's failure-to-accommodate proscription would not be  [*801]  operating in a manner consistent with Congress's purposes of promoting full participation and equality of opportunity if employees such as the blind law clerk in our hypothetical could not invoke the ADA simply because they have not been subjected to an adverse employment action; in those circumstances, such employees would be effectively impeded from operating at full capacity and "attain[ing] the same level of performance" as their peers who are not disabled. 29 C.F.R. pt. 1630, app. § 1630.9; </w:t>
      </w:r>
      <w:r>
        <w:rPr>
          <w:rFonts w:ascii="Arial" w:eastAsia="Arial" w:hAnsi="Arial" w:cs="Arial"/>
          <w:i/>
          <w:color w:val="000000"/>
          <w:sz w:val="20"/>
        </w:rPr>
        <w:t xml:space="preserve">cf. </w:t>
      </w:r>
      <w:bookmarkStart w:id="4503" w:name="Bookmark_I61CDGH92N1R140050000400"/>
      <w:bookmarkEnd w:id="4503"/>
      <w:r>
        <w:rPr>
          <w:rFonts w:ascii="Arial" w:eastAsia="Arial" w:hAnsi="Arial" w:cs="Arial"/>
          <w:i/>
          <w:color w:val="000000"/>
          <w:sz w:val="20"/>
        </w:rPr>
        <w:t>Nawrot v. CPC Int'l</w:t>
      </w:r>
      <w:r>
        <w:rPr>
          <w:rFonts w:ascii="Arial" w:eastAsia="Arial" w:hAnsi="Arial" w:cs="Arial"/>
          <w:color w:val="000000"/>
          <w:sz w:val="20"/>
        </w:rPr>
        <w:t>, 259 F. Supp. 2d 716, 723-24 (N.D. Ill. 2003) (invoking "the purposes of the reasonable accommodation requirement" and recognizing that an employer "cannot escape liability under the ADA just because its failure to accommodate did not result in an adverse employment action" to the employee).</w:t>
      </w:r>
      <w:r>
        <w:rPr>
          <w:rFonts w:ascii="Arial" w:eastAsia="Arial" w:hAnsi="Arial" w:cs="Arial"/>
          <w:vertAlign w:val="superscript"/>
        </w:rPr>
        <w:footnoteReference w:customMarkFollows="1" w:id="172"/>
        <w:t>8</w:t>
      </w:r>
    </w:p>
    <w:p w14:paraId="62746644" w14:textId="77777777" w:rsidR="002B10A6" w:rsidRDefault="00000000">
      <w:pPr>
        <w:pStyle w:val="Normal23"/>
        <w:widowControl w:val="0"/>
        <w:spacing w:before="200" w:line="260" w:lineRule="atLeast"/>
        <w:jc w:val="both"/>
      </w:pPr>
      <w:bookmarkStart w:id="4515" w:name="Bookmark_para_48_8"/>
      <w:bookmarkEnd w:id="4515"/>
      <w:r>
        <w:rPr>
          <w:rFonts w:ascii="Arial" w:eastAsia="Arial" w:hAnsi="Arial" w:cs="Arial"/>
          <w:color w:val="000000"/>
          <w:sz w:val="20"/>
        </w:rPr>
        <w:t xml:space="preserve"> [*802]  </w:t>
      </w:r>
      <w:bookmarkStart w:id="4516" w:name="Bookmark_I722C9XG3410000671P0009C"/>
      <w:bookmarkStart w:id="4517" w:name="Bookmark_I61CDGHB2N1R180010000400"/>
      <w:bookmarkStart w:id="4518" w:name="Bookmark_I61CDGHB2N1R180030000400"/>
      <w:bookmarkEnd w:id="4516"/>
      <w:bookmarkEnd w:id="4517"/>
      <w:bookmarkEnd w:id="4518"/>
      <w:r>
        <w:rPr>
          <w:rFonts w:ascii="Arial" w:eastAsia="Arial" w:hAnsi="Arial" w:cs="Arial"/>
          <w:color w:val="000000"/>
          <w:sz w:val="20"/>
        </w:rPr>
        <w:t xml:space="preserve">Our reasoning here echoes that in </w:t>
      </w:r>
      <w:bookmarkStart w:id="4519" w:name="Bookmark_I61CDGHB2HM6NT0050000400"/>
      <w:bookmarkEnd w:id="4519"/>
      <w:r>
        <w:rPr>
          <w:rFonts w:ascii="Arial" w:eastAsia="Arial" w:hAnsi="Arial" w:cs="Arial"/>
          <w:i/>
          <w:color w:val="000000"/>
          <w:sz w:val="20"/>
        </w:rPr>
        <w:t>Smith</w:t>
      </w:r>
      <w:r>
        <w:rPr>
          <w:rFonts w:ascii="Arial" w:eastAsia="Arial" w:hAnsi="Arial" w:cs="Arial"/>
          <w:color w:val="000000"/>
          <w:sz w:val="20"/>
        </w:rPr>
        <w:t xml:space="preserve">, where our court, sitting en banc, rejected the contention that the ADA's reassignment duty merely creates a right for employees to be </w:t>
      </w:r>
      <w:r>
        <w:rPr>
          <w:rFonts w:ascii="Arial" w:eastAsia="Arial" w:hAnsi="Arial" w:cs="Arial"/>
          <w:i/>
          <w:color w:val="000000"/>
          <w:sz w:val="20"/>
        </w:rPr>
        <w:t>considered</w:t>
      </w:r>
      <w:r>
        <w:rPr>
          <w:rFonts w:ascii="Arial" w:eastAsia="Arial" w:hAnsi="Arial" w:cs="Arial"/>
          <w:color w:val="000000"/>
          <w:sz w:val="20"/>
        </w:rPr>
        <w:t xml:space="preserve"> for reasonable reassignments rather than creating [**32]  a right to actually receive such reassignments. </w:t>
      </w:r>
      <w:bookmarkStart w:id="4520" w:name="Bookmark_I61CDGHB2N1R180050000400"/>
      <w:bookmarkEnd w:id="4520"/>
      <w:r>
        <w:rPr>
          <w:rFonts w:ascii="Arial" w:eastAsia="Arial" w:hAnsi="Arial" w:cs="Arial"/>
          <w:i/>
          <w:color w:val="000000"/>
          <w:sz w:val="20"/>
        </w:rPr>
        <w:t>See</w:t>
      </w:r>
      <w:r>
        <w:rPr>
          <w:rFonts w:ascii="Arial" w:eastAsia="Arial" w:hAnsi="Arial" w:cs="Arial"/>
          <w:color w:val="000000"/>
          <w:sz w:val="20"/>
        </w:rPr>
        <w:t xml:space="preserve"> </w:t>
      </w:r>
      <w:bookmarkStart w:id="4521" w:name="Bookmark_I61CDGHB2N1R180020000400"/>
      <w:bookmarkEnd w:id="4521"/>
      <w:r>
        <w:rPr>
          <w:rFonts w:ascii="Arial" w:eastAsia="Arial" w:hAnsi="Arial" w:cs="Arial"/>
          <w:color w:val="000000"/>
          <w:sz w:val="20"/>
        </w:rPr>
        <w:t xml:space="preserve">180 F.3d at 1164-70. </w:t>
      </w:r>
      <w:bookmarkStart w:id="4522" w:name="Bookmark_I61CDGHB2N1R180050000400_2"/>
      <w:bookmarkEnd w:id="4522"/>
      <w:r>
        <w:rPr>
          <w:rFonts w:ascii="Arial" w:eastAsia="Arial" w:hAnsi="Arial" w:cs="Arial"/>
          <w:color w:val="000000"/>
          <w:sz w:val="20"/>
        </w:rPr>
        <w:t xml:space="preserve">In particular, we could not countenance a reading of the ADA that would make "empty" the "promise within the ADA" created when the statute listed reassignment as one of the specific "reasonable accommodations" in § 12111(9)(B). </w:t>
      </w:r>
      <w:bookmarkStart w:id="4523" w:name="Bookmark_I61CDGHB2N1R180040000400"/>
      <w:bookmarkEnd w:id="4523"/>
      <w:r>
        <w:rPr>
          <w:rFonts w:ascii="Arial" w:eastAsia="Arial" w:hAnsi="Arial" w:cs="Arial"/>
          <w:i/>
          <w:color w:val="000000"/>
          <w:sz w:val="20"/>
        </w:rPr>
        <w:t>Id.</w:t>
      </w:r>
      <w:r>
        <w:rPr>
          <w:rFonts w:ascii="Arial" w:eastAsia="Arial" w:hAnsi="Arial" w:cs="Arial"/>
          <w:color w:val="000000"/>
          <w:sz w:val="20"/>
        </w:rPr>
        <w:t xml:space="preserve"> at 1167. After all, we remarked, if an employer merely had to </w:t>
      </w:r>
      <w:r>
        <w:rPr>
          <w:rFonts w:ascii="Arial" w:eastAsia="Arial" w:hAnsi="Arial" w:cs="Arial"/>
          <w:i/>
          <w:color w:val="000000"/>
          <w:sz w:val="20"/>
        </w:rPr>
        <w:t>consider</w:t>
      </w:r>
      <w:r>
        <w:rPr>
          <w:rFonts w:ascii="Arial" w:eastAsia="Arial" w:hAnsi="Arial" w:cs="Arial"/>
          <w:color w:val="000000"/>
          <w:sz w:val="20"/>
        </w:rPr>
        <w:t xml:space="preserve"> applications for reasonable reassignments, "[t]he employer could merely go through the meaningless process of consideration" for such applications and simply "refuse it in every instance." </w:t>
      </w:r>
      <w:r>
        <w:rPr>
          <w:rFonts w:ascii="Arial" w:eastAsia="Arial" w:hAnsi="Arial" w:cs="Arial"/>
          <w:i/>
          <w:color w:val="000000"/>
          <w:sz w:val="20"/>
        </w:rPr>
        <w:t>Id.</w:t>
      </w:r>
      <w:r>
        <w:rPr>
          <w:rFonts w:ascii="Arial" w:eastAsia="Arial" w:hAnsi="Arial" w:cs="Arial"/>
          <w:color w:val="000000"/>
          <w:sz w:val="20"/>
        </w:rPr>
        <w:t xml:space="preserve"> And we observed that this "hollow promise" would offer "cold comfort for a disabled employee to know that his or her application was 'considered' but that he or she was nevertheless still out of a job." </w:t>
      </w:r>
      <w:r>
        <w:rPr>
          <w:rFonts w:ascii="Arial" w:eastAsia="Arial" w:hAnsi="Arial" w:cs="Arial"/>
          <w:i/>
          <w:color w:val="000000"/>
          <w:sz w:val="20"/>
        </w:rPr>
        <w:t>Id.</w:t>
      </w:r>
    </w:p>
    <w:p w14:paraId="26842163" w14:textId="77777777" w:rsidR="002B10A6" w:rsidRDefault="00000000">
      <w:pPr>
        <w:pStyle w:val="Normal23"/>
        <w:widowControl w:val="0"/>
        <w:spacing w:before="200" w:line="260" w:lineRule="atLeast"/>
        <w:jc w:val="both"/>
      </w:pPr>
      <w:bookmarkStart w:id="4524" w:name="Bookmark_para_49_7"/>
      <w:bookmarkStart w:id="4525" w:name="Bookmark_I61CDGHB2N1R190020000400"/>
      <w:bookmarkEnd w:id="4524"/>
      <w:bookmarkEnd w:id="4525"/>
      <w:r>
        <w:rPr>
          <w:rFonts w:ascii="Arial" w:eastAsia="Arial" w:hAnsi="Arial" w:cs="Arial"/>
          <w:color w:val="000000"/>
          <w:sz w:val="20"/>
        </w:rPr>
        <w:t xml:space="preserve">We likewise cannot accept the proposition that the ADA—which by its plain terms affirmatively imposes on employers a reasonable-accommodation obligation, </w:t>
      </w:r>
      <w:r>
        <w:rPr>
          <w:rFonts w:ascii="Arial" w:eastAsia="Arial" w:hAnsi="Arial" w:cs="Arial"/>
          <w:i/>
          <w:color w:val="000000"/>
          <w:sz w:val="20"/>
        </w:rPr>
        <w:t>see</w:t>
      </w:r>
      <w:r>
        <w:rPr>
          <w:rFonts w:ascii="Arial" w:eastAsia="Arial" w:hAnsi="Arial" w:cs="Arial"/>
          <w:color w:val="000000"/>
          <w:sz w:val="20"/>
        </w:rPr>
        <w:t xml:space="preserve"> 42 U.S.C. § 12112(a), (b)(5)(A)—should be construed in a manner that does not permit the statute to effectively ensure that </w:t>
      </w:r>
      <w:r>
        <w:rPr>
          <w:rFonts w:ascii="Arial" w:eastAsia="Arial" w:hAnsi="Arial" w:cs="Arial"/>
          <w:i/>
          <w:color w:val="000000"/>
          <w:sz w:val="20"/>
        </w:rPr>
        <w:t>all</w:t>
      </w:r>
      <w:r>
        <w:rPr>
          <w:rFonts w:ascii="Arial" w:eastAsia="Arial" w:hAnsi="Arial" w:cs="Arial"/>
          <w:color w:val="000000"/>
          <w:sz w:val="20"/>
        </w:rPr>
        <w:t xml:space="preserve"> qualified disabled employees actually receive such an accommodation, but instead </w:t>
      </w:r>
      <w:r>
        <w:rPr>
          <w:rFonts w:ascii="Arial" w:eastAsia="Arial" w:hAnsi="Arial" w:cs="Arial"/>
          <w:i/>
          <w:color w:val="000000"/>
          <w:sz w:val="20"/>
        </w:rPr>
        <w:t>only</w:t>
      </w:r>
      <w:r>
        <w:rPr>
          <w:rFonts w:ascii="Arial" w:eastAsia="Arial" w:hAnsi="Arial" w:cs="Arial"/>
          <w:color w:val="000000"/>
          <w:sz w:val="20"/>
        </w:rPr>
        <w:t xml:space="preserve"> such disabled employees that have </w:t>
      </w:r>
      <w:r>
        <w:rPr>
          <w:rFonts w:ascii="Arial" w:eastAsia="Arial" w:hAnsi="Arial" w:cs="Arial"/>
          <w:i/>
          <w:color w:val="000000"/>
          <w:sz w:val="20"/>
        </w:rPr>
        <w:t>also</w:t>
      </w:r>
      <w:r>
        <w:rPr>
          <w:rFonts w:ascii="Arial" w:eastAsia="Arial" w:hAnsi="Arial" w:cs="Arial"/>
          <w:color w:val="000000"/>
          <w:sz w:val="20"/>
        </w:rPr>
        <w:t xml:space="preserve"> suffered an adverse employment action. Adopting such a construction of the statute would [**33]  have the effect of significantly restricting the scope of the ADA's reasonable-accommodation obligation through the use of language (i.e., "adverse employment action") that does not even appear in the statute's text. The "promise" of equal opportunity and full participation that this reasonable-accommodation obligation provides qualified disabled individuals would be rendered substantially "hollow." </w:t>
      </w:r>
      <w:bookmarkStart w:id="4526" w:name="Bookmark_I61CDGHB2N1R190010000400"/>
      <w:bookmarkEnd w:id="4526"/>
      <w:r>
        <w:rPr>
          <w:rFonts w:ascii="Arial" w:eastAsia="Arial" w:hAnsi="Arial" w:cs="Arial"/>
          <w:i/>
          <w:color w:val="000000"/>
          <w:sz w:val="20"/>
        </w:rPr>
        <w:t>Smith</w:t>
      </w:r>
      <w:r>
        <w:rPr>
          <w:rFonts w:ascii="Arial" w:eastAsia="Arial" w:hAnsi="Arial" w:cs="Arial"/>
          <w:color w:val="000000"/>
          <w:sz w:val="20"/>
        </w:rPr>
        <w:t>, 180 F.3d at 1167. We decline to construe the statute in a manner that would lead to this result.</w:t>
      </w:r>
    </w:p>
    <w:p w14:paraId="36018EE9" w14:textId="77777777" w:rsidR="002B10A6" w:rsidRDefault="00000000">
      <w:pPr>
        <w:pStyle w:val="Normal23"/>
        <w:widowControl w:val="0"/>
        <w:spacing w:before="240" w:line="260" w:lineRule="atLeast"/>
      </w:pPr>
      <w:r>
        <w:br/>
      </w:r>
      <w:r>
        <w:rPr>
          <w:rFonts w:ascii="Arial" w:eastAsia="Arial" w:hAnsi="Arial" w:cs="Arial"/>
          <w:b/>
          <w:color w:val="000000"/>
          <w:sz w:val="20"/>
        </w:rPr>
        <w:t>4</w:t>
      </w:r>
    </w:p>
    <w:p w14:paraId="74D4401B" w14:textId="77777777" w:rsidR="002B10A6" w:rsidRDefault="00000000">
      <w:pPr>
        <w:pStyle w:val="Normal23"/>
        <w:widowControl w:val="0"/>
        <w:spacing w:before="200" w:line="260" w:lineRule="atLeast"/>
        <w:jc w:val="both"/>
      </w:pPr>
      <w:bookmarkStart w:id="4527" w:name="Bookmark_para_50_6"/>
      <w:bookmarkEnd w:id="4527"/>
      <w:r>
        <w:rPr>
          <w:rFonts w:ascii="Arial" w:eastAsia="Arial" w:hAnsi="Arial" w:cs="Arial"/>
          <w:color w:val="000000"/>
          <w:sz w:val="20"/>
        </w:rPr>
        <w:t xml:space="preserve">Significantly, the understanding of the requisite elements of an ADA failure-to-accommodate claim found in our controlling precedents is consistent with the pronouncements of the EEOC, the federal agency charged with administering the statute. </w:t>
      </w:r>
      <w:r>
        <w:rPr>
          <w:rFonts w:ascii="Arial" w:eastAsia="Arial" w:hAnsi="Arial" w:cs="Arial"/>
          <w:i/>
          <w:color w:val="000000"/>
          <w:sz w:val="20"/>
        </w:rPr>
        <w:t>See</w:t>
      </w:r>
      <w:r>
        <w:rPr>
          <w:rFonts w:ascii="Arial" w:eastAsia="Arial" w:hAnsi="Arial" w:cs="Arial"/>
          <w:color w:val="000000"/>
          <w:sz w:val="20"/>
        </w:rPr>
        <w:t xml:space="preserve"> 42 U.S.C. § 12116; 29 C.F.R. §§ 1630.1-.16; </w:t>
      </w:r>
      <w:r>
        <w:rPr>
          <w:rFonts w:ascii="Arial" w:eastAsia="Arial" w:hAnsi="Arial" w:cs="Arial"/>
          <w:i/>
          <w:color w:val="000000"/>
          <w:sz w:val="20"/>
        </w:rPr>
        <w:t>see also</w:t>
      </w:r>
      <w:r>
        <w:rPr>
          <w:rFonts w:ascii="Arial" w:eastAsia="Arial" w:hAnsi="Arial" w:cs="Arial"/>
          <w:color w:val="000000"/>
          <w:sz w:val="20"/>
        </w:rPr>
        <w:t xml:space="preserve"> Brennan, </w:t>
      </w:r>
      <w:r>
        <w:rPr>
          <w:rFonts w:ascii="Arial" w:eastAsia="Arial" w:hAnsi="Arial" w:cs="Arial"/>
          <w:i/>
          <w:color w:val="000000"/>
          <w:sz w:val="20"/>
        </w:rPr>
        <w:t>supra</w:t>
      </w:r>
      <w:r>
        <w:rPr>
          <w:rFonts w:ascii="Arial" w:eastAsia="Arial" w:hAnsi="Arial" w:cs="Arial"/>
          <w:color w:val="000000"/>
          <w:sz w:val="20"/>
        </w:rPr>
        <w:t>, at 505 ("The EEOC's regulations and Interpretive Guidance on the ADA also suggest an adverse employment action is not an element of a failure to accommodate claim.").</w:t>
      </w:r>
    </w:p>
    <w:p w14:paraId="0DAC463F" w14:textId="77777777" w:rsidR="002B10A6" w:rsidRDefault="00000000">
      <w:pPr>
        <w:pStyle w:val="Normal23"/>
        <w:widowControl w:val="0"/>
        <w:spacing w:before="200" w:line="260" w:lineRule="atLeast"/>
        <w:jc w:val="both"/>
      </w:pPr>
      <w:bookmarkStart w:id="4528" w:name="Bookmark_para_51_6"/>
      <w:bookmarkEnd w:id="4528"/>
      <w:r>
        <w:rPr>
          <w:rFonts w:ascii="Arial" w:eastAsia="Arial" w:hAnsi="Arial" w:cs="Arial"/>
          <w:color w:val="000000"/>
          <w:sz w:val="20"/>
        </w:rPr>
        <w:t xml:space="preserve"> [*803]  </w:t>
      </w:r>
      <w:bookmarkStart w:id="4529" w:name="Bookmark_LNHNREFclscc24_1"/>
      <w:bookmarkEnd w:id="4529"/>
      <w:r>
        <w:rPr>
          <w:rFonts w:ascii="Arial" w:eastAsia="Arial" w:hAnsi="Arial" w:cs="Arial"/>
          <w:color w:val="000000"/>
          <w:sz w:val="20"/>
        </w:rPr>
        <w:t xml:space="preserve">More specifically, the EEOC regulations implementing the ADA's protections state that "[i]t is unlawful for a covered entity not to make reasonable accommodation to the known physical or mental limitations of an otherwise qualified applicant or employee with a disability, unless such covered entity [**34]  can demonstrate that the accommodation would impose an undue hardship on the operation of its business." 29 C.F.R. § 1630.9(a). This formulation of the statute's reasonable-accommodation requirement not only omits any mention of an adverse-employment-action component, but also implicitly rejects by this omission the notion that there is such a component in a failure-to-accommodate claim. </w:t>
      </w:r>
      <w:bookmarkStart w:id="4530" w:name="Bookmark_I61CDGHB2N1R190040000400"/>
      <w:bookmarkEnd w:id="4530"/>
      <w:r>
        <w:rPr>
          <w:rFonts w:ascii="Arial" w:eastAsia="Arial" w:hAnsi="Arial" w:cs="Arial"/>
          <w:i/>
          <w:color w:val="000000"/>
          <w:sz w:val="20"/>
        </w:rPr>
        <w:t>See, e.g.</w:t>
      </w:r>
      <w:r>
        <w:rPr>
          <w:rFonts w:ascii="Arial" w:eastAsia="Arial" w:hAnsi="Arial" w:cs="Arial"/>
          <w:color w:val="000000"/>
          <w:sz w:val="20"/>
        </w:rPr>
        <w:t xml:space="preserve">, </w:t>
      </w:r>
      <w:r>
        <w:rPr>
          <w:rFonts w:ascii="Arial" w:eastAsia="Arial" w:hAnsi="Arial" w:cs="Arial"/>
          <w:smallCaps/>
          <w:color w:val="000000"/>
          <w:sz w:val="20"/>
        </w:rPr>
        <w:t>Antonin Scalia &amp; Bryan A. Garner, Reading Law: The Interpretation of Legal Texts</w:t>
      </w:r>
      <w:r>
        <w:rPr>
          <w:rFonts w:ascii="Arial" w:eastAsia="Arial" w:hAnsi="Arial" w:cs="Arial"/>
          <w:color w:val="000000"/>
          <w:sz w:val="20"/>
        </w:rPr>
        <w:t xml:space="preserve"> § 10, at 107 (2012) (discussing the operation of the "negative-implication canon"). </w:t>
      </w:r>
      <w:bookmarkStart w:id="4531" w:name="Bookmark_LNHNREFclscc25_1"/>
      <w:bookmarkEnd w:id="4531"/>
      <w:r>
        <w:rPr>
          <w:rFonts w:ascii="Arial" w:eastAsia="Arial" w:hAnsi="Arial" w:cs="Arial"/>
          <w:color w:val="000000"/>
          <w:sz w:val="20"/>
        </w:rPr>
        <w:t xml:space="preserve">Indeed, absent undue hardship, the regulation explains, a covered entity "unlawful[ly]" violates the ADA by not reasonably accommodating a disabled employee. 29 C.F.R. § 1630.9(a). Full stop. And, as this court has noted, the EEOC's "regulations to implement title I of the ADA . . . . are entitled to a great deal of deference." </w:t>
      </w:r>
      <w:bookmarkStart w:id="4532" w:name="Bookmark_I61CDGHB2N1R190030000400"/>
      <w:bookmarkEnd w:id="4532"/>
      <w:r>
        <w:rPr>
          <w:rFonts w:ascii="Arial" w:eastAsia="Arial" w:hAnsi="Arial" w:cs="Arial"/>
          <w:i/>
          <w:color w:val="000000"/>
          <w:sz w:val="20"/>
        </w:rPr>
        <w:t>Smith</w:t>
      </w:r>
      <w:r>
        <w:rPr>
          <w:rFonts w:ascii="Arial" w:eastAsia="Arial" w:hAnsi="Arial" w:cs="Arial"/>
          <w:color w:val="000000"/>
          <w:sz w:val="20"/>
        </w:rPr>
        <w:t xml:space="preserve">, 180 F.3d at 1165 n.5 (citations omitted); </w:t>
      </w:r>
      <w:r>
        <w:rPr>
          <w:rFonts w:ascii="Arial" w:eastAsia="Arial" w:hAnsi="Arial" w:cs="Arial"/>
          <w:i/>
          <w:color w:val="000000"/>
          <w:sz w:val="20"/>
        </w:rPr>
        <w:t xml:space="preserve">see also </w:t>
      </w:r>
      <w:bookmarkStart w:id="4533" w:name="Bookmark_I61CDGHB2N1R190050000400"/>
      <w:bookmarkEnd w:id="4533"/>
      <w:r>
        <w:rPr>
          <w:rFonts w:ascii="Arial" w:eastAsia="Arial" w:hAnsi="Arial" w:cs="Arial"/>
          <w:i/>
          <w:color w:val="000000"/>
          <w:sz w:val="20"/>
        </w:rPr>
        <w:t>US Airways</w:t>
      </w:r>
      <w:r>
        <w:rPr>
          <w:rFonts w:ascii="Arial" w:eastAsia="Arial" w:hAnsi="Arial" w:cs="Arial"/>
          <w:color w:val="000000"/>
          <w:sz w:val="20"/>
        </w:rPr>
        <w:t>, 535 U.S. at 401, 403-04 (relying on EEOC regulations in applying Title I's provisions).</w:t>
      </w:r>
    </w:p>
    <w:p w14:paraId="250F8ADF" w14:textId="77777777" w:rsidR="002B10A6" w:rsidRDefault="00000000">
      <w:pPr>
        <w:pStyle w:val="Normal23"/>
        <w:widowControl w:val="0"/>
        <w:spacing w:before="200" w:line="260" w:lineRule="atLeast"/>
        <w:jc w:val="both"/>
      </w:pPr>
      <w:bookmarkStart w:id="4534" w:name="Bookmark_para_52_6"/>
      <w:bookmarkStart w:id="4535" w:name="Bookmark_I61CDGHB2SF8FK0030000400"/>
      <w:bookmarkEnd w:id="4534"/>
      <w:bookmarkEnd w:id="4535"/>
      <w:r>
        <w:rPr>
          <w:rFonts w:ascii="Arial" w:eastAsia="Arial" w:hAnsi="Arial" w:cs="Arial"/>
          <w:color w:val="000000"/>
          <w:sz w:val="20"/>
        </w:rPr>
        <w:t xml:space="preserve">Similarly, the EEOC's interpretive guidance on the ADA and its enforcement guidance for ADA failure-to-accommodate claims—each of which we have referred to as "constitut[ing] a body of experience and informed judgment to which courts and litigants may properly [**35]  resort for guidance," </w:t>
      </w:r>
      <w:bookmarkStart w:id="4536" w:name="Bookmark_I61CDGHB2SF8FK0020000400"/>
      <w:bookmarkEnd w:id="4536"/>
      <w:r>
        <w:rPr>
          <w:rFonts w:ascii="Arial" w:eastAsia="Arial" w:hAnsi="Arial" w:cs="Arial"/>
          <w:i/>
          <w:color w:val="000000"/>
          <w:sz w:val="20"/>
        </w:rPr>
        <w:t>Smith</w:t>
      </w:r>
      <w:r>
        <w:rPr>
          <w:rFonts w:ascii="Arial" w:eastAsia="Arial" w:hAnsi="Arial" w:cs="Arial"/>
          <w:color w:val="000000"/>
          <w:sz w:val="20"/>
        </w:rPr>
        <w:t xml:space="preserve">, 180 F.3d at 1165 n.5 (quoting </w:t>
      </w:r>
      <w:bookmarkStart w:id="4537" w:name="Bookmark_I61CDGHB2SF8FK0040000400"/>
      <w:bookmarkEnd w:id="4537"/>
      <w:r>
        <w:rPr>
          <w:rFonts w:ascii="Arial" w:eastAsia="Arial" w:hAnsi="Arial" w:cs="Arial"/>
          <w:i/>
          <w:color w:val="000000"/>
          <w:sz w:val="20"/>
        </w:rPr>
        <w:t>Meritor Sav. Bank, FSB v. Vinson</w:t>
      </w:r>
      <w:r>
        <w:rPr>
          <w:rFonts w:ascii="Arial" w:eastAsia="Arial" w:hAnsi="Arial" w:cs="Arial"/>
          <w:color w:val="000000"/>
          <w:sz w:val="20"/>
        </w:rPr>
        <w:t xml:space="preserve">, 477 U.S. 57, 65, 106 S. Ct. 2399, 91 L. Ed. 2d 49 (1986))—omit any mention of an adverse-employment-action requirement for an ADA failure-to-accommodate claim. </w:t>
      </w:r>
      <w:bookmarkStart w:id="4538" w:name="Bookmark_LNHNREFclscc26_1"/>
      <w:bookmarkEnd w:id="4538"/>
      <w:r>
        <w:rPr>
          <w:rFonts w:ascii="Arial" w:eastAsia="Arial" w:hAnsi="Arial" w:cs="Arial"/>
          <w:color w:val="000000"/>
          <w:sz w:val="20"/>
        </w:rPr>
        <w:t xml:space="preserve">In particular, the EEOC's interpretive guidance on the ADA discusses at length "[t]he </w:t>
      </w:r>
      <w:r>
        <w:rPr>
          <w:rFonts w:ascii="Arial" w:eastAsia="Arial" w:hAnsi="Arial" w:cs="Arial"/>
          <w:i/>
          <w:color w:val="000000"/>
          <w:sz w:val="20"/>
        </w:rPr>
        <w:t>obligation</w:t>
      </w:r>
      <w:r>
        <w:rPr>
          <w:rFonts w:ascii="Arial" w:eastAsia="Arial" w:hAnsi="Arial" w:cs="Arial"/>
          <w:color w:val="000000"/>
          <w:sz w:val="20"/>
        </w:rPr>
        <w:t xml:space="preserve"> to make reasonable accommodation" and how that obligation "applies to all services and programs provided in connection with employment." 29 C.F.R. pt. 1630, app. § 1630.9 (emphasis added). Nowhere, however, is there any suggestion in this interpretive guidance that this obligation is violated—thus creating liability under the ADA—only if the denial of a reasonable accommodation is in regard to some kind of adverse employment action constituting "a </w:t>
      </w:r>
      <w:r>
        <w:rPr>
          <w:rFonts w:ascii="Arial" w:eastAsia="Arial" w:hAnsi="Arial" w:cs="Arial"/>
          <w:i/>
          <w:color w:val="000000"/>
          <w:sz w:val="20"/>
        </w:rPr>
        <w:t>significant change in employment status</w:t>
      </w:r>
      <w:r>
        <w:rPr>
          <w:rFonts w:ascii="Arial" w:eastAsia="Arial" w:hAnsi="Arial" w:cs="Arial"/>
          <w:color w:val="000000"/>
          <w:sz w:val="20"/>
        </w:rPr>
        <w:t>," Aplt.'s App., Vol. II, at 449 (emphasis added), as the district court ruled, with the blessing of the Panel Majority.</w:t>
      </w:r>
    </w:p>
    <w:p w14:paraId="604F5863" w14:textId="77777777" w:rsidR="002B10A6" w:rsidRDefault="00000000">
      <w:pPr>
        <w:pStyle w:val="Normal23"/>
        <w:widowControl w:val="0"/>
        <w:spacing w:before="200" w:line="260" w:lineRule="atLeast"/>
        <w:jc w:val="both"/>
      </w:pPr>
      <w:bookmarkStart w:id="4539" w:name="Bookmark_para_53_6"/>
      <w:bookmarkStart w:id="4540" w:name="Bookmark_I61CDGHB2D6N030020000400"/>
      <w:bookmarkEnd w:id="4539"/>
      <w:bookmarkEnd w:id="4540"/>
      <w:r>
        <w:rPr>
          <w:rFonts w:ascii="Arial" w:eastAsia="Arial" w:hAnsi="Arial" w:cs="Arial"/>
          <w:color w:val="000000"/>
          <w:sz w:val="20"/>
        </w:rPr>
        <w:t xml:space="preserve">As for </w:t>
      </w:r>
      <w:bookmarkStart w:id="4541" w:name="Bookmark_LNHNREFclscc27_1"/>
      <w:bookmarkEnd w:id="4541"/>
      <w:r>
        <w:rPr>
          <w:rFonts w:ascii="Arial" w:eastAsia="Arial" w:hAnsi="Arial" w:cs="Arial"/>
          <w:color w:val="000000"/>
          <w:sz w:val="20"/>
        </w:rPr>
        <w:t xml:space="preserve">the EEOC's enforcement guidance for failure-to-accommodate claims, it similarly notes that "[t]he duty to provide reasonable accommodation is a </w:t>
      </w:r>
      <w:r>
        <w:rPr>
          <w:rFonts w:ascii="Arial" w:eastAsia="Arial" w:hAnsi="Arial" w:cs="Arial"/>
          <w:i/>
          <w:color w:val="000000"/>
          <w:sz w:val="20"/>
        </w:rPr>
        <w:t>fundamental statutory requirement</w:t>
      </w:r>
      <w:r>
        <w:rPr>
          <w:rFonts w:ascii="Arial" w:eastAsia="Arial" w:hAnsi="Arial" w:cs="Arial"/>
          <w:color w:val="000000"/>
          <w:sz w:val="20"/>
        </w:rPr>
        <w:t xml:space="preserve">." </w:t>
      </w:r>
      <w:r>
        <w:rPr>
          <w:rFonts w:ascii="Arial" w:eastAsia="Arial" w:hAnsi="Arial" w:cs="Arial"/>
          <w:smallCaps/>
          <w:color w:val="000000"/>
          <w:sz w:val="20"/>
        </w:rPr>
        <w:t>U.S. Equal Emp't Opportunity Comm'N, EEOC-CVG-2003-1, Enforcement Guidance on Reasonable Accommodation and Undue Hardship Under the Ada (2002)</w:t>
      </w:r>
      <w:r>
        <w:rPr>
          <w:rFonts w:ascii="Arial" w:eastAsia="Arial" w:hAnsi="Arial" w:cs="Arial"/>
          <w:color w:val="000000"/>
          <w:sz w:val="20"/>
        </w:rPr>
        <w:t xml:space="preserve">, https://www.eeoc.gov/policy/docs/accommodation.html (emphasis added). That document [**36]  also states, under the heading of "Burdens of Proof," that "[o]nce the plaintiff has shown that the accommodation s/he needs is 'reasonable,' the burden shifts to the defendant/employer to provide case-specific evidence proving that reasonable accommodation would cause an undue hardship in the particular circumstances"; notably, it makes absolutely no mention of a need for the affected employee to show an adverse employment action </w:t>
      </w:r>
      <w:r>
        <w:rPr>
          <w:rFonts w:ascii="Arial" w:eastAsia="Arial" w:hAnsi="Arial" w:cs="Arial"/>
          <w:i/>
          <w:color w:val="000000"/>
          <w:sz w:val="20"/>
        </w:rPr>
        <w:t>before</w:t>
      </w:r>
      <w:r>
        <w:rPr>
          <w:rFonts w:ascii="Arial" w:eastAsia="Arial" w:hAnsi="Arial" w:cs="Arial"/>
          <w:color w:val="000000"/>
          <w:sz w:val="20"/>
        </w:rPr>
        <w:t xml:space="preserve"> the proof burden shifts to the employer. </w:t>
      </w:r>
      <w:r>
        <w:rPr>
          <w:rFonts w:ascii="Arial" w:eastAsia="Arial" w:hAnsi="Arial" w:cs="Arial"/>
          <w:i/>
          <w:color w:val="000000"/>
          <w:sz w:val="20"/>
        </w:rPr>
        <w:t>Id.</w:t>
      </w:r>
      <w:r>
        <w:rPr>
          <w:rFonts w:ascii="Arial" w:eastAsia="Arial" w:hAnsi="Arial" w:cs="Arial"/>
          <w:color w:val="000000"/>
          <w:sz w:val="20"/>
        </w:rPr>
        <w:t xml:space="preserve"> (citing </w:t>
      </w:r>
      <w:bookmarkStart w:id="4542" w:name="Bookmark_I61CDGHB2D6N030010000400"/>
      <w:bookmarkEnd w:id="4542"/>
      <w:r>
        <w:rPr>
          <w:rFonts w:ascii="Arial" w:eastAsia="Arial" w:hAnsi="Arial" w:cs="Arial"/>
          <w:i/>
          <w:color w:val="000000"/>
          <w:sz w:val="20"/>
        </w:rPr>
        <w:t>US Airways</w:t>
      </w:r>
      <w:r>
        <w:rPr>
          <w:rFonts w:ascii="Arial" w:eastAsia="Arial" w:hAnsi="Arial" w:cs="Arial"/>
          <w:color w:val="000000"/>
          <w:sz w:val="20"/>
        </w:rPr>
        <w:t xml:space="preserve">, 535 U.S. at 401-02). Moreover, under the heading of "Instructions for Investigators," the enforcement guidance  [*804]  presents an extensive set of questions that investigators should inquire into while "assessing whether [an employer] has violated the ADA by denying a reasonable accommodation,"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see id.</w:t>
      </w:r>
      <w:r>
        <w:rPr>
          <w:rFonts w:ascii="Arial" w:eastAsia="Arial" w:hAnsi="Arial" w:cs="Arial"/>
          <w:color w:val="000000"/>
          <w:sz w:val="20"/>
        </w:rPr>
        <w:t xml:space="preserve"> (listing eleven primary bullet points and nineteen subsidiary bullet points with detailed questions "investigators should consider," including questions relating to whether the employee requested a reasonable accommodation, the purpose of the requested accommodation, and whether the employer is claiming undue hardship); yet, there is a glaring absence of </w:t>
      </w:r>
      <w:r>
        <w:rPr>
          <w:rFonts w:ascii="Arial" w:eastAsia="Arial" w:hAnsi="Arial" w:cs="Arial"/>
          <w:i/>
          <w:color w:val="000000"/>
          <w:sz w:val="20"/>
        </w:rPr>
        <w:t>any</w:t>
      </w:r>
      <w:r>
        <w:rPr>
          <w:rFonts w:ascii="Arial" w:eastAsia="Arial" w:hAnsi="Arial" w:cs="Arial"/>
          <w:color w:val="000000"/>
          <w:sz w:val="20"/>
        </w:rPr>
        <w:t xml:space="preserve"> questions relating to an adverse employment action.</w:t>
      </w:r>
    </w:p>
    <w:p w14:paraId="5EFEC3D3" w14:textId="77777777" w:rsidR="002B10A6" w:rsidRDefault="00000000">
      <w:pPr>
        <w:pStyle w:val="Normal23"/>
        <w:widowControl w:val="0"/>
        <w:spacing w:before="200" w:line="260" w:lineRule="atLeast"/>
        <w:jc w:val="both"/>
      </w:pPr>
      <w:bookmarkStart w:id="4543" w:name="Bookmark_para_54_6"/>
      <w:bookmarkEnd w:id="4543"/>
      <w:r>
        <w:rPr>
          <w:rFonts w:ascii="Arial" w:eastAsia="Arial" w:hAnsi="Arial" w:cs="Arial"/>
          <w:color w:val="000000"/>
          <w:sz w:val="20"/>
        </w:rPr>
        <w:t xml:space="preserve">In sum, though [**37]  not determinative, it is significant that the views of the EEOC—that is, the federal agency charged with administering the ADA—concerning the requisite elements of an ADA failure-to-accommodate claim, are in sync with our own, as found in our controlling case law. That is to say, the </w:t>
      </w:r>
      <w:bookmarkStart w:id="4544" w:name="Bookmark_LNHNREFclscc28_0"/>
      <w:bookmarkEnd w:id="4544"/>
      <w:r>
        <w:rPr>
          <w:rFonts w:ascii="Arial" w:eastAsia="Arial" w:hAnsi="Arial" w:cs="Arial"/>
          <w:color w:val="000000"/>
          <w:sz w:val="20"/>
        </w:rPr>
        <w:t>EEOC agrees with our precedential view that an adverse employment action is not a requisite element of a failure-to-accommodate claim.</w:t>
      </w:r>
    </w:p>
    <w:p w14:paraId="6EAB6B23" w14:textId="77777777" w:rsidR="002B10A6" w:rsidRDefault="00000000">
      <w:pPr>
        <w:pStyle w:val="Normal23"/>
        <w:widowControl w:val="0"/>
        <w:spacing w:before="240" w:line="260" w:lineRule="atLeast"/>
      </w:pPr>
      <w:r>
        <w:br/>
      </w:r>
      <w:r>
        <w:rPr>
          <w:rFonts w:ascii="Arial" w:eastAsia="Arial" w:hAnsi="Arial" w:cs="Arial"/>
          <w:b/>
          <w:color w:val="000000"/>
          <w:sz w:val="20"/>
        </w:rPr>
        <w:t>5</w:t>
      </w:r>
    </w:p>
    <w:p w14:paraId="413A16B9" w14:textId="77777777" w:rsidR="002B10A6" w:rsidRDefault="00000000">
      <w:pPr>
        <w:pStyle w:val="Normal23"/>
        <w:widowControl w:val="0"/>
        <w:spacing w:before="200" w:line="260" w:lineRule="atLeast"/>
        <w:jc w:val="both"/>
      </w:pPr>
      <w:bookmarkStart w:id="4545" w:name="Bookmark_para_55_5"/>
      <w:bookmarkEnd w:id="4545"/>
      <w:r>
        <w:rPr>
          <w:rFonts w:ascii="Arial" w:eastAsia="Arial" w:hAnsi="Arial" w:cs="Arial"/>
          <w:color w:val="000000"/>
          <w:sz w:val="20"/>
        </w:rPr>
        <w:t xml:space="preserve">If all of the foregoing were not enough, </w:t>
      </w:r>
      <w:r>
        <w:rPr>
          <w:rFonts w:ascii="Arial" w:eastAsia="Arial" w:hAnsi="Arial" w:cs="Arial"/>
          <w:i/>
          <w:color w:val="000000"/>
          <w:sz w:val="20"/>
        </w:rPr>
        <w:t>none</w:t>
      </w:r>
      <w:r>
        <w:rPr>
          <w:rFonts w:ascii="Arial" w:eastAsia="Arial" w:hAnsi="Arial" w:cs="Arial"/>
          <w:color w:val="000000"/>
          <w:sz w:val="20"/>
        </w:rPr>
        <w:t xml:space="preserve"> of our sister circuits has regularly incorporated an adverse-employment-action requirement into an ADA failure-to-accommodate claim. </w:t>
      </w:r>
      <w:r>
        <w:rPr>
          <w:rFonts w:ascii="Arial" w:eastAsia="Arial" w:hAnsi="Arial" w:cs="Arial"/>
          <w:i/>
          <w:color w:val="000000"/>
          <w:sz w:val="20"/>
        </w:rPr>
        <w:t>Cf.</w:t>
      </w:r>
      <w:r>
        <w:rPr>
          <w:rFonts w:ascii="Arial" w:eastAsia="Arial" w:hAnsi="Arial" w:cs="Arial"/>
          <w:color w:val="000000"/>
          <w:sz w:val="20"/>
        </w:rPr>
        <w:t xml:space="preserve"> </w:t>
      </w:r>
      <w:r>
        <w:rPr>
          <w:rFonts w:ascii="Arial" w:eastAsia="Arial" w:hAnsi="Arial" w:cs="Arial"/>
          <w:smallCaps/>
          <w:color w:val="000000"/>
          <w:sz w:val="20"/>
        </w:rPr>
        <w:t>3C Kevin F. O'Malley et al., Federal Jury Practice &amp; Instructions</w:t>
      </w:r>
      <w:r>
        <w:rPr>
          <w:rFonts w:ascii="Arial" w:eastAsia="Arial" w:hAnsi="Arial" w:cs="Arial"/>
          <w:color w:val="000000"/>
          <w:sz w:val="20"/>
        </w:rPr>
        <w:t xml:space="preserve"> § 172:21, Westlaw (database updated Aug. 2020) (leading source of pattern jury instructions used by federal courts nationwide omitting an adverse employment action from the elements of an ADA failure-to-accommodate claim and providing that a plaintiff must establish that "Defendant failed to provide [</w:t>
      </w:r>
      <w:r>
        <w:rPr>
          <w:rFonts w:ascii="Arial" w:eastAsia="Arial" w:hAnsi="Arial" w:cs="Arial"/>
          <w:i/>
          <w:color w:val="000000"/>
          <w:sz w:val="20"/>
        </w:rPr>
        <w:t>specify accommodations in dispute</w:t>
      </w:r>
      <w:r>
        <w:rPr>
          <w:rFonts w:ascii="Arial" w:eastAsia="Arial" w:hAnsi="Arial" w:cs="Arial"/>
          <w:color w:val="000000"/>
          <w:sz w:val="20"/>
        </w:rPr>
        <w:t xml:space="preserve">] or any other reasonable accommodation" (brackets and italics in original)). More specifically, the overwhelming majority of the other circuits either have consistently declined to incorporate an adverse-employment-action [**38]  requirement into an ADA failure-to-accommodate claim or have only incorporated such a requirement in name only because they have considered an employer's failure to accommodate to be a form of adverse employment action. </w:t>
      </w:r>
      <w:r>
        <w:rPr>
          <w:rFonts w:ascii="Arial" w:eastAsia="Arial" w:hAnsi="Arial" w:cs="Arial"/>
          <w:i/>
          <w:color w:val="000000"/>
          <w:sz w:val="20"/>
        </w:rPr>
        <w:t>Cf.</w:t>
      </w:r>
      <w:r>
        <w:rPr>
          <w:rFonts w:ascii="Arial" w:eastAsia="Arial" w:hAnsi="Arial" w:cs="Arial"/>
          <w:color w:val="000000"/>
          <w:sz w:val="20"/>
        </w:rPr>
        <w:t xml:space="preserve"> Brennan, </w:t>
      </w:r>
      <w:r>
        <w:rPr>
          <w:rFonts w:ascii="Arial" w:eastAsia="Arial" w:hAnsi="Arial" w:cs="Arial"/>
          <w:i/>
          <w:color w:val="000000"/>
          <w:sz w:val="20"/>
        </w:rPr>
        <w:t>supra</w:t>
      </w:r>
      <w:r>
        <w:rPr>
          <w:rFonts w:ascii="Arial" w:eastAsia="Arial" w:hAnsi="Arial" w:cs="Arial"/>
          <w:color w:val="000000"/>
          <w:sz w:val="20"/>
        </w:rPr>
        <w:t>, at 507 (stating, while discussing the relevant approaches of both federal district and circuit courts, that "[w]hen courts have been faced with the issue of whether an adverse employment action is needed to establish a prima facie failure to accommodate claim," "the majority" has concluded that it is "not" needed). Though the decisions in the remaining circuits are not entirely uniform—that is, the decisions within these circuits (i.e., intra-circuit) do not all point in the same direction—the predominant view of these decisions does not support the incorporation of an adverse-employment-action requirement into an ADA failure-to-accommodate claim. The critical point, however, bears restating: our research has not revealed even one circuit that has regularly incorporated an adverse-employment-action requirement into an ADA failure-to-accommodate claim. Thus, if we were to do so, we would be standing alone.</w:t>
      </w:r>
    </w:p>
    <w:p w14:paraId="6C869E88" w14:textId="77777777" w:rsidR="002B10A6" w:rsidRDefault="00000000">
      <w:pPr>
        <w:pStyle w:val="Normal23"/>
        <w:widowControl w:val="0"/>
        <w:spacing w:before="200" w:line="260" w:lineRule="atLeast"/>
        <w:jc w:val="both"/>
      </w:pPr>
      <w:bookmarkStart w:id="4546" w:name="Bookmark_para_56_5"/>
      <w:bookmarkStart w:id="4547" w:name="Bookmark_I61CDGHB2D6N030040000400"/>
      <w:bookmarkEnd w:id="4546"/>
      <w:bookmarkEnd w:id="4547"/>
      <w:r>
        <w:rPr>
          <w:rFonts w:ascii="Arial" w:eastAsia="Arial" w:hAnsi="Arial" w:cs="Arial"/>
          <w:color w:val="000000"/>
          <w:sz w:val="20"/>
        </w:rPr>
        <w:t xml:space="preserve">To be more concrete, no less than six circuits—the First, Fourth, [**39]  Fifth, Sixth, Eleventh, and the D.C. Circuit—either state, or strongly suggest, that there is no adverse-employment-action requirement in ADA failure-to-accommodate claims. </w:t>
      </w:r>
      <w:bookmarkStart w:id="4548" w:name="Bookmark_I61CDGHB2SF8FN0010000400"/>
      <w:bookmarkEnd w:id="4548"/>
      <w:r>
        <w:rPr>
          <w:rFonts w:ascii="Arial" w:eastAsia="Arial" w:hAnsi="Arial" w:cs="Arial"/>
          <w:i/>
          <w:color w:val="000000"/>
          <w:sz w:val="20"/>
        </w:rPr>
        <w:t xml:space="preserve">See </w:t>
      </w:r>
      <w:bookmarkStart w:id="4549" w:name="Bookmark_I61CDGHB2D6N030030000400"/>
      <w:bookmarkEnd w:id="4549"/>
      <w:r>
        <w:rPr>
          <w:rFonts w:ascii="Arial" w:eastAsia="Arial" w:hAnsi="Arial" w:cs="Arial"/>
          <w:i/>
          <w:color w:val="000000"/>
          <w:sz w:val="20"/>
        </w:rPr>
        <w:t>Carroll v. Xerox Corp.</w:t>
      </w:r>
      <w:r>
        <w:rPr>
          <w:rFonts w:ascii="Arial" w:eastAsia="Arial" w:hAnsi="Arial" w:cs="Arial"/>
          <w:color w:val="000000"/>
          <w:sz w:val="20"/>
        </w:rPr>
        <w:t xml:space="preserve">, 294 F.3d 231, 237 (1st Cir. 2002) ("With respect to his </w:t>
      </w:r>
      <w:r>
        <w:rPr>
          <w:rFonts w:ascii="Arial" w:eastAsia="Arial" w:hAnsi="Arial" w:cs="Arial"/>
          <w:i/>
          <w:color w:val="000000"/>
          <w:sz w:val="20"/>
        </w:rPr>
        <w:t>disparate treatment</w:t>
      </w:r>
      <w:r>
        <w:rPr>
          <w:rFonts w:ascii="Arial" w:eastAsia="Arial" w:hAnsi="Arial" w:cs="Arial"/>
          <w:color w:val="000000"/>
          <w:sz w:val="20"/>
        </w:rPr>
        <w:t xml:space="preserve"> claim, . . . . [the plaintiff] must show (1) that he suffers from a disability or handicap, as defined by the ADA . . ., that (2) he was nevertheless able to perform the essential functions of his job, either with or without reasonable accommodation,  [*805]  and finally that (3) [the employer] took an adverse employment action against him because of, in whole or in part, his protected disability. </w:t>
      </w:r>
      <w:bookmarkStart w:id="4550" w:name="Bookmark_I61CDGHB2SF8FN0010000400_2"/>
      <w:bookmarkEnd w:id="4550"/>
      <w:r>
        <w:rPr>
          <w:rFonts w:ascii="Arial" w:eastAsia="Arial" w:hAnsi="Arial" w:cs="Arial"/>
          <w:color w:val="000000"/>
          <w:sz w:val="20"/>
        </w:rPr>
        <w:t xml:space="preserve">As to his </w:t>
      </w:r>
      <w:r>
        <w:rPr>
          <w:rFonts w:ascii="Arial" w:eastAsia="Arial" w:hAnsi="Arial" w:cs="Arial"/>
          <w:i/>
          <w:color w:val="000000"/>
          <w:sz w:val="20"/>
        </w:rPr>
        <w:t>reasonable accommodation</w:t>
      </w:r>
      <w:r>
        <w:rPr>
          <w:rFonts w:ascii="Arial" w:eastAsia="Arial" w:hAnsi="Arial" w:cs="Arial"/>
          <w:color w:val="000000"/>
          <w:sz w:val="20"/>
        </w:rPr>
        <w:t xml:space="preserve"> claim, [the plaintiff] needs to show, in addition to the </w:t>
      </w:r>
      <w:r>
        <w:rPr>
          <w:rFonts w:ascii="Arial" w:eastAsia="Arial" w:hAnsi="Arial" w:cs="Arial"/>
          <w:i/>
          <w:color w:val="000000"/>
          <w:sz w:val="20"/>
        </w:rPr>
        <w:t>first two prongs</w:t>
      </w:r>
      <w:r>
        <w:rPr>
          <w:rFonts w:ascii="Arial" w:eastAsia="Arial" w:hAnsi="Arial" w:cs="Arial"/>
          <w:color w:val="000000"/>
          <w:sz w:val="20"/>
        </w:rPr>
        <w:t xml:space="preserve"> set forth above, that [the employer], despite knowing of his alleged disability, </w:t>
      </w:r>
      <w:r>
        <w:rPr>
          <w:rFonts w:ascii="Arial" w:eastAsia="Arial" w:hAnsi="Arial" w:cs="Arial"/>
          <w:i/>
          <w:color w:val="000000"/>
          <w:sz w:val="20"/>
        </w:rPr>
        <w:t>did not reasonably accommodate it</w:t>
      </w:r>
      <w:r>
        <w:rPr>
          <w:rFonts w:ascii="Arial" w:eastAsia="Arial" w:hAnsi="Arial" w:cs="Arial"/>
          <w:color w:val="000000"/>
          <w:sz w:val="20"/>
        </w:rPr>
        <w:t>." (citation and footnote omitted) (emphases added))</w:t>
      </w:r>
      <w:r>
        <w:rPr>
          <w:rFonts w:ascii="Arial" w:eastAsia="Arial" w:hAnsi="Arial" w:cs="Arial"/>
          <w:vertAlign w:val="superscript"/>
        </w:rPr>
        <w:footnoteReference w:customMarkFollows="1" w:id="173"/>
        <w:t>9</w:t>
      </w:r>
      <w:r>
        <w:rPr>
          <w:rFonts w:ascii="Arial" w:eastAsia="Arial" w:hAnsi="Arial" w:cs="Arial"/>
          <w:color w:val="000000"/>
          <w:sz w:val="20"/>
        </w:rPr>
        <w:t xml:space="preserve">; </w:t>
      </w:r>
      <w:bookmarkStart w:id="4568" w:name="Bookmark_I61CDGHB2D6N030050000400"/>
      <w:bookmarkEnd w:id="4568"/>
      <w:r>
        <w:rPr>
          <w:rFonts w:ascii="Arial" w:eastAsia="Arial" w:hAnsi="Arial" w:cs="Arial"/>
          <w:i/>
          <w:color w:val="000000"/>
          <w:sz w:val="20"/>
        </w:rPr>
        <w:t>Rhoads v. FDIC</w:t>
      </w:r>
      <w:r>
        <w:rPr>
          <w:rFonts w:ascii="Arial" w:eastAsia="Arial" w:hAnsi="Arial" w:cs="Arial"/>
          <w:color w:val="000000"/>
          <w:sz w:val="20"/>
        </w:rPr>
        <w:t xml:space="preserve">, 257 F.3d 373, 387 n.11 (4th Cir. 2001) (juxtaposing a wrongful-discharge claim with a failure-to-accommodate claim, which contains no adverse-employment-action element, but instead requires a plaintiff to demonstrate "that the [employer] refused to make such [reasonable] accommodations" (first alteration in original) (quoting </w:t>
      </w:r>
      <w:bookmarkStart w:id="4569" w:name="Bookmark_I61CDGHB2SF8FN0020000400"/>
      <w:bookmarkEnd w:id="4569"/>
      <w:r>
        <w:rPr>
          <w:rFonts w:ascii="Arial" w:eastAsia="Arial" w:hAnsi="Arial" w:cs="Arial"/>
          <w:i/>
          <w:color w:val="000000"/>
          <w:sz w:val="20"/>
        </w:rPr>
        <w:t>Mitchell v. Washingtonville Cent. Sch. Dist.</w:t>
      </w:r>
      <w:r>
        <w:rPr>
          <w:rFonts w:ascii="Arial" w:eastAsia="Arial" w:hAnsi="Arial" w:cs="Arial"/>
          <w:color w:val="000000"/>
          <w:sz w:val="20"/>
        </w:rPr>
        <w:t xml:space="preserve">, 190 F.3d 1, 6 (2d Cir. 1999))); </w:t>
      </w:r>
      <w:bookmarkStart w:id="4570" w:name="Bookmark_I61CDGHB2SF8FN0040000400"/>
      <w:bookmarkEnd w:id="4570"/>
      <w:r>
        <w:rPr>
          <w:rFonts w:ascii="Arial" w:eastAsia="Arial" w:hAnsi="Arial" w:cs="Arial"/>
          <w:i/>
          <w:color w:val="000000"/>
          <w:sz w:val="20"/>
        </w:rPr>
        <w:t>Dillard v. City of Austin</w:t>
      </w:r>
      <w:r>
        <w:rPr>
          <w:rFonts w:ascii="Arial" w:eastAsia="Arial" w:hAnsi="Arial" w:cs="Arial"/>
          <w:color w:val="000000"/>
          <w:sz w:val="20"/>
        </w:rPr>
        <w:t>, 837 F.3d 557, 562 (5th Cir. 2016) ("</w:t>
      </w:r>
      <w:r>
        <w:rPr>
          <w:rFonts w:ascii="Arial" w:eastAsia="Arial" w:hAnsi="Arial" w:cs="Arial"/>
          <w:i/>
          <w:color w:val="000000"/>
          <w:sz w:val="20"/>
        </w:rPr>
        <w:t>Apart from</w:t>
      </w:r>
      <w:r>
        <w:rPr>
          <w:rFonts w:ascii="Arial" w:eastAsia="Arial" w:hAnsi="Arial" w:cs="Arial"/>
          <w:color w:val="000000"/>
          <w:sz w:val="20"/>
        </w:rPr>
        <w:t xml:space="preserve"> any claim [**40]  that an adverse employment action was motivated by the employee's disability, an employer's failure to reasonably accommodate a disabled employee may constitute a distinct violation of the [ADA]." (emphasis added))</w:t>
      </w:r>
      <w:r>
        <w:rPr>
          <w:rFonts w:ascii="Arial" w:eastAsia="Arial" w:hAnsi="Arial" w:cs="Arial"/>
          <w:vertAlign w:val="superscript"/>
        </w:rPr>
        <w:footnoteReference w:customMarkFollows="1" w:id="174"/>
        <w:t>10</w:t>
      </w:r>
      <w:r>
        <w:rPr>
          <w:rFonts w:ascii="Arial" w:eastAsia="Arial" w:hAnsi="Arial" w:cs="Arial"/>
          <w:color w:val="000000"/>
          <w:sz w:val="20"/>
        </w:rPr>
        <w:t xml:space="preserve">; </w:t>
      </w:r>
      <w:bookmarkStart w:id="4572" w:name="Bookmark_I61CDGHC28T4V40010000400"/>
      <w:bookmarkEnd w:id="4572"/>
      <w:r>
        <w:rPr>
          <w:rFonts w:ascii="Arial" w:eastAsia="Arial" w:hAnsi="Arial" w:cs="Arial"/>
          <w:i/>
          <w:color w:val="000000"/>
          <w:sz w:val="20"/>
        </w:rPr>
        <w:t>LHC Grp.</w:t>
      </w:r>
      <w:r>
        <w:rPr>
          <w:rFonts w:ascii="Arial" w:eastAsia="Arial" w:hAnsi="Arial" w:cs="Arial"/>
          <w:color w:val="000000"/>
          <w:sz w:val="20"/>
        </w:rPr>
        <w:t xml:space="preserve">, 773 F.3d at 703 n.6 (Fifth Circuit stating that "[a] failure-to-accommodate claim provides a mechanism to combat workplace discrimination even when the employee in question </w:t>
      </w:r>
      <w:r>
        <w:rPr>
          <w:rFonts w:ascii="Arial" w:eastAsia="Arial" w:hAnsi="Arial" w:cs="Arial"/>
          <w:i/>
          <w:color w:val="000000"/>
          <w:sz w:val="20"/>
        </w:rPr>
        <w:t>has not</w:t>
      </w:r>
      <w:r>
        <w:rPr>
          <w:rFonts w:ascii="Arial" w:eastAsia="Arial" w:hAnsi="Arial" w:cs="Arial"/>
          <w:color w:val="000000"/>
          <w:sz w:val="20"/>
        </w:rPr>
        <w:t xml:space="preserve"> suffered adverse employment action"); </w:t>
      </w:r>
      <w:bookmarkStart w:id="4573" w:name="Bookmark_I61CDGHC28T4V40030000400"/>
      <w:bookmarkEnd w:id="4573"/>
      <w:r>
        <w:rPr>
          <w:rFonts w:ascii="Arial" w:eastAsia="Arial" w:hAnsi="Arial" w:cs="Arial"/>
          <w:i/>
          <w:color w:val="000000"/>
          <w:sz w:val="20"/>
        </w:rPr>
        <w:t>Kleiber v. Honda of Am. Mfg., Inc.</w:t>
      </w:r>
      <w:r>
        <w:rPr>
          <w:rFonts w:ascii="Arial" w:eastAsia="Arial" w:hAnsi="Arial" w:cs="Arial"/>
          <w:color w:val="000000"/>
          <w:sz w:val="20"/>
        </w:rPr>
        <w:t xml:space="preserve">, 485 F.3d 862, 868 &amp; n.2 (6th Cir. 2007) (distinguishing between "claims  [*806]  premised upon an employer's failure to offer a reasonable accommodation" and "claims premised upon an adverse employment decision"); </w:t>
      </w:r>
      <w:bookmarkStart w:id="4574" w:name="Bookmark_I61CDGHC28T4V40050000400"/>
      <w:bookmarkEnd w:id="4574"/>
      <w:r>
        <w:rPr>
          <w:rFonts w:ascii="Arial" w:eastAsia="Arial" w:hAnsi="Arial" w:cs="Arial"/>
          <w:i/>
          <w:color w:val="000000"/>
          <w:sz w:val="20"/>
        </w:rPr>
        <w:t>Smith v. Ameritech</w:t>
      </w:r>
      <w:r>
        <w:rPr>
          <w:rFonts w:ascii="Arial" w:eastAsia="Arial" w:hAnsi="Arial" w:cs="Arial"/>
          <w:color w:val="000000"/>
          <w:sz w:val="20"/>
        </w:rPr>
        <w:t xml:space="preserve">, 129 F.3d 857, 866 (6th Cir. 1997) (stating that, in order for an ADA discrimination claim "to succeed, plaintiff must prove . . . that defendants </w:t>
      </w:r>
      <w:r>
        <w:rPr>
          <w:rFonts w:ascii="Arial" w:eastAsia="Arial" w:hAnsi="Arial" w:cs="Arial"/>
          <w:i/>
          <w:color w:val="000000"/>
          <w:sz w:val="20"/>
        </w:rPr>
        <w:t>either</w:t>
      </w:r>
      <w:r>
        <w:rPr>
          <w:rFonts w:ascii="Arial" w:eastAsia="Arial" w:hAnsi="Arial" w:cs="Arial"/>
          <w:color w:val="000000"/>
          <w:sz w:val="20"/>
        </w:rPr>
        <w:t xml:space="preserve"> refused to make a reasonable accommodation for his disability </w:t>
      </w:r>
      <w:r>
        <w:rPr>
          <w:rFonts w:ascii="Arial" w:eastAsia="Arial" w:hAnsi="Arial" w:cs="Arial"/>
          <w:i/>
          <w:color w:val="000000"/>
          <w:sz w:val="20"/>
        </w:rPr>
        <w:t>or</w:t>
      </w:r>
      <w:r>
        <w:rPr>
          <w:rFonts w:ascii="Arial" w:eastAsia="Arial" w:hAnsi="Arial" w:cs="Arial"/>
          <w:color w:val="000000"/>
          <w:sz w:val="20"/>
        </w:rPr>
        <w:t xml:space="preserve"> made an adverse employment decision regarding him solely because of his disability" (emphases added)); </w:t>
      </w:r>
      <w:bookmarkStart w:id="4575" w:name="Bookmark_I61CDGHC2SF8FT0020000400"/>
      <w:bookmarkEnd w:id="4575"/>
      <w:r>
        <w:rPr>
          <w:rFonts w:ascii="Arial" w:eastAsia="Arial" w:hAnsi="Arial" w:cs="Arial"/>
          <w:i/>
          <w:color w:val="000000"/>
          <w:sz w:val="20"/>
        </w:rPr>
        <w:t>Lucas v. W.W. Grainger, Inc.</w:t>
      </w:r>
      <w:r>
        <w:rPr>
          <w:rFonts w:ascii="Arial" w:eastAsia="Arial" w:hAnsi="Arial" w:cs="Arial"/>
          <w:color w:val="000000"/>
          <w:sz w:val="20"/>
        </w:rPr>
        <w:t xml:space="preserve">, 257 F.3d 1249, 1255 (11th Cir. 2001) ("An employer </w:t>
      </w:r>
      <w:r>
        <w:rPr>
          <w:rFonts w:ascii="Arial" w:eastAsia="Arial" w:hAnsi="Arial" w:cs="Arial"/>
          <w:i/>
          <w:color w:val="000000"/>
          <w:sz w:val="20"/>
        </w:rPr>
        <w:t>unlawfully</w:t>
      </w:r>
      <w:r>
        <w:rPr>
          <w:rFonts w:ascii="Arial" w:eastAsia="Arial" w:hAnsi="Arial" w:cs="Arial"/>
          <w:color w:val="000000"/>
          <w:sz w:val="20"/>
        </w:rPr>
        <w:t xml:space="preserve"> discriminates against a qualified individual with a disability </w:t>
      </w:r>
      <w:r>
        <w:rPr>
          <w:rFonts w:ascii="Arial" w:eastAsia="Arial" w:hAnsi="Arial" w:cs="Arial"/>
          <w:i/>
          <w:color w:val="000000"/>
          <w:sz w:val="20"/>
        </w:rPr>
        <w:t>when</w:t>
      </w:r>
      <w:r>
        <w:rPr>
          <w:rFonts w:ascii="Arial" w:eastAsia="Arial" w:hAnsi="Arial" w:cs="Arial"/>
          <w:color w:val="000000"/>
          <w:sz w:val="20"/>
        </w:rPr>
        <w:t xml:space="preserve"> the employer fails to provide 'reasonable accommodations' for the disability—unless doing so would impose undue hardship on the employer." (emphases added) (quoting 42 U.S.C. § 12112(b)(5)(A)))</w:t>
      </w:r>
      <w:r>
        <w:rPr>
          <w:rFonts w:ascii="Arial" w:eastAsia="Arial" w:hAnsi="Arial" w:cs="Arial"/>
          <w:vertAlign w:val="superscript"/>
        </w:rPr>
        <w:footnoteReference w:customMarkFollows="1" w:id="175"/>
        <w:t>11</w:t>
      </w:r>
      <w:r>
        <w:rPr>
          <w:rFonts w:ascii="Arial" w:eastAsia="Arial" w:hAnsi="Arial" w:cs="Arial"/>
          <w:color w:val="000000"/>
          <w:sz w:val="20"/>
        </w:rPr>
        <w:t xml:space="preserve">; </w:t>
      </w:r>
      <w:bookmarkStart w:id="4577" w:name="Bookmark_I61CDGHC2SF8FT0040000400"/>
      <w:bookmarkEnd w:id="4577"/>
      <w:r>
        <w:rPr>
          <w:rFonts w:ascii="Arial" w:eastAsia="Arial" w:hAnsi="Arial" w:cs="Arial"/>
          <w:i/>
          <w:color w:val="000000"/>
          <w:sz w:val="20"/>
        </w:rPr>
        <w:t>Hill v. Assocs. for Renewal in Educ., Inc.</w:t>
      </w:r>
      <w:r>
        <w:rPr>
          <w:rFonts w:ascii="Arial" w:eastAsia="Arial" w:hAnsi="Arial" w:cs="Arial"/>
          <w:color w:val="000000"/>
          <w:sz w:val="20"/>
        </w:rPr>
        <w:t>, 897 F.3d 232, 237, 437 U.S. App. D.C. 379 (D.C. Cir. 2018) (omitting an adverse-employment-action requirement from the prima [**41]  facie case for a failure-to-accommodate claim under the ADA).</w:t>
      </w:r>
      <w:r>
        <w:rPr>
          <w:rFonts w:ascii="Arial" w:eastAsia="Arial" w:hAnsi="Arial" w:cs="Arial"/>
          <w:vertAlign w:val="superscript"/>
        </w:rPr>
        <w:footnoteReference w:customMarkFollows="1" w:id="176"/>
        <w:t>12</w:t>
      </w:r>
    </w:p>
    <w:p w14:paraId="037CB3C2" w14:textId="77777777" w:rsidR="002B10A6" w:rsidRDefault="00000000">
      <w:pPr>
        <w:pStyle w:val="Normal23"/>
        <w:widowControl w:val="0"/>
        <w:spacing w:before="200" w:line="260" w:lineRule="atLeast"/>
        <w:jc w:val="both"/>
      </w:pPr>
      <w:bookmarkStart w:id="4586" w:name="Bookmark_para_59_4"/>
      <w:bookmarkStart w:id="4587" w:name="Bookmark_I61CDGHD2D6N0H0030000400"/>
      <w:bookmarkEnd w:id="4586"/>
      <w:bookmarkEnd w:id="4587"/>
      <w:r>
        <w:rPr>
          <w:rFonts w:ascii="Arial" w:eastAsia="Arial" w:hAnsi="Arial" w:cs="Arial"/>
          <w:color w:val="000000"/>
          <w:sz w:val="20"/>
        </w:rPr>
        <w:t xml:space="preserve">Two other circuits—the Third and the Eighth—typically have purported to incorporate an adverse-employment-action requirement into their ADA failure-to-accommodate claims. </w:t>
      </w:r>
      <w:bookmarkStart w:id="4588" w:name="Bookmark_I61CDGHF2SF8G40020000400"/>
      <w:bookmarkEnd w:id="4588"/>
      <w:r>
        <w:rPr>
          <w:rFonts w:ascii="Arial" w:eastAsia="Arial" w:hAnsi="Arial" w:cs="Arial"/>
          <w:i/>
          <w:color w:val="000000"/>
          <w:sz w:val="20"/>
        </w:rPr>
        <w:t xml:space="preserve">See, e.g., </w:t>
      </w:r>
      <w:bookmarkStart w:id="4589" w:name="Bookmark_I61CDGHD2D6N0H0020000400"/>
      <w:bookmarkEnd w:id="4589"/>
      <w:r>
        <w:rPr>
          <w:rFonts w:ascii="Arial" w:eastAsia="Arial" w:hAnsi="Arial" w:cs="Arial"/>
          <w:i/>
          <w:color w:val="000000"/>
          <w:sz w:val="20"/>
        </w:rPr>
        <w:t>Dick v. Dickinson State Univ.</w:t>
      </w:r>
      <w:r>
        <w:rPr>
          <w:rFonts w:ascii="Arial" w:eastAsia="Arial" w:hAnsi="Arial" w:cs="Arial"/>
          <w:color w:val="000000"/>
          <w:sz w:val="20"/>
        </w:rPr>
        <w:t xml:space="preserve">, 826 F.3d 1054, 1060 (8th Cir. 2016); </w:t>
      </w:r>
      <w:bookmarkStart w:id="4590" w:name="Bookmark_I61CDGHD2D6N0H0040000400"/>
      <w:bookmarkEnd w:id="4590"/>
      <w:r>
        <w:rPr>
          <w:rFonts w:ascii="Arial" w:eastAsia="Arial" w:hAnsi="Arial" w:cs="Arial"/>
          <w:i/>
          <w:color w:val="000000"/>
          <w:sz w:val="20"/>
        </w:rPr>
        <w:t>Colwell v. Rite Aid Corp.</w:t>
      </w:r>
      <w:r>
        <w:rPr>
          <w:rFonts w:ascii="Arial" w:eastAsia="Arial" w:hAnsi="Arial" w:cs="Arial"/>
          <w:color w:val="000000"/>
          <w:sz w:val="20"/>
        </w:rPr>
        <w:t xml:space="preserve">, 602 F.3d 495, 504 (3d Cir. 2010). But they do so in name only—that is, in a manner that is essentially form, rather than substance. </w:t>
      </w:r>
      <w:bookmarkStart w:id="4591" w:name="Bookmark_I61CDGHF2SF8G40020000400_2"/>
      <w:bookmarkEnd w:id="4591"/>
      <w:r>
        <w:rPr>
          <w:rFonts w:ascii="Arial" w:eastAsia="Arial" w:hAnsi="Arial" w:cs="Arial"/>
          <w:color w:val="000000"/>
          <w:sz w:val="20"/>
        </w:rPr>
        <w:t xml:space="preserve">That is so because these circuits classify </w:t>
      </w:r>
      <w:r>
        <w:rPr>
          <w:rFonts w:ascii="Arial" w:eastAsia="Arial" w:hAnsi="Arial" w:cs="Arial"/>
          <w:i/>
          <w:color w:val="000000"/>
          <w:sz w:val="20"/>
        </w:rPr>
        <w:t>a failure to accommodate</w:t>
      </w:r>
      <w:r>
        <w:rPr>
          <w:rFonts w:ascii="Arial" w:eastAsia="Arial" w:hAnsi="Arial" w:cs="Arial"/>
          <w:color w:val="000000"/>
          <w:sz w:val="20"/>
        </w:rPr>
        <w:t xml:space="preserve"> as an adverse "action." </w:t>
      </w:r>
      <w:bookmarkStart w:id="4592" w:name="Bookmark_I61CDGHF2SF8G40010000400"/>
      <w:bookmarkEnd w:id="4592"/>
      <w:r>
        <w:rPr>
          <w:rFonts w:ascii="Arial" w:eastAsia="Arial" w:hAnsi="Arial" w:cs="Arial"/>
          <w:i/>
          <w:color w:val="000000"/>
          <w:sz w:val="20"/>
        </w:rPr>
        <w:t>Colwell</w:t>
      </w:r>
      <w:r>
        <w:rPr>
          <w:rFonts w:ascii="Arial" w:eastAsia="Arial" w:hAnsi="Arial" w:cs="Arial"/>
          <w:color w:val="000000"/>
          <w:sz w:val="20"/>
        </w:rPr>
        <w:t xml:space="preserve">, 602 F.3d at 504 ("Adverse employment decisions in [the ADA discrimination] context </w:t>
      </w:r>
      <w:r>
        <w:rPr>
          <w:rFonts w:ascii="Arial" w:eastAsia="Arial" w:hAnsi="Arial" w:cs="Arial"/>
          <w:i/>
          <w:color w:val="000000"/>
          <w:sz w:val="20"/>
        </w:rPr>
        <w:t>include</w:t>
      </w:r>
      <w:r>
        <w:rPr>
          <w:rFonts w:ascii="Arial" w:eastAsia="Arial" w:hAnsi="Arial" w:cs="Arial"/>
          <w:color w:val="000000"/>
          <w:sz w:val="20"/>
        </w:rPr>
        <w:t xml:space="preserve"> refusing to make reasonable accommodations for a plaintiff's disabilities." (emphasis added) (quoting </w:t>
      </w:r>
      <w:bookmarkStart w:id="4593" w:name="Bookmark_I61CDGHF2SF8G40030000400"/>
      <w:bookmarkEnd w:id="4593"/>
      <w:r>
        <w:rPr>
          <w:rFonts w:ascii="Arial" w:eastAsia="Arial" w:hAnsi="Arial" w:cs="Arial"/>
          <w:i/>
          <w:color w:val="000000"/>
          <w:sz w:val="20"/>
        </w:rPr>
        <w:t>Williams v. Phila. Hous. Auth. Police Dep't</w:t>
      </w:r>
      <w:r>
        <w:rPr>
          <w:rFonts w:ascii="Arial" w:eastAsia="Arial" w:hAnsi="Arial" w:cs="Arial"/>
          <w:color w:val="000000"/>
          <w:sz w:val="20"/>
        </w:rPr>
        <w:t xml:space="preserve">, 380 F.3d 751, 761 (3d Cir. 2004), </w:t>
      </w:r>
      <w:r>
        <w:rPr>
          <w:rFonts w:ascii="Arial" w:eastAsia="Arial" w:hAnsi="Arial" w:cs="Arial"/>
          <w:i/>
          <w:color w:val="000000"/>
          <w:sz w:val="20"/>
        </w:rPr>
        <w:t xml:space="preserve">abrogated in part by statute as recognized in </w:t>
      </w:r>
      <w:bookmarkStart w:id="4594" w:name="Bookmark_I61CDGHF2SF8G40050000400"/>
      <w:bookmarkEnd w:id="4594"/>
      <w:r>
        <w:rPr>
          <w:rFonts w:ascii="Arial" w:eastAsia="Arial" w:hAnsi="Arial" w:cs="Arial"/>
          <w:i/>
          <w:color w:val="000000"/>
          <w:sz w:val="20"/>
        </w:rPr>
        <w:t>Robinson v. First State Cmty. Action Agency</w:t>
      </w:r>
      <w:r>
        <w:rPr>
          <w:rFonts w:ascii="Arial" w:eastAsia="Arial" w:hAnsi="Arial" w:cs="Arial"/>
          <w:color w:val="000000"/>
          <w:sz w:val="20"/>
        </w:rPr>
        <w:t xml:space="preserve">, 920 F.3d 182, 188 n.30 (3d Cir. 2019))); </w:t>
      </w:r>
      <w:r>
        <w:rPr>
          <w:rFonts w:ascii="Arial" w:eastAsia="Arial" w:hAnsi="Arial" w:cs="Arial"/>
          <w:i/>
          <w:color w:val="000000"/>
          <w:sz w:val="20"/>
        </w:rPr>
        <w:t xml:space="preserve">see </w:t>
      </w:r>
      <w:bookmarkStart w:id="4595" w:name="Bookmark_I61CDGHF2N1R1W0020000400"/>
      <w:bookmarkEnd w:id="4595"/>
      <w:r>
        <w:rPr>
          <w:rFonts w:ascii="Arial" w:eastAsia="Arial" w:hAnsi="Arial" w:cs="Arial"/>
          <w:i/>
          <w:color w:val="000000"/>
          <w:sz w:val="20"/>
        </w:rPr>
        <w:t>Dick</w:t>
      </w:r>
      <w:r>
        <w:rPr>
          <w:rFonts w:ascii="Arial" w:eastAsia="Arial" w:hAnsi="Arial" w:cs="Arial"/>
          <w:color w:val="000000"/>
          <w:sz w:val="20"/>
        </w:rPr>
        <w:t xml:space="preserve">, 826 F.3d at 1060 ("An employer is . . . liable for committing an adverse employment action if the employee in need of assistance actually requested but was  [*807]  denied a reasonable accommodation."); </w:t>
      </w:r>
      <w:r>
        <w:rPr>
          <w:rFonts w:ascii="Arial" w:eastAsia="Arial" w:hAnsi="Arial" w:cs="Arial"/>
          <w:i/>
          <w:color w:val="000000"/>
          <w:sz w:val="20"/>
        </w:rPr>
        <w:t>see also</w:t>
      </w:r>
      <w:r>
        <w:rPr>
          <w:rFonts w:ascii="Arial" w:eastAsia="Arial" w:hAnsi="Arial" w:cs="Arial"/>
          <w:color w:val="000000"/>
          <w:sz w:val="20"/>
        </w:rPr>
        <w:t xml:space="preserve"> </w:t>
      </w:r>
      <w:r>
        <w:rPr>
          <w:rFonts w:ascii="Arial" w:eastAsia="Arial" w:hAnsi="Arial" w:cs="Arial"/>
          <w:smallCaps/>
          <w:color w:val="000000"/>
          <w:sz w:val="20"/>
        </w:rPr>
        <w:t>Model Civil Jury Instructions for the Dist. Courts of the Third Circuit</w:t>
      </w:r>
      <w:r>
        <w:rPr>
          <w:rFonts w:ascii="Arial" w:eastAsia="Arial" w:hAnsi="Arial" w:cs="Arial"/>
          <w:color w:val="000000"/>
          <w:sz w:val="20"/>
        </w:rPr>
        <w:t xml:space="preserve"> § 9.13, at 18 (</w:t>
      </w:r>
      <w:r>
        <w:rPr>
          <w:rFonts w:ascii="Arial" w:eastAsia="Arial" w:hAnsi="Arial" w:cs="Arial"/>
          <w:smallCaps/>
          <w:color w:val="000000"/>
          <w:sz w:val="20"/>
        </w:rPr>
        <w:t>Comm. on Model Civil Jury Instructions within the Third Circuit</w:t>
      </w:r>
      <w:r>
        <w:rPr>
          <w:rFonts w:ascii="Arial" w:eastAsia="Arial" w:hAnsi="Arial" w:cs="Arial"/>
          <w:color w:val="000000"/>
          <w:sz w:val="20"/>
        </w:rPr>
        <w:t xml:space="preserve">, revised 2019) (omitting from the list of elements for an ADA failure-to-accommodate claim an "adverse [**43]  employment action" or language of a similar sort and describing the employer's conduct triggering liability as a failure "to provide [specify the accommodation(s) in dispute in the case] or any other reasonable accommodation"); </w:t>
      </w:r>
      <w:r>
        <w:rPr>
          <w:rFonts w:ascii="Arial" w:eastAsia="Arial" w:hAnsi="Arial" w:cs="Arial"/>
          <w:smallCaps/>
          <w:color w:val="000000"/>
          <w:sz w:val="20"/>
        </w:rPr>
        <w:t>Manual of Model Civil Jury Instructions for the Dist. Courts of the Eighth Circuit</w:t>
      </w:r>
      <w:r>
        <w:rPr>
          <w:rFonts w:ascii="Arial" w:eastAsia="Arial" w:hAnsi="Arial" w:cs="Arial"/>
          <w:color w:val="000000"/>
          <w:sz w:val="20"/>
        </w:rPr>
        <w:t xml:space="preserve"> § 9.42, at 9-28 (</w:t>
      </w:r>
      <w:r>
        <w:rPr>
          <w:rFonts w:ascii="Arial" w:eastAsia="Arial" w:hAnsi="Arial" w:cs="Arial"/>
          <w:smallCaps/>
          <w:color w:val="000000"/>
          <w:sz w:val="20"/>
        </w:rPr>
        <w:t>Comm. on Model Jury Instructions for the Dist. Courts of the Eighth Circuit 2020</w:t>
      </w:r>
      <w:r>
        <w:rPr>
          <w:rFonts w:ascii="Arial" w:eastAsia="Arial" w:hAnsi="Arial" w:cs="Arial"/>
          <w:color w:val="000000"/>
          <w:sz w:val="20"/>
        </w:rPr>
        <w:t xml:space="preserve">) (omitting express language referring to an adverse employment action and describing the event triggering liability for a failure-to-accommodate claim as "the defendant failed to provide (specify accommodation(s) identified by the plaintiff) and failed to provide any other reasonable accommodation"); </w:t>
      </w:r>
      <w:r>
        <w:rPr>
          <w:rFonts w:ascii="Arial" w:eastAsia="Arial" w:hAnsi="Arial" w:cs="Arial"/>
          <w:i/>
          <w:color w:val="000000"/>
          <w:sz w:val="20"/>
        </w:rPr>
        <w:t>cf.</w:t>
      </w:r>
      <w:r>
        <w:rPr>
          <w:rFonts w:ascii="Arial" w:eastAsia="Arial" w:hAnsi="Arial" w:cs="Arial"/>
          <w:color w:val="000000"/>
          <w:sz w:val="20"/>
        </w:rPr>
        <w:t xml:space="preserve"> Brennan, </w:t>
      </w:r>
      <w:r>
        <w:rPr>
          <w:rFonts w:ascii="Arial" w:eastAsia="Arial" w:hAnsi="Arial" w:cs="Arial"/>
          <w:i/>
          <w:color w:val="000000"/>
          <w:sz w:val="20"/>
        </w:rPr>
        <w:t>supra</w:t>
      </w:r>
      <w:r>
        <w:rPr>
          <w:rFonts w:ascii="Arial" w:eastAsia="Arial" w:hAnsi="Arial" w:cs="Arial"/>
          <w:color w:val="000000"/>
          <w:sz w:val="20"/>
        </w:rPr>
        <w:t xml:space="preserve">, at 511 (though recognizing that courts like the Third Circuit do </w:t>
      </w:r>
      <w:r>
        <w:rPr>
          <w:rFonts w:ascii="Arial" w:eastAsia="Arial" w:hAnsi="Arial" w:cs="Arial"/>
          <w:i/>
          <w:color w:val="000000"/>
          <w:sz w:val="20"/>
        </w:rPr>
        <w:t>not</w:t>
      </w:r>
      <w:r>
        <w:rPr>
          <w:rFonts w:ascii="Arial" w:eastAsia="Arial" w:hAnsi="Arial" w:cs="Arial"/>
          <w:color w:val="000000"/>
          <w:sz w:val="20"/>
        </w:rPr>
        <w:t xml:space="preserve"> require plaintiffs to establish an adverse employment action </w:t>
      </w:r>
      <w:r>
        <w:rPr>
          <w:rFonts w:ascii="Arial" w:eastAsia="Arial" w:hAnsi="Arial" w:cs="Arial"/>
          <w:i/>
          <w:color w:val="000000"/>
          <w:sz w:val="20"/>
        </w:rPr>
        <w:t>apart from</w:t>
      </w:r>
      <w:r>
        <w:rPr>
          <w:rFonts w:ascii="Arial" w:eastAsia="Arial" w:hAnsi="Arial" w:cs="Arial"/>
          <w:color w:val="000000"/>
          <w:sz w:val="20"/>
        </w:rPr>
        <w:t xml:space="preserve"> an employer's failure to provide a reasonable accommodation, expressing disapproval of this approach because it imports the disparate-treatment concept of an adverse employment action into the realm of a failure-to-accommodate claim, which "is like trying to fit a square peg into a round hole").</w:t>
      </w:r>
      <w:r>
        <w:rPr>
          <w:rFonts w:ascii="Arial" w:eastAsia="Arial" w:hAnsi="Arial" w:cs="Arial"/>
          <w:vertAlign w:val="superscript"/>
        </w:rPr>
        <w:footnoteReference w:customMarkFollows="1" w:id="177"/>
        <w:t>13</w:t>
      </w:r>
    </w:p>
    <w:p w14:paraId="6208BFC3" w14:textId="77777777" w:rsidR="002B10A6" w:rsidRDefault="00000000">
      <w:pPr>
        <w:pStyle w:val="Normal23"/>
        <w:widowControl w:val="0"/>
        <w:spacing w:before="200" w:line="260" w:lineRule="atLeast"/>
        <w:jc w:val="both"/>
      </w:pPr>
      <w:bookmarkStart w:id="4622" w:name="Bookmark_para_60_4"/>
      <w:bookmarkStart w:id="4623" w:name="Bookmark_LNHNREFclscc29_0"/>
      <w:bookmarkEnd w:id="4622"/>
      <w:bookmarkEnd w:id="4623"/>
      <w:r>
        <w:rPr>
          <w:rFonts w:ascii="Arial" w:eastAsia="Arial" w:hAnsi="Arial" w:cs="Arial"/>
          <w:color w:val="000000"/>
          <w:sz w:val="20"/>
        </w:rPr>
        <w:t xml:space="preserve">Thus, though [**44]  the Third Circuit and the Eighth Circuit typically have purported to include an adverse-employment-action requirement in their failure-to-accommodate claims, an employer's liability actually stems from no more than the employer's failure to make a reasonable accommodation, which is deemed an adverse employment action. In sum, in these two circuits, there is no need for plaintiffs to demonstrate, in addition to the employer's failure to provide a reasonable accommodation, that they also suffered "a </w:t>
      </w:r>
      <w:r>
        <w:rPr>
          <w:rFonts w:ascii="Arial" w:eastAsia="Arial" w:hAnsi="Arial" w:cs="Arial"/>
          <w:i/>
          <w:color w:val="000000"/>
          <w:sz w:val="20"/>
        </w:rPr>
        <w:t>significant change in employment status</w:t>
      </w:r>
      <w:r>
        <w:rPr>
          <w:rFonts w:ascii="Arial" w:eastAsia="Arial" w:hAnsi="Arial" w:cs="Arial"/>
          <w:color w:val="000000"/>
          <w:sz w:val="20"/>
        </w:rPr>
        <w:t>." Aplt.'s App., Vol. II, at 449 (emphasis added). Accordingly, focusing on the substance and not the form, we find that these two circuits are virtually indistinguishable from those that do not have an adverse-employment-action requirement at all in their failure-to-accommodate claims.</w:t>
      </w:r>
      <w:r>
        <w:rPr>
          <w:rFonts w:ascii="Arial" w:eastAsia="Arial" w:hAnsi="Arial" w:cs="Arial"/>
          <w:vertAlign w:val="superscript"/>
        </w:rPr>
        <w:footnoteReference w:customMarkFollows="1" w:id="178"/>
        <w:t>14</w:t>
      </w:r>
    </w:p>
    <w:p w14:paraId="04B19514" w14:textId="77777777" w:rsidR="002B10A6" w:rsidRDefault="00000000">
      <w:pPr>
        <w:pStyle w:val="Normal23"/>
        <w:widowControl w:val="0"/>
        <w:spacing w:before="200" w:line="260" w:lineRule="atLeast"/>
        <w:jc w:val="both"/>
      </w:pPr>
      <w:bookmarkStart w:id="4640" w:name="Bookmark_para_61_3"/>
      <w:bookmarkEnd w:id="4640"/>
      <w:r>
        <w:rPr>
          <w:rFonts w:ascii="Arial" w:eastAsia="Arial" w:hAnsi="Arial" w:cs="Arial"/>
          <w:color w:val="000000"/>
          <w:sz w:val="20"/>
        </w:rPr>
        <w:t xml:space="preserve"> [*808]  </w:t>
      </w:r>
      <w:bookmarkStart w:id="4641" w:name="Bookmark_I61CDGHG2SF8GD0050000400"/>
      <w:bookmarkStart w:id="4642" w:name="Bookmark_LNHNREFclscc30_0"/>
      <w:bookmarkEnd w:id="4641"/>
      <w:bookmarkEnd w:id="4642"/>
      <w:r>
        <w:rPr>
          <w:rFonts w:ascii="Arial" w:eastAsia="Arial" w:hAnsi="Arial" w:cs="Arial"/>
          <w:color w:val="000000"/>
          <w:sz w:val="20"/>
        </w:rPr>
        <w:t xml:space="preserve">And while the decisions in the Seventh, Second, and Ninth Circuits are not entirely uniform, the predominant view of the decisions in these circuits does not support the incorporation of an adverse-employment-action requirement into an ADA failure-to-accommodate claim. More specifically, the Seventh Circuit has explicitly stated that "[n]o adverse employment action [**45]  is required to prove a failure to accommodate." </w:t>
      </w:r>
      <w:bookmarkStart w:id="4643" w:name="Bookmark_I61CDGHG2SF8GD0040000400"/>
      <w:bookmarkEnd w:id="4643"/>
      <w:r>
        <w:rPr>
          <w:rFonts w:ascii="Arial" w:eastAsia="Arial" w:hAnsi="Arial" w:cs="Arial"/>
          <w:i/>
          <w:color w:val="000000"/>
          <w:sz w:val="20"/>
        </w:rPr>
        <w:t>EEOC v. AutoZone, Inc.</w:t>
      </w:r>
      <w:r>
        <w:rPr>
          <w:rFonts w:ascii="Arial" w:eastAsia="Arial" w:hAnsi="Arial" w:cs="Arial"/>
          <w:color w:val="000000"/>
          <w:sz w:val="20"/>
        </w:rPr>
        <w:t xml:space="preserve">, 630 F.3d 635, 638 n.1 (7th Cir. 2010); </w:t>
      </w:r>
      <w:r>
        <w:rPr>
          <w:rFonts w:ascii="Arial" w:eastAsia="Arial" w:hAnsi="Arial" w:cs="Arial"/>
          <w:i/>
          <w:color w:val="000000"/>
          <w:sz w:val="20"/>
        </w:rPr>
        <w:t xml:space="preserve">see </w:t>
      </w:r>
      <w:bookmarkStart w:id="4644" w:name="Bookmark_I61CDGHH2N1R250010000400"/>
      <w:bookmarkEnd w:id="4644"/>
      <w:r>
        <w:rPr>
          <w:rFonts w:ascii="Arial" w:eastAsia="Arial" w:hAnsi="Arial" w:cs="Arial"/>
          <w:i/>
          <w:color w:val="000000"/>
          <w:sz w:val="20"/>
        </w:rPr>
        <w:t>Timmons</w:t>
      </w:r>
      <w:r>
        <w:rPr>
          <w:rFonts w:ascii="Arial" w:eastAsia="Arial" w:hAnsi="Arial" w:cs="Arial"/>
          <w:color w:val="000000"/>
          <w:sz w:val="20"/>
        </w:rPr>
        <w:t>, 469 F.3d at 1125 ("</w:t>
      </w:r>
      <w:r>
        <w:rPr>
          <w:rFonts w:ascii="Arial" w:eastAsia="Arial" w:hAnsi="Arial" w:cs="Arial"/>
          <w:i/>
          <w:color w:val="000000"/>
          <w:sz w:val="20"/>
        </w:rPr>
        <w:t>In addition to</w:t>
      </w:r>
      <w:r>
        <w:rPr>
          <w:rFonts w:ascii="Arial" w:eastAsia="Arial" w:hAnsi="Arial" w:cs="Arial"/>
          <w:color w:val="000000"/>
          <w:sz w:val="20"/>
        </w:rPr>
        <w:t xml:space="preserve"> prohibiting adverse employment actions against disabled persons because of their disabilities, the ADA requires employers to make reasonable accommodations for the disabilities of qualified individuals." (emphasis added)); </w:t>
      </w:r>
      <w:r>
        <w:rPr>
          <w:rFonts w:ascii="Arial" w:eastAsia="Arial" w:hAnsi="Arial" w:cs="Arial"/>
          <w:i/>
          <w:color w:val="000000"/>
          <w:sz w:val="20"/>
        </w:rPr>
        <w:t xml:space="preserve">see also </w:t>
      </w:r>
      <w:bookmarkStart w:id="4645" w:name="Bookmark_I61CDGHH2N1R250030000400"/>
      <w:bookmarkEnd w:id="4645"/>
      <w:r>
        <w:rPr>
          <w:rFonts w:ascii="Arial" w:eastAsia="Arial" w:hAnsi="Arial" w:cs="Arial"/>
          <w:i/>
          <w:color w:val="000000"/>
          <w:sz w:val="20"/>
        </w:rPr>
        <w:t>Curtis v. Costco Wholesale Corp.</w:t>
      </w:r>
      <w:r>
        <w:rPr>
          <w:rFonts w:ascii="Arial" w:eastAsia="Arial" w:hAnsi="Arial" w:cs="Arial"/>
          <w:color w:val="000000"/>
          <w:sz w:val="20"/>
        </w:rPr>
        <w:t xml:space="preserve">, 807 F.3d 215, 224 (7th Cir. 2015) (presenting the prima facie case for an ADA failure-to-accommodate claim without mention of an adverse-employment-action requirement); </w:t>
      </w:r>
      <w:r>
        <w:rPr>
          <w:rFonts w:ascii="Arial" w:eastAsia="Arial" w:hAnsi="Arial" w:cs="Arial"/>
          <w:i/>
          <w:color w:val="000000"/>
          <w:sz w:val="20"/>
        </w:rPr>
        <w:t>accord</w:t>
      </w:r>
      <w:r>
        <w:rPr>
          <w:rFonts w:ascii="Arial" w:eastAsia="Arial" w:hAnsi="Arial" w:cs="Arial"/>
          <w:color w:val="000000"/>
          <w:sz w:val="20"/>
        </w:rPr>
        <w:t xml:space="preserve"> </w:t>
      </w:r>
      <w:r>
        <w:rPr>
          <w:rFonts w:ascii="Arial" w:eastAsia="Arial" w:hAnsi="Arial" w:cs="Arial"/>
          <w:smallCaps/>
          <w:color w:val="000000"/>
          <w:sz w:val="20"/>
        </w:rPr>
        <w:t>Fed. Civil Jury Instructions of the Seventh Circuit</w:t>
      </w:r>
      <w:r>
        <w:rPr>
          <w:rFonts w:ascii="Arial" w:eastAsia="Arial" w:hAnsi="Arial" w:cs="Arial"/>
          <w:color w:val="000000"/>
          <w:sz w:val="20"/>
        </w:rPr>
        <w:t xml:space="preserve"> § 4.03, at 89 (</w:t>
      </w:r>
      <w:r>
        <w:rPr>
          <w:rFonts w:ascii="Arial" w:eastAsia="Arial" w:hAnsi="Arial" w:cs="Arial"/>
          <w:smallCaps/>
          <w:color w:val="000000"/>
          <w:sz w:val="20"/>
        </w:rPr>
        <w:t>Comm. on Pattern Civil Jury Instructions of the Seventh Circuit</w:t>
      </w:r>
      <w:r>
        <w:rPr>
          <w:rFonts w:ascii="Arial" w:eastAsia="Arial" w:hAnsi="Arial" w:cs="Arial"/>
          <w:color w:val="000000"/>
          <w:sz w:val="20"/>
        </w:rPr>
        <w:t>, revised 2017) (omitting an adverse-employment-action element from pattern jury instructions for a failure-to-accommodate claim under the ADA).</w:t>
      </w:r>
    </w:p>
    <w:p w14:paraId="2BB0CFB2" w14:textId="77777777" w:rsidR="002B10A6" w:rsidRDefault="00000000">
      <w:pPr>
        <w:pStyle w:val="Normal23"/>
        <w:widowControl w:val="0"/>
        <w:spacing w:before="200" w:line="260" w:lineRule="atLeast"/>
        <w:jc w:val="both"/>
      </w:pPr>
      <w:bookmarkStart w:id="4646" w:name="Bookmark_para_62_3"/>
      <w:bookmarkStart w:id="4647" w:name="Bookmark_I61CDGHH2HM6PP0010000400"/>
      <w:bookmarkStart w:id="4648" w:name="Bookmark_I61CDGHH2HM6PP0050000400"/>
      <w:bookmarkEnd w:id="4646"/>
      <w:bookmarkEnd w:id="4647"/>
      <w:bookmarkEnd w:id="4648"/>
      <w:r>
        <w:rPr>
          <w:rFonts w:ascii="Arial" w:eastAsia="Arial" w:hAnsi="Arial" w:cs="Arial"/>
          <w:color w:val="000000"/>
          <w:sz w:val="20"/>
        </w:rPr>
        <w:t xml:space="preserve">To be sure, in one decision from the late 1990s, the Seventh Circuit remarked that "to state a prima facie case of disability discrimination for failure to accommodate the disability, a plaintiff must demonstrate . . . that she was discharged because of her disability." </w:t>
      </w:r>
      <w:bookmarkStart w:id="4649" w:name="Bookmark_I61CDGHH2N1R250050000400"/>
      <w:bookmarkEnd w:id="4649"/>
      <w:r>
        <w:rPr>
          <w:rFonts w:ascii="Arial" w:eastAsia="Arial" w:hAnsi="Arial" w:cs="Arial"/>
          <w:i/>
          <w:color w:val="000000"/>
          <w:sz w:val="20"/>
        </w:rPr>
        <w:t>Foster v. Arthur Andersen, LLP</w:t>
      </w:r>
      <w:r>
        <w:rPr>
          <w:rFonts w:ascii="Arial" w:eastAsia="Arial" w:hAnsi="Arial" w:cs="Arial"/>
          <w:color w:val="000000"/>
          <w:sz w:val="20"/>
        </w:rPr>
        <w:t xml:space="preserve">, 168 F.3d 1029, 1033 (7th Cir. 1999), </w:t>
      </w:r>
      <w:r>
        <w:rPr>
          <w:rFonts w:ascii="Arial" w:eastAsia="Arial" w:hAnsi="Arial" w:cs="Arial"/>
          <w:i/>
          <w:color w:val="000000"/>
          <w:sz w:val="20"/>
        </w:rPr>
        <w:t xml:space="preserve">abrogation on other grounds recognized by </w:t>
      </w:r>
      <w:bookmarkStart w:id="4650" w:name="Bookmark_I61CDGHH2HM6PP0020000400"/>
      <w:bookmarkEnd w:id="4650"/>
      <w:r>
        <w:rPr>
          <w:rFonts w:ascii="Arial" w:eastAsia="Arial" w:hAnsi="Arial" w:cs="Arial"/>
          <w:i/>
          <w:color w:val="000000"/>
          <w:sz w:val="20"/>
        </w:rPr>
        <w:t>Serwatka v. Rockwell Automation, Inc.</w:t>
      </w:r>
      <w:r>
        <w:rPr>
          <w:rFonts w:ascii="Arial" w:eastAsia="Arial" w:hAnsi="Arial" w:cs="Arial"/>
          <w:color w:val="000000"/>
          <w:sz w:val="20"/>
        </w:rPr>
        <w:t xml:space="preserve">, 591 F.3d 957, 962-63 (7th Cir. 2010). </w:t>
      </w:r>
      <w:bookmarkStart w:id="4651" w:name="Bookmark_I61CDGHH2D6N120020000400"/>
      <w:bookmarkEnd w:id="4651"/>
      <w:r>
        <w:rPr>
          <w:rFonts w:ascii="Arial" w:eastAsia="Arial" w:hAnsi="Arial" w:cs="Arial"/>
          <w:color w:val="000000"/>
          <w:sz w:val="20"/>
        </w:rPr>
        <w:t xml:space="preserve">However, there is some reason to doubt whether </w:t>
      </w:r>
      <w:r>
        <w:rPr>
          <w:rFonts w:ascii="Arial" w:eastAsia="Arial" w:hAnsi="Arial" w:cs="Arial"/>
          <w:i/>
          <w:color w:val="000000"/>
          <w:sz w:val="20"/>
        </w:rPr>
        <w:t>Foster</w:t>
      </w:r>
      <w:r>
        <w:rPr>
          <w:rFonts w:ascii="Arial" w:eastAsia="Arial" w:hAnsi="Arial" w:cs="Arial"/>
          <w:color w:val="000000"/>
          <w:sz w:val="20"/>
        </w:rPr>
        <w:t xml:space="preserve"> was actually articulating a prima facie case that is generally applicable in all ADA failure-to-accommodate cases, [**46]  as opposed to just ones like </w:t>
      </w:r>
      <w:r>
        <w:rPr>
          <w:rFonts w:ascii="Arial" w:eastAsia="Arial" w:hAnsi="Arial" w:cs="Arial"/>
          <w:i/>
          <w:color w:val="000000"/>
          <w:sz w:val="20"/>
        </w:rPr>
        <w:t>Foster</w:t>
      </w:r>
      <w:r>
        <w:rPr>
          <w:rFonts w:ascii="Arial" w:eastAsia="Arial" w:hAnsi="Arial" w:cs="Arial"/>
          <w:color w:val="000000"/>
          <w:sz w:val="20"/>
        </w:rPr>
        <w:t xml:space="preserve"> where the employee </w:t>
      </w:r>
      <w:r>
        <w:rPr>
          <w:rFonts w:ascii="Arial" w:eastAsia="Arial" w:hAnsi="Arial" w:cs="Arial"/>
          <w:i/>
          <w:color w:val="000000"/>
          <w:sz w:val="20"/>
        </w:rPr>
        <w:t>did</w:t>
      </w:r>
      <w:r>
        <w:rPr>
          <w:rFonts w:ascii="Arial" w:eastAsia="Arial" w:hAnsi="Arial" w:cs="Arial"/>
          <w:color w:val="000000"/>
          <w:sz w:val="20"/>
        </w:rPr>
        <w:t xml:space="preserve"> suffer an adverse employment action. </w:t>
      </w:r>
      <w:r>
        <w:rPr>
          <w:rFonts w:ascii="Arial" w:eastAsia="Arial" w:hAnsi="Arial" w:cs="Arial"/>
          <w:i/>
          <w:color w:val="000000"/>
          <w:sz w:val="20"/>
        </w:rPr>
        <w:t xml:space="preserve">See </w:t>
      </w:r>
      <w:bookmarkStart w:id="4652" w:name="Bookmark_I61CDGHH2HM6PP0040000400"/>
      <w:bookmarkEnd w:id="4652"/>
      <w:r>
        <w:rPr>
          <w:rFonts w:ascii="Arial" w:eastAsia="Arial" w:hAnsi="Arial" w:cs="Arial"/>
          <w:i/>
          <w:color w:val="000000"/>
          <w:sz w:val="20"/>
        </w:rPr>
        <w:t>id.</w:t>
      </w:r>
      <w:r>
        <w:rPr>
          <w:rFonts w:ascii="Arial" w:eastAsia="Arial" w:hAnsi="Arial" w:cs="Arial"/>
          <w:color w:val="000000"/>
          <w:sz w:val="20"/>
        </w:rPr>
        <w:t xml:space="preserve"> at 1032 (noting that Ms. Foster "filed a charge of discrimination with the Illinois Department of Human Rights and the EEOC, alleging that she was suspended and discharged because of her disability"). </w:t>
      </w:r>
      <w:bookmarkStart w:id="4653" w:name="Bookmark_I61CDGHH2D6N120020000400_2"/>
      <w:bookmarkEnd w:id="4653"/>
      <w:r>
        <w:rPr>
          <w:rFonts w:ascii="Arial" w:eastAsia="Arial" w:hAnsi="Arial" w:cs="Arial"/>
          <w:color w:val="000000"/>
          <w:sz w:val="20"/>
        </w:rPr>
        <w:t xml:space="preserve">In that regard, when initially describing the ADA failure-to-accommodate prima face case, </w:t>
      </w:r>
      <w:r>
        <w:rPr>
          <w:rFonts w:ascii="Arial" w:eastAsia="Arial" w:hAnsi="Arial" w:cs="Arial"/>
          <w:i/>
          <w:color w:val="000000"/>
          <w:sz w:val="20"/>
        </w:rPr>
        <w:t>Foster</w:t>
      </w:r>
      <w:r>
        <w:rPr>
          <w:rFonts w:ascii="Arial" w:eastAsia="Arial" w:hAnsi="Arial" w:cs="Arial"/>
          <w:color w:val="000000"/>
          <w:sz w:val="20"/>
        </w:rPr>
        <w:t xml:space="preserve"> noted that the "prima facie case mirrors the statutory elements," quoting for support only the language of § 12112(b)(5)(A), </w:t>
      </w:r>
      <w:r>
        <w:rPr>
          <w:rFonts w:ascii="Arial" w:eastAsia="Arial" w:hAnsi="Arial" w:cs="Arial"/>
          <w:i/>
          <w:color w:val="000000"/>
          <w:sz w:val="20"/>
        </w:rPr>
        <w:t>id.</w:t>
      </w:r>
      <w:r>
        <w:rPr>
          <w:rFonts w:ascii="Arial" w:eastAsia="Arial" w:hAnsi="Arial" w:cs="Arial"/>
          <w:color w:val="000000"/>
          <w:sz w:val="20"/>
        </w:rPr>
        <w:t xml:space="preserve">, which does not include the term "adverse employment action." And, when </w:t>
      </w:r>
      <w:r>
        <w:rPr>
          <w:rFonts w:ascii="Arial" w:eastAsia="Arial" w:hAnsi="Arial" w:cs="Arial"/>
          <w:i/>
          <w:color w:val="000000"/>
          <w:sz w:val="20"/>
        </w:rPr>
        <w:t>Foster</w:t>
      </w:r>
      <w:r>
        <w:rPr>
          <w:rFonts w:ascii="Arial" w:eastAsia="Arial" w:hAnsi="Arial" w:cs="Arial"/>
          <w:color w:val="000000"/>
          <w:sz w:val="20"/>
        </w:rPr>
        <w:t xml:space="preserve"> first stated the failure-to-accommodate prima face case, it tellingly described the showing that must be made by "a plaintiff who has suffered an adverse employment action." </w:t>
      </w:r>
      <w:r>
        <w:rPr>
          <w:rFonts w:ascii="Arial" w:eastAsia="Arial" w:hAnsi="Arial" w:cs="Arial"/>
          <w:i/>
          <w:color w:val="000000"/>
          <w:sz w:val="20"/>
        </w:rPr>
        <w:t>Id.</w:t>
      </w:r>
      <w:r>
        <w:rPr>
          <w:rFonts w:ascii="Arial" w:eastAsia="Arial" w:hAnsi="Arial" w:cs="Arial"/>
          <w:color w:val="000000"/>
          <w:sz w:val="20"/>
        </w:rPr>
        <w:t xml:space="preserve"> In any event, even if we were  [*809]  willing to put these serious questions aside, and view </w:t>
      </w:r>
      <w:r>
        <w:rPr>
          <w:rFonts w:ascii="Arial" w:eastAsia="Arial" w:hAnsi="Arial" w:cs="Arial"/>
          <w:i/>
          <w:color w:val="000000"/>
          <w:sz w:val="20"/>
        </w:rPr>
        <w:t>Foster</w:t>
      </w:r>
      <w:r>
        <w:rPr>
          <w:rFonts w:ascii="Arial" w:eastAsia="Arial" w:hAnsi="Arial" w:cs="Arial"/>
          <w:color w:val="000000"/>
          <w:sz w:val="20"/>
        </w:rPr>
        <w:t xml:space="preserve"> as supporting the general incorporation of an adverse-employment-action requirement into an ADA failure-to-accommodate claim, it would be a thin reed indeed upon which to rest an argument for such a requirement: </w:t>
      </w:r>
      <w:r>
        <w:rPr>
          <w:rFonts w:ascii="Arial" w:eastAsia="Arial" w:hAnsi="Arial" w:cs="Arial"/>
          <w:i/>
          <w:color w:val="000000"/>
          <w:sz w:val="20"/>
        </w:rPr>
        <w:t>Foster</w:t>
      </w:r>
      <w:r>
        <w:rPr>
          <w:rFonts w:ascii="Arial" w:eastAsia="Arial" w:hAnsi="Arial" w:cs="Arial"/>
          <w:color w:val="000000"/>
          <w:sz w:val="20"/>
        </w:rPr>
        <w:t xml:space="preserve"> cites no authority to support the purported incorporation of this element and, given the substantial body of Seventh Circuit authority [**47]  to the contrary, </w:t>
      </w:r>
      <w:r>
        <w:rPr>
          <w:rFonts w:ascii="Arial" w:eastAsia="Arial" w:hAnsi="Arial" w:cs="Arial"/>
          <w:i/>
          <w:color w:val="000000"/>
          <w:sz w:val="20"/>
        </w:rPr>
        <w:t>Foster</w:t>
      </w:r>
      <w:r>
        <w:rPr>
          <w:rFonts w:ascii="Arial" w:eastAsia="Arial" w:hAnsi="Arial" w:cs="Arial"/>
          <w:color w:val="000000"/>
          <w:sz w:val="20"/>
        </w:rPr>
        <w:t xml:space="preserve"> is seemingly an outlier.</w:t>
      </w:r>
      <w:r>
        <w:rPr>
          <w:rFonts w:ascii="Arial" w:eastAsia="Arial" w:hAnsi="Arial" w:cs="Arial"/>
          <w:vertAlign w:val="superscript"/>
        </w:rPr>
        <w:footnoteReference w:customMarkFollows="1" w:id="179"/>
        <w:t>15</w:t>
      </w:r>
    </w:p>
    <w:p w14:paraId="391CB8AE" w14:textId="77777777" w:rsidR="002B10A6" w:rsidRDefault="00000000">
      <w:pPr>
        <w:pStyle w:val="Normal23"/>
        <w:widowControl w:val="0"/>
        <w:spacing w:before="200" w:line="260" w:lineRule="atLeast"/>
        <w:jc w:val="both"/>
      </w:pPr>
      <w:bookmarkStart w:id="4656" w:name="Bookmark_para_63_3"/>
      <w:bookmarkStart w:id="4657" w:name="Bookmark_I61CDGHH2D6N120040000400"/>
      <w:bookmarkStart w:id="4658" w:name="Bookmark_I61CDGHJ2D6N160010000400"/>
      <w:bookmarkEnd w:id="4656"/>
      <w:bookmarkEnd w:id="4657"/>
      <w:bookmarkEnd w:id="4658"/>
      <w:r>
        <w:rPr>
          <w:rFonts w:ascii="Arial" w:eastAsia="Arial" w:hAnsi="Arial" w:cs="Arial"/>
          <w:color w:val="000000"/>
          <w:sz w:val="20"/>
        </w:rPr>
        <w:t xml:space="preserve">In a similar vein, what appears to be the predominant view of the Second Circuit is expressed in cases like </w:t>
      </w:r>
      <w:bookmarkStart w:id="4659" w:name="Bookmark_I61CDGHH2D6N120030000400"/>
      <w:bookmarkEnd w:id="4659"/>
      <w:r>
        <w:rPr>
          <w:rFonts w:ascii="Arial" w:eastAsia="Arial" w:hAnsi="Arial" w:cs="Arial"/>
          <w:i/>
          <w:color w:val="000000"/>
          <w:sz w:val="20"/>
        </w:rPr>
        <w:t>McMillan v. City of New York</w:t>
      </w:r>
      <w:r>
        <w:rPr>
          <w:rFonts w:ascii="Arial" w:eastAsia="Arial" w:hAnsi="Arial" w:cs="Arial"/>
          <w:color w:val="000000"/>
          <w:sz w:val="20"/>
        </w:rPr>
        <w:t xml:space="preserve">, 711 F.3d 120 (2d Cir. 2013), where the court stated that, in addition to those ADA discrimination claims alleging that the employee "suffered adverse employment action because of his disability," </w:t>
      </w:r>
      <w:bookmarkStart w:id="4660" w:name="Bookmark_I61CDGHH2D6N120050000400"/>
      <w:bookmarkEnd w:id="4660"/>
      <w:r>
        <w:rPr>
          <w:rFonts w:ascii="Arial" w:eastAsia="Arial" w:hAnsi="Arial" w:cs="Arial"/>
          <w:i/>
          <w:color w:val="000000"/>
          <w:sz w:val="20"/>
        </w:rPr>
        <w:t>id.</w:t>
      </w:r>
      <w:r>
        <w:rPr>
          <w:rFonts w:ascii="Arial" w:eastAsia="Arial" w:hAnsi="Arial" w:cs="Arial"/>
          <w:color w:val="000000"/>
          <w:sz w:val="20"/>
        </w:rPr>
        <w:t xml:space="preserve"> at 125 (quoting </w:t>
      </w:r>
      <w:bookmarkStart w:id="4661" w:name="Bookmark_I61CDGHJ28T4W10020000400"/>
      <w:bookmarkEnd w:id="4661"/>
      <w:r>
        <w:rPr>
          <w:rFonts w:ascii="Arial" w:eastAsia="Arial" w:hAnsi="Arial" w:cs="Arial"/>
          <w:i/>
          <w:color w:val="000000"/>
          <w:sz w:val="20"/>
        </w:rPr>
        <w:t>Sista v. CDC Ixis N. Am., Inc.</w:t>
      </w:r>
      <w:r>
        <w:rPr>
          <w:rFonts w:ascii="Arial" w:eastAsia="Arial" w:hAnsi="Arial" w:cs="Arial"/>
          <w:color w:val="000000"/>
          <w:sz w:val="20"/>
        </w:rPr>
        <w:t xml:space="preserve">, 445 F.3d 161, 169 (2d Cir. 2006)), "[a]n employer may </w:t>
      </w:r>
      <w:r>
        <w:rPr>
          <w:rFonts w:ascii="Arial" w:eastAsia="Arial" w:hAnsi="Arial" w:cs="Arial"/>
          <w:i/>
          <w:color w:val="000000"/>
          <w:sz w:val="20"/>
        </w:rPr>
        <w:t>also</w:t>
      </w:r>
      <w:r>
        <w:rPr>
          <w:rFonts w:ascii="Arial" w:eastAsia="Arial" w:hAnsi="Arial" w:cs="Arial"/>
          <w:color w:val="000000"/>
          <w:sz w:val="20"/>
        </w:rPr>
        <w:t xml:space="preserve"> violate the ADA by failing to provide a reasonable accommodation," </w:t>
      </w:r>
      <w:r>
        <w:rPr>
          <w:rFonts w:ascii="Arial" w:eastAsia="Arial" w:hAnsi="Arial" w:cs="Arial"/>
          <w:i/>
          <w:color w:val="000000"/>
          <w:sz w:val="20"/>
        </w:rPr>
        <w:t>id.</w:t>
      </w:r>
      <w:r>
        <w:rPr>
          <w:rFonts w:ascii="Arial" w:eastAsia="Arial" w:hAnsi="Arial" w:cs="Arial"/>
          <w:color w:val="000000"/>
          <w:sz w:val="20"/>
        </w:rPr>
        <w:t xml:space="preserve"> (emphasis added); </w:t>
      </w:r>
      <w:r>
        <w:rPr>
          <w:rFonts w:ascii="Arial" w:eastAsia="Arial" w:hAnsi="Arial" w:cs="Arial"/>
          <w:i/>
          <w:color w:val="000000"/>
          <w:sz w:val="20"/>
        </w:rPr>
        <w:t xml:space="preserve">see </w:t>
      </w:r>
      <w:bookmarkStart w:id="4662" w:name="Bookmark_I61CDGHJ28T4W10040000400"/>
      <w:bookmarkEnd w:id="4662"/>
      <w:r>
        <w:rPr>
          <w:rFonts w:ascii="Arial" w:eastAsia="Arial" w:hAnsi="Arial" w:cs="Arial"/>
          <w:i/>
          <w:color w:val="000000"/>
          <w:sz w:val="20"/>
        </w:rPr>
        <w:t>id.</w:t>
      </w:r>
      <w:r>
        <w:rPr>
          <w:rFonts w:ascii="Arial" w:eastAsia="Arial" w:hAnsi="Arial" w:cs="Arial"/>
          <w:color w:val="000000"/>
          <w:sz w:val="20"/>
        </w:rPr>
        <w:t xml:space="preserve"> at 126 (repeating the distinction between "discrimination claims based . . . on adverse employment actions" and those based "on failures to accommodate"); </w:t>
      </w:r>
      <w:r>
        <w:rPr>
          <w:rFonts w:ascii="Arial" w:eastAsia="Arial" w:hAnsi="Arial" w:cs="Arial"/>
          <w:i/>
          <w:color w:val="000000"/>
          <w:sz w:val="20"/>
        </w:rPr>
        <w:t xml:space="preserve">see also </w:t>
      </w:r>
      <w:bookmarkStart w:id="4663" w:name="Bookmark_I61CDGHJ2D6N150010000400"/>
      <w:bookmarkEnd w:id="4663"/>
      <w:r>
        <w:rPr>
          <w:rFonts w:ascii="Arial" w:eastAsia="Arial" w:hAnsi="Arial" w:cs="Arial"/>
          <w:i/>
          <w:color w:val="000000"/>
          <w:sz w:val="20"/>
        </w:rPr>
        <w:t>Graves v. Finch Pruyn &amp; Co.</w:t>
      </w:r>
      <w:r>
        <w:rPr>
          <w:rFonts w:ascii="Arial" w:eastAsia="Arial" w:hAnsi="Arial" w:cs="Arial"/>
          <w:color w:val="000000"/>
          <w:sz w:val="20"/>
        </w:rPr>
        <w:t xml:space="preserve">, 457 F.3d 181, 184 (2d Cir. 2006) ("In so-called reasonable-accommodation cases, such as this one, the plaintiff's burden 'requires a showing that (1) plaintiff is a person with a disability under the meaning of the ADA; (2) an employer covered by the statute had notice of his disability; (3) with reasonable accommodation, plaintiff could perform the essential functions of the job at issue; and (4) the employer has refused to make such accommodations.'" (quoting </w:t>
      </w:r>
      <w:bookmarkStart w:id="4664" w:name="Bookmark_I61CDGHJ2D6N150030000400"/>
      <w:bookmarkEnd w:id="4664"/>
      <w:r>
        <w:rPr>
          <w:rFonts w:ascii="Arial" w:eastAsia="Arial" w:hAnsi="Arial" w:cs="Arial"/>
          <w:i/>
          <w:color w:val="000000"/>
          <w:sz w:val="20"/>
        </w:rPr>
        <w:t>Rodal v. Anesthesia Grp. of Onondaga, P.C.</w:t>
      </w:r>
      <w:r>
        <w:rPr>
          <w:rFonts w:ascii="Arial" w:eastAsia="Arial" w:hAnsi="Arial" w:cs="Arial"/>
          <w:color w:val="000000"/>
          <w:sz w:val="20"/>
        </w:rPr>
        <w:t xml:space="preserve">, 369 F.3d 113, 118 (2d Cir. 2004))). </w:t>
      </w:r>
      <w:bookmarkStart w:id="4665" w:name="Bookmark_I61CDGHJ2D6N160030000400"/>
      <w:bookmarkEnd w:id="4665"/>
      <w:r>
        <w:rPr>
          <w:rFonts w:ascii="Arial" w:eastAsia="Arial" w:hAnsi="Arial" w:cs="Arial"/>
          <w:color w:val="000000"/>
          <w:sz w:val="20"/>
        </w:rPr>
        <w:t xml:space="preserve">But the Second Circuit's decisions admittedly are not entirely uniform. </w:t>
      </w:r>
      <w:bookmarkStart w:id="4666" w:name="Bookmark_I61CDGHJ2D6N160050000400"/>
      <w:bookmarkEnd w:id="4666"/>
      <w:r>
        <w:rPr>
          <w:rFonts w:ascii="Arial" w:eastAsia="Arial" w:hAnsi="Arial" w:cs="Arial"/>
          <w:color w:val="000000"/>
          <w:sz w:val="20"/>
        </w:rPr>
        <w:t xml:space="preserve">Notably, in </w:t>
      </w:r>
      <w:bookmarkStart w:id="4667" w:name="Bookmark_I61CDGHJ2D6N150050000400"/>
      <w:bookmarkEnd w:id="4667"/>
      <w:r>
        <w:rPr>
          <w:rFonts w:ascii="Arial" w:eastAsia="Arial" w:hAnsi="Arial" w:cs="Arial"/>
          <w:i/>
          <w:color w:val="000000"/>
          <w:sz w:val="20"/>
        </w:rPr>
        <w:t>Parker v. Sony Pictures Entertainment, Inc.</w:t>
      </w:r>
      <w:r>
        <w:rPr>
          <w:rFonts w:ascii="Arial" w:eastAsia="Arial" w:hAnsi="Arial" w:cs="Arial"/>
          <w:color w:val="000000"/>
          <w:sz w:val="20"/>
        </w:rPr>
        <w:t xml:space="preserve">, 260 F.3d 100 (2d Cir. 2001), the court suggested that ADA failure-to-accommodate [**48]  claims require an adverse employment action. </w:t>
      </w:r>
      <w:bookmarkStart w:id="4668" w:name="Bookmark_I61CDGHJ2D6N160050000400_2"/>
      <w:bookmarkStart w:id="4669" w:name="Bookmark_I61CDGHJ2D6N160030000400_2"/>
      <w:bookmarkEnd w:id="4668"/>
      <w:bookmarkEnd w:id="4669"/>
      <w:r>
        <w:rPr>
          <w:rFonts w:ascii="Arial" w:eastAsia="Arial" w:hAnsi="Arial" w:cs="Arial"/>
          <w:i/>
          <w:color w:val="000000"/>
          <w:sz w:val="20"/>
        </w:rPr>
        <w:t xml:space="preserve">See </w:t>
      </w:r>
      <w:bookmarkStart w:id="4670" w:name="Bookmark_I61CDGHJ2D6N160020000400"/>
      <w:bookmarkEnd w:id="4670"/>
      <w:r>
        <w:rPr>
          <w:rFonts w:ascii="Arial" w:eastAsia="Arial" w:hAnsi="Arial" w:cs="Arial"/>
          <w:i/>
          <w:color w:val="000000"/>
          <w:sz w:val="20"/>
        </w:rPr>
        <w:t>id.</w:t>
      </w:r>
      <w:r>
        <w:rPr>
          <w:rFonts w:ascii="Arial" w:eastAsia="Arial" w:hAnsi="Arial" w:cs="Arial"/>
          <w:color w:val="000000"/>
          <w:sz w:val="20"/>
        </w:rPr>
        <w:t xml:space="preserve"> at 107-08. Yet, the </w:t>
      </w:r>
      <w:r>
        <w:rPr>
          <w:rFonts w:ascii="Arial" w:eastAsia="Arial" w:hAnsi="Arial" w:cs="Arial"/>
          <w:i/>
          <w:color w:val="000000"/>
          <w:sz w:val="20"/>
        </w:rPr>
        <w:t>Parker</w:t>
      </w:r>
      <w:r>
        <w:rPr>
          <w:rFonts w:ascii="Arial" w:eastAsia="Arial" w:hAnsi="Arial" w:cs="Arial"/>
          <w:color w:val="000000"/>
          <w:sz w:val="20"/>
        </w:rPr>
        <w:t xml:space="preserve"> panel cited </w:t>
      </w:r>
      <w:r>
        <w:rPr>
          <w:rFonts w:ascii="Arial" w:eastAsia="Arial" w:hAnsi="Arial" w:cs="Arial"/>
          <w:i/>
          <w:color w:val="000000"/>
          <w:sz w:val="20"/>
        </w:rPr>
        <w:t>solely</w:t>
      </w:r>
      <w:r>
        <w:rPr>
          <w:rFonts w:ascii="Arial" w:eastAsia="Arial" w:hAnsi="Arial" w:cs="Arial"/>
          <w:color w:val="000000"/>
          <w:sz w:val="20"/>
        </w:rPr>
        <w:t xml:space="preserve"> the Seventh Circuit's </w:t>
      </w:r>
      <w:r>
        <w:rPr>
          <w:rFonts w:ascii="Arial" w:eastAsia="Arial" w:hAnsi="Arial" w:cs="Arial"/>
          <w:i/>
          <w:color w:val="000000"/>
          <w:sz w:val="20"/>
        </w:rPr>
        <w:t>Foster</w:t>
      </w:r>
      <w:r>
        <w:rPr>
          <w:rFonts w:ascii="Arial" w:eastAsia="Arial" w:hAnsi="Arial" w:cs="Arial"/>
          <w:color w:val="000000"/>
          <w:sz w:val="20"/>
        </w:rPr>
        <w:t xml:space="preserve"> decision for this proposition, </w:t>
      </w:r>
      <w:r>
        <w:rPr>
          <w:rFonts w:ascii="Arial" w:eastAsia="Arial" w:hAnsi="Arial" w:cs="Arial"/>
          <w:i/>
          <w:color w:val="000000"/>
          <w:sz w:val="20"/>
        </w:rPr>
        <w:t xml:space="preserve">see </w:t>
      </w:r>
      <w:bookmarkStart w:id="4671" w:name="Bookmark_I61CDGHJ2D6N160040000400"/>
      <w:bookmarkEnd w:id="4671"/>
      <w:r>
        <w:rPr>
          <w:rFonts w:ascii="Arial" w:eastAsia="Arial" w:hAnsi="Arial" w:cs="Arial"/>
          <w:i/>
          <w:color w:val="000000"/>
          <w:sz w:val="20"/>
        </w:rPr>
        <w:t>id.</w:t>
      </w:r>
      <w:r>
        <w:rPr>
          <w:rFonts w:ascii="Arial" w:eastAsia="Arial" w:hAnsi="Arial" w:cs="Arial"/>
          <w:color w:val="000000"/>
          <w:sz w:val="20"/>
        </w:rPr>
        <w:t xml:space="preserve"> at 108, and we have shown that </w:t>
      </w:r>
      <w:r>
        <w:rPr>
          <w:rFonts w:ascii="Arial" w:eastAsia="Arial" w:hAnsi="Arial" w:cs="Arial"/>
          <w:i/>
          <w:color w:val="000000"/>
          <w:sz w:val="20"/>
        </w:rPr>
        <w:t>Foster</w:t>
      </w:r>
      <w:r>
        <w:rPr>
          <w:rFonts w:ascii="Arial" w:eastAsia="Arial" w:hAnsi="Arial" w:cs="Arial"/>
          <w:color w:val="000000"/>
          <w:sz w:val="20"/>
        </w:rPr>
        <w:t xml:space="preserve"> provides a questionable and weak foundation for it.</w:t>
      </w:r>
    </w:p>
    <w:p w14:paraId="1DE5BCF6" w14:textId="77777777" w:rsidR="002B10A6" w:rsidRDefault="00000000">
      <w:pPr>
        <w:pStyle w:val="Normal23"/>
        <w:widowControl w:val="0"/>
        <w:spacing w:before="200" w:line="260" w:lineRule="atLeast"/>
        <w:jc w:val="both"/>
      </w:pPr>
      <w:bookmarkStart w:id="4672" w:name="Bookmark_para_64_3"/>
      <w:bookmarkStart w:id="4673" w:name="Bookmark_I61CDGHJ2HM6R10020000400"/>
      <w:bookmarkEnd w:id="4672"/>
      <w:bookmarkEnd w:id="4673"/>
      <w:r>
        <w:rPr>
          <w:rFonts w:ascii="Arial" w:eastAsia="Arial" w:hAnsi="Arial" w:cs="Arial"/>
          <w:color w:val="000000"/>
          <w:sz w:val="20"/>
        </w:rPr>
        <w:t xml:space="preserve">And, lastly, the story in the Ninth Circuit is similar. </w:t>
      </w:r>
      <w:bookmarkStart w:id="4674" w:name="Bookmark_LNHNREFclscc31_0"/>
      <w:bookmarkEnd w:id="4674"/>
      <w:r>
        <w:rPr>
          <w:rFonts w:ascii="Arial" w:eastAsia="Arial" w:hAnsi="Arial" w:cs="Arial"/>
          <w:color w:val="000000"/>
          <w:sz w:val="20"/>
        </w:rPr>
        <w:t xml:space="preserve">The predominant view gleaned from the cases there may be stated succinctly: an adverse employment action is not a requisite element of an ADA failure-to-accommodate claim. </w:t>
      </w:r>
      <w:r>
        <w:rPr>
          <w:rFonts w:ascii="Arial" w:eastAsia="Arial" w:hAnsi="Arial" w:cs="Arial"/>
          <w:i/>
          <w:color w:val="000000"/>
          <w:sz w:val="20"/>
        </w:rPr>
        <w:t xml:space="preserve">See, e.g., </w:t>
      </w:r>
      <w:bookmarkStart w:id="4675" w:name="Bookmark_I61CDGHJ2HM6R10010000400"/>
      <w:bookmarkEnd w:id="4675"/>
      <w:r>
        <w:rPr>
          <w:rFonts w:ascii="Arial" w:eastAsia="Arial" w:hAnsi="Arial" w:cs="Arial"/>
          <w:i/>
          <w:color w:val="000000"/>
          <w:sz w:val="20"/>
        </w:rPr>
        <w:t>Snapp v. United Transp. Union</w:t>
      </w:r>
      <w:r>
        <w:rPr>
          <w:rFonts w:ascii="Arial" w:eastAsia="Arial" w:hAnsi="Arial" w:cs="Arial"/>
          <w:color w:val="000000"/>
          <w:sz w:val="20"/>
        </w:rPr>
        <w:t xml:space="preserve">, 889 F.3d 1088, 1095 (9th Cir. 2018) ("The ADA treats the failure to provide a reasonable accommodation as an act of discrimination if the employee is a 'qualified individual,' the employer receives adequate notice, and a reasonable accommodation is available that would not place an undue hardship on the operation of the employer's business." (quoting 42 U.S.C. § 12112(b)(5)(A))); </w:t>
      </w:r>
      <w:bookmarkStart w:id="4676" w:name="Bookmark_I61CDGHJ2HM6R10030000400"/>
      <w:bookmarkEnd w:id="4676"/>
      <w:r>
        <w:rPr>
          <w:rFonts w:ascii="Arial" w:eastAsia="Arial" w:hAnsi="Arial" w:cs="Arial"/>
          <w:i/>
          <w:color w:val="000000"/>
          <w:sz w:val="20"/>
        </w:rPr>
        <w:t>Dunlap v. Liberty Nat. Prods., Inc.</w:t>
      </w:r>
      <w:r>
        <w:rPr>
          <w:rFonts w:ascii="Arial" w:eastAsia="Arial" w:hAnsi="Arial" w:cs="Arial"/>
          <w:color w:val="000000"/>
          <w:sz w:val="20"/>
        </w:rPr>
        <w:t xml:space="preserve">, 878 F.3d 794, 798 (9th Cir. 2017) ("recogniz[ing] that a failure-to-accommodate claim 'is analytically distinct from a claim of disparate treatment or impact under the ADA,'" and noting that where "[the employer] was aware of or had reason to be aware of [the employee's] desire for a reasonable accommodation," "[s]uch awareness triggered [the employer's] duty to engage in the interactive process" with the aim of reaching a reasonable accommodation [**49]  (citation omitted) (quoting </w:t>
      </w:r>
      <w:bookmarkStart w:id="4677" w:name="Bookmark_I61CDGHJ2HM6R10050000400"/>
      <w:bookmarkEnd w:id="4677"/>
      <w:r>
        <w:rPr>
          <w:rFonts w:ascii="Arial" w:eastAsia="Arial" w:hAnsi="Arial" w:cs="Arial"/>
          <w:i/>
          <w:color w:val="000000"/>
          <w:sz w:val="20"/>
        </w:rPr>
        <w:t>Johnson v. Bd. of Trs. of Boundary Cty. Sch. Dist.</w:t>
      </w:r>
      <w:r>
        <w:rPr>
          <w:rFonts w:ascii="Arial" w:eastAsia="Arial" w:hAnsi="Arial" w:cs="Arial"/>
          <w:color w:val="000000"/>
          <w:sz w:val="20"/>
        </w:rPr>
        <w:t xml:space="preserve">, 666 F.3d 561, 567 (9th Cir. 2011))); </w:t>
      </w:r>
      <w:r>
        <w:rPr>
          <w:rFonts w:ascii="Arial" w:eastAsia="Arial" w:hAnsi="Arial" w:cs="Arial"/>
          <w:i/>
          <w:color w:val="000000"/>
          <w:sz w:val="20"/>
        </w:rPr>
        <w:t>see also</w:t>
      </w:r>
      <w:r>
        <w:rPr>
          <w:rFonts w:ascii="Arial" w:eastAsia="Arial" w:hAnsi="Arial" w:cs="Arial"/>
          <w:color w:val="000000"/>
          <w:sz w:val="20"/>
        </w:rPr>
        <w:t xml:space="preserve"> </w:t>
      </w:r>
      <w:r>
        <w:rPr>
          <w:rFonts w:ascii="Arial" w:eastAsia="Arial" w:hAnsi="Arial" w:cs="Arial"/>
          <w:smallCaps/>
          <w:color w:val="000000"/>
          <w:sz w:val="20"/>
        </w:rPr>
        <w:t>Manual of Model Civil Jury Instructions for the Dist. Courts of the Ninth Circuit</w:t>
      </w:r>
      <w:r>
        <w:rPr>
          <w:rFonts w:ascii="Arial" w:eastAsia="Arial" w:hAnsi="Arial" w:cs="Arial"/>
          <w:color w:val="000000"/>
          <w:sz w:val="20"/>
        </w:rPr>
        <w:t xml:space="preserve"> § 12.7, at 293  [*810]  (</w:t>
      </w:r>
      <w:r>
        <w:rPr>
          <w:rFonts w:ascii="Arial" w:eastAsia="Arial" w:hAnsi="Arial" w:cs="Arial"/>
          <w:smallCaps/>
          <w:color w:val="000000"/>
          <w:sz w:val="20"/>
        </w:rPr>
        <w:t>Ninth Circuit Jury Instructions Comm.</w:t>
      </w:r>
      <w:r>
        <w:rPr>
          <w:rFonts w:ascii="Arial" w:eastAsia="Arial" w:hAnsi="Arial" w:cs="Arial"/>
          <w:color w:val="000000"/>
          <w:sz w:val="20"/>
        </w:rPr>
        <w:t>, revised 2020) (omitting an adverse employment action from the enumerated elements of an ADA failure-to-accommodate claim).</w:t>
      </w:r>
    </w:p>
    <w:p w14:paraId="118EE35D" w14:textId="77777777" w:rsidR="002B10A6" w:rsidRDefault="00000000">
      <w:pPr>
        <w:pStyle w:val="Normal23"/>
        <w:widowControl w:val="0"/>
        <w:spacing w:before="200" w:line="260" w:lineRule="atLeast"/>
        <w:jc w:val="both"/>
      </w:pPr>
      <w:bookmarkStart w:id="4678" w:name="Bookmark_para_65_3"/>
      <w:bookmarkStart w:id="4679" w:name="Bookmark_I61CDGHK2HM6R40030000400"/>
      <w:bookmarkEnd w:id="4678"/>
      <w:bookmarkEnd w:id="4679"/>
      <w:r>
        <w:rPr>
          <w:rFonts w:ascii="Arial" w:eastAsia="Arial" w:hAnsi="Arial" w:cs="Arial"/>
          <w:color w:val="000000"/>
          <w:sz w:val="20"/>
        </w:rPr>
        <w:t xml:space="preserve">To be sure, the County relies on one Ninth Circuit decision that stands against this significant weight of intra-circuit authority. </w:t>
      </w:r>
      <w:r>
        <w:rPr>
          <w:rFonts w:ascii="Arial" w:eastAsia="Arial" w:hAnsi="Arial" w:cs="Arial"/>
          <w:i/>
          <w:color w:val="000000"/>
          <w:sz w:val="20"/>
        </w:rPr>
        <w:t xml:space="preserve">See </w:t>
      </w:r>
      <w:bookmarkStart w:id="4680" w:name="Bookmark_I61CDGHK2HM6R40020000400"/>
      <w:bookmarkEnd w:id="4680"/>
      <w:r>
        <w:rPr>
          <w:rFonts w:ascii="Arial" w:eastAsia="Arial" w:hAnsi="Arial" w:cs="Arial"/>
          <w:i/>
          <w:color w:val="000000"/>
          <w:sz w:val="20"/>
        </w:rPr>
        <w:t>Samper v. Providence St. Vincent Med. Ctr.</w:t>
      </w:r>
      <w:r>
        <w:rPr>
          <w:rFonts w:ascii="Arial" w:eastAsia="Arial" w:hAnsi="Arial" w:cs="Arial"/>
          <w:color w:val="000000"/>
          <w:sz w:val="20"/>
        </w:rPr>
        <w:t xml:space="preserve">, 675 F.3d 1233, 1237 (9th Cir. 2012) ("To establish a prima facie case for failure to accommodate under the ADA, Samper must show that '(1) [s]he is disabled within the meaning of the ADA; (2) [s]he is a qualified individual able to perform the essential functions of the job with reasonable accommodation; and (3) [s]he suffered an adverse employment action because of [her] disability.'" (alterations in original) (quoting </w:t>
      </w:r>
      <w:bookmarkStart w:id="4681" w:name="Bookmark_I61CDGHK2HM6R40040000400"/>
      <w:bookmarkEnd w:id="4681"/>
      <w:r>
        <w:rPr>
          <w:rFonts w:ascii="Arial" w:eastAsia="Arial" w:hAnsi="Arial" w:cs="Arial"/>
          <w:i/>
          <w:color w:val="000000"/>
          <w:sz w:val="20"/>
        </w:rPr>
        <w:t>Allen v. Pac. Bell</w:t>
      </w:r>
      <w:r>
        <w:rPr>
          <w:rFonts w:ascii="Arial" w:eastAsia="Arial" w:hAnsi="Arial" w:cs="Arial"/>
          <w:color w:val="000000"/>
          <w:sz w:val="20"/>
        </w:rPr>
        <w:t xml:space="preserve">, 348 F.3d 1113, 1114 (9th Cir. 2003) (per curiam))). But, as with the Seventh Circuit's </w:t>
      </w:r>
      <w:r>
        <w:rPr>
          <w:rFonts w:ascii="Arial" w:eastAsia="Arial" w:hAnsi="Arial" w:cs="Arial"/>
          <w:i/>
          <w:color w:val="000000"/>
          <w:sz w:val="20"/>
        </w:rPr>
        <w:t>Foster</w:t>
      </w:r>
      <w:r>
        <w:rPr>
          <w:rFonts w:ascii="Arial" w:eastAsia="Arial" w:hAnsi="Arial" w:cs="Arial"/>
          <w:color w:val="000000"/>
          <w:sz w:val="20"/>
        </w:rPr>
        <w:t xml:space="preserve"> decision, </w:t>
      </w:r>
      <w:r>
        <w:rPr>
          <w:rFonts w:ascii="Arial" w:eastAsia="Arial" w:hAnsi="Arial" w:cs="Arial"/>
          <w:i/>
          <w:color w:val="000000"/>
          <w:sz w:val="20"/>
        </w:rPr>
        <w:t>Samper</w:t>
      </w:r>
      <w:r>
        <w:rPr>
          <w:rFonts w:ascii="Arial" w:eastAsia="Arial" w:hAnsi="Arial" w:cs="Arial"/>
          <w:color w:val="000000"/>
          <w:sz w:val="20"/>
        </w:rPr>
        <w:t xml:space="preserve"> appears to be an outlier and certainly is not representative of the Ninth Circuit's predominant view on the incorporation </w:t>
      </w:r>
      <w:r>
        <w:rPr>
          <w:rFonts w:ascii="Arial" w:eastAsia="Arial" w:hAnsi="Arial" w:cs="Arial"/>
          <w:i/>
          <w:color w:val="000000"/>
          <w:sz w:val="20"/>
        </w:rPr>
        <w:t>vel non</w:t>
      </w:r>
      <w:r>
        <w:rPr>
          <w:rFonts w:ascii="Arial" w:eastAsia="Arial" w:hAnsi="Arial" w:cs="Arial"/>
          <w:color w:val="000000"/>
          <w:sz w:val="20"/>
        </w:rPr>
        <w:t xml:space="preserve"> of an adverse-employment-action element into a failure-to-accommodate claim. Under that predominant view, this element is not incorporated.</w:t>
      </w:r>
    </w:p>
    <w:p w14:paraId="31B530E4" w14:textId="77777777" w:rsidR="002B10A6" w:rsidRDefault="00000000">
      <w:pPr>
        <w:pStyle w:val="Normal23"/>
        <w:widowControl w:val="0"/>
        <w:spacing w:before="200" w:line="260" w:lineRule="atLeast"/>
        <w:jc w:val="both"/>
      </w:pPr>
      <w:bookmarkStart w:id="4682" w:name="Bookmark_para_66_3"/>
      <w:bookmarkStart w:id="4683" w:name="Bookmark_I61CDGHM2SF8H10020000400"/>
      <w:bookmarkEnd w:id="4682"/>
      <w:bookmarkEnd w:id="4683"/>
      <w:r>
        <w:rPr>
          <w:rFonts w:ascii="Arial" w:eastAsia="Arial" w:hAnsi="Arial" w:cs="Arial"/>
          <w:color w:val="000000"/>
          <w:sz w:val="20"/>
        </w:rPr>
        <w:t xml:space="preserve">In sum, from this survey of the decisions [**50]  of our sister circuits, the critical takeaway is this: </w:t>
      </w:r>
      <w:r>
        <w:rPr>
          <w:rFonts w:ascii="Arial" w:eastAsia="Arial" w:hAnsi="Arial" w:cs="Arial"/>
          <w:i/>
          <w:color w:val="000000"/>
          <w:sz w:val="20"/>
        </w:rPr>
        <w:t>none</w:t>
      </w:r>
      <w:r>
        <w:rPr>
          <w:rFonts w:ascii="Arial" w:eastAsia="Arial" w:hAnsi="Arial" w:cs="Arial"/>
          <w:color w:val="000000"/>
          <w:sz w:val="20"/>
        </w:rPr>
        <w:t xml:space="preserve"> of our sister circuits has regularly incorporated an adverse-employment-action requirement into an ADA failure-to-accommodate claim. And, consequently, if we were to do so, we would be standing alone. Of course, we are free to do so, but we are reluctant to effectively create a circuit split (or at the very least something very closely akin to it), especially where so many circuits would be lined up against us. </w:t>
      </w:r>
      <w:r>
        <w:rPr>
          <w:rFonts w:ascii="Arial" w:eastAsia="Arial" w:hAnsi="Arial" w:cs="Arial"/>
          <w:i/>
          <w:color w:val="000000"/>
          <w:sz w:val="20"/>
        </w:rPr>
        <w:t xml:space="preserve">See </w:t>
      </w:r>
      <w:bookmarkStart w:id="4684" w:name="Bookmark_I61CDGHM2SF8H10010000400"/>
      <w:bookmarkEnd w:id="4684"/>
      <w:r>
        <w:rPr>
          <w:rFonts w:ascii="Arial" w:eastAsia="Arial" w:hAnsi="Arial" w:cs="Arial"/>
          <w:i/>
          <w:color w:val="000000"/>
          <w:sz w:val="20"/>
        </w:rPr>
        <w:t>United States v. Thomas</w:t>
      </w:r>
      <w:r>
        <w:rPr>
          <w:rFonts w:ascii="Arial" w:eastAsia="Arial" w:hAnsi="Arial" w:cs="Arial"/>
          <w:color w:val="000000"/>
          <w:sz w:val="20"/>
        </w:rPr>
        <w:t>, 939 F.3d 1121, 1130-31 (10th Cir. 2019) (noting that "[w]e should not create a circuit split merely because we think the contrary arguments are marginally better," and that "the greater the number of circuits that are aligned together, the more an appropriate judicial modesty should make us reluctant to reject that uniform judgment. Although Defendant's argument is hardly frivolous, we do not think it sufficiently persuasive to overcome that reluctance").</w:t>
      </w:r>
    </w:p>
    <w:p w14:paraId="0F2166F5" w14:textId="77777777" w:rsidR="002B10A6" w:rsidRDefault="00000000">
      <w:pPr>
        <w:pStyle w:val="Normal23"/>
        <w:widowControl w:val="0"/>
        <w:spacing w:before="240" w:line="260" w:lineRule="atLeast"/>
      </w:pPr>
      <w:r>
        <w:br/>
      </w:r>
      <w:r>
        <w:rPr>
          <w:rFonts w:ascii="Arial" w:eastAsia="Arial" w:hAnsi="Arial" w:cs="Arial"/>
          <w:b/>
          <w:color w:val="000000"/>
          <w:sz w:val="20"/>
        </w:rPr>
        <w:t>C</w:t>
      </w:r>
    </w:p>
    <w:p w14:paraId="0F778D76" w14:textId="77777777" w:rsidR="002B10A6" w:rsidRDefault="00000000">
      <w:pPr>
        <w:pStyle w:val="Normal23"/>
        <w:widowControl w:val="0"/>
        <w:spacing w:before="200" w:line="260" w:lineRule="atLeast"/>
        <w:jc w:val="both"/>
      </w:pPr>
      <w:bookmarkStart w:id="4685" w:name="Bookmark_para_67_3"/>
      <w:bookmarkStart w:id="4686" w:name="Bookmark_I61CDGHM2SF8H10040000400"/>
      <w:bookmarkEnd w:id="4685"/>
      <w:bookmarkEnd w:id="4686"/>
      <w:r>
        <w:rPr>
          <w:rFonts w:ascii="Arial" w:eastAsia="Arial" w:hAnsi="Arial" w:cs="Arial"/>
          <w:color w:val="000000"/>
          <w:sz w:val="20"/>
        </w:rPr>
        <w:t xml:space="preserve">Despite this virtual mountain of contrary legal authority and practice—in this and other circuits—the district court nevertheless instructed the jury here that an adverse employment action was a requisite element of an ADA failure-to-accommodate claim. In so doing, the court effectively read the relevant [**51]  statutory text as including language that it undisputedly does not—that is, the term "adverse employment action." As we noted early on, </w:t>
      </w:r>
      <w:r>
        <w:rPr>
          <w:rFonts w:ascii="Arial" w:eastAsia="Arial" w:hAnsi="Arial" w:cs="Arial"/>
          <w:i/>
          <w:color w:val="000000"/>
          <w:sz w:val="20"/>
        </w:rPr>
        <w:t>see</w:t>
      </w:r>
      <w:r>
        <w:rPr>
          <w:rFonts w:ascii="Arial" w:eastAsia="Arial" w:hAnsi="Arial" w:cs="Arial"/>
          <w:color w:val="000000"/>
          <w:sz w:val="20"/>
        </w:rPr>
        <w:t xml:space="preserve"> Part II.A </w:t>
      </w:r>
      <w:r>
        <w:rPr>
          <w:rFonts w:ascii="Arial" w:eastAsia="Arial" w:hAnsi="Arial" w:cs="Arial"/>
          <w:i/>
          <w:color w:val="000000"/>
          <w:sz w:val="20"/>
        </w:rPr>
        <w:t>supra</w:t>
      </w:r>
      <w:r>
        <w:rPr>
          <w:rFonts w:ascii="Arial" w:eastAsia="Arial" w:hAnsi="Arial" w:cs="Arial"/>
          <w:color w:val="000000"/>
          <w:sz w:val="20"/>
        </w:rPr>
        <w:t xml:space="preserve">, this mode of statutory interpretation—which effectively adds words to the statute—is generally impermissible, and it is so here, </w:t>
      </w:r>
      <w:r>
        <w:rPr>
          <w:rFonts w:ascii="Arial" w:eastAsia="Arial" w:hAnsi="Arial" w:cs="Arial"/>
          <w:i/>
          <w:color w:val="000000"/>
          <w:sz w:val="20"/>
        </w:rPr>
        <w:t xml:space="preserve">see, e.g., </w:t>
      </w:r>
      <w:bookmarkStart w:id="4687" w:name="Bookmark_I61CDGHM2SF8H10030000400"/>
      <w:bookmarkEnd w:id="4687"/>
      <w:r>
        <w:rPr>
          <w:rFonts w:ascii="Arial" w:eastAsia="Arial" w:hAnsi="Arial" w:cs="Arial"/>
          <w:i/>
          <w:color w:val="000000"/>
          <w:sz w:val="20"/>
        </w:rPr>
        <w:t>Dean</w:t>
      </w:r>
      <w:r>
        <w:rPr>
          <w:rFonts w:ascii="Arial" w:eastAsia="Arial" w:hAnsi="Arial" w:cs="Arial"/>
          <w:color w:val="000000"/>
          <w:sz w:val="20"/>
        </w:rPr>
        <w:t xml:space="preserve">, 556 U.S. at 572; </w:t>
      </w:r>
      <w:bookmarkStart w:id="4688" w:name="Bookmark_I61CDGHM2SF8H10050000400"/>
      <w:bookmarkEnd w:id="4688"/>
      <w:r>
        <w:rPr>
          <w:rFonts w:ascii="Arial" w:eastAsia="Arial" w:hAnsi="Arial" w:cs="Arial"/>
          <w:i/>
          <w:color w:val="000000"/>
          <w:sz w:val="20"/>
        </w:rPr>
        <w:t>Pueblo of San Ildefonso</w:t>
      </w:r>
      <w:r>
        <w:rPr>
          <w:rFonts w:ascii="Arial" w:eastAsia="Arial" w:hAnsi="Arial" w:cs="Arial"/>
          <w:color w:val="000000"/>
          <w:sz w:val="20"/>
        </w:rPr>
        <w:t>, 103 F.3d at 939. What we explain now is that, insofar as the district court, like the Panel Majority, believed that it was obligated to adopt such a reading of the statute in order to take into account the portion of the statute that provides that prohibited disability discrimination must be "in regard to job application procedures, the hiring, advancement, or discharge of employees, employee compensation, job training, and other terms, conditions, and privileges of employment," 42 U.S.C. § 12112(a),</w:t>
      </w:r>
      <w:r>
        <w:rPr>
          <w:rFonts w:ascii="Arial" w:eastAsia="Arial" w:hAnsi="Arial" w:cs="Arial"/>
          <w:vertAlign w:val="superscript"/>
        </w:rPr>
        <w:footnoteReference w:customMarkFollows="1" w:id="180"/>
        <w:t>16</w:t>
      </w:r>
      <w:r>
        <w:rPr>
          <w:rFonts w:ascii="Arial" w:eastAsia="Arial" w:hAnsi="Arial" w:cs="Arial"/>
          <w:color w:val="000000"/>
          <w:sz w:val="20"/>
        </w:rPr>
        <w:t xml:space="preserve"> the court was mistaken for at least two reasons.</w:t>
      </w:r>
    </w:p>
    <w:p w14:paraId="787AB424" w14:textId="77777777" w:rsidR="002B10A6" w:rsidRDefault="00000000">
      <w:pPr>
        <w:pStyle w:val="Normal23"/>
        <w:widowControl w:val="0"/>
        <w:spacing w:before="200" w:line="260" w:lineRule="atLeast"/>
        <w:jc w:val="both"/>
      </w:pPr>
      <w:bookmarkStart w:id="4690" w:name="Bookmark_para_68_3"/>
      <w:bookmarkEnd w:id="4690"/>
      <w:r>
        <w:rPr>
          <w:rFonts w:ascii="Arial" w:eastAsia="Arial" w:hAnsi="Arial" w:cs="Arial"/>
          <w:color w:val="000000"/>
          <w:sz w:val="20"/>
        </w:rPr>
        <w:t xml:space="preserve"> [*811]  First, the express incorporation of § 12112(a)'s terms-conditions-and-privileges-of-employment language into an ADA failure-to-accommodate claim is unnecessary because that claim necessarily implicates and provides particularized, concrete expression to that terms-conditions-and-privileges-of-employment language. </w:t>
      </w:r>
      <w:bookmarkStart w:id="4691" w:name="Bookmark_LNHNREFclscc32_0"/>
      <w:bookmarkEnd w:id="4691"/>
      <w:r>
        <w:rPr>
          <w:rFonts w:ascii="Arial" w:eastAsia="Arial" w:hAnsi="Arial" w:cs="Arial"/>
          <w:color w:val="000000"/>
          <w:sz w:val="20"/>
        </w:rPr>
        <w:t xml:space="preserve">In other words, to be actionable under Title I of the ADA, an employer's failure to [**52]  "mak[e] reasonable accommodations to the known physical or mental limitations of an otherwise qualified individual with a disability," </w:t>
      </w:r>
      <w:r>
        <w:rPr>
          <w:rFonts w:ascii="Arial" w:eastAsia="Arial" w:hAnsi="Arial" w:cs="Arial"/>
          <w:i/>
          <w:color w:val="000000"/>
          <w:sz w:val="20"/>
        </w:rPr>
        <w:t>id.</w:t>
      </w:r>
      <w:r>
        <w:rPr>
          <w:rFonts w:ascii="Arial" w:eastAsia="Arial" w:hAnsi="Arial" w:cs="Arial"/>
          <w:color w:val="000000"/>
          <w:sz w:val="20"/>
        </w:rPr>
        <w:t xml:space="preserve"> § 12112(b)(5)(A), necessarily—indeed, as a matter of logic and common sense—must involve (i.e., be "in regard to") that qualified person's "terms, conditions, and privileges of employment," as specified in § 12112(a). Therefore, it is unnecessary for a court to expressly incorporate § 12112(a)'s terms-conditions-and-privileges-of-employment language into an ADA failure-to-accommodate claim to ensure that this language, in substance, is taken into account. And, second, the term "adverse employment action"—as used by the district court in its instructions and as understood in our precedent—is not synonymous with the statutory language "terms, conditions, and privileges of employment." </w:t>
      </w:r>
      <w:bookmarkStart w:id="4692" w:name="Bookmark_LNHNREFclscc33_0"/>
      <w:bookmarkEnd w:id="4692"/>
      <w:r>
        <w:rPr>
          <w:rFonts w:ascii="Arial" w:eastAsia="Arial" w:hAnsi="Arial" w:cs="Arial"/>
          <w:color w:val="000000"/>
          <w:sz w:val="20"/>
        </w:rPr>
        <w:t>Therefore, even if a court desired (without any obligation to do so) to expressly take into account the terms-conditions-and-privileges-of-employment language of § 12112(a) in an ADA failure-to-accommodate claim, it would be misguided and legally improper for it to use—in lieu of this language—the term "adverse employment action."</w:t>
      </w:r>
    </w:p>
    <w:p w14:paraId="165DC5D6" w14:textId="77777777" w:rsidR="002B10A6" w:rsidRDefault="00000000">
      <w:pPr>
        <w:pStyle w:val="Normal23"/>
        <w:widowControl w:val="0"/>
        <w:spacing w:before="240" w:line="260" w:lineRule="atLeast"/>
      </w:pPr>
      <w:r>
        <w:br/>
      </w:r>
      <w:r>
        <w:rPr>
          <w:rFonts w:ascii="Arial" w:eastAsia="Arial" w:hAnsi="Arial" w:cs="Arial"/>
          <w:b/>
          <w:color w:val="000000"/>
          <w:sz w:val="20"/>
        </w:rPr>
        <w:t>1</w:t>
      </w:r>
    </w:p>
    <w:p w14:paraId="267B66DB" w14:textId="77777777" w:rsidR="002B10A6" w:rsidRDefault="00000000">
      <w:pPr>
        <w:pStyle w:val="Normal23"/>
        <w:widowControl w:val="0"/>
        <w:spacing w:before="200" w:line="260" w:lineRule="atLeast"/>
        <w:jc w:val="both"/>
      </w:pPr>
      <w:bookmarkStart w:id="4693" w:name="Bookmark_para_69_2"/>
      <w:bookmarkStart w:id="4694" w:name="Bookmark_I61CDGHM2HM6R80030000400"/>
      <w:bookmarkEnd w:id="4693"/>
      <w:bookmarkEnd w:id="4694"/>
      <w:r>
        <w:rPr>
          <w:rFonts w:ascii="Arial" w:eastAsia="Arial" w:hAnsi="Arial" w:cs="Arial"/>
          <w:color w:val="000000"/>
          <w:sz w:val="20"/>
        </w:rPr>
        <w:t xml:space="preserve">To explain why </w:t>
      </w:r>
      <w:bookmarkStart w:id="4695" w:name="Bookmark_LNHNREFclscc34_0"/>
      <w:bookmarkEnd w:id="4695"/>
      <w:r>
        <w:rPr>
          <w:rFonts w:ascii="Arial" w:eastAsia="Arial" w:hAnsi="Arial" w:cs="Arial"/>
          <w:color w:val="000000"/>
          <w:sz w:val="20"/>
        </w:rPr>
        <w:t xml:space="preserve">the express incorporation of § 12112(a)'s terms-conditions-and-privileges-of-employment [**53]  language into an ADA failure-to-accommodate claim based on § 12112(b)(5)(A) is unnecessary, we must spend a few moments shedding light on the structure and operation of the relevant statutory provisions. </w:t>
      </w:r>
      <w:r>
        <w:rPr>
          <w:rFonts w:ascii="Arial" w:eastAsia="Arial" w:hAnsi="Arial" w:cs="Arial"/>
          <w:i/>
          <w:color w:val="000000"/>
          <w:sz w:val="20"/>
        </w:rPr>
        <w:t xml:space="preserve">Cf. </w:t>
      </w:r>
      <w:bookmarkStart w:id="4696" w:name="Bookmark_I61CDGHM2HM6R80020000400"/>
      <w:bookmarkEnd w:id="4696"/>
      <w:r>
        <w:rPr>
          <w:rFonts w:ascii="Arial" w:eastAsia="Arial" w:hAnsi="Arial" w:cs="Arial"/>
          <w:i/>
          <w:color w:val="000000"/>
          <w:sz w:val="20"/>
        </w:rPr>
        <w:t>Hamer</w:t>
      </w:r>
      <w:r>
        <w:rPr>
          <w:rFonts w:ascii="Arial" w:eastAsia="Arial" w:hAnsi="Arial" w:cs="Arial"/>
          <w:color w:val="000000"/>
          <w:sz w:val="20"/>
        </w:rPr>
        <w:t xml:space="preserve">, 924 F.3d at 1103-04 (noting, while interpreting portions of Title II of the ADA, that "the text and structure . . . guide our decision": "[o]ur starting point is the plain language of Title II," and, because "the meaning of statutory language, plain or not, depends on context," "we may also look to the 'specific context in which that language is used' and 'the broader context of the statute as a whole'" (first quoting </w:t>
      </w:r>
      <w:bookmarkStart w:id="4697" w:name="Bookmark_I61CDGHM2HM6R80040000400"/>
      <w:bookmarkEnd w:id="4697"/>
      <w:r>
        <w:rPr>
          <w:rFonts w:ascii="Arial" w:eastAsia="Arial" w:hAnsi="Arial" w:cs="Arial"/>
          <w:i/>
          <w:color w:val="000000"/>
          <w:sz w:val="20"/>
        </w:rPr>
        <w:t>First Nat'l Bank of Durango v. Woods (In re Woods)</w:t>
      </w:r>
      <w:r>
        <w:rPr>
          <w:rFonts w:ascii="Arial" w:eastAsia="Arial" w:hAnsi="Arial" w:cs="Arial"/>
          <w:color w:val="000000"/>
          <w:sz w:val="20"/>
        </w:rPr>
        <w:t xml:space="preserve">, 743 F.3d 689, 694 (10th Cir. 2014), and then quoting </w:t>
      </w:r>
      <w:bookmarkStart w:id="4698" w:name="Bookmark_I61CDGHM2SF8H30010000400"/>
      <w:bookmarkEnd w:id="4698"/>
      <w:r>
        <w:rPr>
          <w:rFonts w:ascii="Arial" w:eastAsia="Arial" w:hAnsi="Arial" w:cs="Arial"/>
          <w:i/>
          <w:color w:val="000000"/>
          <w:sz w:val="20"/>
        </w:rPr>
        <w:t>Salazar v. Butterball, LLC</w:t>
      </w:r>
      <w:r>
        <w:rPr>
          <w:rFonts w:ascii="Arial" w:eastAsia="Arial" w:hAnsi="Arial" w:cs="Arial"/>
          <w:color w:val="000000"/>
          <w:sz w:val="20"/>
        </w:rPr>
        <w:t>, 644 F.3d 1130, 1137 (10th Cir. 2011))).</w:t>
      </w:r>
    </w:p>
    <w:p w14:paraId="6725974E" w14:textId="77777777" w:rsidR="002B10A6" w:rsidRDefault="00000000">
      <w:pPr>
        <w:pStyle w:val="Normal23"/>
        <w:widowControl w:val="0"/>
        <w:spacing w:before="200" w:line="260" w:lineRule="atLeast"/>
        <w:jc w:val="both"/>
      </w:pPr>
      <w:bookmarkStart w:id="4699" w:name="Bookmark_para_70_2"/>
      <w:bookmarkEnd w:id="4699"/>
      <w:r>
        <w:rPr>
          <w:rFonts w:ascii="Arial" w:eastAsia="Arial" w:hAnsi="Arial" w:cs="Arial"/>
          <w:color w:val="000000"/>
          <w:sz w:val="20"/>
        </w:rPr>
        <w:t>Recall that § 12112(a), entitled "General rule," provides the general, employment-discrimination proscription of Title I of the ADA, stating the following:</w:t>
      </w:r>
    </w:p>
    <w:p w14:paraId="282A6A92" w14:textId="77777777" w:rsidR="002B10A6" w:rsidRDefault="00000000">
      <w:pPr>
        <w:pStyle w:val="Normal23"/>
        <w:widowControl w:val="0"/>
        <w:spacing w:line="260" w:lineRule="atLeast"/>
        <w:ind w:left="400"/>
        <w:jc w:val="both"/>
      </w:pPr>
      <w:bookmarkStart w:id="4700" w:name="Bookmark_para_71_2"/>
      <w:bookmarkEnd w:id="4700"/>
      <w:r>
        <w:rPr>
          <w:rFonts w:ascii="Arial" w:eastAsia="Arial" w:hAnsi="Arial" w:cs="Arial"/>
          <w:color w:val="000000"/>
          <w:sz w:val="20"/>
        </w:rPr>
        <w:t>No covered entity shall [1] discriminate against a qualified individual on the basis of disability [2] in regard to job application procedures, the hiring, advancement, or discharge of employees, employee compensation, job training, and other terms, conditions, and privileges of employment.</w:t>
      </w:r>
    </w:p>
    <w:p w14:paraId="7E4737B4" w14:textId="77777777" w:rsidR="002B10A6" w:rsidRDefault="00000000">
      <w:pPr>
        <w:pStyle w:val="Normal23"/>
        <w:widowControl w:val="0"/>
        <w:spacing w:before="200" w:line="260" w:lineRule="atLeast"/>
        <w:jc w:val="both"/>
      </w:pPr>
      <w:bookmarkStart w:id="4701" w:name="Bookmark_I61CDGHM2SF8H30040000400"/>
      <w:bookmarkEnd w:id="4701"/>
      <w:r>
        <w:rPr>
          <w:rFonts w:ascii="Arial" w:eastAsia="Arial" w:hAnsi="Arial" w:cs="Arial"/>
          <w:color w:val="000000"/>
          <w:sz w:val="20"/>
        </w:rPr>
        <w:t xml:space="preserve">42 U.S.C. § 12112(a). </w:t>
      </w:r>
      <w:bookmarkStart w:id="4702" w:name="Bookmark_LNHNREFclscc35_0"/>
      <w:bookmarkEnd w:id="4702"/>
      <w:r>
        <w:rPr>
          <w:rFonts w:ascii="Arial" w:eastAsia="Arial" w:hAnsi="Arial" w:cs="Arial"/>
          <w:color w:val="000000"/>
          <w:sz w:val="20"/>
        </w:rPr>
        <w:t>As the inserted brackets evince, there are two salient components to § 12112(a).</w:t>
      </w:r>
      <w:r>
        <w:rPr>
          <w:rFonts w:ascii="Arial" w:eastAsia="Arial" w:hAnsi="Arial" w:cs="Arial"/>
          <w:vertAlign w:val="superscript"/>
        </w:rPr>
        <w:footnoteReference w:customMarkFollows="1" w:id="181"/>
        <w:t>17</w:t>
      </w:r>
      <w:r>
        <w:rPr>
          <w:rFonts w:ascii="Arial" w:eastAsia="Arial" w:hAnsi="Arial" w:cs="Arial"/>
          <w:color w:val="000000"/>
          <w:sz w:val="20"/>
        </w:rPr>
        <w:t xml:space="preserve"> First, the statute defines in general terms the nature of its protection: that [**54]  is, the statute protects "a qualified individual" from being "discriminate[d] against . . . on the basis of a disability."  [*812]  </w:t>
      </w:r>
      <w:r>
        <w:rPr>
          <w:rFonts w:ascii="Arial" w:eastAsia="Arial" w:hAnsi="Arial" w:cs="Arial"/>
          <w:i/>
          <w:color w:val="000000"/>
          <w:sz w:val="20"/>
        </w:rPr>
        <w:t>Id.</w:t>
      </w:r>
      <w:r>
        <w:rPr>
          <w:rFonts w:ascii="Arial" w:eastAsia="Arial" w:hAnsi="Arial" w:cs="Arial"/>
          <w:color w:val="000000"/>
          <w:sz w:val="20"/>
        </w:rPr>
        <w:t xml:space="preserve"> Second, the statute specifies what this protection is "in regard to": it protects "qualified" persons from disability discrimination "in regard to" employment-related matters, particularly all matters relating to "terms, conditions, and privileges of employment." </w:t>
      </w:r>
      <w:r>
        <w:rPr>
          <w:rFonts w:ascii="Arial" w:eastAsia="Arial" w:hAnsi="Arial" w:cs="Arial"/>
          <w:i/>
          <w:color w:val="000000"/>
          <w:sz w:val="20"/>
        </w:rPr>
        <w:t>Id.</w:t>
      </w:r>
      <w:r>
        <w:rPr>
          <w:rFonts w:ascii="Arial" w:eastAsia="Arial" w:hAnsi="Arial" w:cs="Arial"/>
          <w:color w:val="000000"/>
          <w:sz w:val="20"/>
        </w:rPr>
        <w:t xml:space="preserve"> Stated otherwise, boiled down to its essence, § 12112(a)'s language defines, first, who is being protected from disability discrimination (i.e., "a qualified individual") and, second, what kind of disability discrimination the protected individual is being protected from (i.e., disability discrimination "in regard to . . . terms, conditions, and privileges of employment"). The "General rule" of § 12112(a) thus evinces these two salient components.</w:t>
      </w:r>
    </w:p>
    <w:p w14:paraId="0D30FE56" w14:textId="77777777" w:rsidR="002B10A6" w:rsidRDefault="00000000">
      <w:pPr>
        <w:pStyle w:val="Normal23"/>
        <w:widowControl w:val="0"/>
        <w:spacing w:before="200" w:line="260" w:lineRule="atLeast"/>
        <w:jc w:val="both"/>
      </w:pPr>
      <w:bookmarkStart w:id="4705" w:name="Bookmark_para_72_2"/>
      <w:bookmarkStart w:id="4706" w:name="Bookmark_LNHNREFclscc36_0"/>
      <w:bookmarkEnd w:id="4705"/>
      <w:bookmarkEnd w:id="4706"/>
      <w:r>
        <w:rPr>
          <w:rFonts w:ascii="Arial" w:eastAsia="Arial" w:hAnsi="Arial" w:cs="Arial"/>
          <w:color w:val="000000"/>
          <w:sz w:val="20"/>
        </w:rPr>
        <w:t xml:space="preserve">Subsection 12112(b), entitled "Construction," is inextricably intertwined with § 12112(a)'s "General rule." Critically, it particularizes and makes concrete the second component of this rule by offering in non-comprehensive fashion examples of the kinds of disability discrimination that are "in regard to . . . terms, conditions, and privileges of employment." </w:t>
      </w:r>
      <w:r>
        <w:rPr>
          <w:rFonts w:ascii="Arial" w:eastAsia="Arial" w:hAnsi="Arial" w:cs="Arial"/>
          <w:i/>
          <w:color w:val="000000"/>
          <w:sz w:val="20"/>
        </w:rPr>
        <w:t>Id.</w:t>
      </w:r>
      <w:r>
        <w:rPr>
          <w:rFonts w:ascii="Arial" w:eastAsia="Arial" w:hAnsi="Arial" w:cs="Arial"/>
          <w:color w:val="000000"/>
          <w:sz w:val="20"/>
        </w:rPr>
        <w:t xml:space="preserve"> § 12112(a). Specifically, [**55]  subsection (b) provides in pertinent part, the following:</w:t>
      </w:r>
    </w:p>
    <w:p w14:paraId="2B99EC28" w14:textId="77777777" w:rsidR="002B10A6" w:rsidRDefault="00000000">
      <w:pPr>
        <w:pStyle w:val="Normal23"/>
        <w:widowControl w:val="0"/>
        <w:spacing w:line="260" w:lineRule="atLeast"/>
        <w:ind w:left="400"/>
        <w:jc w:val="both"/>
      </w:pPr>
      <w:bookmarkStart w:id="4707" w:name="Bookmark_para_73_1"/>
      <w:bookmarkEnd w:id="4707"/>
      <w:r>
        <w:rPr>
          <w:rFonts w:ascii="Arial" w:eastAsia="Arial" w:hAnsi="Arial" w:cs="Arial"/>
          <w:color w:val="000000"/>
          <w:sz w:val="20"/>
        </w:rPr>
        <w:t>As used in subsection (a), the term "discriminate against a qualified individual on the basis of disability" includes--</w:t>
      </w:r>
    </w:p>
    <w:p w14:paraId="4B0575E0" w14:textId="77777777" w:rsidR="002B10A6" w:rsidRDefault="00000000">
      <w:pPr>
        <w:pStyle w:val="Normal23"/>
        <w:widowControl w:val="0"/>
        <w:spacing w:before="200" w:line="260" w:lineRule="atLeast"/>
        <w:ind w:left="800"/>
        <w:jc w:val="both"/>
      </w:pPr>
      <w:bookmarkStart w:id="4708" w:name="Bookmark_para_74_1"/>
      <w:bookmarkEnd w:id="4708"/>
      <w:r>
        <w:rPr>
          <w:rFonts w:ascii="Arial" w:eastAsia="Arial" w:hAnsi="Arial" w:cs="Arial"/>
          <w:b/>
          <w:color w:val="000000"/>
          <w:sz w:val="20"/>
        </w:rPr>
        <w:t>(1)</w:t>
      </w:r>
      <w:r>
        <w:rPr>
          <w:rFonts w:ascii="Arial" w:eastAsia="Arial" w:hAnsi="Arial" w:cs="Arial"/>
          <w:color w:val="000000"/>
          <w:sz w:val="20"/>
        </w:rPr>
        <w:t xml:space="preserve"> limiting, segregating, or classifying a job applicant or employee in a way that adversely affects the opportunities or status of such applicant or employee because of the disability of such applicant or employee;</w:t>
      </w:r>
    </w:p>
    <w:p w14:paraId="2B87E6D2" w14:textId="77777777" w:rsidR="002B10A6" w:rsidRDefault="00000000">
      <w:pPr>
        <w:pStyle w:val="Normal23"/>
        <w:widowControl w:val="0"/>
        <w:spacing w:before="200" w:line="260" w:lineRule="atLeast"/>
        <w:ind w:left="800"/>
        <w:jc w:val="both"/>
      </w:pPr>
      <w:bookmarkStart w:id="4709" w:name="Bookmark_para_75_1"/>
      <w:bookmarkEnd w:id="4709"/>
      <w:r>
        <w:rPr>
          <w:rFonts w:ascii="Arial" w:eastAsia="Arial" w:hAnsi="Arial" w:cs="Arial"/>
          <w:b/>
          <w:color w:val="000000"/>
          <w:sz w:val="20"/>
        </w:rPr>
        <w:t>(2)</w:t>
      </w:r>
      <w:r>
        <w:rPr>
          <w:rFonts w:ascii="Arial" w:eastAsia="Arial" w:hAnsi="Arial" w:cs="Arial"/>
          <w:color w:val="000000"/>
          <w:sz w:val="20"/>
        </w:rPr>
        <w:t xml:space="preserve"> participating in a contractual or other arrangement or relationship that has the effect of subjecting a covered entity's qualified applicant or employee with a disability to the discrimination prohibited by this subchapter (such relationship includes a relationship with an employment or referral agency, labor union, an organization providing fringe benefits to an employee of the covered entity, or an organization providing training and apprenticeship programs);</w:t>
      </w:r>
    </w:p>
    <w:p w14:paraId="17AED4F7" w14:textId="77777777" w:rsidR="002B10A6" w:rsidRDefault="00000000">
      <w:pPr>
        <w:pStyle w:val="Normal23"/>
        <w:widowControl w:val="0"/>
        <w:spacing w:line="260" w:lineRule="atLeast"/>
        <w:ind w:left="800"/>
        <w:jc w:val="both"/>
      </w:pPr>
      <w:bookmarkStart w:id="4710" w:name="Bookmark_para_76_1"/>
      <w:bookmarkEnd w:id="4710"/>
      <w:r>
        <w:rPr>
          <w:rFonts w:ascii="Arial" w:eastAsia="Arial" w:hAnsi="Arial" w:cs="Arial"/>
          <w:color w:val="000000"/>
          <w:sz w:val="20"/>
        </w:rPr>
        <w:t>(3) utilizing standards, criteria, or methods of administration--</w:t>
      </w:r>
    </w:p>
    <w:p w14:paraId="292CD6EE" w14:textId="77777777" w:rsidR="002B10A6" w:rsidRDefault="00000000">
      <w:pPr>
        <w:pStyle w:val="Normal23"/>
        <w:widowControl w:val="0"/>
        <w:spacing w:before="200" w:line="260" w:lineRule="atLeast"/>
        <w:ind w:left="1200"/>
        <w:jc w:val="both"/>
      </w:pPr>
      <w:bookmarkStart w:id="4711" w:name="Bookmark_para_77_1"/>
      <w:bookmarkEnd w:id="4711"/>
      <w:r>
        <w:rPr>
          <w:rFonts w:ascii="Arial" w:eastAsia="Arial" w:hAnsi="Arial" w:cs="Arial"/>
          <w:b/>
          <w:color w:val="000000"/>
          <w:sz w:val="20"/>
        </w:rPr>
        <w:t>(A)</w:t>
      </w:r>
      <w:r>
        <w:rPr>
          <w:rFonts w:ascii="Arial" w:eastAsia="Arial" w:hAnsi="Arial" w:cs="Arial"/>
          <w:color w:val="000000"/>
          <w:sz w:val="20"/>
        </w:rPr>
        <w:t xml:space="preserve"> that have the effect of discrimination on the basis of disability; or</w:t>
      </w:r>
    </w:p>
    <w:p w14:paraId="383E4213" w14:textId="77777777" w:rsidR="002B10A6" w:rsidRDefault="00000000">
      <w:pPr>
        <w:pStyle w:val="Normal23"/>
        <w:widowControl w:val="0"/>
        <w:spacing w:before="200" w:line="260" w:lineRule="atLeast"/>
        <w:ind w:left="1200"/>
        <w:jc w:val="both"/>
      </w:pPr>
      <w:bookmarkStart w:id="4712" w:name="Bookmark_para_78_1"/>
      <w:bookmarkEnd w:id="4712"/>
      <w:r>
        <w:rPr>
          <w:rFonts w:ascii="Arial" w:eastAsia="Arial" w:hAnsi="Arial" w:cs="Arial"/>
          <w:b/>
          <w:color w:val="000000"/>
          <w:sz w:val="20"/>
        </w:rPr>
        <w:t>(B)</w:t>
      </w:r>
      <w:r>
        <w:rPr>
          <w:rFonts w:ascii="Arial" w:eastAsia="Arial" w:hAnsi="Arial" w:cs="Arial"/>
          <w:color w:val="000000"/>
          <w:sz w:val="20"/>
        </w:rPr>
        <w:t xml:space="preserve"> that perpetuate the discrimination of others who are subject to common administrative control;</w:t>
      </w:r>
    </w:p>
    <w:p w14:paraId="4779B608" w14:textId="77777777" w:rsidR="002B10A6" w:rsidRDefault="00000000">
      <w:pPr>
        <w:pStyle w:val="Normal23"/>
        <w:widowControl w:val="0"/>
        <w:spacing w:before="200" w:line="260" w:lineRule="atLeast"/>
        <w:ind w:left="800"/>
        <w:jc w:val="both"/>
      </w:pPr>
      <w:r>
        <w:rPr>
          <w:rFonts w:ascii="Arial" w:eastAsia="Arial" w:hAnsi="Arial" w:cs="Arial"/>
          <w:b/>
          <w:color w:val="000000"/>
          <w:sz w:val="20"/>
        </w:rPr>
        <w:t>(4)</w:t>
      </w:r>
      <w:r>
        <w:rPr>
          <w:rFonts w:ascii="Arial" w:eastAsia="Arial" w:hAnsi="Arial" w:cs="Arial"/>
          <w:color w:val="000000"/>
          <w:sz w:val="20"/>
        </w:rPr>
        <w:t xml:space="preserve"> excluding or otherwise denying equal jobs or benefits to a qualified individual because of the known disability of an individual [**56]  with whom the qualified individual is known to have a relationship or association;</w:t>
      </w:r>
    </w:p>
    <w:p w14:paraId="234936A9" w14:textId="77777777" w:rsidR="002B10A6" w:rsidRDefault="00000000">
      <w:pPr>
        <w:pStyle w:val="Normal23"/>
        <w:widowControl w:val="0"/>
        <w:spacing w:before="200" w:line="260" w:lineRule="atLeast"/>
        <w:ind w:left="800"/>
        <w:jc w:val="both"/>
      </w:pPr>
      <w:bookmarkStart w:id="4713" w:name="Bookmark_para_79_1"/>
      <w:bookmarkEnd w:id="4713"/>
      <w:r>
        <w:rPr>
          <w:rFonts w:ascii="Arial" w:eastAsia="Arial" w:hAnsi="Arial" w:cs="Arial"/>
          <w:b/>
          <w:color w:val="000000"/>
          <w:sz w:val="20"/>
        </w:rPr>
        <w:t>(5)(A)</w:t>
      </w:r>
      <w:r>
        <w:rPr>
          <w:rFonts w:ascii="Arial" w:eastAsia="Arial" w:hAnsi="Arial" w:cs="Arial"/>
          <w:color w:val="000000"/>
          <w:sz w:val="20"/>
        </w:rPr>
        <w:t xml:space="preserve"> </w:t>
      </w:r>
      <w:r>
        <w:rPr>
          <w:rFonts w:ascii="Arial" w:eastAsia="Arial" w:hAnsi="Arial" w:cs="Arial"/>
          <w:i/>
          <w:color w:val="000000"/>
          <w:sz w:val="20"/>
        </w:rPr>
        <w:t>not making reasonable accommodations to the known physical or mental limitations of an otherwise qualified individual with a disability who is an applicant or employee, unless such covered entity can demonstrate that the accommodation would impose an undue hardship on the operation of the business of such covered entity</w:t>
      </w:r>
      <w:r>
        <w:rPr>
          <w:rFonts w:ascii="Arial" w:eastAsia="Arial" w:hAnsi="Arial" w:cs="Arial"/>
          <w:color w:val="000000"/>
          <w:sz w:val="20"/>
        </w:rPr>
        <w:t>; or</w:t>
      </w:r>
    </w:p>
    <w:p w14:paraId="4AC2BE7F" w14:textId="77777777" w:rsidR="002B10A6" w:rsidRDefault="00000000">
      <w:pPr>
        <w:pStyle w:val="Normal23"/>
        <w:widowControl w:val="0"/>
        <w:spacing w:before="200" w:line="260" w:lineRule="atLeast"/>
        <w:ind w:left="800"/>
        <w:jc w:val="both"/>
      </w:pPr>
      <w:bookmarkStart w:id="4714" w:name="Bookmark_para_80_1"/>
      <w:bookmarkEnd w:id="4714"/>
      <w:r>
        <w:rPr>
          <w:rFonts w:ascii="Arial" w:eastAsia="Arial" w:hAnsi="Arial" w:cs="Arial"/>
          <w:b/>
          <w:color w:val="000000"/>
          <w:sz w:val="20"/>
        </w:rPr>
        <w:t>(B)</w:t>
      </w:r>
      <w:r>
        <w:rPr>
          <w:rFonts w:ascii="Arial" w:eastAsia="Arial" w:hAnsi="Arial" w:cs="Arial"/>
          <w:color w:val="000000"/>
          <w:sz w:val="20"/>
        </w:rPr>
        <w:t xml:space="preserve"> denying employment opportunities to a job applicant or employee who is an otherwise qualified individual with a disability, if such denial is based on the need of such covered entity to make reasonable accommodation to the physical or mental impairments of the employee or applicant;</w:t>
      </w:r>
    </w:p>
    <w:p w14:paraId="2C12E475" w14:textId="77777777" w:rsidR="002B10A6" w:rsidRDefault="00000000">
      <w:pPr>
        <w:pStyle w:val="Normal23"/>
        <w:widowControl w:val="0"/>
        <w:spacing w:before="200" w:line="260" w:lineRule="atLeast"/>
        <w:ind w:left="800"/>
        <w:jc w:val="both"/>
      </w:pPr>
      <w:bookmarkStart w:id="4715" w:name="Bookmark_para_81_1"/>
      <w:bookmarkEnd w:id="4715"/>
      <w:r>
        <w:rPr>
          <w:rFonts w:ascii="Arial" w:eastAsia="Arial" w:hAnsi="Arial" w:cs="Arial"/>
          <w:b/>
          <w:color w:val="000000"/>
          <w:sz w:val="20"/>
        </w:rPr>
        <w:t>(6)</w:t>
      </w:r>
      <w:r>
        <w:rPr>
          <w:rFonts w:ascii="Arial" w:eastAsia="Arial" w:hAnsi="Arial" w:cs="Arial"/>
          <w:color w:val="000000"/>
          <w:sz w:val="20"/>
        </w:rPr>
        <w:t xml:space="preserve"> using qualification standards, employment tests or other selection criteria that screen out or tend to screen out an individual with a disability or a class of individuals with disabilities unless the standard, test or other selection criteria, as used by the covered entity, is shown to be job-related for  [*813]  the position in question and is consistent with business necessity; and</w:t>
      </w:r>
    </w:p>
    <w:p w14:paraId="6BD31991" w14:textId="77777777" w:rsidR="002B10A6" w:rsidRDefault="00000000">
      <w:pPr>
        <w:pStyle w:val="Normal23"/>
        <w:widowControl w:val="0"/>
        <w:spacing w:before="200" w:line="260" w:lineRule="atLeast"/>
        <w:ind w:left="800"/>
        <w:jc w:val="both"/>
      </w:pPr>
      <w:bookmarkStart w:id="4716" w:name="Bookmark_para_82_1"/>
      <w:bookmarkEnd w:id="4716"/>
      <w:r>
        <w:rPr>
          <w:rFonts w:ascii="Arial" w:eastAsia="Arial" w:hAnsi="Arial" w:cs="Arial"/>
          <w:b/>
          <w:color w:val="000000"/>
          <w:sz w:val="20"/>
        </w:rPr>
        <w:t>(7)</w:t>
      </w:r>
      <w:r>
        <w:rPr>
          <w:rFonts w:ascii="Arial" w:eastAsia="Arial" w:hAnsi="Arial" w:cs="Arial"/>
          <w:color w:val="000000"/>
          <w:sz w:val="20"/>
        </w:rPr>
        <w:t xml:space="preserve"> failing to select and administer tests concerning employment in the most effective manner to ensure that, when such [**57]  test is administered to a job applicant or employee who has a disability that impairs sensory, manual, or speaking skills, such test results accurately reflect the skills, aptitude, or whatever other factor of such applicant or employee that such test purports to measure, rather than reflecting the impaired sensory, manual, or speaking skills of such employee or applicant (except where such skills are the factors that the test purports to measure).</w:t>
      </w:r>
    </w:p>
    <w:p w14:paraId="1C88D14E" w14:textId="77777777" w:rsidR="002B10A6" w:rsidRDefault="00000000">
      <w:pPr>
        <w:pStyle w:val="Normal23"/>
        <w:widowControl w:val="0"/>
        <w:spacing w:before="200" w:line="260" w:lineRule="atLeast"/>
        <w:jc w:val="both"/>
      </w:pPr>
      <w:r>
        <w:rPr>
          <w:rFonts w:ascii="Arial" w:eastAsia="Arial" w:hAnsi="Arial" w:cs="Arial"/>
          <w:i/>
          <w:color w:val="000000"/>
          <w:sz w:val="20"/>
        </w:rPr>
        <w:t>Id.</w:t>
      </w:r>
      <w:r>
        <w:rPr>
          <w:rFonts w:ascii="Arial" w:eastAsia="Arial" w:hAnsi="Arial" w:cs="Arial"/>
          <w:color w:val="000000"/>
          <w:sz w:val="20"/>
        </w:rPr>
        <w:t xml:space="preserve"> § 12112(b) (emphasis added). </w:t>
      </w:r>
      <w:bookmarkStart w:id="4717" w:name="Bookmark_LNHNREFclscc37_0"/>
      <w:bookmarkEnd w:id="4717"/>
      <w:r>
        <w:rPr>
          <w:rFonts w:ascii="Arial" w:eastAsia="Arial" w:hAnsi="Arial" w:cs="Arial"/>
          <w:color w:val="000000"/>
          <w:sz w:val="20"/>
        </w:rPr>
        <w:t xml:space="preserve">In other words, subsection (b) is inextricably intertwined with subsection (a)'s "General rule" because it underscores that a covered employer may not "discriminate against a qualified individual on the basis of disability," while at the same time particularizing and making concrete the second component of the "General rule" through examples of what prohibited disability discrimination in the employment context looks like—that is, what it means to discriminate against qualified individuals "in regard to . . . terms, conditions, and privileges of employment." </w:t>
      </w:r>
      <w:r>
        <w:rPr>
          <w:rFonts w:ascii="Arial" w:eastAsia="Arial" w:hAnsi="Arial" w:cs="Arial"/>
          <w:i/>
          <w:color w:val="000000"/>
          <w:sz w:val="20"/>
        </w:rPr>
        <w:t>Id.</w:t>
      </w:r>
      <w:r>
        <w:rPr>
          <w:rFonts w:ascii="Arial" w:eastAsia="Arial" w:hAnsi="Arial" w:cs="Arial"/>
          <w:color w:val="000000"/>
          <w:sz w:val="20"/>
        </w:rPr>
        <w:t xml:space="preserve"> § 12112(a).</w:t>
      </w:r>
    </w:p>
    <w:p w14:paraId="47D25A1A" w14:textId="77777777" w:rsidR="002B10A6" w:rsidRDefault="00000000">
      <w:pPr>
        <w:pStyle w:val="Normal23"/>
        <w:widowControl w:val="0"/>
        <w:spacing w:before="200" w:line="260" w:lineRule="atLeast"/>
        <w:jc w:val="both"/>
      </w:pPr>
      <w:bookmarkStart w:id="4718" w:name="Bookmark_para_83_1"/>
      <w:bookmarkStart w:id="4719" w:name="Bookmark_I61CDGHM2D6N1K0010000400"/>
      <w:bookmarkStart w:id="4720" w:name="Bookmark_LNHNREFclscc38_0"/>
      <w:bookmarkEnd w:id="4718"/>
      <w:bookmarkEnd w:id="4719"/>
      <w:bookmarkEnd w:id="4720"/>
      <w:r>
        <w:rPr>
          <w:rFonts w:ascii="Arial" w:eastAsia="Arial" w:hAnsi="Arial" w:cs="Arial"/>
          <w:color w:val="000000"/>
          <w:sz w:val="20"/>
        </w:rPr>
        <w:t>As to the second component, subsection (b)'s introductory clause, "As used in subsection (a)," clarifies that what follows in subsection (b) is not just some random list of ways that a covered employer may "discriminate against [**58]  a qualified individual on the basis of disability."</w:t>
      </w:r>
      <w:r>
        <w:rPr>
          <w:rFonts w:ascii="Arial" w:eastAsia="Arial" w:hAnsi="Arial" w:cs="Arial"/>
          <w:vertAlign w:val="superscript"/>
        </w:rPr>
        <w:footnoteReference w:customMarkFollows="1" w:id="182"/>
        <w:t>18</w:t>
      </w:r>
      <w:r>
        <w:rPr>
          <w:rFonts w:ascii="Arial" w:eastAsia="Arial" w:hAnsi="Arial" w:cs="Arial"/>
          <w:color w:val="000000"/>
          <w:sz w:val="20"/>
        </w:rPr>
        <w:t xml:space="preserve"> Rather, subsection (b)'s enumerated examples particularize and give concrete expression to areas of discriminatory conduct against qualified individuals that are expressly referenced in subsection (a). Consequently, these examples necessarily implicate—i.e., are "in regard to"—those individuals' "terms, conditions, and privileges of employment"; they are examples of discrimination "[a]s used in subsection (a)." </w:t>
      </w:r>
      <w:r>
        <w:rPr>
          <w:rFonts w:ascii="Arial" w:eastAsia="Arial" w:hAnsi="Arial" w:cs="Arial"/>
          <w:i/>
          <w:color w:val="000000"/>
          <w:sz w:val="20"/>
        </w:rPr>
        <w:t>Id.</w:t>
      </w:r>
      <w:r>
        <w:rPr>
          <w:rFonts w:ascii="Arial" w:eastAsia="Arial" w:hAnsi="Arial" w:cs="Arial"/>
          <w:color w:val="000000"/>
          <w:sz w:val="20"/>
        </w:rPr>
        <w:t xml:space="preserve"> § 12112(b).</w:t>
      </w:r>
    </w:p>
    <w:p w14:paraId="6BD77D32" w14:textId="77777777" w:rsidR="002B10A6" w:rsidRDefault="00000000">
      <w:pPr>
        <w:pStyle w:val="Normal23"/>
        <w:widowControl w:val="0"/>
        <w:spacing w:before="200" w:line="260" w:lineRule="atLeast"/>
        <w:jc w:val="both"/>
      </w:pPr>
      <w:bookmarkStart w:id="4723" w:name="Bookmark_para_84_1"/>
      <w:bookmarkStart w:id="4724" w:name="Bookmark_LNHNREFclscc39_0"/>
      <w:bookmarkEnd w:id="4723"/>
      <w:bookmarkEnd w:id="4724"/>
      <w:r>
        <w:rPr>
          <w:rFonts w:ascii="Arial" w:eastAsia="Arial" w:hAnsi="Arial" w:cs="Arial"/>
          <w:color w:val="000000"/>
          <w:sz w:val="20"/>
        </w:rPr>
        <w:t>The upshot of all of this is that § 12112(b) is inextricably intertwined with the "General rule" of § 12112(a)—and, more specifically, the second component of that rule—and all of the examples of subsection (b) necessarily implicate the terms-conditions-and-privileges-of-employment language of subsection (a). For instance, one form of discrimination listed in § 12112(b) is "</w:t>
      </w:r>
      <w:r>
        <w:rPr>
          <w:rFonts w:ascii="Arial" w:eastAsia="Arial" w:hAnsi="Arial" w:cs="Arial"/>
          <w:i/>
          <w:color w:val="000000"/>
          <w:sz w:val="20"/>
        </w:rPr>
        <w:t>limiting, segregating, or classifying a job applicant or employee</w:t>
      </w:r>
      <w:r>
        <w:rPr>
          <w:rFonts w:ascii="Arial" w:eastAsia="Arial" w:hAnsi="Arial" w:cs="Arial"/>
          <w:color w:val="000000"/>
          <w:sz w:val="20"/>
        </w:rPr>
        <w:t xml:space="preserve"> in a way that adversely affects the opportunities or status of such applicant or employee because of the disability of such applicant or employee." </w:t>
      </w:r>
      <w:r>
        <w:rPr>
          <w:rFonts w:ascii="Arial" w:eastAsia="Arial" w:hAnsi="Arial" w:cs="Arial"/>
          <w:i/>
          <w:color w:val="000000"/>
          <w:sz w:val="20"/>
        </w:rPr>
        <w:t>Id.</w:t>
      </w:r>
      <w:r>
        <w:rPr>
          <w:rFonts w:ascii="Arial" w:eastAsia="Arial" w:hAnsi="Arial" w:cs="Arial"/>
          <w:color w:val="000000"/>
          <w:sz w:val="20"/>
        </w:rPr>
        <w:t xml:space="preserve"> § 12112(b)(1) (emphasis added). This category of discrimination necessarily implicates § 12112(a)'s terms-conditions-and-privileges-of-employment language—that is, it necessarily is "in regard to . . . terms, conditions, and privileges [**59]  of employment," and, more specifically, may relate to "job application procedures, the hiring, advancement, or discharge of employees, employee compensation, [or] job training." </w:t>
      </w:r>
      <w:r>
        <w:rPr>
          <w:rFonts w:ascii="Arial" w:eastAsia="Arial" w:hAnsi="Arial" w:cs="Arial"/>
          <w:i/>
          <w:color w:val="000000"/>
          <w:sz w:val="20"/>
        </w:rPr>
        <w:t>Id.</w:t>
      </w:r>
      <w:r>
        <w:rPr>
          <w:rFonts w:ascii="Arial" w:eastAsia="Arial" w:hAnsi="Arial" w:cs="Arial"/>
          <w:color w:val="000000"/>
          <w:sz w:val="20"/>
        </w:rPr>
        <w:t xml:space="preserve"> § 12112(a). </w:t>
      </w:r>
      <w:bookmarkStart w:id="4725" w:name="Bookmark_LNHNREFclscc40_0"/>
      <w:bookmarkEnd w:id="4725"/>
      <w:r>
        <w:rPr>
          <w:rFonts w:ascii="Arial" w:eastAsia="Arial" w:hAnsi="Arial" w:cs="Arial"/>
          <w:color w:val="000000"/>
          <w:sz w:val="20"/>
        </w:rPr>
        <w:t>And another form of discrimination specified in subsection (b) is "</w:t>
      </w:r>
      <w:r>
        <w:rPr>
          <w:rFonts w:ascii="Arial" w:eastAsia="Arial" w:hAnsi="Arial" w:cs="Arial"/>
          <w:i/>
          <w:color w:val="000000"/>
          <w:sz w:val="20"/>
        </w:rPr>
        <w:t>using qualification standards, employment tests or other selection criteria that  [*814]  screen out or tend to screen out</w:t>
      </w:r>
      <w:r>
        <w:rPr>
          <w:rFonts w:ascii="Arial" w:eastAsia="Arial" w:hAnsi="Arial" w:cs="Arial"/>
          <w:color w:val="000000"/>
          <w:sz w:val="20"/>
        </w:rPr>
        <w:t xml:space="preserve"> an individual with a disability or a class of individuals with disabilities," unless doing so is necessary for the specific job position at issue. </w:t>
      </w:r>
      <w:r>
        <w:rPr>
          <w:rFonts w:ascii="Arial" w:eastAsia="Arial" w:hAnsi="Arial" w:cs="Arial"/>
          <w:i/>
          <w:color w:val="000000"/>
          <w:sz w:val="20"/>
        </w:rPr>
        <w:t>Id.</w:t>
      </w:r>
      <w:r>
        <w:rPr>
          <w:rFonts w:ascii="Arial" w:eastAsia="Arial" w:hAnsi="Arial" w:cs="Arial"/>
          <w:color w:val="000000"/>
          <w:sz w:val="20"/>
        </w:rPr>
        <w:t xml:space="preserve"> § 12112(b)(6) (emphasis added). This form of discrimination, too, is patently "in regard to . . . terms, conditions, and privileges of employment." </w:t>
      </w:r>
      <w:r>
        <w:rPr>
          <w:rFonts w:ascii="Arial" w:eastAsia="Arial" w:hAnsi="Arial" w:cs="Arial"/>
          <w:i/>
          <w:color w:val="000000"/>
          <w:sz w:val="20"/>
        </w:rPr>
        <w:t>Id.</w:t>
      </w:r>
      <w:r>
        <w:rPr>
          <w:rFonts w:ascii="Arial" w:eastAsia="Arial" w:hAnsi="Arial" w:cs="Arial"/>
          <w:color w:val="000000"/>
          <w:sz w:val="20"/>
        </w:rPr>
        <w:t xml:space="preserve"> § 12112(a).</w:t>
      </w:r>
    </w:p>
    <w:p w14:paraId="44EADAA1" w14:textId="77777777" w:rsidR="002B10A6" w:rsidRDefault="00000000">
      <w:pPr>
        <w:pStyle w:val="Normal23"/>
        <w:widowControl w:val="0"/>
        <w:spacing w:before="200" w:line="260" w:lineRule="atLeast"/>
        <w:jc w:val="both"/>
      </w:pPr>
      <w:bookmarkStart w:id="4726" w:name="Bookmark_para_85_1"/>
      <w:bookmarkEnd w:id="4726"/>
      <w:r>
        <w:rPr>
          <w:rFonts w:ascii="Arial" w:eastAsia="Arial" w:hAnsi="Arial" w:cs="Arial"/>
          <w:color w:val="000000"/>
          <w:sz w:val="20"/>
        </w:rPr>
        <w:t xml:space="preserve">Importantly, a materially similar assessment can be made as to the form of discrimination at issue here—a failure to accommodate—which is embodied in § 12112(b)(5)(A). Though the effect may not be as obvious as where an employer affirmatively acts to limit or classify qualified disabled individuals "in a way that adversely affects the[ir] opportunities or status . . . because of the[ir] disability," </w:t>
      </w:r>
      <w:r>
        <w:rPr>
          <w:rFonts w:ascii="Arial" w:eastAsia="Arial" w:hAnsi="Arial" w:cs="Arial"/>
          <w:i/>
          <w:color w:val="000000"/>
          <w:sz w:val="20"/>
        </w:rPr>
        <w:t>id.</w:t>
      </w:r>
      <w:r>
        <w:rPr>
          <w:rFonts w:ascii="Arial" w:eastAsia="Arial" w:hAnsi="Arial" w:cs="Arial"/>
          <w:color w:val="000000"/>
          <w:sz w:val="20"/>
        </w:rPr>
        <w:t xml:space="preserve"> </w:t>
      </w:r>
      <w:bookmarkStart w:id="4727" w:name="Bookmark_LNHNREFclscc41_0"/>
      <w:bookmarkEnd w:id="4727"/>
      <w:r>
        <w:rPr>
          <w:rFonts w:ascii="Arial" w:eastAsia="Arial" w:hAnsi="Arial" w:cs="Arial"/>
          <w:color w:val="000000"/>
          <w:sz w:val="20"/>
        </w:rPr>
        <w:t xml:space="preserve">§ 12112(b)(1), an employer's failure to "mak[e] reasonable accommodations to the known physical or mental limitations of an otherwise qualified individual with a disability," </w:t>
      </w:r>
      <w:r>
        <w:rPr>
          <w:rFonts w:ascii="Arial" w:eastAsia="Arial" w:hAnsi="Arial" w:cs="Arial"/>
          <w:i/>
          <w:color w:val="000000"/>
          <w:sz w:val="20"/>
        </w:rPr>
        <w:t>id.</w:t>
      </w:r>
      <w:r>
        <w:rPr>
          <w:rFonts w:ascii="Arial" w:eastAsia="Arial" w:hAnsi="Arial" w:cs="Arial"/>
          <w:color w:val="000000"/>
          <w:sz w:val="20"/>
        </w:rPr>
        <w:t xml:space="preserve"> § 12112(b)(5)(A) [**60] , where there is no "undue hardship" to the employer from doing so, is a form of disability discrimination that necessarily implicates the second component of § 12112(a)'s "General rule."</w:t>
      </w:r>
    </w:p>
    <w:p w14:paraId="00D228E3" w14:textId="77777777" w:rsidR="002B10A6" w:rsidRDefault="00000000">
      <w:pPr>
        <w:pStyle w:val="Normal23"/>
        <w:widowControl w:val="0"/>
        <w:spacing w:before="200" w:line="260" w:lineRule="atLeast"/>
        <w:jc w:val="both"/>
      </w:pPr>
      <w:bookmarkStart w:id="4728" w:name="Bookmark_para_86_1"/>
      <w:bookmarkStart w:id="4729" w:name="Bookmark_I61CDGHM2D6N1K0030000400"/>
      <w:bookmarkStart w:id="4730" w:name="Bookmark_LNHNREFclscc42_0"/>
      <w:bookmarkEnd w:id="4728"/>
      <w:bookmarkEnd w:id="4729"/>
      <w:bookmarkEnd w:id="4730"/>
      <w:r>
        <w:rPr>
          <w:rFonts w:ascii="Arial" w:eastAsia="Arial" w:hAnsi="Arial" w:cs="Arial"/>
          <w:color w:val="000000"/>
          <w:sz w:val="20"/>
        </w:rPr>
        <w:t xml:space="preserve">That is to say, it is a form of disability discrimination that necessarily is "in regard to . . . terms, conditions, and privileges of employment." </w:t>
      </w:r>
      <w:r>
        <w:rPr>
          <w:rFonts w:ascii="Arial" w:eastAsia="Arial" w:hAnsi="Arial" w:cs="Arial"/>
          <w:i/>
          <w:color w:val="000000"/>
          <w:sz w:val="20"/>
        </w:rPr>
        <w:t>Id.</w:t>
      </w:r>
      <w:r>
        <w:rPr>
          <w:rFonts w:ascii="Arial" w:eastAsia="Arial" w:hAnsi="Arial" w:cs="Arial"/>
          <w:color w:val="000000"/>
          <w:sz w:val="20"/>
        </w:rPr>
        <w:t xml:space="preserve"> § 12112(a); </w:t>
      </w:r>
      <w:r>
        <w:rPr>
          <w:rFonts w:ascii="Arial" w:eastAsia="Arial" w:hAnsi="Arial" w:cs="Arial"/>
          <w:i/>
          <w:color w:val="000000"/>
          <w:sz w:val="20"/>
        </w:rPr>
        <w:t>see id.</w:t>
      </w:r>
      <w:r>
        <w:rPr>
          <w:rFonts w:ascii="Arial" w:eastAsia="Arial" w:hAnsi="Arial" w:cs="Arial"/>
          <w:color w:val="000000"/>
          <w:sz w:val="20"/>
        </w:rPr>
        <w:t xml:space="preserve"> § 12111(9) ("The term 'reasonable accommodation' may include . . . (A) making existing facilities used by employees readily accessible to and usable by individuals with disabilities; and (B) job restructuring, part-time or modified work schedules, reassignment to a vacant position, acquisition or modification of equipment or devices, appropriate adjustment or modifications of examinations, training materials or policies, . . . and other similar accommodations for individuals with disabilities." (bolded text omitted)); </w:t>
      </w:r>
      <w:r>
        <w:rPr>
          <w:rFonts w:ascii="Arial" w:eastAsia="Arial" w:hAnsi="Arial" w:cs="Arial"/>
          <w:i/>
          <w:color w:val="000000"/>
          <w:sz w:val="20"/>
        </w:rPr>
        <w:t xml:space="preserve">see also </w:t>
      </w:r>
      <w:bookmarkStart w:id="4731" w:name="Bookmark_I61CDGHM2D6N1K0020000400"/>
      <w:bookmarkEnd w:id="4731"/>
      <w:r>
        <w:rPr>
          <w:rFonts w:ascii="Arial" w:eastAsia="Arial" w:hAnsi="Arial" w:cs="Arial"/>
          <w:i/>
          <w:color w:val="000000"/>
          <w:sz w:val="20"/>
        </w:rPr>
        <w:t>Lincoln</w:t>
      </w:r>
      <w:r>
        <w:rPr>
          <w:rFonts w:ascii="Arial" w:eastAsia="Arial" w:hAnsi="Arial" w:cs="Arial"/>
          <w:color w:val="000000"/>
          <w:sz w:val="20"/>
        </w:rPr>
        <w:t xml:space="preserve">, 900 F.3d at 1205 ("[T]he term 'reasonable accommodation' refers to those accommodations which presently, or in the near future, enable the employee to perform the </w:t>
      </w:r>
      <w:r>
        <w:rPr>
          <w:rFonts w:ascii="Arial" w:eastAsia="Arial" w:hAnsi="Arial" w:cs="Arial"/>
          <w:i/>
          <w:color w:val="000000"/>
          <w:sz w:val="20"/>
        </w:rPr>
        <w:t>essential functions of his job</w:t>
      </w:r>
      <w:r>
        <w:rPr>
          <w:rFonts w:ascii="Arial" w:eastAsia="Arial" w:hAnsi="Arial" w:cs="Arial"/>
          <w:color w:val="000000"/>
          <w:sz w:val="20"/>
        </w:rPr>
        <w:t xml:space="preserve">." (alteration in original) (emphasis added) (quoting </w:t>
      </w:r>
      <w:bookmarkStart w:id="4732" w:name="Bookmark_I61CDGHM2D6N1K0040000400"/>
      <w:bookmarkEnd w:id="4732"/>
      <w:r>
        <w:rPr>
          <w:rFonts w:ascii="Arial" w:eastAsia="Arial" w:hAnsi="Arial" w:cs="Arial"/>
          <w:i/>
          <w:color w:val="000000"/>
          <w:sz w:val="20"/>
        </w:rPr>
        <w:t>Punt</w:t>
      </w:r>
      <w:r>
        <w:rPr>
          <w:rFonts w:ascii="Arial" w:eastAsia="Arial" w:hAnsi="Arial" w:cs="Arial"/>
          <w:color w:val="000000"/>
          <w:sz w:val="20"/>
        </w:rPr>
        <w:t>, 862 F.3d at 1051)); 29 C.F.R § 1630.2(o) (defining "reasonable accommodation" as "[m]odifications or adjustments" concerning various terms, conditions, [**61]  and privileges of employment, including those relating to the "job application process" and "the work environment").</w:t>
      </w:r>
    </w:p>
    <w:p w14:paraId="19772A24" w14:textId="77777777" w:rsidR="002B10A6" w:rsidRDefault="00000000">
      <w:pPr>
        <w:pStyle w:val="Normal23"/>
        <w:widowControl w:val="0"/>
        <w:spacing w:before="200" w:line="260" w:lineRule="atLeast"/>
        <w:jc w:val="both"/>
      </w:pPr>
      <w:bookmarkStart w:id="4733" w:name="Bookmark_para_87_1"/>
      <w:bookmarkStart w:id="4734" w:name="Bookmark_LNHNREFclscc43_0"/>
      <w:bookmarkEnd w:id="4733"/>
      <w:bookmarkEnd w:id="4734"/>
      <w:r>
        <w:rPr>
          <w:rFonts w:ascii="Arial" w:eastAsia="Arial" w:hAnsi="Arial" w:cs="Arial"/>
          <w:color w:val="000000"/>
          <w:sz w:val="20"/>
        </w:rPr>
        <w:t>With this statutory analysis in mind, it should be clear that a failure-to-accommodate claim predicated on § 12112(b)(5)(A) need not expressly incorporate the terms-conditions-and-privileges-of-employment language of § 12112(a)'s "General rule" (i.e., the second component of that rule) in order for the failure-to-accommodate claim to adequately account in substance for that language. Put another way, even without expressly incorporating it as an element, § 12112(a)'s terms-conditions-and-privileges-of-employment language is, in substance, part and parcel of an ADA failure-to-accommodate claim.</w:t>
      </w:r>
      <w:r>
        <w:rPr>
          <w:rFonts w:ascii="Arial" w:eastAsia="Arial" w:hAnsi="Arial" w:cs="Arial"/>
          <w:vertAlign w:val="superscript"/>
        </w:rPr>
        <w:footnoteReference w:customMarkFollows="1" w:id="183"/>
        <w:t>19</w:t>
      </w:r>
      <w:r>
        <w:rPr>
          <w:rFonts w:ascii="Arial" w:eastAsia="Arial" w:hAnsi="Arial" w:cs="Arial"/>
          <w:color w:val="000000"/>
          <w:sz w:val="20"/>
        </w:rPr>
        <w:t xml:space="preserve"> Therefore, expressly incorporating that language into a failure-to-accommodate claim is unnecessary.</w:t>
      </w:r>
      <w:r>
        <w:rPr>
          <w:rFonts w:ascii="Arial" w:eastAsia="Arial" w:hAnsi="Arial" w:cs="Arial"/>
          <w:vertAlign w:val="superscript"/>
        </w:rPr>
        <w:footnoteReference w:customMarkFollows="1" w:id="184"/>
        <w:t>20</w:t>
      </w:r>
      <w:r>
        <w:rPr>
          <w:rFonts w:ascii="Arial" w:eastAsia="Arial" w:hAnsi="Arial" w:cs="Arial"/>
          <w:color w:val="000000"/>
          <w:sz w:val="20"/>
        </w:rPr>
        <w:t xml:space="preserve">  [*815]  Accordingly, insofar as the district court's belief was to the contrary, it was mistaken.</w:t>
      </w:r>
    </w:p>
    <w:p w14:paraId="0B9857DC" w14:textId="77777777" w:rsidR="002B10A6" w:rsidRDefault="00000000">
      <w:pPr>
        <w:pStyle w:val="Normal23"/>
        <w:widowControl w:val="0"/>
        <w:spacing w:before="240" w:line="260" w:lineRule="atLeast"/>
      </w:pPr>
      <w:r>
        <w:br/>
      </w:r>
      <w:r>
        <w:rPr>
          <w:rFonts w:ascii="Arial" w:eastAsia="Arial" w:hAnsi="Arial" w:cs="Arial"/>
          <w:b/>
          <w:color w:val="000000"/>
          <w:sz w:val="20"/>
        </w:rPr>
        <w:t>2</w:t>
      </w:r>
    </w:p>
    <w:p w14:paraId="6E6F5B6A" w14:textId="77777777" w:rsidR="002B10A6" w:rsidRDefault="00000000">
      <w:pPr>
        <w:pStyle w:val="Normal23"/>
        <w:widowControl w:val="0"/>
        <w:spacing w:before="200" w:line="260" w:lineRule="atLeast"/>
        <w:jc w:val="both"/>
      </w:pPr>
      <w:bookmarkStart w:id="4739" w:name="Bookmark_para_88_1"/>
      <w:bookmarkEnd w:id="4739"/>
      <w:r>
        <w:rPr>
          <w:rFonts w:ascii="Arial" w:eastAsia="Arial" w:hAnsi="Arial" w:cs="Arial"/>
          <w:color w:val="000000"/>
          <w:sz w:val="20"/>
        </w:rPr>
        <w:t>Furthermore, even if a district court were inclined (though not obliged) to expressly incorporate in some fashion § 12112(a)'s terms-conditions-and-privileges-of-employment language into its statement of an ADA failure-to-accommodate claim, it would be improper for the court to do so by equating the terms-conditions-and-privileges-of-employment [**62]  language with the term "adverse employment action." The term "adverse employment action"—as the district court used it in its instructions and as we have used it in our precedent—is not synonymous with § 12112(a)'s terms-conditions-and-privileges-of-employment language. Therefore, incorporating the "adverse employment action" term into the ADA's failure-to-accommodate claim—as the court did here—would effectively involve adding language to the relevant statutory text that has no footing there—either expressly or in substance. Such addition-through-interpretation ordinarily is impermissible, and we see no reason it should not be so here. We now elaborate on these matters.</w:t>
      </w:r>
    </w:p>
    <w:p w14:paraId="4112D473" w14:textId="77777777" w:rsidR="002B10A6" w:rsidRDefault="00000000">
      <w:pPr>
        <w:pStyle w:val="Normal23"/>
        <w:widowControl w:val="0"/>
        <w:spacing w:before="200" w:line="260" w:lineRule="atLeast"/>
        <w:jc w:val="both"/>
      </w:pPr>
      <w:bookmarkStart w:id="4740" w:name="Bookmark_para_89_1"/>
      <w:bookmarkEnd w:id="4740"/>
      <w:r>
        <w:rPr>
          <w:rFonts w:ascii="Arial" w:eastAsia="Arial" w:hAnsi="Arial" w:cs="Arial"/>
          <w:color w:val="000000"/>
          <w:sz w:val="20"/>
        </w:rPr>
        <w:t xml:space="preserve">The district court instructed the jury here that, in order to rule in Ms. Exby-Stolley's favor, it needed to find an adverse employment action—that is, in the words of the instruction, that she "was discharged from employment or suffered another </w:t>
      </w:r>
      <w:r>
        <w:rPr>
          <w:rFonts w:ascii="Arial" w:eastAsia="Arial" w:hAnsi="Arial" w:cs="Arial"/>
          <w:i/>
          <w:color w:val="000000"/>
          <w:sz w:val="20"/>
        </w:rPr>
        <w:t>adverse employment action</w:t>
      </w:r>
      <w:r>
        <w:rPr>
          <w:rFonts w:ascii="Arial" w:eastAsia="Arial" w:hAnsi="Arial" w:cs="Arial"/>
          <w:color w:val="000000"/>
          <w:sz w:val="20"/>
        </w:rPr>
        <w:t xml:space="preserve">." Aplt.'s App., Vol. II, at 440 (emphasis added). </w:t>
      </w:r>
      <w:bookmarkStart w:id="4741" w:name="Bookmark_I61CDGHM2HM6RB0020000400"/>
      <w:bookmarkEnd w:id="4741"/>
      <w:r>
        <w:rPr>
          <w:rFonts w:ascii="Arial" w:eastAsia="Arial" w:hAnsi="Arial" w:cs="Arial"/>
          <w:color w:val="000000"/>
          <w:sz w:val="20"/>
        </w:rPr>
        <w:t xml:space="preserve">The court defined the term "adverse employment action" as an action "constitut[ing] </w:t>
      </w:r>
      <w:r>
        <w:rPr>
          <w:rFonts w:ascii="Arial" w:eastAsia="Arial" w:hAnsi="Arial" w:cs="Arial"/>
          <w:i/>
          <w:color w:val="000000"/>
          <w:sz w:val="20"/>
        </w:rPr>
        <w:t>a significant change in employment status</w:t>
      </w:r>
      <w:r>
        <w:rPr>
          <w:rFonts w:ascii="Arial" w:eastAsia="Arial" w:hAnsi="Arial" w:cs="Arial"/>
          <w:color w:val="000000"/>
          <w:sz w:val="20"/>
        </w:rPr>
        <w:t xml:space="preserve">, such a[s] hiring, firing, failing to promote, reassignment with significantly different responsibilities, or a [**63]  decision causing a significant change in benefits." </w:t>
      </w:r>
      <w:r>
        <w:rPr>
          <w:rFonts w:ascii="Arial" w:eastAsia="Arial" w:hAnsi="Arial" w:cs="Arial"/>
          <w:i/>
          <w:color w:val="000000"/>
          <w:sz w:val="20"/>
        </w:rPr>
        <w:t>Id.</w:t>
      </w:r>
      <w:r>
        <w:rPr>
          <w:rFonts w:ascii="Arial" w:eastAsia="Arial" w:hAnsi="Arial" w:cs="Arial"/>
          <w:color w:val="000000"/>
          <w:sz w:val="20"/>
        </w:rPr>
        <w:t xml:space="preserve"> at 440, 449 (emphasis added). The Panel Majority embraced the district court's definition of an adverse employment action. </w:t>
      </w:r>
      <w:r>
        <w:rPr>
          <w:rFonts w:ascii="Arial" w:eastAsia="Arial" w:hAnsi="Arial" w:cs="Arial"/>
          <w:i/>
          <w:color w:val="000000"/>
          <w:sz w:val="20"/>
        </w:rPr>
        <w:t>See, e.g.</w:t>
      </w:r>
      <w:r>
        <w:rPr>
          <w:rFonts w:ascii="Arial" w:eastAsia="Arial" w:hAnsi="Arial" w:cs="Arial"/>
          <w:color w:val="000000"/>
          <w:sz w:val="20"/>
        </w:rPr>
        <w:t xml:space="preserve">, </w:t>
      </w:r>
      <w:bookmarkStart w:id="4742" w:name="Bookmark_I61CDGHM2HM6RB0010000400"/>
      <w:bookmarkEnd w:id="4742"/>
      <w:r>
        <w:rPr>
          <w:rFonts w:ascii="Arial" w:eastAsia="Arial" w:hAnsi="Arial" w:cs="Arial"/>
          <w:color w:val="000000"/>
          <w:sz w:val="20"/>
        </w:rPr>
        <w:t>906 F.3d at 902 (defining an "adverse employment action" as a "</w:t>
      </w:r>
      <w:r>
        <w:rPr>
          <w:rFonts w:ascii="Arial" w:eastAsia="Arial" w:hAnsi="Arial" w:cs="Arial"/>
          <w:i/>
          <w:color w:val="000000"/>
          <w:sz w:val="20"/>
        </w:rPr>
        <w:t>materially adverse</w:t>
      </w:r>
      <w:r>
        <w:rPr>
          <w:rFonts w:ascii="Arial" w:eastAsia="Arial" w:hAnsi="Arial" w:cs="Arial"/>
          <w:color w:val="000000"/>
          <w:sz w:val="20"/>
        </w:rPr>
        <w:t xml:space="preserve"> decision" relating to those terms, conditions, and privileges (emphasis added)); </w:t>
      </w:r>
      <w:bookmarkStart w:id="4743" w:name="Bookmark_I61CDGHM2HM6RB0030000400"/>
      <w:bookmarkEnd w:id="4743"/>
      <w:r>
        <w:rPr>
          <w:rFonts w:ascii="Arial" w:eastAsia="Arial" w:hAnsi="Arial" w:cs="Arial"/>
          <w:i/>
          <w:color w:val="000000"/>
          <w:sz w:val="20"/>
        </w:rPr>
        <w:t>id.</w:t>
      </w:r>
      <w:r>
        <w:rPr>
          <w:rFonts w:ascii="Arial" w:eastAsia="Arial" w:hAnsi="Arial" w:cs="Arial"/>
          <w:color w:val="000000"/>
          <w:sz w:val="20"/>
        </w:rPr>
        <w:t xml:space="preserve"> at 918 (noting, in concluding that the County did not take an adverse employment action against Ms. Exby-Stolley, that the County "denied her [accommodation] request but . . . it did not fire her or make any other changes in her employment status"); </w:t>
      </w:r>
      <w:bookmarkStart w:id="4744" w:name="Bookmark_I61CDGHM2HM6RB0050000400"/>
      <w:bookmarkEnd w:id="4744"/>
      <w:r>
        <w:rPr>
          <w:rFonts w:ascii="Arial" w:eastAsia="Arial" w:hAnsi="Arial" w:cs="Arial"/>
          <w:i/>
          <w:color w:val="000000"/>
          <w:sz w:val="20"/>
        </w:rPr>
        <w:t>id.</w:t>
      </w:r>
      <w:r>
        <w:rPr>
          <w:rFonts w:ascii="Arial" w:eastAsia="Arial" w:hAnsi="Arial" w:cs="Arial"/>
          <w:color w:val="000000"/>
          <w:sz w:val="20"/>
        </w:rPr>
        <w:t xml:space="preserve"> at 917 (stating that the notion that </w:t>
      </w:r>
      <w:r>
        <w:rPr>
          <w:rFonts w:ascii="Arial" w:eastAsia="Arial" w:hAnsi="Arial" w:cs="Arial"/>
          <w:i/>
          <w:color w:val="000000"/>
          <w:sz w:val="20"/>
        </w:rPr>
        <w:t>any</w:t>
      </w:r>
      <w:r>
        <w:rPr>
          <w:rFonts w:ascii="Arial" w:eastAsia="Arial" w:hAnsi="Arial" w:cs="Arial"/>
          <w:color w:val="000000"/>
          <w:sz w:val="20"/>
        </w:rPr>
        <w:t xml:space="preserve"> failure to reasonably accommodate constitutes an adverse employment action "has some appeal," as "[t]he typical failure-to-accommodate claim arises out of a failure to accommodate the employee . . . </w:t>
      </w:r>
      <w:r>
        <w:rPr>
          <w:rFonts w:ascii="Arial" w:eastAsia="Arial" w:hAnsi="Arial" w:cs="Arial"/>
          <w:i/>
          <w:color w:val="000000"/>
          <w:sz w:val="20"/>
        </w:rPr>
        <w:t>and her consequent termination</w:t>
      </w:r>
      <w:r>
        <w:rPr>
          <w:rFonts w:ascii="Arial" w:eastAsia="Arial" w:hAnsi="Arial" w:cs="Arial"/>
          <w:color w:val="000000"/>
          <w:sz w:val="20"/>
        </w:rPr>
        <w:t>," but ultimately rejecting this idea on the ground that "there could be a failure to accommodate that does not result in termination and is not otherwise connected to an adverse employment action" (emphasis added)).</w:t>
      </w:r>
    </w:p>
    <w:p w14:paraId="0A6D2768" w14:textId="77777777" w:rsidR="002B10A6" w:rsidRDefault="00000000">
      <w:pPr>
        <w:pStyle w:val="Normal23"/>
        <w:widowControl w:val="0"/>
        <w:spacing w:before="200" w:line="260" w:lineRule="atLeast"/>
        <w:jc w:val="both"/>
      </w:pPr>
      <w:bookmarkStart w:id="4745" w:name="Bookmark_para_90_1"/>
      <w:bookmarkEnd w:id="4745"/>
      <w:r>
        <w:rPr>
          <w:rFonts w:ascii="Arial" w:eastAsia="Arial" w:hAnsi="Arial" w:cs="Arial"/>
          <w:color w:val="000000"/>
          <w:sz w:val="20"/>
        </w:rPr>
        <w:t xml:space="preserve"> [*816]  </w:t>
      </w:r>
      <w:bookmarkStart w:id="4746" w:name="Bookmark_I61CDGHM2HM6RC0030000400"/>
      <w:bookmarkEnd w:id="4746"/>
      <w:r>
        <w:rPr>
          <w:rFonts w:ascii="Arial" w:eastAsia="Arial" w:hAnsi="Arial" w:cs="Arial"/>
          <w:color w:val="000000"/>
          <w:sz w:val="20"/>
        </w:rPr>
        <w:t xml:space="preserve">And it is not surprising that the Panel Majority did so because the district court's understanding of an adverse employment action is congruent with our [**64]  precedent. </w:t>
      </w:r>
      <w:r>
        <w:rPr>
          <w:rFonts w:ascii="Arial" w:eastAsia="Arial" w:hAnsi="Arial" w:cs="Arial"/>
          <w:i/>
          <w:color w:val="000000"/>
          <w:sz w:val="20"/>
        </w:rPr>
        <w:t xml:space="preserve">See </w:t>
      </w:r>
      <w:bookmarkStart w:id="4747" w:name="Bookmark_I61CDGHM2HM6RC0020000400"/>
      <w:bookmarkEnd w:id="4747"/>
      <w:r>
        <w:rPr>
          <w:rFonts w:ascii="Arial" w:eastAsia="Arial" w:hAnsi="Arial" w:cs="Arial"/>
          <w:i/>
          <w:color w:val="000000"/>
          <w:sz w:val="20"/>
        </w:rPr>
        <w:t>Annett</w:t>
      </w:r>
      <w:r>
        <w:rPr>
          <w:rFonts w:ascii="Arial" w:eastAsia="Arial" w:hAnsi="Arial" w:cs="Arial"/>
          <w:color w:val="000000"/>
          <w:sz w:val="20"/>
        </w:rPr>
        <w:t xml:space="preserve">, 371 F.3d at 1237-38 ("An adverse employment action constitutes 'a significant change in employment status, such as hiring, firing, failing to promote, reassignment with significantly different responsibilities, or a decision causing a significant change in benefits.'" (quoting </w:t>
      </w:r>
      <w:bookmarkStart w:id="4748" w:name="Bookmark_I61CDGHM2HM6RC0040000400"/>
      <w:bookmarkEnd w:id="4748"/>
      <w:r>
        <w:rPr>
          <w:rFonts w:ascii="Arial" w:eastAsia="Arial" w:hAnsi="Arial" w:cs="Arial"/>
          <w:i/>
          <w:color w:val="000000"/>
          <w:sz w:val="20"/>
        </w:rPr>
        <w:t>Burlington Indus., Inc. v. Ellerth ("Ellerth")</w:t>
      </w:r>
      <w:r>
        <w:rPr>
          <w:rFonts w:ascii="Arial" w:eastAsia="Arial" w:hAnsi="Arial" w:cs="Arial"/>
          <w:color w:val="000000"/>
          <w:sz w:val="20"/>
        </w:rPr>
        <w:t xml:space="preserve">, 524 U.S. 742, 761, 118 S. Ct. 2257, 141 L. Ed. 2d 633 (1998))); </w:t>
      </w:r>
      <w:r>
        <w:rPr>
          <w:rFonts w:ascii="Arial" w:eastAsia="Arial" w:hAnsi="Arial" w:cs="Arial"/>
          <w:i/>
          <w:color w:val="000000"/>
          <w:sz w:val="20"/>
        </w:rPr>
        <w:t xml:space="preserve">see also </w:t>
      </w:r>
      <w:bookmarkStart w:id="4749" w:name="Bookmark_I61CDGHN28T4WH0010000400"/>
      <w:bookmarkEnd w:id="4749"/>
      <w:r>
        <w:rPr>
          <w:rFonts w:ascii="Arial" w:eastAsia="Arial" w:hAnsi="Arial" w:cs="Arial"/>
          <w:i/>
          <w:color w:val="000000"/>
          <w:sz w:val="20"/>
        </w:rPr>
        <w:t>Daniels v. United Parcel Serv., Inc.</w:t>
      </w:r>
      <w:r>
        <w:rPr>
          <w:rFonts w:ascii="Arial" w:eastAsia="Arial" w:hAnsi="Arial" w:cs="Arial"/>
          <w:color w:val="000000"/>
          <w:sz w:val="20"/>
        </w:rPr>
        <w:t>, 701 F.3d 620, 635 (10th Cir. 2012) ("An adverse employment action is a '</w:t>
      </w:r>
      <w:r>
        <w:rPr>
          <w:rFonts w:ascii="Arial" w:eastAsia="Arial" w:hAnsi="Arial" w:cs="Arial"/>
          <w:i/>
          <w:color w:val="000000"/>
          <w:sz w:val="20"/>
        </w:rPr>
        <w:t>significant</w:t>
      </w:r>
      <w:r>
        <w:rPr>
          <w:rFonts w:ascii="Arial" w:eastAsia="Arial" w:hAnsi="Arial" w:cs="Arial"/>
          <w:color w:val="000000"/>
          <w:sz w:val="20"/>
        </w:rPr>
        <w:t xml:space="preserve"> change in employment status, such as hiring, firing, failing to promote, reassignment with </w:t>
      </w:r>
      <w:r>
        <w:rPr>
          <w:rFonts w:ascii="Arial" w:eastAsia="Arial" w:hAnsi="Arial" w:cs="Arial"/>
          <w:i/>
          <w:color w:val="000000"/>
          <w:sz w:val="20"/>
        </w:rPr>
        <w:t>significantly</w:t>
      </w:r>
      <w:r>
        <w:rPr>
          <w:rFonts w:ascii="Arial" w:eastAsia="Arial" w:hAnsi="Arial" w:cs="Arial"/>
          <w:color w:val="000000"/>
          <w:sz w:val="20"/>
        </w:rPr>
        <w:t xml:space="preserve"> different responsibilities, or a decision causing a </w:t>
      </w:r>
      <w:r>
        <w:rPr>
          <w:rFonts w:ascii="Arial" w:eastAsia="Arial" w:hAnsi="Arial" w:cs="Arial"/>
          <w:i/>
          <w:color w:val="000000"/>
          <w:sz w:val="20"/>
        </w:rPr>
        <w:t>significant</w:t>
      </w:r>
      <w:r>
        <w:rPr>
          <w:rFonts w:ascii="Arial" w:eastAsia="Arial" w:hAnsi="Arial" w:cs="Arial"/>
          <w:color w:val="000000"/>
          <w:sz w:val="20"/>
        </w:rPr>
        <w:t xml:space="preserve"> change in benefits.'" (final emphasis added) (quoting </w:t>
      </w:r>
      <w:bookmarkStart w:id="4750" w:name="Bookmark_I61CDGHN28T4WH0030000400"/>
      <w:bookmarkEnd w:id="4750"/>
      <w:r>
        <w:rPr>
          <w:rFonts w:ascii="Arial" w:eastAsia="Arial" w:hAnsi="Arial" w:cs="Arial"/>
          <w:i/>
          <w:color w:val="000000"/>
          <w:sz w:val="20"/>
        </w:rPr>
        <w:t>Piercy v. Maketa</w:t>
      </w:r>
      <w:r>
        <w:rPr>
          <w:rFonts w:ascii="Arial" w:eastAsia="Arial" w:hAnsi="Arial" w:cs="Arial"/>
          <w:color w:val="000000"/>
          <w:sz w:val="20"/>
        </w:rPr>
        <w:t xml:space="preserve">, 480 F.3d 1192, 1203 (10th Cir. 2007))); </w:t>
      </w:r>
      <w:r>
        <w:rPr>
          <w:rFonts w:ascii="Arial" w:eastAsia="Arial" w:hAnsi="Arial" w:cs="Arial"/>
          <w:i/>
          <w:color w:val="000000"/>
          <w:sz w:val="20"/>
        </w:rPr>
        <w:t xml:space="preserve">accord </w:t>
      </w:r>
      <w:bookmarkStart w:id="4751" w:name="Bookmark_I61CDGHN28T4WH0050000400"/>
      <w:bookmarkEnd w:id="4751"/>
      <w:r>
        <w:rPr>
          <w:rFonts w:ascii="Arial" w:eastAsia="Arial" w:hAnsi="Arial" w:cs="Arial"/>
          <w:i/>
          <w:color w:val="000000"/>
          <w:sz w:val="20"/>
        </w:rPr>
        <w:t>Hiatt</w:t>
      </w:r>
      <w:r>
        <w:rPr>
          <w:rFonts w:ascii="Arial" w:eastAsia="Arial" w:hAnsi="Arial" w:cs="Arial"/>
          <w:color w:val="000000"/>
          <w:sz w:val="20"/>
        </w:rPr>
        <w:t xml:space="preserve">, 858 F.3d at 1316; </w:t>
      </w:r>
      <w:r>
        <w:rPr>
          <w:rFonts w:ascii="Arial" w:eastAsia="Arial" w:hAnsi="Arial" w:cs="Arial"/>
          <w:i/>
          <w:color w:val="000000"/>
          <w:sz w:val="20"/>
        </w:rPr>
        <w:t xml:space="preserve">cf. </w:t>
      </w:r>
      <w:bookmarkStart w:id="4752" w:name="Bookmark_I61CDGHN2HM6RG0020000400"/>
      <w:bookmarkEnd w:id="4752"/>
      <w:r>
        <w:rPr>
          <w:rFonts w:ascii="Arial" w:eastAsia="Arial" w:hAnsi="Arial" w:cs="Arial"/>
          <w:i/>
          <w:color w:val="000000"/>
          <w:sz w:val="20"/>
        </w:rPr>
        <w:t>Sanchez</w:t>
      </w:r>
      <w:r>
        <w:rPr>
          <w:rFonts w:ascii="Arial" w:eastAsia="Arial" w:hAnsi="Arial" w:cs="Arial"/>
          <w:color w:val="000000"/>
          <w:sz w:val="20"/>
        </w:rPr>
        <w:t xml:space="preserve">, 164 F.3d at 532 (noting that "[t]he Tenth Circuit liberally defines the phrase 'adverse employment action,'" but underscoring that "we will not consider 'a mere inconvenience or an alteration of job responsibilities' to be an adverse employment action" (quoting </w:t>
      </w:r>
      <w:bookmarkStart w:id="4753" w:name="Bookmark_I61CDGHN2HM6RG0040000400"/>
      <w:bookmarkEnd w:id="4753"/>
      <w:r>
        <w:rPr>
          <w:rFonts w:ascii="Arial" w:eastAsia="Arial" w:hAnsi="Arial" w:cs="Arial"/>
          <w:i/>
          <w:color w:val="000000"/>
          <w:sz w:val="20"/>
        </w:rPr>
        <w:t>Crady v. Liberty Nat'l Bank &amp; Tr. Co.</w:t>
      </w:r>
      <w:r>
        <w:rPr>
          <w:rFonts w:ascii="Arial" w:eastAsia="Arial" w:hAnsi="Arial" w:cs="Arial"/>
          <w:color w:val="000000"/>
          <w:sz w:val="20"/>
        </w:rPr>
        <w:t>, 993 F.2d 132, 136 (7th Cir. 1993))).</w:t>
      </w:r>
    </w:p>
    <w:p w14:paraId="188D7C47" w14:textId="77777777" w:rsidR="002B10A6" w:rsidRDefault="00000000">
      <w:pPr>
        <w:pStyle w:val="Normal23"/>
        <w:widowControl w:val="0"/>
        <w:spacing w:before="200" w:line="260" w:lineRule="atLeast"/>
        <w:jc w:val="both"/>
      </w:pPr>
      <w:bookmarkStart w:id="4754" w:name="Bookmark_para_91_1"/>
      <w:bookmarkStart w:id="4755" w:name="Bookmark_I61CDGHN2SF8HB0020000400"/>
      <w:bookmarkStart w:id="4756" w:name="Bookmark_I61CDGHN2SF8HB0040000400"/>
      <w:bookmarkEnd w:id="4754"/>
      <w:bookmarkEnd w:id="4755"/>
      <w:bookmarkEnd w:id="4756"/>
      <w:r>
        <w:rPr>
          <w:rFonts w:ascii="Arial" w:eastAsia="Arial" w:hAnsi="Arial" w:cs="Arial"/>
          <w:color w:val="000000"/>
          <w:sz w:val="20"/>
        </w:rPr>
        <w:t xml:space="preserve">But this definition of "adverse employment action" is not synonymous with the definition of "terms, conditions, and privileges of employment language" found in controlling law. Take </w:t>
      </w:r>
      <w:bookmarkStart w:id="4757" w:name="Bookmark_I61CDGHN2SF8HB0010000400"/>
      <w:bookmarkEnd w:id="4757"/>
      <w:r>
        <w:rPr>
          <w:rFonts w:ascii="Arial" w:eastAsia="Arial" w:hAnsi="Arial" w:cs="Arial"/>
          <w:i/>
          <w:color w:val="000000"/>
          <w:sz w:val="20"/>
        </w:rPr>
        <w:t>Burlington Northern &amp; Santa Fe Railway Co. v. White</w:t>
      </w:r>
      <w:r>
        <w:rPr>
          <w:rFonts w:ascii="Arial" w:eastAsia="Arial" w:hAnsi="Arial" w:cs="Arial"/>
          <w:color w:val="000000"/>
          <w:sz w:val="20"/>
        </w:rPr>
        <w:t xml:space="preserve">, 548 U.S. 53, 126 S. Ct. 2405, 165 L. Ed. 2d 345 (2006). There, the Court noted, in its discussion of Title VII's substantive anti-discrimination provision, that "[the words] 'hire,' 'discharge,' [and] 'compensation, [**65]  terms, conditions, or privileges of employment' . . . limit the scope of that provision to actions that </w:t>
      </w:r>
      <w:r>
        <w:rPr>
          <w:rFonts w:ascii="Arial" w:eastAsia="Arial" w:hAnsi="Arial" w:cs="Arial"/>
          <w:i/>
          <w:color w:val="000000"/>
          <w:sz w:val="20"/>
        </w:rPr>
        <w:t>affect</w:t>
      </w:r>
      <w:r>
        <w:rPr>
          <w:rFonts w:ascii="Arial" w:eastAsia="Arial" w:hAnsi="Arial" w:cs="Arial"/>
          <w:color w:val="000000"/>
          <w:sz w:val="20"/>
        </w:rPr>
        <w:t xml:space="preserve"> employment or </w:t>
      </w:r>
      <w:r>
        <w:rPr>
          <w:rFonts w:ascii="Arial" w:eastAsia="Arial" w:hAnsi="Arial" w:cs="Arial"/>
          <w:i/>
          <w:color w:val="000000"/>
          <w:sz w:val="20"/>
        </w:rPr>
        <w:t>alter the conditions</w:t>
      </w:r>
      <w:r>
        <w:rPr>
          <w:rFonts w:ascii="Arial" w:eastAsia="Arial" w:hAnsi="Arial" w:cs="Arial"/>
          <w:color w:val="000000"/>
          <w:sz w:val="20"/>
        </w:rPr>
        <w:t xml:space="preserve"> of the workplace." </w:t>
      </w:r>
      <w:bookmarkStart w:id="4758" w:name="Bookmark_I61CDGHN2SF8HB0030000400"/>
      <w:bookmarkEnd w:id="4758"/>
      <w:r>
        <w:rPr>
          <w:rFonts w:ascii="Arial" w:eastAsia="Arial" w:hAnsi="Arial" w:cs="Arial"/>
          <w:i/>
          <w:color w:val="000000"/>
          <w:sz w:val="20"/>
        </w:rPr>
        <w:t>Id.</w:t>
      </w:r>
      <w:r>
        <w:rPr>
          <w:rFonts w:ascii="Arial" w:eastAsia="Arial" w:hAnsi="Arial" w:cs="Arial"/>
          <w:color w:val="000000"/>
          <w:sz w:val="20"/>
        </w:rPr>
        <w:t xml:space="preserve"> at 62 (emphases added) (quoting 42 U.S.C. § 2000e-2(a)); </w:t>
      </w:r>
      <w:r>
        <w:rPr>
          <w:rFonts w:ascii="Arial" w:eastAsia="Arial" w:hAnsi="Arial" w:cs="Arial"/>
          <w:i/>
          <w:color w:val="000000"/>
          <w:sz w:val="20"/>
        </w:rPr>
        <w:t xml:space="preserve">see also </w:t>
      </w:r>
      <w:bookmarkStart w:id="4759" w:name="Bookmark_I61CDGHN2SF8HB0050000400"/>
      <w:bookmarkEnd w:id="4759"/>
      <w:r>
        <w:rPr>
          <w:rFonts w:ascii="Arial" w:eastAsia="Arial" w:hAnsi="Arial" w:cs="Arial"/>
          <w:i/>
          <w:color w:val="000000"/>
          <w:sz w:val="20"/>
        </w:rPr>
        <w:t>id.</w:t>
      </w:r>
      <w:r>
        <w:rPr>
          <w:rFonts w:ascii="Arial" w:eastAsia="Arial" w:hAnsi="Arial" w:cs="Arial"/>
          <w:color w:val="000000"/>
          <w:sz w:val="20"/>
        </w:rPr>
        <w:t xml:space="preserve"> at 64, 67 (stating that, by contrast, the reach of Title VII's anti-retaliation provision, which omits any such terms-conditions-and-privileges-of-employment language, "is not limited to discriminatory actions that affect the </w:t>
      </w:r>
      <w:r>
        <w:rPr>
          <w:rFonts w:ascii="Arial" w:eastAsia="Arial" w:hAnsi="Arial" w:cs="Arial"/>
          <w:i/>
          <w:color w:val="000000"/>
          <w:sz w:val="20"/>
        </w:rPr>
        <w:t>terms and conditions of employment</w:t>
      </w:r>
      <w:r>
        <w:rPr>
          <w:rFonts w:ascii="Arial" w:eastAsia="Arial" w:hAnsi="Arial" w:cs="Arial"/>
          <w:color w:val="000000"/>
          <w:sz w:val="20"/>
        </w:rPr>
        <w:t>," or, stated differently, the anti-retaliation provision extends to acts of retaliation that are not "</w:t>
      </w:r>
      <w:r>
        <w:rPr>
          <w:rFonts w:ascii="Arial" w:eastAsia="Arial" w:hAnsi="Arial" w:cs="Arial"/>
          <w:i/>
          <w:color w:val="000000"/>
          <w:sz w:val="20"/>
        </w:rPr>
        <w:t>workplace-related</w:t>
      </w:r>
      <w:r>
        <w:rPr>
          <w:rFonts w:ascii="Arial" w:eastAsia="Arial" w:hAnsi="Arial" w:cs="Arial"/>
          <w:color w:val="000000"/>
          <w:sz w:val="20"/>
        </w:rPr>
        <w:t xml:space="preserve"> or </w:t>
      </w:r>
      <w:r>
        <w:rPr>
          <w:rFonts w:ascii="Arial" w:eastAsia="Arial" w:hAnsi="Arial" w:cs="Arial"/>
          <w:i/>
          <w:color w:val="000000"/>
          <w:sz w:val="20"/>
        </w:rPr>
        <w:t>employment-related</w:t>
      </w:r>
      <w:r>
        <w:rPr>
          <w:rFonts w:ascii="Arial" w:eastAsia="Arial" w:hAnsi="Arial" w:cs="Arial"/>
          <w:color w:val="000000"/>
          <w:sz w:val="20"/>
        </w:rPr>
        <w:t xml:space="preserve"> retaliatory acts and harm" (emphases added)). In other words, in describing the import of the "terms, conditions, [and] privileges of employment" language in Title VII, the Court in </w:t>
      </w:r>
      <w:r>
        <w:rPr>
          <w:rFonts w:ascii="Arial" w:eastAsia="Arial" w:hAnsi="Arial" w:cs="Arial"/>
          <w:i/>
          <w:color w:val="000000"/>
          <w:sz w:val="20"/>
        </w:rPr>
        <w:t>Burlington</w:t>
      </w:r>
      <w:r>
        <w:rPr>
          <w:rFonts w:ascii="Arial" w:eastAsia="Arial" w:hAnsi="Arial" w:cs="Arial"/>
          <w:color w:val="000000"/>
          <w:sz w:val="20"/>
        </w:rPr>
        <w:t xml:space="preserve"> emphasized that the presence or absence of this language helps to clarify whether the conduct covered under the provision must relate to the </w:t>
      </w:r>
      <w:r>
        <w:rPr>
          <w:rFonts w:ascii="Arial" w:eastAsia="Arial" w:hAnsi="Arial" w:cs="Arial"/>
          <w:i/>
          <w:color w:val="000000"/>
          <w:sz w:val="20"/>
        </w:rPr>
        <w:t>employment</w:t>
      </w:r>
      <w:r>
        <w:rPr>
          <w:rFonts w:ascii="Arial" w:eastAsia="Arial" w:hAnsi="Arial" w:cs="Arial"/>
          <w:color w:val="000000"/>
          <w:sz w:val="20"/>
        </w:rPr>
        <w:t xml:space="preserve"> context.</w:t>
      </w:r>
      <w:r>
        <w:rPr>
          <w:rFonts w:ascii="Arial" w:eastAsia="Arial" w:hAnsi="Arial" w:cs="Arial"/>
          <w:vertAlign w:val="superscript"/>
        </w:rPr>
        <w:footnoteReference w:customMarkFollows="1" w:id="185"/>
        <w:t>21</w:t>
      </w:r>
    </w:p>
    <w:p w14:paraId="06E56BD0" w14:textId="77777777" w:rsidR="002B10A6" w:rsidRDefault="00000000">
      <w:pPr>
        <w:pStyle w:val="Normal23"/>
        <w:widowControl w:val="0"/>
        <w:spacing w:before="200" w:line="260" w:lineRule="atLeast"/>
        <w:jc w:val="both"/>
      </w:pPr>
      <w:bookmarkStart w:id="4772" w:name="Bookmark_para_92_1"/>
      <w:bookmarkEnd w:id="4772"/>
      <w:r>
        <w:rPr>
          <w:rFonts w:ascii="Arial" w:eastAsia="Arial" w:hAnsi="Arial" w:cs="Arial"/>
          <w:color w:val="000000"/>
          <w:sz w:val="20"/>
        </w:rPr>
        <w:t xml:space="preserve"> [*817]  </w:t>
      </w:r>
      <w:bookmarkStart w:id="4773" w:name="Bookmark_LNHNREFclscc46"/>
      <w:bookmarkEnd w:id="4773"/>
      <w:r>
        <w:rPr>
          <w:rFonts w:ascii="Arial" w:eastAsia="Arial" w:hAnsi="Arial" w:cs="Arial"/>
          <w:color w:val="000000"/>
          <w:sz w:val="20"/>
        </w:rPr>
        <w:t xml:space="preserve">Moreover, the Supreme Court has noted that, though the inclusion of "terms, conditions, [and] privileges of employment" language in a statutory provision offers clarity [**66]  on whether the provision only covers conduct relating to the employment context, it also signals that the provision at issue covers a wide range of conduct </w:t>
      </w:r>
      <w:r>
        <w:rPr>
          <w:rFonts w:ascii="Arial" w:eastAsia="Arial" w:hAnsi="Arial" w:cs="Arial"/>
          <w:i/>
          <w:color w:val="000000"/>
          <w:sz w:val="20"/>
        </w:rPr>
        <w:t>within</w:t>
      </w:r>
      <w:r>
        <w:rPr>
          <w:rFonts w:ascii="Arial" w:eastAsia="Arial" w:hAnsi="Arial" w:cs="Arial"/>
          <w:color w:val="000000"/>
          <w:sz w:val="20"/>
        </w:rPr>
        <w:t xml:space="preserve"> the employment context. Specifically, in </w:t>
      </w:r>
      <w:r>
        <w:rPr>
          <w:rFonts w:ascii="Arial" w:eastAsia="Arial" w:hAnsi="Arial" w:cs="Arial"/>
          <w:i/>
          <w:color w:val="000000"/>
          <w:sz w:val="20"/>
        </w:rPr>
        <w:t>Meritor Savings Bank, FSB v. Vinson</w:t>
      </w:r>
      <w:r>
        <w:rPr>
          <w:rFonts w:ascii="Arial" w:eastAsia="Arial" w:hAnsi="Arial" w:cs="Arial"/>
          <w:color w:val="000000"/>
          <w:sz w:val="20"/>
        </w:rPr>
        <w:t>, the Court explained that the terms-conditions-and-privileges-of-employment language in Title VII serves to combat the "</w:t>
      </w:r>
      <w:r>
        <w:rPr>
          <w:rFonts w:ascii="Arial" w:eastAsia="Arial" w:hAnsi="Arial" w:cs="Arial"/>
          <w:i/>
          <w:color w:val="000000"/>
          <w:sz w:val="20"/>
        </w:rPr>
        <w:t>entire spectrum</w:t>
      </w:r>
      <w:r>
        <w:rPr>
          <w:rFonts w:ascii="Arial" w:eastAsia="Arial" w:hAnsi="Arial" w:cs="Arial"/>
          <w:color w:val="000000"/>
          <w:sz w:val="20"/>
        </w:rPr>
        <w:t>" of workplace discrimination:</w:t>
      </w:r>
    </w:p>
    <w:p w14:paraId="2A65D0FF" w14:textId="77777777" w:rsidR="002B10A6" w:rsidRDefault="00000000">
      <w:pPr>
        <w:pStyle w:val="Normal23"/>
        <w:widowControl w:val="0"/>
        <w:spacing w:before="200" w:line="260" w:lineRule="atLeast"/>
        <w:ind w:left="400"/>
        <w:jc w:val="both"/>
      </w:pPr>
      <w:bookmarkStart w:id="4774" w:name="Bookmark_para_93_1"/>
      <w:bookmarkEnd w:id="4774"/>
      <w:r>
        <w:rPr>
          <w:rFonts w:ascii="Arial" w:eastAsia="Arial" w:hAnsi="Arial" w:cs="Arial"/>
          <w:color w:val="000000"/>
          <w:sz w:val="20"/>
        </w:rPr>
        <w:t xml:space="preserve">[Petitioner] contends . . . that in prohibiting discrimination with respect to "compensation, terms, conditions, or privileges" of employment, Congress [in enacting Title VII] was concerned with what petitioner describes as "tangible loss" of "an economic character," not "purely psychological aspects of the workplace environment." . . . </w:t>
      </w:r>
      <w:bookmarkStart w:id="4775" w:name="Bookmark_I61CDGHP2SF8HC0010000400"/>
      <w:bookmarkEnd w:id="4775"/>
      <w:r>
        <w:rPr>
          <w:rFonts w:ascii="Arial" w:eastAsia="Arial" w:hAnsi="Arial" w:cs="Arial"/>
          <w:color w:val="000000"/>
          <w:sz w:val="20"/>
        </w:rPr>
        <w:t xml:space="preserve">We reject petitioner's view. . . . The phrase "terms, conditions, or privileges of employment" evinces a congressional intent "'to strike at the </w:t>
      </w:r>
      <w:r>
        <w:rPr>
          <w:rFonts w:ascii="Arial" w:eastAsia="Arial" w:hAnsi="Arial" w:cs="Arial"/>
          <w:i/>
          <w:color w:val="000000"/>
          <w:sz w:val="20"/>
        </w:rPr>
        <w:t>entire spectrum</w:t>
      </w:r>
      <w:r>
        <w:rPr>
          <w:rFonts w:ascii="Arial" w:eastAsia="Arial" w:hAnsi="Arial" w:cs="Arial"/>
          <w:color w:val="000000"/>
          <w:sz w:val="20"/>
        </w:rPr>
        <w:t xml:space="preserve"> of disparate treatment . . . '" in employment.</w:t>
      </w:r>
    </w:p>
    <w:p w14:paraId="1F0F9696" w14:textId="77777777" w:rsidR="002B10A6" w:rsidRDefault="00000000">
      <w:pPr>
        <w:pStyle w:val="Normal23"/>
        <w:widowControl w:val="0"/>
        <w:spacing w:before="200" w:line="260" w:lineRule="atLeast"/>
        <w:jc w:val="both"/>
      </w:pPr>
      <w:bookmarkStart w:id="4776" w:name="Bookmark_I61CDGHP2SF8HC0010000400_2"/>
      <w:bookmarkStart w:id="4777" w:name="Bookmark_I61CDGHP28T4WR0050000400"/>
      <w:bookmarkEnd w:id="4776"/>
      <w:bookmarkEnd w:id="4777"/>
      <w:r>
        <w:rPr>
          <w:rFonts w:ascii="Arial" w:eastAsia="Arial" w:hAnsi="Arial" w:cs="Arial"/>
          <w:color w:val="000000"/>
          <w:sz w:val="20"/>
        </w:rPr>
        <w:t xml:space="preserve">477 U.S. at 64 (emphases added) (quoting </w:t>
      </w:r>
      <w:bookmarkStart w:id="4778" w:name="Bookmark_I61CDGHP2SF8HC0020000400"/>
      <w:bookmarkEnd w:id="4778"/>
      <w:r>
        <w:rPr>
          <w:rFonts w:ascii="Arial" w:eastAsia="Arial" w:hAnsi="Arial" w:cs="Arial"/>
          <w:i/>
          <w:color w:val="000000"/>
          <w:sz w:val="20"/>
        </w:rPr>
        <w:t>City of L.A., Dep't of Water &amp; Power v. Manhart</w:t>
      </w:r>
      <w:r>
        <w:rPr>
          <w:rFonts w:ascii="Arial" w:eastAsia="Arial" w:hAnsi="Arial" w:cs="Arial"/>
          <w:color w:val="000000"/>
          <w:sz w:val="20"/>
        </w:rPr>
        <w:t>, 435 U.S. 702, 707 n.13, 98 S. Ct. 1370, 55 L. Ed. 2d 657 (1978)).</w:t>
      </w:r>
    </w:p>
    <w:p w14:paraId="3410CB10" w14:textId="77777777" w:rsidR="002B10A6" w:rsidRDefault="00000000">
      <w:pPr>
        <w:pStyle w:val="Normal23"/>
        <w:widowControl w:val="0"/>
        <w:spacing w:before="200" w:line="260" w:lineRule="atLeast"/>
        <w:jc w:val="both"/>
      </w:pPr>
      <w:bookmarkStart w:id="4779" w:name="Bookmark_para_94_1"/>
      <w:bookmarkStart w:id="4780" w:name="Bookmark_I61CDGHP2SF8HC0050000400"/>
      <w:bookmarkEnd w:id="4779"/>
      <w:bookmarkEnd w:id="4780"/>
      <w:r>
        <w:rPr>
          <w:rFonts w:ascii="Arial" w:eastAsia="Arial" w:hAnsi="Arial" w:cs="Arial"/>
          <w:i/>
          <w:color w:val="000000"/>
          <w:sz w:val="20"/>
        </w:rPr>
        <w:t>Burlington</w:t>
      </w:r>
      <w:r>
        <w:rPr>
          <w:rFonts w:ascii="Arial" w:eastAsia="Arial" w:hAnsi="Arial" w:cs="Arial"/>
          <w:color w:val="000000"/>
          <w:sz w:val="20"/>
        </w:rPr>
        <w:t xml:space="preserve"> and </w:t>
      </w:r>
      <w:r>
        <w:rPr>
          <w:rFonts w:ascii="Arial" w:eastAsia="Arial" w:hAnsi="Arial" w:cs="Arial"/>
          <w:i/>
          <w:color w:val="000000"/>
          <w:sz w:val="20"/>
        </w:rPr>
        <w:t>Meritor Savings Bank</w:t>
      </w:r>
      <w:r>
        <w:rPr>
          <w:rFonts w:ascii="Arial" w:eastAsia="Arial" w:hAnsi="Arial" w:cs="Arial"/>
          <w:color w:val="000000"/>
          <w:sz w:val="20"/>
        </w:rPr>
        <w:t xml:space="preserve"> thus provide us with a broad conception of the scope of the language "terms, conditions, [and] privileges of employment." Specifically, such language in a statutory provision ordinarily [**67]  signals that the provision covers a </w:t>
      </w:r>
      <w:r>
        <w:rPr>
          <w:rFonts w:ascii="Arial" w:eastAsia="Arial" w:hAnsi="Arial" w:cs="Arial"/>
          <w:i/>
          <w:color w:val="000000"/>
          <w:sz w:val="20"/>
        </w:rPr>
        <w:t>wide range</w:t>
      </w:r>
      <w:r>
        <w:rPr>
          <w:rFonts w:ascii="Arial" w:eastAsia="Arial" w:hAnsi="Arial" w:cs="Arial"/>
          <w:color w:val="000000"/>
          <w:sz w:val="20"/>
        </w:rPr>
        <w:t xml:space="preserve"> of </w:t>
      </w:r>
      <w:r>
        <w:rPr>
          <w:rFonts w:ascii="Arial" w:eastAsia="Arial" w:hAnsi="Arial" w:cs="Arial"/>
          <w:i/>
          <w:color w:val="000000"/>
          <w:sz w:val="20"/>
        </w:rPr>
        <w:t>employment</w:t>
      </w:r>
      <w:r>
        <w:rPr>
          <w:rFonts w:ascii="Arial" w:eastAsia="Arial" w:hAnsi="Arial" w:cs="Arial"/>
          <w:color w:val="000000"/>
          <w:sz w:val="20"/>
        </w:rPr>
        <w:t>-</w:t>
      </w:r>
      <w:r>
        <w:rPr>
          <w:rFonts w:ascii="Arial" w:eastAsia="Arial" w:hAnsi="Arial" w:cs="Arial"/>
          <w:i/>
          <w:color w:val="000000"/>
          <w:sz w:val="20"/>
        </w:rPr>
        <w:t>related</w:t>
      </w:r>
      <w:r>
        <w:rPr>
          <w:rFonts w:ascii="Arial" w:eastAsia="Arial" w:hAnsi="Arial" w:cs="Arial"/>
          <w:color w:val="000000"/>
          <w:sz w:val="20"/>
        </w:rPr>
        <w:t xml:space="preserve"> conduct. And, though </w:t>
      </w:r>
      <w:r>
        <w:rPr>
          <w:rFonts w:ascii="Arial" w:eastAsia="Arial" w:hAnsi="Arial" w:cs="Arial"/>
          <w:i/>
          <w:color w:val="000000"/>
          <w:sz w:val="20"/>
        </w:rPr>
        <w:t>Burlington</w:t>
      </w:r>
      <w:r>
        <w:rPr>
          <w:rFonts w:ascii="Arial" w:eastAsia="Arial" w:hAnsi="Arial" w:cs="Arial"/>
          <w:color w:val="000000"/>
          <w:sz w:val="20"/>
        </w:rPr>
        <w:t xml:space="preserve"> and </w:t>
      </w:r>
      <w:r>
        <w:rPr>
          <w:rFonts w:ascii="Arial" w:eastAsia="Arial" w:hAnsi="Arial" w:cs="Arial"/>
          <w:i/>
          <w:color w:val="000000"/>
          <w:sz w:val="20"/>
        </w:rPr>
        <w:t>Meritor Savings Bank</w:t>
      </w:r>
      <w:r>
        <w:rPr>
          <w:rFonts w:ascii="Arial" w:eastAsia="Arial" w:hAnsi="Arial" w:cs="Arial"/>
          <w:color w:val="000000"/>
          <w:sz w:val="20"/>
        </w:rPr>
        <w:t xml:space="preserve"> commented on the "terms, conditions, [and] privileges of employment" language contained in Title VII, we discern nothing in the text of those decisions or otherwise that suggests their reasoning does not readily apply to nearly identical language in the ADA. </w:t>
      </w:r>
      <w:r>
        <w:rPr>
          <w:rFonts w:ascii="Arial" w:eastAsia="Arial" w:hAnsi="Arial" w:cs="Arial"/>
          <w:i/>
          <w:color w:val="000000"/>
          <w:sz w:val="20"/>
        </w:rPr>
        <w:t xml:space="preserve">See, e.g., </w:t>
      </w:r>
      <w:bookmarkStart w:id="4781" w:name="Bookmark_I61CDGHP2SF8HC0040000400"/>
      <w:bookmarkEnd w:id="4781"/>
      <w:r>
        <w:rPr>
          <w:rFonts w:ascii="Arial" w:eastAsia="Arial" w:hAnsi="Arial" w:cs="Arial"/>
          <w:i/>
          <w:color w:val="000000"/>
          <w:sz w:val="20"/>
        </w:rPr>
        <w:t>Lanman v. Johnson County</w:t>
      </w:r>
      <w:r>
        <w:rPr>
          <w:rFonts w:ascii="Arial" w:eastAsia="Arial" w:hAnsi="Arial" w:cs="Arial"/>
          <w:color w:val="000000"/>
          <w:sz w:val="20"/>
        </w:rPr>
        <w:t xml:space="preserve">, 393 F.3d 1151, 1155 (10th Cir. 2004) ("The ADA provides that no employer covered by the Act 'shall discriminate against a qualified individual with a disability . . . in regard to . . . </w:t>
      </w:r>
      <w:r>
        <w:rPr>
          <w:rFonts w:ascii="Arial" w:eastAsia="Arial" w:hAnsi="Arial" w:cs="Arial"/>
          <w:i/>
          <w:color w:val="000000"/>
          <w:sz w:val="20"/>
        </w:rPr>
        <w:t>terms, conditions, and privileges of employment</w:t>
      </w:r>
      <w:r>
        <w:rPr>
          <w:rFonts w:ascii="Arial" w:eastAsia="Arial" w:hAnsi="Arial" w:cs="Arial"/>
          <w:color w:val="000000"/>
          <w:sz w:val="20"/>
        </w:rPr>
        <w:t>.' Congress borrowed this language from Title VII . . . ." (second omission in original) (citation omitted) (quoting 42 U.S.C. § 12112(a))).</w:t>
      </w:r>
    </w:p>
    <w:p w14:paraId="034B0519" w14:textId="77777777" w:rsidR="002B10A6" w:rsidRDefault="00000000">
      <w:pPr>
        <w:pStyle w:val="Normal23"/>
        <w:widowControl w:val="0"/>
        <w:spacing w:before="200" w:line="260" w:lineRule="atLeast"/>
        <w:jc w:val="both"/>
      </w:pPr>
      <w:bookmarkStart w:id="4782" w:name="Bookmark_para_95_1"/>
      <w:bookmarkStart w:id="4783" w:name="Bookmark_I61CDGHP2N1R360020000400"/>
      <w:bookmarkEnd w:id="4782"/>
      <w:bookmarkEnd w:id="4783"/>
      <w:r>
        <w:rPr>
          <w:rFonts w:ascii="Arial" w:eastAsia="Arial" w:hAnsi="Arial" w:cs="Arial"/>
          <w:color w:val="000000"/>
          <w:sz w:val="20"/>
        </w:rPr>
        <w:t xml:space="preserve">In this regard, the Supreme Court's interpretation of the "terms, conditions, [and] privileges" language in Title VII as evincing an intent to cover "the </w:t>
      </w:r>
      <w:r>
        <w:rPr>
          <w:rFonts w:ascii="Arial" w:eastAsia="Arial" w:hAnsi="Arial" w:cs="Arial"/>
          <w:i/>
          <w:color w:val="000000"/>
          <w:sz w:val="20"/>
        </w:rPr>
        <w:t>entire spectrum</w:t>
      </w:r>
      <w:r>
        <w:rPr>
          <w:rFonts w:ascii="Arial" w:eastAsia="Arial" w:hAnsi="Arial" w:cs="Arial"/>
          <w:color w:val="000000"/>
          <w:sz w:val="20"/>
        </w:rPr>
        <w:t xml:space="preserve">" of employment discrimination, </w:t>
      </w:r>
      <w:bookmarkStart w:id="4784" w:name="Bookmark_I61CDGHP2N1R360010000400"/>
      <w:bookmarkEnd w:id="4784"/>
      <w:r>
        <w:rPr>
          <w:rFonts w:ascii="Arial" w:eastAsia="Arial" w:hAnsi="Arial" w:cs="Arial"/>
          <w:i/>
          <w:color w:val="000000"/>
          <w:sz w:val="20"/>
        </w:rPr>
        <w:t>Meritor Sav. Bank</w:t>
      </w:r>
      <w:r>
        <w:rPr>
          <w:rFonts w:ascii="Arial" w:eastAsia="Arial" w:hAnsi="Arial" w:cs="Arial"/>
          <w:color w:val="000000"/>
          <w:sz w:val="20"/>
        </w:rPr>
        <w:t xml:space="preserve">, 477 U.S. at 64 (emphasis added) (quoting </w:t>
      </w:r>
      <w:bookmarkStart w:id="4785" w:name="Bookmark_I61CDGHP2N1R360030000400"/>
      <w:bookmarkEnd w:id="4785"/>
      <w:r>
        <w:rPr>
          <w:rFonts w:ascii="Arial" w:eastAsia="Arial" w:hAnsi="Arial" w:cs="Arial"/>
          <w:i/>
          <w:color w:val="000000"/>
          <w:sz w:val="20"/>
        </w:rPr>
        <w:t>Manhart</w:t>
      </w:r>
      <w:r>
        <w:rPr>
          <w:rFonts w:ascii="Arial" w:eastAsia="Arial" w:hAnsi="Arial" w:cs="Arial"/>
          <w:color w:val="000000"/>
          <w:sz w:val="20"/>
        </w:rPr>
        <w:t xml:space="preserve">, 435 U.S. at 707 n.13), was law a full five years before the 1991 passage of the ADA. "Thus, we can presume that Congress was aware of the Court's interpretation of 'terms, conditions, [and] privileges of employment' when it chose to use parallel language in the ADA." </w:t>
      </w:r>
      <w:bookmarkStart w:id="4786" w:name="Bookmark_I61CDGHP2N1R360050000400"/>
      <w:bookmarkEnd w:id="4786"/>
      <w:r>
        <w:rPr>
          <w:rFonts w:ascii="Arial" w:eastAsia="Arial" w:hAnsi="Arial" w:cs="Arial"/>
          <w:i/>
          <w:color w:val="000000"/>
          <w:sz w:val="20"/>
        </w:rPr>
        <w:t>Lanman</w:t>
      </w:r>
      <w:r>
        <w:rPr>
          <w:rFonts w:ascii="Arial" w:eastAsia="Arial" w:hAnsi="Arial" w:cs="Arial"/>
          <w:color w:val="000000"/>
          <w:sz w:val="20"/>
        </w:rPr>
        <w:t xml:space="preserve">, 393 F.3d at 1155 (quoting </w:t>
      </w:r>
      <w:bookmarkStart w:id="4787" w:name="Bookmark_I61CDGHP28T4WW0020000400"/>
      <w:bookmarkEnd w:id="4787"/>
      <w:r>
        <w:rPr>
          <w:rFonts w:ascii="Arial" w:eastAsia="Arial" w:hAnsi="Arial" w:cs="Arial"/>
          <w:i/>
          <w:color w:val="000000"/>
          <w:sz w:val="20"/>
        </w:rPr>
        <w:t>Fox v. Gen. Motors Corp.</w:t>
      </w:r>
      <w:r>
        <w:rPr>
          <w:rFonts w:ascii="Arial" w:eastAsia="Arial" w:hAnsi="Arial" w:cs="Arial"/>
          <w:color w:val="000000"/>
          <w:sz w:val="20"/>
        </w:rPr>
        <w:t>, 247 F.3d 169, 175-76 (4th Cir. 2001)) [**68] .</w:t>
      </w:r>
    </w:p>
    <w:p w14:paraId="700F5337" w14:textId="77777777" w:rsidR="002B10A6" w:rsidRDefault="00000000">
      <w:pPr>
        <w:pStyle w:val="Normal23"/>
        <w:widowControl w:val="0"/>
        <w:spacing w:before="200" w:line="260" w:lineRule="atLeast"/>
        <w:jc w:val="both"/>
      </w:pPr>
      <w:bookmarkStart w:id="4788" w:name="Bookmark_para_96_1"/>
      <w:bookmarkStart w:id="4789" w:name="Bookmark_I722C9XHT220000671P0009Y"/>
      <w:bookmarkStart w:id="4790" w:name="Bookmark_I722C9XHWTJ0000671P000B0"/>
      <w:bookmarkStart w:id="4791" w:name="Bookmark_I61CDGHP28T4WW0050000400"/>
      <w:bookmarkStart w:id="4792" w:name="Bookmark_I61CDGHP2N1R370040000400"/>
      <w:bookmarkStart w:id="4793" w:name="Bookmark_LNHNREFclscc47"/>
      <w:bookmarkEnd w:id="4788"/>
      <w:bookmarkEnd w:id="4789"/>
      <w:bookmarkEnd w:id="4790"/>
      <w:bookmarkEnd w:id="4791"/>
      <w:bookmarkEnd w:id="4792"/>
      <w:bookmarkEnd w:id="4793"/>
      <w:r>
        <w:rPr>
          <w:rFonts w:ascii="Arial" w:eastAsia="Arial" w:hAnsi="Arial" w:cs="Arial"/>
          <w:color w:val="000000"/>
          <w:sz w:val="20"/>
        </w:rPr>
        <w:t xml:space="preserve">Guided by the reasoning in </w:t>
      </w:r>
      <w:bookmarkStart w:id="4794" w:name="Bookmark_I61CDGHP28T4WW0040000400"/>
      <w:bookmarkEnd w:id="4794"/>
      <w:r>
        <w:rPr>
          <w:rFonts w:ascii="Arial" w:eastAsia="Arial" w:hAnsi="Arial" w:cs="Arial"/>
          <w:i/>
          <w:color w:val="000000"/>
          <w:sz w:val="20"/>
        </w:rPr>
        <w:t>Burlington</w:t>
      </w:r>
      <w:r>
        <w:rPr>
          <w:rFonts w:ascii="Arial" w:eastAsia="Arial" w:hAnsi="Arial" w:cs="Arial"/>
          <w:color w:val="000000"/>
          <w:sz w:val="20"/>
        </w:rPr>
        <w:t xml:space="preserve"> and</w:t>
      </w:r>
      <w:bookmarkStart w:id="4795" w:name="Bookmark_I61CDGHP2N1R370010000400"/>
      <w:bookmarkEnd w:id="4795"/>
      <w:r>
        <w:rPr>
          <w:rFonts w:ascii="Arial" w:eastAsia="Arial" w:hAnsi="Arial" w:cs="Arial"/>
          <w:color w:val="000000"/>
          <w:sz w:val="20"/>
        </w:rPr>
        <w:t xml:space="preserve"> </w:t>
      </w:r>
      <w:r>
        <w:rPr>
          <w:rFonts w:ascii="Arial" w:eastAsia="Arial" w:hAnsi="Arial" w:cs="Arial"/>
          <w:i/>
          <w:color w:val="000000"/>
          <w:sz w:val="20"/>
        </w:rPr>
        <w:t>Meritor Savings Bank</w:t>
      </w:r>
      <w:r>
        <w:rPr>
          <w:rFonts w:ascii="Arial" w:eastAsia="Arial" w:hAnsi="Arial" w:cs="Arial"/>
          <w:color w:val="000000"/>
          <w:sz w:val="20"/>
        </w:rPr>
        <w:t xml:space="preserve">, we believe that the ADA's language—"in regard to . . . [the] terms, conditions, and  [*818]  privileges of employment," 42 U.S.C. § 12112(a)—signals that actionable discrimination must "affect employment or alter the conditions of the workplace," </w:t>
      </w:r>
      <w:bookmarkStart w:id="4796" w:name="Bookmark_I61CDGHP2N1R370030000400"/>
      <w:bookmarkEnd w:id="4796"/>
      <w:r>
        <w:rPr>
          <w:rFonts w:ascii="Arial" w:eastAsia="Arial" w:hAnsi="Arial" w:cs="Arial"/>
          <w:i/>
          <w:color w:val="000000"/>
          <w:sz w:val="20"/>
        </w:rPr>
        <w:t>Burlington</w:t>
      </w:r>
      <w:r>
        <w:rPr>
          <w:rFonts w:ascii="Arial" w:eastAsia="Arial" w:hAnsi="Arial" w:cs="Arial"/>
          <w:color w:val="000000"/>
          <w:sz w:val="20"/>
        </w:rPr>
        <w:t xml:space="preserve">, 548 U.S. at 62, i.e., that the discrimination must relate to some aspect of employment, and also that the ADA's discrimination proscription reaches "the </w:t>
      </w:r>
      <w:r>
        <w:rPr>
          <w:rFonts w:ascii="Arial" w:eastAsia="Arial" w:hAnsi="Arial" w:cs="Arial"/>
          <w:i/>
          <w:color w:val="000000"/>
          <w:sz w:val="20"/>
        </w:rPr>
        <w:t>entire spectrum</w:t>
      </w:r>
      <w:r>
        <w:rPr>
          <w:rFonts w:ascii="Arial" w:eastAsia="Arial" w:hAnsi="Arial" w:cs="Arial"/>
          <w:color w:val="000000"/>
          <w:sz w:val="20"/>
        </w:rPr>
        <w:t xml:space="preserve">" of employment-based disability discrimination, </w:t>
      </w:r>
      <w:bookmarkStart w:id="4797" w:name="Bookmark_I61CDGHP2N1R370050000400"/>
      <w:bookmarkEnd w:id="4797"/>
      <w:r>
        <w:rPr>
          <w:rFonts w:ascii="Arial" w:eastAsia="Arial" w:hAnsi="Arial" w:cs="Arial"/>
          <w:i/>
          <w:color w:val="000000"/>
          <w:sz w:val="20"/>
        </w:rPr>
        <w:t>Meritor Sav. Bank</w:t>
      </w:r>
      <w:r>
        <w:rPr>
          <w:rFonts w:ascii="Arial" w:eastAsia="Arial" w:hAnsi="Arial" w:cs="Arial"/>
          <w:color w:val="000000"/>
          <w:sz w:val="20"/>
        </w:rPr>
        <w:t xml:space="preserve">, 477 U.S. at 64 (emphasis added) (quoting </w:t>
      </w:r>
      <w:bookmarkStart w:id="4798" w:name="Bookmark_I61CDGHP2HM6RS0020000400"/>
      <w:bookmarkEnd w:id="4798"/>
      <w:r>
        <w:rPr>
          <w:rFonts w:ascii="Arial" w:eastAsia="Arial" w:hAnsi="Arial" w:cs="Arial"/>
          <w:i/>
          <w:color w:val="000000"/>
          <w:sz w:val="20"/>
        </w:rPr>
        <w:t>Manhart</w:t>
      </w:r>
      <w:r>
        <w:rPr>
          <w:rFonts w:ascii="Arial" w:eastAsia="Arial" w:hAnsi="Arial" w:cs="Arial"/>
          <w:color w:val="000000"/>
          <w:sz w:val="20"/>
        </w:rPr>
        <w:t>, 435 U.S. at 707 n.13).</w:t>
      </w:r>
    </w:p>
    <w:p w14:paraId="16F85B99" w14:textId="77777777" w:rsidR="002B10A6" w:rsidRDefault="00000000">
      <w:pPr>
        <w:pStyle w:val="Normal23"/>
        <w:widowControl w:val="0"/>
        <w:spacing w:before="200" w:line="260" w:lineRule="atLeast"/>
        <w:jc w:val="both"/>
      </w:pPr>
      <w:bookmarkStart w:id="4799" w:name="Bookmark_para_97_1"/>
      <w:bookmarkEnd w:id="4799"/>
      <w:r>
        <w:rPr>
          <w:rFonts w:ascii="Arial" w:eastAsia="Arial" w:hAnsi="Arial" w:cs="Arial"/>
          <w:color w:val="000000"/>
          <w:sz w:val="20"/>
        </w:rPr>
        <w:t>As a consequence of this reasoning, we are simply unwilling to equate language that correctly signals the expansive sweep of the ADA's employment-related, anti-discrimination mandate—i.e., the terms-conditions-and-privileges-of-employment language—with language—i.e., "adverse employment action"—that indicates that the discrimination proscription does not extend to circumstances where there is no "</w:t>
      </w:r>
      <w:r>
        <w:rPr>
          <w:rFonts w:ascii="Arial" w:eastAsia="Arial" w:hAnsi="Arial" w:cs="Arial"/>
          <w:i/>
          <w:color w:val="000000"/>
          <w:sz w:val="20"/>
        </w:rPr>
        <w:t>significant change in employment status</w:t>
      </w:r>
      <w:r>
        <w:rPr>
          <w:rFonts w:ascii="Arial" w:eastAsia="Arial" w:hAnsi="Arial" w:cs="Arial"/>
          <w:color w:val="000000"/>
          <w:sz w:val="20"/>
        </w:rPr>
        <w:t xml:space="preserve">." Aplt.'s App., Vol. II, at 440, 449 (emphasis added); </w:t>
      </w:r>
      <w:r>
        <w:rPr>
          <w:rFonts w:ascii="Arial" w:eastAsia="Arial" w:hAnsi="Arial" w:cs="Arial"/>
          <w:i/>
          <w:color w:val="000000"/>
          <w:sz w:val="20"/>
        </w:rPr>
        <w:t>see</w:t>
      </w:r>
      <w:r>
        <w:rPr>
          <w:rFonts w:ascii="Arial" w:eastAsia="Arial" w:hAnsi="Arial" w:cs="Arial"/>
          <w:color w:val="000000"/>
          <w:sz w:val="20"/>
        </w:rPr>
        <w:t xml:space="preserve"> En Banc Br. for U.S. Amicus Curiae ("Gov't's Br.") at 9 ("But the 'adverse employment action' standard, as defined by the district court, is inconsistent with that plain text. Congress did not limit the statutory phrase 'terms, [**69]  conditions, and privileges of employment' to economic harm or significant changes in employment status.").</w:t>
      </w:r>
    </w:p>
    <w:p w14:paraId="50DEB54D" w14:textId="77777777" w:rsidR="002B10A6" w:rsidRDefault="00000000">
      <w:pPr>
        <w:pStyle w:val="Normal23"/>
        <w:widowControl w:val="0"/>
        <w:spacing w:before="200" w:line="260" w:lineRule="atLeast"/>
        <w:jc w:val="both"/>
      </w:pPr>
      <w:bookmarkStart w:id="4800" w:name="Bookmark_para_98_1"/>
      <w:bookmarkStart w:id="4801" w:name="Bookmark_I61CDGHP2HM6RS0050000400"/>
      <w:bookmarkStart w:id="4802" w:name="Bookmark_I61CDGHP28T4WX0020000400"/>
      <w:bookmarkEnd w:id="4800"/>
      <w:bookmarkEnd w:id="4801"/>
      <w:bookmarkEnd w:id="4802"/>
      <w:r>
        <w:rPr>
          <w:rFonts w:ascii="Arial" w:eastAsia="Arial" w:hAnsi="Arial" w:cs="Arial"/>
          <w:color w:val="000000"/>
          <w:sz w:val="20"/>
        </w:rPr>
        <w:t xml:space="preserve">To be sure, we recognize that the Panel Majority posited that we should feel comfortable treating "adverse employment action" as a "shorthand" for § 12112(a)'s terms-conditions-and-privileges-of-employment language because it has served this function in the Title VII context. </w:t>
      </w:r>
      <w:bookmarkStart w:id="4803" w:name="Bookmark_I61CDGHP2HM6RS0040000400"/>
      <w:bookmarkEnd w:id="4803"/>
      <w:r>
        <w:rPr>
          <w:rFonts w:ascii="Arial" w:eastAsia="Arial" w:hAnsi="Arial" w:cs="Arial"/>
          <w:color w:val="000000"/>
          <w:sz w:val="20"/>
        </w:rPr>
        <w:t xml:space="preserve">906 F.3d at 908. However, our preceding analysis of </w:t>
      </w:r>
      <w:r>
        <w:rPr>
          <w:rFonts w:ascii="Arial" w:eastAsia="Arial" w:hAnsi="Arial" w:cs="Arial"/>
          <w:i/>
          <w:color w:val="000000"/>
          <w:sz w:val="20"/>
        </w:rPr>
        <w:t>Burlington</w:t>
      </w:r>
      <w:r>
        <w:rPr>
          <w:rFonts w:ascii="Arial" w:eastAsia="Arial" w:hAnsi="Arial" w:cs="Arial"/>
          <w:color w:val="000000"/>
          <w:sz w:val="20"/>
        </w:rPr>
        <w:t xml:space="preserve"> and </w:t>
      </w:r>
      <w:r>
        <w:rPr>
          <w:rFonts w:ascii="Arial" w:eastAsia="Arial" w:hAnsi="Arial" w:cs="Arial"/>
          <w:i/>
          <w:color w:val="000000"/>
          <w:sz w:val="20"/>
        </w:rPr>
        <w:t>Meritor Savings Bank</w:t>
      </w:r>
      <w:r>
        <w:rPr>
          <w:rFonts w:ascii="Arial" w:eastAsia="Arial" w:hAnsi="Arial" w:cs="Arial"/>
          <w:color w:val="000000"/>
          <w:sz w:val="20"/>
        </w:rPr>
        <w:t xml:space="preserve">—both Title VII cases—belies the suggestion that the latter language (i.e., "terms, conditions, and privileges of employment") should be restricted in the manner that our circuit's understanding of "adverse employment action" would require—that is, restricted to circumstances where the discrimination involves "a </w:t>
      </w:r>
      <w:r>
        <w:rPr>
          <w:rFonts w:ascii="Arial" w:eastAsia="Arial" w:hAnsi="Arial" w:cs="Arial"/>
          <w:i/>
          <w:color w:val="000000"/>
          <w:sz w:val="20"/>
        </w:rPr>
        <w:t>significant change in employment status</w:t>
      </w:r>
      <w:r>
        <w:rPr>
          <w:rFonts w:ascii="Arial" w:eastAsia="Arial" w:hAnsi="Arial" w:cs="Arial"/>
          <w:color w:val="000000"/>
          <w:sz w:val="20"/>
        </w:rPr>
        <w:t xml:space="preserve">." Aplt.'s App., Vol. II, at 440, 449 (emphasis added); </w:t>
      </w:r>
      <w:r>
        <w:rPr>
          <w:rFonts w:ascii="Arial" w:eastAsia="Arial" w:hAnsi="Arial" w:cs="Arial"/>
          <w:i/>
          <w:color w:val="000000"/>
          <w:sz w:val="20"/>
        </w:rPr>
        <w:t xml:space="preserve">accord </w:t>
      </w:r>
      <w:bookmarkStart w:id="4804" w:name="Bookmark_I61CDGHP28T4WX0010000400"/>
      <w:bookmarkEnd w:id="4804"/>
      <w:r>
        <w:rPr>
          <w:rFonts w:ascii="Arial" w:eastAsia="Arial" w:hAnsi="Arial" w:cs="Arial"/>
          <w:i/>
          <w:color w:val="000000"/>
          <w:sz w:val="20"/>
        </w:rPr>
        <w:t>Hiatt</w:t>
      </w:r>
      <w:r>
        <w:rPr>
          <w:rFonts w:ascii="Arial" w:eastAsia="Arial" w:hAnsi="Arial" w:cs="Arial"/>
          <w:color w:val="000000"/>
          <w:sz w:val="20"/>
        </w:rPr>
        <w:t>, 858 F.3d at 1316.</w:t>
      </w:r>
      <w:r>
        <w:rPr>
          <w:rFonts w:ascii="Arial" w:eastAsia="Arial" w:hAnsi="Arial" w:cs="Arial"/>
          <w:vertAlign w:val="superscript"/>
        </w:rPr>
        <w:footnoteReference w:customMarkFollows="1" w:id="186"/>
        <w:t>22</w:t>
      </w:r>
      <w:r>
        <w:rPr>
          <w:rFonts w:ascii="Arial" w:eastAsia="Arial" w:hAnsi="Arial" w:cs="Arial"/>
          <w:color w:val="000000"/>
          <w:sz w:val="20"/>
        </w:rPr>
        <w:t xml:space="preserve"> Therefore, we reject the suggestion that "adverse employment action" could properly function as a shorthand for § 12112(a)'s terms-conditions-and-privileges-of-employment language.</w:t>
      </w:r>
      <w:r>
        <w:rPr>
          <w:rFonts w:ascii="Arial" w:eastAsia="Arial" w:hAnsi="Arial" w:cs="Arial"/>
          <w:vertAlign w:val="superscript"/>
        </w:rPr>
        <w:footnoteReference w:customMarkFollows="1" w:id="187"/>
        <w:t>23</w:t>
      </w:r>
    </w:p>
    <w:p w14:paraId="0ADE3812" w14:textId="77777777" w:rsidR="002B10A6" w:rsidRDefault="00000000">
      <w:pPr>
        <w:pStyle w:val="Normal23"/>
        <w:widowControl w:val="0"/>
        <w:spacing w:before="200" w:line="260" w:lineRule="atLeast"/>
        <w:jc w:val="both"/>
      </w:pPr>
      <w:bookmarkStart w:id="4822" w:name="Bookmark_para_99_1"/>
      <w:bookmarkEnd w:id="4822"/>
      <w:r>
        <w:rPr>
          <w:rFonts w:ascii="Arial" w:eastAsia="Arial" w:hAnsi="Arial" w:cs="Arial"/>
          <w:color w:val="000000"/>
          <w:sz w:val="20"/>
        </w:rPr>
        <w:t> [*819]  Thus, insofar as the district court sought to effect this equivalency between § 12112(a)'s terms-conditions-and-privileges-of-employment language and the term "adverse employment action"—as the district court and our case law have defined it—it committed legal error. More specifically, to the extent that the district court's mistaken belief about an ostensible obligation to expressly take into account § 12112(a)'s terms-conditions-and-privileges-of-employment language in an ADA failure-to-accommodate claim led the court—like the Panel Majority—to incorporate an adverse-employment-action requirement into that claim, the court committed legal error. And, to be clear, this is error irrespective of whether the district court was operating under such a mistaken belief: § 12112(a)'s terms-conditions-and-privileges-of-employment language is not synonymous with the term "adverse employment action," and therefore (whatever its rationale) the district court erred by effectively adding language to the statutory text that has no footing there—either expressly or in substance.</w:t>
      </w:r>
    </w:p>
    <w:p w14:paraId="0A19D000" w14:textId="77777777" w:rsidR="002B10A6" w:rsidRDefault="00000000">
      <w:pPr>
        <w:pStyle w:val="Normal23"/>
        <w:widowControl w:val="0"/>
        <w:spacing w:before="240" w:line="260" w:lineRule="atLeast"/>
      </w:pPr>
      <w:r>
        <w:br/>
      </w:r>
      <w:r>
        <w:rPr>
          <w:rFonts w:ascii="Arial" w:eastAsia="Arial" w:hAnsi="Arial" w:cs="Arial"/>
          <w:b/>
          <w:color w:val="000000"/>
          <w:sz w:val="20"/>
        </w:rPr>
        <w:t>***</w:t>
      </w:r>
    </w:p>
    <w:p w14:paraId="1B4D5217" w14:textId="77777777" w:rsidR="002B10A6" w:rsidRDefault="00000000">
      <w:pPr>
        <w:pStyle w:val="Normal23"/>
        <w:widowControl w:val="0"/>
        <w:spacing w:before="200" w:line="260" w:lineRule="atLeast"/>
        <w:jc w:val="both"/>
      </w:pPr>
      <w:bookmarkStart w:id="4823" w:name="Bookmark_para_100_1"/>
      <w:bookmarkStart w:id="4824" w:name="Bookmark_LNHNREFclscc48"/>
      <w:bookmarkEnd w:id="4823"/>
      <w:bookmarkEnd w:id="4824"/>
      <w:r>
        <w:rPr>
          <w:rFonts w:ascii="Arial" w:eastAsia="Arial" w:hAnsi="Arial" w:cs="Arial"/>
          <w:color w:val="000000"/>
          <w:sz w:val="20"/>
        </w:rPr>
        <w:t xml:space="preserve">In sum, we reject the view [**71]  that an adverse employment action is a requisite element of an ADA failure-to-accommodate claim. </w:t>
      </w:r>
      <w:bookmarkStart w:id="4825" w:name="Bookmark_I61CDGHR2N1R390010000400"/>
      <w:bookmarkEnd w:id="4825"/>
      <w:r>
        <w:rPr>
          <w:rFonts w:ascii="Arial" w:eastAsia="Arial" w:hAnsi="Arial" w:cs="Arial"/>
          <w:color w:val="000000"/>
          <w:sz w:val="20"/>
        </w:rPr>
        <w:t xml:space="preserve">Not only does the term "adverse employment action" not appear in the plain text of the relevant statutory provisions, but incorporating this element into an ADA failure-to-accommodate claim would be contrary to (1) our controlling precedent; (2) the inherent nature of a failure-to-accommodate claim, as contrasted with a disparate-treatment claim; (3) the general remedial purposes of the ADA; (4) the  [*820]  EEOC's understanding of the elements of an ADA failure-to-accommodate claim; and (5) the regularly followed practices of all of our sister circuits. Accordingly, the district court erred in incorporating an adverse-employment-action requirement into its instructions to the jury concerning Ms. Exby-Stolley's ADA failure-to-accommodate claim. In doing so, the district court did not "correctly state[] the governing law." </w:t>
      </w:r>
      <w:bookmarkStart w:id="4826" w:name="Bookmark_I61CDGHR2SF8HK0050000400"/>
      <w:bookmarkEnd w:id="4826"/>
      <w:r>
        <w:rPr>
          <w:rFonts w:ascii="Arial" w:eastAsia="Arial" w:hAnsi="Arial" w:cs="Arial"/>
          <w:i/>
          <w:color w:val="000000"/>
          <w:sz w:val="20"/>
        </w:rPr>
        <w:t>Woolman</w:t>
      </w:r>
      <w:r>
        <w:rPr>
          <w:rFonts w:ascii="Arial" w:eastAsia="Arial" w:hAnsi="Arial" w:cs="Arial"/>
          <w:color w:val="000000"/>
          <w:sz w:val="20"/>
        </w:rPr>
        <w:t xml:space="preserve">, 913 F.3d at 992 (quoting </w:t>
      </w:r>
      <w:bookmarkStart w:id="4827" w:name="Bookmark_I61CDGHR2N1R390020000400"/>
      <w:bookmarkEnd w:id="4827"/>
      <w:r>
        <w:rPr>
          <w:rFonts w:ascii="Arial" w:eastAsia="Arial" w:hAnsi="Arial" w:cs="Arial"/>
          <w:i/>
          <w:color w:val="000000"/>
          <w:sz w:val="20"/>
        </w:rPr>
        <w:t>Martinez</w:t>
      </w:r>
      <w:r>
        <w:rPr>
          <w:rFonts w:ascii="Arial" w:eastAsia="Arial" w:hAnsi="Arial" w:cs="Arial"/>
          <w:color w:val="000000"/>
          <w:sz w:val="20"/>
        </w:rPr>
        <w:t>, 572 F.3d at 1132).</w:t>
      </w:r>
    </w:p>
    <w:p w14:paraId="0052F7C7" w14:textId="77777777" w:rsidR="002B10A6" w:rsidRDefault="00000000">
      <w:pPr>
        <w:pStyle w:val="Normal23"/>
        <w:widowControl w:val="0"/>
        <w:spacing w:before="240" w:line="260" w:lineRule="atLeast"/>
      </w:pPr>
      <w:r>
        <w:br/>
      </w:r>
      <w:r>
        <w:rPr>
          <w:rFonts w:ascii="Arial" w:eastAsia="Arial" w:hAnsi="Arial" w:cs="Arial"/>
          <w:b/>
          <w:color w:val="000000"/>
          <w:sz w:val="20"/>
        </w:rPr>
        <w:t>III</w:t>
      </w:r>
    </w:p>
    <w:p w14:paraId="09F84259" w14:textId="77777777" w:rsidR="002B10A6" w:rsidRDefault="00000000">
      <w:pPr>
        <w:pStyle w:val="Normal23"/>
        <w:widowControl w:val="0"/>
        <w:spacing w:before="200" w:line="260" w:lineRule="atLeast"/>
        <w:jc w:val="both"/>
      </w:pPr>
      <w:bookmarkStart w:id="4828" w:name="Bookmark_para_101_1"/>
      <w:bookmarkStart w:id="4829" w:name="Bookmark_I61CDGHR2N1R390050000400"/>
      <w:bookmarkStart w:id="4830" w:name="Bookmark_I61CDGHR2D6N240040000400"/>
      <w:bookmarkEnd w:id="4828"/>
      <w:bookmarkEnd w:id="4829"/>
      <w:bookmarkEnd w:id="4830"/>
      <w:r>
        <w:rPr>
          <w:rFonts w:ascii="Arial" w:eastAsia="Arial" w:hAnsi="Arial" w:cs="Arial"/>
          <w:color w:val="000000"/>
          <w:sz w:val="20"/>
        </w:rPr>
        <w:t xml:space="preserve">Under the circumstances here, the district court's instructional error constrains us to reverse its judgment. </w:t>
      </w:r>
      <w:bookmarkStart w:id="4831" w:name="Bookmark_LNHNREFclscc49"/>
      <w:bookmarkEnd w:id="4831"/>
      <w:r>
        <w:rPr>
          <w:rFonts w:ascii="Arial" w:eastAsia="Arial" w:hAnsi="Arial" w:cs="Arial"/>
          <w:color w:val="000000"/>
          <w:sz w:val="20"/>
        </w:rPr>
        <w:t xml:space="preserve">Specifically, where "the district court has given a legally erroneous jury instruction, the judgment must be reversed if the jury might have based its verdict [**72]  on the erroneously given instruction." </w:t>
      </w:r>
      <w:bookmarkStart w:id="4832" w:name="Bookmark_I61CDGHR2N1R390040000400"/>
      <w:bookmarkEnd w:id="4832"/>
      <w:r>
        <w:rPr>
          <w:rFonts w:ascii="Arial" w:eastAsia="Arial" w:hAnsi="Arial" w:cs="Arial"/>
          <w:i/>
          <w:color w:val="000000"/>
          <w:sz w:val="20"/>
        </w:rPr>
        <w:t>Frederick v. Swift Transp. Co.</w:t>
      </w:r>
      <w:r>
        <w:rPr>
          <w:rFonts w:ascii="Arial" w:eastAsia="Arial" w:hAnsi="Arial" w:cs="Arial"/>
          <w:color w:val="000000"/>
          <w:sz w:val="20"/>
        </w:rPr>
        <w:t xml:space="preserve">, 616 F.3d 1074, 1079 (10th Cir. 2010) (quoting </w:t>
      </w:r>
      <w:bookmarkStart w:id="4833" w:name="Bookmark_I61CDGHR2D6N240010000400"/>
      <w:bookmarkEnd w:id="4833"/>
      <w:r>
        <w:rPr>
          <w:rFonts w:ascii="Arial" w:eastAsia="Arial" w:hAnsi="Arial" w:cs="Arial"/>
          <w:i/>
          <w:color w:val="000000"/>
          <w:sz w:val="20"/>
        </w:rPr>
        <w:t>Level 3 Commc'ns, LLC v. Liebert Corp.</w:t>
      </w:r>
      <w:r>
        <w:rPr>
          <w:rFonts w:ascii="Arial" w:eastAsia="Arial" w:hAnsi="Arial" w:cs="Arial"/>
          <w:color w:val="000000"/>
          <w:sz w:val="20"/>
        </w:rPr>
        <w:t xml:space="preserve">, 535 F.3d 1146, 1158 (10th Cir. 2008)). And this "'might have' threshold, as its language suggests, requires reversal 'even if that possibility [of the jury basing its verdict on the erroneous instruction] is very unlikely.'" </w:t>
      </w:r>
      <w:bookmarkStart w:id="4834" w:name="Bookmark_I61CDGHR2D6N240030000400"/>
      <w:bookmarkEnd w:id="4834"/>
      <w:r>
        <w:rPr>
          <w:rFonts w:ascii="Arial" w:eastAsia="Arial" w:hAnsi="Arial" w:cs="Arial"/>
          <w:i/>
          <w:color w:val="000000"/>
          <w:sz w:val="20"/>
        </w:rPr>
        <w:t>Lederman v. Frontier Fire Prot., Inc.</w:t>
      </w:r>
      <w:r>
        <w:rPr>
          <w:rFonts w:ascii="Arial" w:eastAsia="Arial" w:hAnsi="Arial" w:cs="Arial"/>
          <w:color w:val="000000"/>
          <w:sz w:val="20"/>
        </w:rPr>
        <w:t xml:space="preserve">, 685 F.3d 1151, 1159 (10th Cir. 2012) (quoting </w:t>
      </w:r>
      <w:bookmarkStart w:id="4835" w:name="Bookmark_I61CDGHR2D6N240050000400"/>
      <w:bookmarkEnd w:id="4835"/>
      <w:r>
        <w:rPr>
          <w:rFonts w:ascii="Arial" w:eastAsia="Arial" w:hAnsi="Arial" w:cs="Arial"/>
          <w:i/>
          <w:color w:val="000000"/>
          <w:sz w:val="20"/>
        </w:rPr>
        <w:t>Level 3 Commc'ns</w:t>
      </w:r>
      <w:r>
        <w:rPr>
          <w:rFonts w:ascii="Arial" w:eastAsia="Arial" w:hAnsi="Arial" w:cs="Arial"/>
          <w:color w:val="000000"/>
          <w:sz w:val="20"/>
        </w:rPr>
        <w:t xml:space="preserve">, 535 F.3d at 1158); </w:t>
      </w:r>
      <w:r>
        <w:rPr>
          <w:rFonts w:ascii="Arial" w:eastAsia="Arial" w:hAnsi="Arial" w:cs="Arial"/>
          <w:i/>
          <w:color w:val="000000"/>
          <w:sz w:val="20"/>
        </w:rPr>
        <w:t xml:space="preserve">accord </w:t>
      </w:r>
      <w:bookmarkStart w:id="4836" w:name="Bookmark_I61CDGHR2D6N260020000400"/>
      <w:bookmarkEnd w:id="4836"/>
      <w:r>
        <w:rPr>
          <w:rFonts w:ascii="Arial" w:eastAsia="Arial" w:hAnsi="Arial" w:cs="Arial"/>
          <w:i/>
          <w:color w:val="000000"/>
          <w:sz w:val="20"/>
        </w:rPr>
        <w:t>Advanced Recovery Sys. v. Am. Agencies</w:t>
      </w:r>
      <w:r>
        <w:rPr>
          <w:rFonts w:ascii="Arial" w:eastAsia="Arial" w:hAnsi="Arial" w:cs="Arial"/>
          <w:color w:val="000000"/>
          <w:sz w:val="20"/>
        </w:rPr>
        <w:t>, 923 F.3d 819, 827 (10th Cir. 2019) ("We . . . must reverse based on an erroneous instruction if there is even a slight possibility of an effect on the verdict.").</w:t>
      </w:r>
    </w:p>
    <w:p w14:paraId="1415F487" w14:textId="77777777" w:rsidR="002B10A6" w:rsidRDefault="00000000">
      <w:pPr>
        <w:pStyle w:val="Normal23"/>
        <w:widowControl w:val="0"/>
        <w:spacing w:before="200" w:line="260" w:lineRule="atLeast"/>
        <w:jc w:val="both"/>
      </w:pPr>
      <w:bookmarkStart w:id="4837" w:name="Bookmark_para_102_1"/>
      <w:bookmarkEnd w:id="4837"/>
      <w:r>
        <w:rPr>
          <w:rFonts w:ascii="Arial" w:eastAsia="Arial" w:hAnsi="Arial" w:cs="Arial"/>
          <w:color w:val="000000"/>
          <w:sz w:val="20"/>
        </w:rPr>
        <w:t>Here, based on the record, we conclude with little difficulty that we must reverse: the jury returned a verdict for the County after expressly indicating on the Verdict Form that Ms. Exby-Stolley had failed to prove that she was either "discharged from employment," "not promoted," or subjected to any "other adverse action" by the County. Aplt.'s App., Vol. II, at 419. Therefore, there is much more than "a slight possibility" here that the jury based its verdict on the faulty instruction regarding an adverse employment action. We must reverse.</w:t>
      </w:r>
    </w:p>
    <w:p w14:paraId="295296A2" w14:textId="77777777" w:rsidR="002B10A6" w:rsidRDefault="00000000">
      <w:pPr>
        <w:pStyle w:val="Normal23"/>
        <w:widowControl w:val="0"/>
        <w:spacing w:before="240" w:line="260" w:lineRule="atLeast"/>
      </w:pPr>
      <w:r>
        <w:br/>
      </w:r>
      <w:r>
        <w:rPr>
          <w:rFonts w:ascii="Arial" w:eastAsia="Arial" w:hAnsi="Arial" w:cs="Arial"/>
          <w:b/>
          <w:color w:val="000000"/>
          <w:sz w:val="20"/>
        </w:rPr>
        <w:t>IV</w:t>
      </w:r>
    </w:p>
    <w:p w14:paraId="606986E6" w14:textId="77777777" w:rsidR="002B10A6" w:rsidRDefault="00000000">
      <w:pPr>
        <w:pStyle w:val="Normal23"/>
        <w:widowControl w:val="0"/>
        <w:spacing w:before="200" w:line="260" w:lineRule="atLeast"/>
        <w:jc w:val="both"/>
      </w:pPr>
      <w:bookmarkStart w:id="4838" w:name="Bookmark_para_103_1"/>
      <w:bookmarkStart w:id="4839" w:name="Bookmark_I61CDGHR2D6N260050000400"/>
      <w:bookmarkStart w:id="4840" w:name="Bookmark_I61CDGHS28T4X70020000400"/>
      <w:bookmarkEnd w:id="4838"/>
      <w:bookmarkEnd w:id="4839"/>
      <w:bookmarkEnd w:id="4840"/>
      <w:r>
        <w:rPr>
          <w:rFonts w:ascii="Arial" w:eastAsia="Arial" w:hAnsi="Arial" w:cs="Arial"/>
          <w:color w:val="000000"/>
          <w:sz w:val="20"/>
        </w:rPr>
        <w:t xml:space="preserve">Because our reversal of the district court's judgment will result in remand for a new trial, we pause in closing to address a purely legal issue that Ms. Exby-Stolley presented in a contention of error on appeal and that is likely to recur on retrial. "[W]e think it proper for us to decide this [**73]  issue for the guidance of the district court on remand." </w:t>
      </w:r>
      <w:bookmarkStart w:id="4841" w:name="Bookmark_I61CDGHR2D6N260040000400"/>
      <w:bookmarkEnd w:id="4841"/>
      <w:r>
        <w:rPr>
          <w:rFonts w:ascii="Arial" w:eastAsia="Arial" w:hAnsi="Arial" w:cs="Arial"/>
          <w:i/>
          <w:color w:val="000000"/>
          <w:sz w:val="20"/>
        </w:rPr>
        <w:t>Colo. Visionary Acad. v. Medtronic, Inc.</w:t>
      </w:r>
      <w:r>
        <w:rPr>
          <w:rFonts w:ascii="Arial" w:eastAsia="Arial" w:hAnsi="Arial" w:cs="Arial"/>
          <w:color w:val="000000"/>
          <w:sz w:val="20"/>
        </w:rPr>
        <w:t xml:space="preserve">, 397 F.3d 867, 876 (10th Cir. 2005). Specifically, Ms. Exby-Stolley argued that "the district court improperly failed to instruct the jury that undue hardship is an affirmative defense and that the burden of persuasion lies with the County." </w:t>
      </w:r>
      <w:bookmarkStart w:id="4842" w:name="Bookmark_I61CDGHS28T4X70010000400"/>
      <w:bookmarkEnd w:id="4842"/>
      <w:r>
        <w:rPr>
          <w:rFonts w:ascii="Arial" w:eastAsia="Arial" w:hAnsi="Arial" w:cs="Arial"/>
          <w:color w:val="000000"/>
          <w:sz w:val="20"/>
        </w:rPr>
        <w:t xml:space="preserve">906 F.3d at 919. The Panel Majority held that any error by the district court regarding this matter would have been harmless because there was "no need for the jury to address the issue of undue hardship once it found that there was no adverse employment action." </w:t>
      </w:r>
      <w:r>
        <w:rPr>
          <w:rFonts w:ascii="Arial" w:eastAsia="Arial" w:hAnsi="Arial" w:cs="Arial"/>
          <w:i/>
          <w:color w:val="000000"/>
          <w:sz w:val="20"/>
        </w:rPr>
        <w:t>Id.</w:t>
      </w:r>
      <w:r>
        <w:rPr>
          <w:rFonts w:ascii="Arial" w:eastAsia="Arial" w:hAnsi="Arial" w:cs="Arial"/>
          <w:color w:val="000000"/>
          <w:sz w:val="20"/>
        </w:rPr>
        <w:t xml:space="preserve"> More specifically, the Panel Majority opined that "[o]ur review of [this] issue would be required only if we had agreed with [Ms. Exby-Stolley's] failure-to-accommodate argument." </w:t>
      </w:r>
      <w:r>
        <w:rPr>
          <w:rFonts w:ascii="Arial" w:eastAsia="Arial" w:hAnsi="Arial" w:cs="Arial"/>
          <w:i/>
          <w:color w:val="000000"/>
          <w:sz w:val="20"/>
        </w:rPr>
        <w:t>Id.</w:t>
      </w:r>
      <w:r>
        <w:rPr>
          <w:rFonts w:ascii="Arial" w:eastAsia="Arial" w:hAnsi="Arial" w:cs="Arial"/>
          <w:color w:val="000000"/>
          <w:sz w:val="20"/>
        </w:rPr>
        <w:t xml:space="preserve"> Because we do agree in this en banc proceeding with Ms. Exby-Stolley's failure-to-accommodate argument and because the undue-hardship issue presents a pure legal question that is likely to arise again on remand, we address it here for the guidance of the district court.</w:t>
      </w:r>
      <w:r>
        <w:rPr>
          <w:rFonts w:ascii="Arial" w:eastAsia="Arial" w:hAnsi="Arial" w:cs="Arial"/>
          <w:vertAlign w:val="superscript"/>
        </w:rPr>
        <w:footnoteReference w:customMarkFollows="1" w:id="188"/>
        <w:t>24</w:t>
      </w:r>
    </w:p>
    <w:p w14:paraId="4B691709" w14:textId="77777777" w:rsidR="002B10A6" w:rsidRDefault="00000000">
      <w:pPr>
        <w:pStyle w:val="Normal23"/>
        <w:widowControl w:val="0"/>
        <w:spacing w:before="200" w:line="260" w:lineRule="atLeast"/>
        <w:jc w:val="both"/>
      </w:pPr>
      <w:bookmarkStart w:id="4857" w:name="Bookmark_para_104_1"/>
      <w:bookmarkEnd w:id="4857"/>
      <w:r>
        <w:rPr>
          <w:rFonts w:ascii="Arial" w:eastAsia="Arial" w:hAnsi="Arial" w:cs="Arial"/>
          <w:color w:val="000000"/>
          <w:sz w:val="20"/>
        </w:rPr>
        <w:t xml:space="preserve"> [*821]  </w:t>
      </w:r>
      <w:bookmarkStart w:id="4858" w:name="Bookmark_I61CDGHV28T4XM0020000400"/>
      <w:bookmarkEnd w:id="4858"/>
      <w:r>
        <w:rPr>
          <w:rFonts w:ascii="Arial" w:eastAsia="Arial" w:hAnsi="Arial" w:cs="Arial"/>
          <w:color w:val="000000"/>
          <w:sz w:val="20"/>
        </w:rPr>
        <w:t xml:space="preserve">At trial, over Ms. Exby-Stolley's objection, the district court refused to instruct the jury that the County bore the burden of proof on an [**74]  undue-hardship defense. The district court reasoned that it did not "believe" that undue hardship "is, in fact, an affirmative defense at trial." Aplt.'s App., Vol. V, at 1189-90; </w:t>
      </w:r>
      <w:r>
        <w:rPr>
          <w:rFonts w:ascii="Arial" w:eastAsia="Arial" w:hAnsi="Arial" w:cs="Arial"/>
          <w:i/>
          <w:color w:val="000000"/>
          <w:sz w:val="20"/>
        </w:rPr>
        <w:t>see id.</w:t>
      </w:r>
      <w:r>
        <w:rPr>
          <w:rFonts w:ascii="Arial" w:eastAsia="Arial" w:hAnsi="Arial" w:cs="Arial"/>
          <w:color w:val="000000"/>
          <w:sz w:val="20"/>
        </w:rPr>
        <w:t xml:space="preserve"> at 1185 (noting, as to undue hardship, "I don't think this is an affirmative defense"). </w:t>
      </w:r>
      <w:bookmarkStart w:id="4859" w:name="Bookmark_I61CDGHV28T4XM0040000400"/>
      <w:bookmarkStart w:id="4860" w:name="Bookmark_LNHNREFclscc50"/>
      <w:bookmarkEnd w:id="4859"/>
      <w:bookmarkEnd w:id="4860"/>
      <w:r>
        <w:rPr>
          <w:rFonts w:ascii="Arial" w:eastAsia="Arial" w:hAnsi="Arial" w:cs="Arial"/>
          <w:color w:val="000000"/>
          <w:sz w:val="20"/>
        </w:rPr>
        <w:t xml:space="preserve">The ADA, however, clearly states that the employer—to avoid liability on a failure-to-accommodate claim—must "demonstrate that the accommodation would impose an undue hardship." 42 U.S.C. § 12112(b)(5)(A); </w:t>
      </w:r>
      <w:r>
        <w:rPr>
          <w:rFonts w:ascii="Arial" w:eastAsia="Arial" w:hAnsi="Arial" w:cs="Arial"/>
          <w:i/>
          <w:color w:val="000000"/>
          <w:sz w:val="20"/>
        </w:rPr>
        <w:t xml:space="preserve">see </w:t>
      </w:r>
      <w:bookmarkStart w:id="4861" w:name="Bookmark_I61CDGHV28T4XM0010000400"/>
      <w:bookmarkEnd w:id="4861"/>
      <w:r>
        <w:rPr>
          <w:rFonts w:ascii="Arial" w:eastAsia="Arial" w:hAnsi="Arial" w:cs="Arial"/>
          <w:i/>
          <w:color w:val="000000"/>
          <w:sz w:val="20"/>
        </w:rPr>
        <w:t>US Airways</w:t>
      </w:r>
      <w:r>
        <w:rPr>
          <w:rFonts w:ascii="Arial" w:eastAsia="Arial" w:hAnsi="Arial" w:cs="Arial"/>
          <w:color w:val="000000"/>
          <w:sz w:val="20"/>
        </w:rPr>
        <w:t xml:space="preserve">, 535 U.S. at 396 ("[T]he ADA says that 'discrimination' includes an employer's 'not making reasonable accommodations to the known physical or mental limitations of an otherwise qualified . . . employee, unless [the employer] can demonstrate that the accommodation would impose an undue hardship on the operation of [its] business.'" (alterations and omissions in original) (emphasis omitted) (quoting 42 U.S.C. § 12112(b)(5)(A))). </w:t>
      </w:r>
      <w:bookmarkStart w:id="4862" w:name="Bookmark_I61CDGHV28T4XM0040000400_2"/>
      <w:bookmarkEnd w:id="4862"/>
      <w:r>
        <w:rPr>
          <w:rFonts w:ascii="Arial" w:eastAsia="Arial" w:hAnsi="Arial" w:cs="Arial"/>
          <w:color w:val="000000"/>
          <w:sz w:val="20"/>
        </w:rPr>
        <w:t xml:space="preserve">Our precedents are in accord. </w:t>
      </w:r>
      <w:r>
        <w:rPr>
          <w:rFonts w:ascii="Arial" w:eastAsia="Arial" w:hAnsi="Arial" w:cs="Arial"/>
          <w:i/>
          <w:color w:val="000000"/>
          <w:sz w:val="20"/>
        </w:rPr>
        <w:t xml:space="preserve">See </w:t>
      </w:r>
      <w:bookmarkStart w:id="4863" w:name="Bookmark_I61CDGHV28T4XM0030000400"/>
      <w:bookmarkEnd w:id="4863"/>
      <w:r>
        <w:rPr>
          <w:rFonts w:ascii="Arial" w:eastAsia="Arial" w:hAnsi="Arial" w:cs="Arial"/>
          <w:i/>
          <w:color w:val="000000"/>
          <w:sz w:val="20"/>
        </w:rPr>
        <w:t>Punt</w:t>
      </w:r>
      <w:r>
        <w:rPr>
          <w:rFonts w:ascii="Arial" w:eastAsia="Arial" w:hAnsi="Arial" w:cs="Arial"/>
          <w:color w:val="000000"/>
          <w:sz w:val="20"/>
        </w:rPr>
        <w:t xml:space="preserve">, 862 F.3d at 1050 (listing  [*822]  undue hardship as an affirmative defense available to the employer); </w:t>
      </w:r>
      <w:r>
        <w:rPr>
          <w:rFonts w:ascii="Arial" w:eastAsia="Arial" w:hAnsi="Arial" w:cs="Arial"/>
          <w:i/>
          <w:color w:val="000000"/>
          <w:sz w:val="20"/>
        </w:rPr>
        <w:t xml:space="preserve">accord </w:t>
      </w:r>
      <w:bookmarkStart w:id="4864" w:name="Bookmark_I61CDGHV28T4XM0050000400"/>
      <w:bookmarkEnd w:id="4864"/>
      <w:r>
        <w:rPr>
          <w:rFonts w:ascii="Arial" w:eastAsia="Arial" w:hAnsi="Arial" w:cs="Arial"/>
          <w:i/>
          <w:color w:val="000000"/>
          <w:sz w:val="20"/>
        </w:rPr>
        <w:t>Smith</w:t>
      </w:r>
      <w:r>
        <w:rPr>
          <w:rFonts w:ascii="Arial" w:eastAsia="Arial" w:hAnsi="Arial" w:cs="Arial"/>
          <w:color w:val="000000"/>
          <w:sz w:val="20"/>
        </w:rPr>
        <w:t xml:space="preserve">, 180 F.3d at 1179; </w:t>
      </w:r>
      <w:r>
        <w:rPr>
          <w:rFonts w:ascii="Arial" w:eastAsia="Arial" w:hAnsi="Arial" w:cs="Arial"/>
          <w:i/>
          <w:color w:val="000000"/>
          <w:sz w:val="20"/>
        </w:rPr>
        <w:t xml:space="preserve">cf. </w:t>
      </w:r>
      <w:bookmarkStart w:id="4865" w:name="Bookmark_I61CDGHV2SF8J80020000400"/>
      <w:bookmarkEnd w:id="4865"/>
      <w:r>
        <w:rPr>
          <w:rFonts w:ascii="Arial" w:eastAsia="Arial" w:hAnsi="Arial" w:cs="Arial"/>
          <w:i/>
          <w:color w:val="000000"/>
          <w:sz w:val="20"/>
        </w:rPr>
        <w:t>Hwang v. Kan. State Univ.</w:t>
      </w:r>
      <w:r>
        <w:rPr>
          <w:rFonts w:ascii="Arial" w:eastAsia="Arial" w:hAnsi="Arial" w:cs="Arial"/>
          <w:color w:val="000000"/>
          <w:sz w:val="20"/>
        </w:rPr>
        <w:t xml:space="preserve">, 753 F.3d 1159, 1162-63 (10th Cir. 2014) (addressing the employer's defensive undue-hardship burden under essentially coterminous substantive standards of the Rehabilitation Act). In short, undue hardship is an affirmative defense, and, consequently, the County bears the burden to establish it at trial. </w:t>
      </w:r>
      <w:bookmarkStart w:id="4866" w:name="Bookmark_I631B5YX28T5210010000400"/>
      <w:bookmarkStart w:id="4867" w:name="Bookmark_730X3VXX6300005B5800001"/>
      <w:bookmarkEnd w:id="4866"/>
      <w:bookmarkEnd w:id="4867"/>
      <w:r>
        <w:rPr>
          <w:rFonts w:ascii="Arial" w:eastAsia="Arial" w:hAnsi="Arial" w:cs="Arial"/>
          <w:color w:val="000000"/>
          <w:sz w:val="20"/>
        </w:rPr>
        <w:t>On [**75]  remand, the district court should instruct the jury accordingly.</w:t>
      </w:r>
    </w:p>
    <w:p w14:paraId="19A57E9A" w14:textId="77777777" w:rsidR="002B10A6" w:rsidRDefault="00000000">
      <w:pPr>
        <w:pStyle w:val="Normal23"/>
        <w:widowControl w:val="0"/>
        <w:spacing w:before="240" w:line="260" w:lineRule="atLeast"/>
      </w:pPr>
      <w:r>
        <w:br/>
      </w:r>
      <w:r>
        <w:rPr>
          <w:rFonts w:ascii="Arial" w:eastAsia="Arial" w:hAnsi="Arial" w:cs="Arial"/>
          <w:b/>
          <w:color w:val="000000"/>
          <w:sz w:val="20"/>
        </w:rPr>
        <w:t>V</w:t>
      </w:r>
    </w:p>
    <w:p w14:paraId="7CF6949C" w14:textId="77777777" w:rsidR="002B10A6" w:rsidRDefault="00000000">
      <w:pPr>
        <w:pStyle w:val="Normal23"/>
        <w:widowControl w:val="0"/>
        <w:spacing w:before="200" w:line="260" w:lineRule="atLeast"/>
        <w:jc w:val="both"/>
      </w:pPr>
      <w:bookmarkStart w:id="4868" w:name="Bookmark_para_105_1"/>
      <w:bookmarkEnd w:id="4868"/>
      <w:r>
        <w:rPr>
          <w:rFonts w:ascii="Arial" w:eastAsia="Arial" w:hAnsi="Arial" w:cs="Arial"/>
          <w:color w:val="000000"/>
          <w:sz w:val="20"/>
        </w:rPr>
        <w:t xml:space="preserve">For the foregoing reasons, we </w:t>
      </w:r>
      <w:r>
        <w:rPr>
          <w:rFonts w:ascii="Arial" w:eastAsia="Arial" w:hAnsi="Arial" w:cs="Arial"/>
          <w:b/>
          <w:color w:val="000000"/>
          <w:sz w:val="20"/>
        </w:rPr>
        <w:t>REVERSE</w:t>
      </w:r>
      <w:r>
        <w:rPr>
          <w:rFonts w:ascii="Arial" w:eastAsia="Arial" w:hAnsi="Arial" w:cs="Arial"/>
          <w:color w:val="000000"/>
          <w:sz w:val="20"/>
        </w:rPr>
        <w:t xml:space="preserve"> the district court's judgment and </w:t>
      </w:r>
      <w:r>
        <w:rPr>
          <w:rFonts w:ascii="Arial" w:eastAsia="Arial" w:hAnsi="Arial" w:cs="Arial"/>
          <w:b/>
          <w:color w:val="000000"/>
          <w:sz w:val="20"/>
        </w:rPr>
        <w:t>REMAND</w:t>
      </w:r>
      <w:r>
        <w:rPr>
          <w:rFonts w:ascii="Arial" w:eastAsia="Arial" w:hAnsi="Arial" w:cs="Arial"/>
          <w:color w:val="000000"/>
          <w:sz w:val="20"/>
        </w:rPr>
        <w:t xml:space="preserve"> for a new trial consistent with this opinion.</w:t>
      </w:r>
    </w:p>
    <w:p w14:paraId="1AB02D7E" w14:textId="77777777" w:rsidR="002B10A6" w:rsidRDefault="00000000">
      <w:pPr>
        <w:pStyle w:val="Normal23"/>
        <w:widowControl w:val="0"/>
        <w:spacing w:before="240" w:line="260" w:lineRule="atLeast"/>
      </w:pPr>
      <w:bookmarkStart w:id="4869" w:name="Dissent_by_2"/>
      <w:bookmarkEnd w:id="4869"/>
      <w:r>
        <w:rPr>
          <w:rFonts w:ascii="Arial" w:eastAsia="Arial" w:hAnsi="Arial" w:cs="Arial"/>
          <w:b/>
          <w:color w:val="000000"/>
          <w:sz w:val="20"/>
        </w:rPr>
        <w:t>Dissent by:</w:t>
      </w:r>
      <w:r>
        <w:rPr>
          <w:rFonts w:ascii="Arial" w:eastAsia="Arial" w:hAnsi="Arial" w:cs="Arial"/>
          <w:color w:val="000000"/>
          <w:sz w:val="20"/>
        </w:rPr>
        <w:t> McHUGH; HARTZ</w:t>
      </w:r>
    </w:p>
    <w:p w14:paraId="73CE0852" w14:textId="77777777" w:rsidR="002B10A6" w:rsidRDefault="00000000">
      <w:pPr>
        <w:pStyle w:val="Normal23"/>
        <w:keepNext/>
        <w:widowControl w:val="0"/>
        <w:spacing w:before="240" w:line="340" w:lineRule="atLeast"/>
      </w:pPr>
      <w:bookmarkStart w:id="4870" w:name="Dissent_2"/>
      <w:bookmarkEnd w:id="4870"/>
      <w:r>
        <w:rPr>
          <w:rFonts w:ascii="Arial" w:eastAsia="Arial" w:hAnsi="Arial" w:cs="Arial"/>
          <w:b/>
          <w:color w:val="000000"/>
          <w:sz w:val="28"/>
        </w:rPr>
        <w:t>Dissent</w:t>
      </w:r>
    </w:p>
    <w:p w14:paraId="422231EB" w14:textId="41CAF2C8" w:rsidR="002B10A6" w:rsidRDefault="002D6974">
      <w:pPr>
        <w:pStyle w:val="Normal23"/>
        <w:spacing w:line="60" w:lineRule="exact"/>
      </w:pPr>
      <w:r>
        <w:rPr>
          <w:noProof/>
        </w:rPr>
        <mc:AlternateContent>
          <mc:Choice Requires="wps">
            <w:drawing>
              <wp:anchor distT="0" distB="0" distL="114300" distR="114300" simplePos="0" relativeHeight="251709440" behindDoc="0" locked="0" layoutInCell="1" allowOverlap="1" wp14:anchorId="41F7BF24" wp14:editId="76980A2A">
                <wp:simplePos x="0" y="0"/>
                <wp:positionH relativeFrom="column">
                  <wp:posOffset>0</wp:posOffset>
                </wp:positionH>
                <wp:positionV relativeFrom="paragraph">
                  <wp:posOffset>25400</wp:posOffset>
                </wp:positionV>
                <wp:extent cx="3187700" cy="0"/>
                <wp:effectExtent l="19050" t="15875" r="12700" b="12700"/>
                <wp:wrapTopAndBottom/>
                <wp:docPr id="1749792443"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425ABE" id="Line 51"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4E1CF3A" w14:textId="77777777" w:rsidR="002B10A6" w:rsidRDefault="002B10A6">
      <w:pPr>
        <w:pStyle w:val="Normal23"/>
      </w:pPr>
    </w:p>
    <w:p w14:paraId="55D7A927" w14:textId="77777777" w:rsidR="002B10A6" w:rsidRDefault="00000000">
      <w:pPr>
        <w:pStyle w:val="Normal23"/>
        <w:widowControl w:val="0"/>
        <w:spacing w:before="200" w:line="260" w:lineRule="atLeast"/>
        <w:jc w:val="both"/>
      </w:pPr>
      <w:bookmarkStart w:id="4871" w:name="Bookmark_para_106_1"/>
      <w:bookmarkEnd w:id="4871"/>
      <w:r>
        <w:rPr>
          <w:rFonts w:ascii="Arial" w:eastAsia="Arial" w:hAnsi="Arial" w:cs="Arial"/>
          <w:b/>
          <w:color w:val="000000"/>
          <w:sz w:val="20"/>
        </w:rPr>
        <w:t>McHUGH</w:t>
      </w:r>
      <w:r>
        <w:rPr>
          <w:rFonts w:ascii="Arial" w:eastAsia="Arial" w:hAnsi="Arial" w:cs="Arial"/>
          <w:color w:val="000000"/>
          <w:sz w:val="20"/>
        </w:rPr>
        <w:t xml:space="preserve">, Circuit Judge, dissenting, joined by </w:t>
      </w:r>
      <w:r>
        <w:rPr>
          <w:rFonts w:ascii="Arial" w:eastAsia="Arial" w:hAnsi="Arial" w:cs="Arial"/>
          <w:b/>
          <w:color w:val="000000"/>
          <w:sz w:val="20"/>
        </w:rPr>
        <w:t>Tymkovich</w:t>
      </w:r>
      <w:r>
        <w:rPr>
          <w:rFonts w:ascii="Arial" w:eastAsia="Arial" w:hAnsi="Arial" w:cs="Arial"/>
          <w:color w:val="000000"/>
          <w:sz w:val="20"/>
        </w:rPr>
        <w:t xml:space="preserve">, Chief Judge, and </w:t>
      </w:r>
      <w:r>
        <w:rPr>
          <w:rFonts w:ascii="Arial" w:eastAsia="Arial" w:hAnsi="Arial" w:cs="Arial"/>
          <w:b/>
          <w:color w:val="000000"/>
          <w:sz w:val="20"/>
        </w:rPr>
        <w:t>Kelly, Eid</w:t>
      </w:r>
      <w:r>
        <w:rPr>
          <w:rFonts w:ascii="Arial" w:eastAsia="Arial" w:hAnsi="Arial" w:cs="Arial"/>
          <w:color w:val="000000"/>
          <w:sz w:val="20"/>
        </w:rPr>
        <w:t xml:space="preserve">, and </w:t>
      </w:r>
      <w:r>
        <w:rPr>
          <w:rFonts w:ascii="Arial" w:eastAsia="Arial" w:hAnsi="Arial" w:cs="Arial"/>
          <w:b/>
          <w:color w:val="000000"/>
          <w:sz w:val="20"/>
        </w:rPr>
        <w:t>Carson</w:t>
      </w:r>
      <w:r>
        <w:rPr>
          <w:rFonts w:ascii="Arial" w:eastAsia="Arial" w:hAnsi="Arial" w:cs="Arial"/>
          <w:color w:val="000000"/>
          <w:sz w:val="20"/>
        </w:rPr>
        <w:t xml:space="preserve">, Circuit Judges; </w:t>
      </w:r>
      <w:r>
        <w:rPr>
          <w:rFonts w:ascii="Arial" w:eastAsia="Arial" w:hAnsi="Arial" w:cs="Arial"/>
          <w:b/>
          <w:color w:val="000000"/>
          <w:sz w:val="20"/>
        </w:rPr>
        <w:t>Hartz</w:t>
      </w:r>
      <w:r>
        <w:rPr>
          <w:rFonts w:ascii="Arial" w:eastAsia="Arial" w:hAnsi="Arial" w:cs="Arial"/>
          <w:color w:val="000000"/>
          <w:sz w:val="20"/>
        </w:rPr>
        <w:t>, Circuit Judge, also joins except as to section III.B.</w:t>
      </w:r>
    </w:p>
    <w:p w14:paraId="4D812924" w14:textId="77777777" w:rsidR="002B10A6" w:rsidRDefault="00000000">
      <w:pPr>
        <w:pStyle w:val="Normal23"/>
        <w:widowControl w:val="0"/>
        <w:spacing w:before="200" w:line="260" w:lineRule="atLeast"/>
        <w:jc w:val="both"/>
      </w:pPr>
      <w:bookmarkStart w:id="4872" w:name="Bookmark_para_107_1"/>
      <w:bookmarkEnd w:id="4872"/>
      <w:r>
        <w:rPr>
          <w:rFonts w:ascii="Arial" w:eastAsia="Arial" w:hAnsi="Arial" w:cs="Arial"/>
          <w:color w:val="000000"/>
          <w:sz w:val="20"/>
        </w:rPr>
        <w:t>Because I am unwilling to ignore twenty-five words Congress placed in the Americans with Disabilities Act ("ADA"), 42 U.S.C. §§ 12111-17, I cannot join the majority opinion. And because the jury instructions in this case are consistent with the plain meaning of those twenty-five words as applied to the allegations advanced by Ms. Exby-Stolley, I respectfully dissent.</w:t>
      </w:r>
    </w:p>
    <w:p w14:paraId="6F141A19" w14:textId="77777777" w:rsidR="002B10A6" w:rsidRDefault="00000000">
      <w:pPr>
        <w:pStyle w:val="Normal23"/>
        <w:widowControl w:val="0"/>
        <w:spacing w:before="200" w:line="260" w:lineRule="atLeast"/>
        <w:jc w:val="both"/>
      </w:pPr>
      <w:bookmarkStart w:id="4873" w:name="Bookmark_para_108_1"/>
      <w:bookmarkEnd w:id="4873"/>
      <w:r>
        <w:rPr>
          <w:rFonts w:ascii="Arial" w:eastAsia="Arial" w:hAnsi="Arial" w:cs="Arial"/>
          <w:color w:val="000000"/>
          <w:sz w:val="20"/>
        </w:rPr>
        <w:t>To explain my reasoning, I proceed in four parts. First, I examine 42 U.S.C. § 12112(a) of the ADA, as modified by § 12112(b). I conclude that § 12112(b) defines only one of the two express requirements of § 12112(a). Second, I consider the reasons advanced by the majority for ignoring the second requirement of § 12112(a). Third, I address Ms. Exby-Stolley's burden in proving the remaining requirement of § 12112(a). In doing so, I look for guidance to the decisions interpreting an analogous provision found in Title VII of the Civil Rights Act [**76]  of 1964 ("Title VII"). And finally, in the fourth section, I review the jury instructions to assess whether they correctly framed the elements of Ms. Exby-Stolley's claim. Concluding that they did, I would affirm the decision of the district court.</w:t>
      </w:r>
    </w:p>
    <w:p w14:paraId="713A30FB" w14:textId="77777777" w:rsidR="002B10A6" w:rsidRDefault="00000000">
      <w:pPr>
        <w:pStyle w:val="Normal23"/>
        <w:widowControl w:val="0"/>
        <w:spacing w:before="240" w:line="260" w:lineRule="atLeast"/>
      </w:pPr>
      <w:r>
        <w:br/>
      </w:r>
      <w:r>
        <w:rPr>
          <w:rFonts w:ascii="Arial" w:eastAsia="Arial" w:hAnsi="Arial" w:cs="Arial"/>
          <w:b/>
          <w:color w:val="000000"/>
          <w:sz w:val="20"/>
        </w:rPr>
        <w:t>I. REQUIREMENTS OF § 12112</w:t>
      </w:r>
    </w:p>
    <w:p w14:paraId="60760FC8" w14:textId="77777777" w:rsidR="002B10A6" w:rsidRDefault="00000000">
      <w:pPr>
        <w:pStyle w:val="Normal23"/>
        <w:widowControl w:val="0"/>
        <w:spacing w:before="200" w:line="260" w:lineRule="atLeast"/>
        <w:jc w:val="both"/>
      </w:pPr>
      <w:bookmarkStart w:id="4874" w:name="Bookmark_para_109_1"/>
      <w:bookmarkStart w:id="4875" w:name="Bookmark_I722C9WN8VG0000671P0001Y"/>
      <w:bookmarkStart w:id="4876" w:name="Bookmark_I722C9WNCV20000671P00020"/>
      <w:bookmarkStart w:id="4877" w:name="Bookmark_I61CDGHV2SF8J80050000400"/>
      <w:bookmarkEnd w:id="4874"/>
      <w:bookmarkEnd w:id="4875"/>
      <w:bookmarkEnd w:id="4876"/>
      <w:bookmarkEnd w:id="4877"/>
      <w:r>
        <w:rPr>
          <w:rFonts w:ascii="Arial" w:eastAsia="Arial" w:hAnsi="Arial" w:cs="Arial"/>
          <w:color w:val="000000"/>
          <w:sz w:val="20"/>
        </w:rPr>
        <w:t xml:space="preserve">The issue before this court is the proper interpretation of Title I of the ADA with respect to the requirements for proving a failure-to-accommodate claim. "In statutory construction, we begin 'with the language of the statute.'" </w:t>
      </w:r>
      <w:bookmarkStart w:id="4878" w:name="Bookmark_I61CDGHV2SF8J80040000400"/>
      <w:bookmarkEnd w:id="4878"/>
      <w:r>
        <w:rPr>
          <w:rFonts w:ascii="Arial" w:eastAsia="Arial" w:hAnsi="Arial" w:cs="Arial"/>
          <w:i/>
          <w:color w:val="000000"/>
          <w:sz w:val="20"/>
        </w:rPr>
        <w:t>Kingdomware Techs., Inc. v. United States</w:t>
      </w:r>
      <w:r>
        <w:rPr>
          <w:rFonts w:ascii="Arial" w:eastAsia="Arial" w:hAnsi="Arial" w:cs="Arial"/>
          <w:color w:val="000000"/>
          <w:sz w:val="20"/>
        </w:rPr>
        <w:t xml:space="preserve">, 136 S. Ct. 1969, 1976, 195 L. Ed. 2d 334 (2016) (quoting </w:t>
      </w:r>
      <w:bookmarkStart w:id="4879" w:name="Bookmark_I61CDGJJ2SF8P30010000400"/>
      <w:bookmarkEnd w:id="4879"/>
      <w:r>
        <w:rPr>
          <w:rFonts w:ascii="Arial" w:eastAsia="Arial" w:hAnsi="Arial" w:cs="Arial"/>
          <w:i/>
          <w:color w:val="000000"/>
          <w:sz w:val="20"/>
        </w:rPr>
        <w:t>Barnhart v. Sigmon Coal Co.</w:t>
      </w:r>
      <w:r>
        <w:rPr>
          <w:rFonts w:ascii="Arial" w:eastAsia="Arial" w:hAnsi="Arial" w:cs="Arial"/>
          <w:color w:val="000000"/>
          <w:sz w:val="20"/>
        </w:rPr>
        <w:t xml:space="preserve">, 534 U.S. 438, 450, 122 S. Ct. 941, 151 L. Ed. 2d 908 (2002)). Title I of the ADA sets out one blanket prohibition: "No covered entity shall discriminate against a qualified individual on the basis of disability in regard to job application procedures, the hiring, advancement, or discharge of employees, employee compensation, job training, and other terms, conditions, and privileges of employment." 42 U.S.C. § 12112(a). Broken down, a covered entity (that is, an employer subject to the ADA) violates § 12112(a) when two conditions are met: (1) the employer "discriminate[s] against a qualified individual on the basis of disability" (the discrimination clause) and (2) the discrimination is "in regard to job application procedures, the hiring, advancement, or discharge of employees, [**77]  employee compensation, job training, [or] other terms, conditions, and privileges of employment" (the in-regard-to clause). </w:t>
      </w:r>
      <w:r>
        <w:rPr>
          <w:rFonts w:ascii="Arial" w:eastAsia="Arial" w:hAnsi="Arial" w:cs="Arial"/>
          <w:i/>
          <w:color w:val="000000"/>
          <w:sz w:val="20"/>
        </w:rPr>
        <w:t>Id.</w:t>
      </w:r>
      <w:r>
        <w:rPr>
          <w:rFonts w:ascii="Arial" w:eastAsia="Arial" w:hAnsi="Arial" w:cs="Arial"/>
          <w:vertAlign w:val="superscript"/>
        </w:rPr>
        <w:footnoteReference w:customMarkFollows="1" w:id="189"/>
        <w:t>1</w:t>
      </w:r>
    </w:p>
    <w:p w14:paraId="2C485C93" w14:textId="77777777" w:rsidR="002B10A6" w:rsidRDefault="00000000">
      <w:pPr>
        <w:pStyle w:val="Normal23"/>
        <w:widowControl w:val="0"/>
        <w:spacing w:before="200" w:line="260" w:lineRule="atLeast"/>
        <w:jc w:val="both"/>
      </w:pPr>
      <w:bookmarkStart w:id="4882" w:name="Bookmark_para_110_1"/>
      <w:bookmarkEnd w:id="4882"/>
      <w:r>
        <w:rPr>
          <w:rFonts w:ascii="Arial" w:eastAsia="Arial" w:hAnsi="Arial" w:cs="Arial"/>
          <w:color w:val="000000"/>
          <w:sz w:val="20"/>
        </w:rPr>
        <w:t xml:space="preserve"> [*823]  </w:t>
      </w:r>
      <w:bookmarkStart w:id="4883" w:name="Bookmark_I722C9WNGKP0000671P00021"/>
      <w:bookmarkStart w:id="4884" w:name="Bookmark_I61CDGJJ2SF8P30040000400"/>
      <w:bookmarkEnd w:id="4883"/>
      <w:bookmarkEnd w:id="4884"/>
      <w:r>
        <w:rPr>
          <w:rFonts w:ascii="Arial" w:eastAsia="Arial" w:hAnsi="Arial" w:cs="Arial"/>
          <w:color w:val="000000"/>
          <w:sz w:val="20"/>
        </w:rPr>
        <w:t>"In the ADA Congress provided not just a general prohibition on discrimination 'because of [an individual's] disability,'</w:t>
      </w:r>
      <w:r>
        <w:rPr>
          <w:rFonts w:ascii="Arial" w:eastAsia="Arial" w:hAnsi="Arial" w:cs="Arial"/>
          <w:vertAlign w:val="superscript"/>
        </w:rPr>
        <w:footnoteReference w:customMarkFollows="1" w:id="190"/>
        <w:t>2</w:t>
      </w:r>
      <w:r>
        <w:rPr>
          <w:rFonts w:ascii="Arial" w:eastAsia="Arial" w:hAnsi="Arial" w:cs="Arial"/>
          <w:color w:val="000000"/>
          <w:sz w:val="20"/>
        </w:rPr>
        <w:t xml:space="preserve"> but also seven paragraphs of detailed description of the practices that would constitute the prohibited discrimination." </w:t>
      </w:r>
      <w:bookmarkStart w:id="4886" w:name="Bookmark_I61CDGJJ2SF8P30030000400"/>
      <w:bookmarkEnd w:id="4886"/>
      <w:r>
        <w:rPr>
          <w:rFonts w:ascii="Arial" w:eastAsia="Arial" w:hAnsi="Arial" w:cs="Arial"/>
          <w:i/>
          <w:color w:val="000000"/>
          <w:sz w:val="20"/>
        </w:rPr>
        <w:t>Univ. of Tex. Sw. Med. Ctr. v. Nassar</w:t>
      </w:r>
      <w:r>
        <w:rPr>
          <w:rFonts w:ascii="Arial" w:eastAsia="Arial" w:hAnsi="Arial" w:cs="Arial"/>
          <w:color w:val="000000"/>
          <w:sz w:val="20"/>
        </w:rPr>
        <w:t>, 570 U.S. 338, 357, 133 S. Ct. 2517, 186 L. Ed. 2d 503 (2013) (first alteration in original) (quoting 42 U.S.C. § 12112). In § 12112(b), Congress furnished the following "[c]onstruction" of § 12112(a): "As used in subsection (a), the term 'discriminate against a qualified individual on the basis of disability' includes" seven specified practices.</w:t>
      </w:r>
    </w:p>
    <w:p w14:paraId="6F1442F9" w14:textId="77777777" w:rsidR="002B10A6" w:rsidRDefault="00000000">
      <w:pPr>
        <w:pStyle w:val="Normal23"/>
        <w:widowControl w:val="0"/>
        <w:spacing w:before="200" w:line="260" w:lineRule="atLeast"/>
        <w:jc w:val="both"/>
      </w:pPr>
      <w:bookmarkStart w:id="4887" w:name="Bookmark_para_111_1"/>
      <w:bookmarkEnd w:id="4887"/>
      <w:r>
        <w:rPr>
          <w:rFonts w:ascii="Arial" w:eastAsia="Arial" w:hAnsi="Arial" w:cs="Arial"/>
          <w:color w:val="000000"/>
          <w:sz w:val="20"/>
        </w:rPr>
        <w:t xml:space="preserve">Here, Ms. Exby-Stolley alleges discrimination based on one of those specified practices: "not making reasonable accommodations to the known physical or mental limitations of an otherwise qualified individual with a disability who is an applicant or employee, unless such [employer] can demonstrate that the accommodation would impose an undue hardship on the operation of the business of such [employer]" (failure to accommodate). </w:t>
      </w:r>
      <w:r>
        <w:rPr>
          <w:rFonts w:ascii="Arial" w:eastAsia="Arial" w:hAnsi="Arial" w:cs="Arial"/>
          <w:i/>
          <w:color w:val="000000"/>
          <w:sz w:val="20"/>
        </w:rPr>
        <w:t>Id.</w:t>
      </w:r>
      <w:r>
        <w:rPr>
          <w:rFonts w:ascii="Arial" w:eastAsia="Arial" w:hAnsi="Arial" w:cs="Arial"/>
          <w:color w:val="000000"/>
          <w:sz w:val="20"/>
        </w:rPr>
        <w:t xml:space="preserve"> § 12112(b)(5)(A). According to the majority, establishing discrimination under § 12112(b)(5)(A) is enough, standing alone, to satisfy Ms. Exby-Stolley's burden under § 12112(a). I disagree.</w:t>
      </w:r>
    </w:p>
    <w:p w14:paraId="775A46E9" w14:textId="77777777" w:rsidR="002B10A6" w:rsidRDefault="00000000">
      <w:pPr>
        <w:pStyle w:val="Normal23"/>
        <w:widowControl w:val="0"/>
        <w:spacing w:before="200" w:line="260" w:lineRule="atLeast"/>
        <w:jc w:val="both"/>
      </w:pPr>
      <w:bookmarkStart w:id="4888" w:name="Bookmark_para_112_1"/>
      <w:bookmarkEnd w:id="4888"/>
      <w:r>
        <w:rPr>
          <w:rFonts w:ascii="Arial" w:eastAsia="Arial" w:hAnsi="Arial" w:cs="Arial"/>
          <w:color w:val="000000"/>
          <w:sz w:val="20"/>
        </w:rPr>
        <w:t>To be sure, [**78]  § 12112(b) provides that a failure to accommodate satisfies the discrimination clause of § 12112(a). But in my view, it does nothing to excuse Ms. Exby-Stolley from the second requirement of § 12112(a)—the in-regard-to clause. Given that § 12112(b) identifies employment practices that violate § 12112(a)'s prohibition against "discriminat[ing] against a qualified individual on the basis of disability," the proper reading of § 12112(a) as applied to the present facts is: "No [employer] shall [fail to accommodate] in regard to job application procedures, the hiring, advancement, or discharge of employees, employee compensation, job training, and other terms, conditions, and privileges of employment." 42 U.S.C. § 12112(a). By its plain terms, § 12112(b) speaks directly to satisfaction of the discrimination clause but is silent as to the twenty-five words Congress included in the in-regard-to clause. In my view, then, the in-regard-to clause must be satisfied by something more than an employer's failure to accommodate.</w:t>
      </w:r>
    </w:p>
    <w:p w14:paraId="5D5F4D9B" w14:textId="77777777" w:rsidR="002B10A6" w:rsidRDefault="00000000">
      <w:pPr>
        <w:pStyle w:val="Normal23"/>
        <w:widowControl w:val="0"/>
        <w:spacing w:before="200" w:line="260" w:lineRule="atLeast"/>
        <w:jc w:val="both"/>
      </w:pPr>
      <w:bookmarkStart w:id="4889" w:name="Bookmark_para_113_1"/>
      <w:bookmarkEnd w:id="4889"/>
      <w:r>
        <w:rPr>
          <w:rFonts w:ascii="Arial" w:eastAsia="Arial" w:hAnsi="Arial" w:cs="Arial"/>
          <w:color w:val="000000"/>
          <w:sz w:val="20"/>
        </w:rPr>
        <w:t xml:space="preserve">The ADA Amendments Act of 2008 ("ADAAA") bolsters my conclusion that the in-regard-to clause is a separate requirement that must be satisfied even when showing discrimination under § 12112(b)(5)(A). Before the ADAAA, § 12112(a) made it unlawful for an employer to "discriminate against a [**79]  qualified individual with a disability because of the disability of such individual." 42 U.S.C. § 12112(a) (2006). And subsection (b) provided, "[a]s used in subsection (a) of this section, the term 'discriminate' includes" the seven enumerated practices. The ADAAA struck the language "with a disability because of the disability of such  [*824]  individual" from § 12112(a) and replaced it with "on the basis of disability." ADA Amendments Act of 2008, Pub. L. No. 110-325, § 5(a)(1), 122 Stat. 3553 (2008). And Congress replaced "discriminate" in subsection (b) with "discriminate against a qualified individual on the basis of disability." </w:t>
      </w:r>
      <w:r>
        <w:rPr>
          <w:rFonts w:ascii="Arial" w:eastAsia="Arial" w:hAnsi="Arial" w:cs="Arial"/>
          <w:i/>
          <w:color w:val="000000"/>
          <w:sz w:val="20"/>
        </w:rPr>
        <w:t>Id.</w:t>
      </w:r>
      <w:r>
        <w:rPr>
          <w:rFonts w:ascii="Arial" w:eastAsia="Arial" w:hAnsi="Arial" w:cs="Arial"/>
          <w:color w:val="000000"/>
          <w:sz w:val="20"/>
        </w:rPr>
        <w:t xml:space="preserve"> § 5(a)(2). Simply put, in 2008, Congress intentionally expanded the portion of subsection (a) satisfied by the acts listed in subsection (b) from "discriminate" to "discriminate against a qualified individual on the basis of disability." But Congress did not expand subsection (b) to satisfy the entirety of subsection (a), including the in-regard-to clause. Congress's deliberate choice to expand subsection (b) to cover more, but not all, of the requirements imposed under subsection (a), emphasizes that the actions in subsection (b) do not satisfy the in-regard-to clause.</w:t>
      </w:r>
    </w:p>
    <w:p w14:paraId="2C3121FB" w14:textId="77777777" w:rsidR="002B10A6" w:rsidRDefault="00000000">
      <w:pPr>
        <w:pStyle w:val="Normal23"/>
        <w:widowControl w:val="0"/>
        <w:spacing w:before="200" w:line="260" w:lineRule="atLeast"/>
        <w:jc w:val="both"/>
      </w:pPr>
      <w:bookmarkStart w:id="4890" w:name="Bookmark_para_114_1"/>
      <w:bookmarkEnd w:id="4890"/>
      <w:r>
        <w:rPr>
          <w:rFonts w:ascii="Arial" w:eastAsia="Arial" w:hAnsi="Arial" w:cs="Arial"/>
          <w:color w:val="000000"/>
          <w:sz w:val="20"/>
        </w:rPr>
        <w:t xml:space="preserve">By ignoring the in-regard-to language, the majority violates the surplusage canon of statutory construction, which provides: "If possible, every word and every provision is to be given effect . . . . None should be [**80]  ignored. None should needlessly be given an interpretation that causes it to duplicate another provision or to have no consequence." Antonin Scalia &amp; Bryan A. Garner, </w:t>
      </w:r>
      <w:r>
        <w:rPr>
          <w:rFonts w:ascii="Arial" w:eastAsia="Arial" w:hAnsi="Arial" w:cs="Arial"/>
          <w:i/>
          <w:color w:val="000000"/>
          <w:sz w:val="20"/>
        </w:rPr>
        <w:t>Reading Law: The Interpretation of Legal Texts</w:t>
      </w:r>
      <w:r>
        <w:rPr>
          <w:rFonts w:ascii="Arial" w:eastAsia="Arial" w:hAnsi="Arial" w:cs="Arial"/>
          <w:color w:val="000000"/>
          <w:sz w:val="20"/>
        </w:rPr>
        <w:t xml:space="preserve"> § 26, at 174 (2012) ("A. Scalia &amp; B. Garner"). Congress could have, but did not, eliminate the in-regard-to clause for failure to accommodate claims. Consequently, I would not read that language out of the statute. </w:t>
      </w:r>
      <w:r>
        <w:rPr>
          <w:rFonts w:ascii="Arial" w:eastAsia="Arial" w:hAnsi="Arial" w:cs="Arial"/>
          <w:i/>
          <w:color w:val="000000"/>
          <w:sz w:val="20"/>
        </w:rPr>
        <w:t>See id.</w:t>
      </w:r>
      <w:r>
        <w:rPr>
          <w:rFonts w:ascii="Arial" w:eastAsia="Arial" w:hAnsi="Arial" w:cs="Arial"/>
          <w:color w:val="000000"/>
          <w:sz w:val="20"/>
        </w:rPr>
        <w:t xml:space="preserve"> ("The surplusage canon holds that it is no more the court's function to revise by subtraction than by addition."). Instead, I approach § 12112(a) with the goal of arriving at a construction that gives meaning to both the discrimination clause and the in-regard-to clause.</w:t>
      </w:r>
    </w:p>
    <w:p w14:paraId="73F15885" w14:textId="77777777" w:rsidR="002B10A6" w:rsidRDefault="00000000">
      <w:pPr>
        <w:pStyle w:val="Normal23"/>
        <w:widowControl w:val="0"/>
        <w:spacing w:before="200" w:line="260" w:lineRule="atLeast"/>
        <w:jc w:val="both"/>
      </w:pPr>
      <w:bookmarkStart w:id="4891" w:name="Bookmark_para_115_1"/>
      <w:bookmarkEnd w:id="4891"/>
      <w:r>
        <w:rPr>
          <w:rFonts w:ascii="Arial" w:eastAsia="Arial" w:hAnsi="Arial" w:cs="Arial"/>
          <w:color w:val="000000"/>
          <w:sz w:val="20"/>
        </w:rPr>
        <w:t>Before explaining my construction of the in-regard-to clause, I first respond to the reasons provided by the majority for assigning no meaning to that requirement. To be sure, the majority provides a thorough defense of its position. In my view, however, it offers no rationale that grants us permission to rewrite § 12112(a).</w:t>
      </w:r>
    </w:p>
    <w:p w14:paraId="0CDDEB51" w14:textId="77777777" w:rsidR="002B10A6" w:rsidRDefault="00000000">
      <w:pPr>
        <w:pStyle w:val="Normal23"/>
        <w:widowControl w:val="0"/>
        <w:spacing w:before="240" w:line="260" w:lineRule="atLeast"/>
      </w:pPr>
      <w:r>
        <w:br/>
      </w:r>
      <w:r>
        <w:rPr>
          <w:rFonts w:ascii="Arial" w:eastAsia="Arial" w:hAnsi="Arial" w:cs="Arial"/>
          <w:b/>
          <w:color w:val="000000"/>
          <w:sz w:val="20"/>
        </w:rPr>
        <w:t>II. RESPONSE TO THE MAJORITY</w:t>
      </w:r>
    </w:p>
    <w:p w14:paraId="389945C9" w14:textId="77777777" w:rsidR="002B10A6" w:rsidRDefault="00000000">
      <w:pPr>
        <w:pStyle w:val="Normal23"/>
        <w:widowControl w:val="0"/>
        <w:spacing w:before="200" w:line="260" w:lineRule="atLeast"/>
        <w:jc w:val="both"/>
      </w:pPr>
      <w:bookmarkStart w:id="4892" w:name="Bookmark_para_116_0"/>
      <w:bookmarkEnd w:id="4892"/>
      <w:r>
        <w:rPr>
          <w:rFonts w:ascii="Arial" w:eastAsia="Arial" w:hAnsi="Arial" w:cs="Arial"/>
          <w:color w:val="000000"/>
          <w:sz w:val="20"/>
        </w:rPr>
        <w:t>Despite the plain statutory construction that leaves the in-regard-to clause in place for failure-to-accommodate claims, the majority holds we can ignore these twenty-five [**81]  words adopted by Congress for five reasons. First, the majority contends that our controlling precedent excuses plaintiffs advancing a failure-to-accommodate claim from establishing that such failure was "in regard to job application procedures, the hiring, advancement, or discharge of employees, employee compensation, job training, and other terms, conditions, and privileges of employment." Second, the majority concludes the absence of the in-regard-to requirement is apparent from the inherent differences between disparate-treatment and failure-to-accommodate claims. Third, the majority reasons that inclusion of such a requirement would be contrary to the general remedial purposes of the ADA. Fourth, the majority is convinced that the Equal Employment Opportunity Commission ("EEOC"), the agency responsible for administering the ADA, does not require failure-to-accommodate claimants to satisfy the in-regard-to requirement. And, finally, the majority is persuaded by the weight of authority from our sister circuits. I address each of these arguments in turn.</w:t>
      </w:r>
    </w:p>
    <w:p w14:paraId="6B17152C" w14:textId="77777777" w:rsidR="002B10A6" w:rsidRDefault="00000000">
      <w:pPr>
        <w:pStyle w:val="Normal23"/>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Existing Precedent</w:t>
      </w:r>
    </w:p>
    <w:p w14:paraId="6F941B10" w14:textId="77777777" w:rsidR="002B10A6" w:rsidRDefault="00000000">
      <w:pPr>
        <w:pStyle w:val="Normal23"/>
        <w:widowControl w:val="0"/>
        <w:spacing w:before="200" w:line="260" w:lineRule="atLeast"/>
        <w:jc w:val="both"/>
      </w:pPr>
      <w:bookmarkStart w:id="4893" w:name="Bookmark_para_117_0"/>
      <w:bookmarkStart w:id="4894" w:name="Bookmark_I722C9WNKF00000671P00022"/>
      <w:bookmarkStart w:id="4895" w:name="Bookmark_I61CDGJK2HM6XC0010000400"/>
      <w:bookmarkEnd w:id="4893"/>
      <w:bookmarkEnd w:id="4894"/>
      <w:bookmarkEnd w:id="4895"/>
      <w:r>
        <w:rPr>
          <w:rFonts w:ascii="Arial" w:eastAsia="Arial" w:hAnsi="Arial" w:cs="Arial"/>
          <w:color w:val="000000"/>
          <w:sz w:val="20"/>
        </w:rPr>
        <w:t xml:space="preserve">According to the majority, our prior decisions have held that a plaintiff need not meet the requirements of [**82]  the in-regard-to clause in a failure-to-accommodate case.  [*825]  </w:t>
      </w:r>
      <w:r>
        <w:rPr>
          <w:rFonts w:ascii="Arial" w:eastAsia="Arial" w:hAnsi="Arial" w:cs="Arial"/>
          <w:i/>
          <w:color w:val="000000"/>
          <w:sz w:val="20"/>
        </w:rPr>
        <w:t>See</w:t>
      </w:r>
      <w:r>
        <w:rPr>
          <w:rFonts w:ascii="Arial" w:eastAsia="Arial" w:hAnsi="Arial" w:cs="Arial"/>
          <w:color w:val="000000"/>
          <w:sz w:val="20"/>
        </w:rPr>
        <w:t xml:space="preserve"> Maj. Op., Part II.B.1. Although I agree we have issued decisions that do not list satisfaction of the in-regard-to clause as an element of such a claim, this is the first time the issue has been placed squarely before this court. </w:t>
      </w:r>
      <w:bookmarkStart w:id="4896" w:name="Bookmark_I722C9WNP6C0000671P00023"/>
      <w:bookmarkStart w:id="4897" w:name="Bookmark_I61CDGJK2HM6XC0030000400"/>
      <w:bookmarkEnd w:id="4896"/>
      <w:bookmarkEnd w:id="4897"/>
      <w:r>
        <w:rPr>
          <w:rFonts w:ascii="Arial" w:eastAsia="Arial" w:hAnsi="Arial" w:cs="Arial"/>
          <w:color w:val="000000"/>
          <w:sz w:val="20"/>
        </w:rPr>
        <w:t xml:space="preserve">As the panel majority noted, "not a single published opinion has even mentioned that the question was raised by a party, nor is there a single published opinion in which the answer to the question would have affected the outcome of the appeal." </w:t>
      </w:r>
      <w:bookmarkStart w:id="4898" w:name="Bookmark_I61CDGJJ2SF8P30050000400"/>
      <w:bookmarkEnd w:id="4898"/>
      <w:r>
        <w:rPr>
          <w:rFonts w:ascii="Arial" w:eastAsia="Arial" w:hAnsi="Arial" w:cs="Arial"/>
          <w:i/>
          <w:color w:val="000000"/>
          <w:sz w:val="20"/>
        </w:rPr>
        <w:t>Exby-Stolley v. Bd. of Cnty. Comm'rs</w:t>
      </w:r>
      <w:r>
        <w:rPr>
          <w:rFonts w:ascii="Arial" w:eastAsia="Arial" w:hAnsi="Arial" w:cs="Arial"/>
          <w:color w:val="000000"/>
          <w:sz w:val="20"/>
        </w:rPr>
        <w:t xml:space="preserve">, 906 F.3d 900, 911 (10th Cir. 2018). </w:t>
      </w:r>
      <w:bookmarkStart w:id="4899" w:name="Bookmark_I61CDGJK2HM6XC0030000400_2"/>
      <w:bookmarkEnd w:id="4899"/>
      <w:r>
        <w:rPr>
          <w:rFonts w:ascii="Arial" w:eastAsia="Arial" w:hAnsi="Arial" w:cs="Arial"/>
          <w:color w:val="000000"/>
          <w:sz w:val="20"/>
        </w:rPr>
        <w:t xml:space="preserve">And because the court sitting en banc is not bound by any of these panel decisions, I do not further elaborate on the persuasive analysis by the panel majority in support of its position that our prior panel decisions provide only dicta on this issue. </w:t>
      </w:r>
      <w:r>
        <w:rPr>
          <w:rFonts w:ascii="Arial" w:eastAsia="Arial" w:hAnsi="Arial" w:cs="Arial"/>
          <w:i/>
          <w:color w:val="000000"/>
          <w:sz w:val="20"/>
        </w:rPr>
        <w:t xml:space="preserve">See </w:t>
      </w:r>
      <w:bookmarkStart w:id="4900" w:name="Bookmark_I61CDGJK2HM6XC0020000400"/>
      <w:bookmarkEnd w:id="4900"/>
      <w:r>
        <w:rPr>
          <w:rFonts w:ascii="Arial" w:eastAsia="Arial" w:hAnsi="Arial" w:cs="Arial"/>
          <w:i/>
          <w:color w:val="000000"/>
          <w:sz w:val="20"/>
        </w:rPr>
        <w:t>id.</w:t>
      </w:r>
      <w:r>
        <w:rPr>
          <w:rFonts w:ascii="Arial" w:eastAsia="Arial" w:hAnsi="Arial" w:cs="Arial"/>
          <w:color w:val="000000"/>
          <w:sz w:val="20"/>
        </w:rPr>
        <w:t xml:space="preserve"> at 911-13.</w:t>
      </w:r>
      <w:r>
        <w:rPr>
          <w:rFonts w:ascii="Arial" w:eastAsia="Arial" w:hAnsi="Arial" w:cs="Arial"/>
          <w:vertAlign w:val="superscript"/>
        </w:rPr>
        <w:footnoteReference w:customMarkFollows="1" w:id="191"/>
        <w:t>3</w:t>
      </w:r>
    </w:p>
    <w:p w14:paraId="1FDF2C2D" w14:textId="77777777" w:rsidR="002B10A6" w:rsidRDefault="00000000">
      <w:pPr>
        <w:pStyle w:val="Normal23"/>
        <w:widowControl w:val="0"/>
        <w:spacing w:before="200" w:line="260" w:lineRule="atLeast"/>
        <w:jc w:val="both"/>
      </w:pPr>
      <w:bookmarkStart w:id="4902" w:name="Bookmark_para_118_0"/>
      <w:bookmarkStart w:id="4903" w:name="Bookmark_I722C9WNWSW0000671P00025"/>
      <w:bookmarkStart w:id="4904" w:name="Bookmark_I61CDGJK2HM6XC0050000400"/>
      <w:bookmarkEnd w:id="4902"/>
      <w:bookmarkEnd w:id="4903"/>
      <w:bookmarkEnd w:id="4904"/>
      <w:r>
        <w:rPr>
          <w:rFonts w:ascii="Arial" w:eastAsia="Arial" w:hAnsi="Arial" w:cs="Arial"/>
          <w:color w:val="000000"/>
          <w:sz w:val="20"/>
        </w:rPr>
        <w:t xml:space="preserve">The decisions we </w:t>
      </w:r>
      <w:r>
        <w:rPr>
          <w:rFonts w:ascii="Arial" w:eastAsia="Arial" w:hAnsi="Arial" w:cs="Arial"/>
          <w:i/>
          <w:color w:val="000000"/>
          <w:sz w:val="20"/>
        </w:rPr>
        <w:t>are</w:t>
      </w:r>
      <w:r>
        <w:rPr>
          <w:rFonts w:ascii="Arial" w:eastAsia="Arial" w:hAnsi="Arial" w:cs="Arial"/>
          <w:color w:val="000000"/>
          <w:sz w:val="20"/>
        </w:rPr>
        <w:t xml:space="preserve"> bound by do not resolve this issue. The Supreme Court has addressed an ADA failure-to-accommodate claim in only one case: </w:t>
      </w:r>
      <w:bookmarkStart w:id="4905" w:name="Bookmark_I61CDGJK2HM6XC0040000400"/>
      <w:bookmarkEnd w:id="4905"/>
      <w:r>
        <w:rPr>
          <w:rFonts w:ascii="Arial" w:eastAsia="Arial" w:hAnsi="Arial" w:cs="Arial"/>
          <w:i/>
          <w:color w:val="000000"/>
          <w:sz w:val="20"/>
        </w:rPr>
        <w:t>U.S. Airways, Inc. v. Barnett</w:t>
      </w:r>
      <w:r>
        <w:rPr>
          <w:rFonts w:ascii="Arial" w:eastAsia="Arial" w:hAnsi="Arial" w:cs="Arial"/>
          <w:color w:val="000000"/>
          <w:sz w:val="20"/>
        </w:rPr>
        <w:t xml:space="preserve">, 535 U.S. 391, 394, 122 S. Ct. 1516, 152 L. Ed. 2d 589 (2002). But because there was no question that the failure to accommodate the plaintiff in </w:t>
      </w:r>
      <w:r>
        <w:rPr>
          <w:rFonts w:ascii="Arial" w:eastAsia="Arial" w:hAnsi="Arial" w:cs="Arial"/>
          <w:i/>
          <w:color w:val="000000"/>
          <w:sz w:val="20"/>
        </w:rPr>
        <w:t>U.S. Airways</w:t>
      </w:r>
      <w:r>
        <w:rPr>
          <w:rFonts w:ascii="Arial" w:eastAsia="Arial" w:hAnsi="Arial" w:cs="Arial"/>
          <w:color w:val="000000"/>
          <w:sz w:val="20"/>
        </w:rPr>
        <w:t xml:space="preserve"> resulted in an adverse employment action—termination—the Court had no occasion to consider the application of the in-regard-to clause. As a result, </w:t>
      </w:r>
      <w:r>
        <w:rPr>
          <w:rFonts w:ascii="Arial" w:eastAsia="Arial" w:hAnsi="Arial" w:cs="Arial"/>
          <w:i/>
          <w:color w:val="000000"/>
          <w:sz w:val="20"/>
        </w:rPr>
        <w:t>U.S. Airways [**83] </w:t>
      </w:r>
      <w:r>
        <w:rPr>
          <w:rFonts w:ascii="Arial" w:eastAsia="Arial" w:hAnsi="Arial" w:cs="Arial"/>
          <w:color w:val="000000"/>
          <w:sz w:val="20"/>
        </w:rPr>
        <w:t xml:space="preserve"> does not speak to the issue before us.</w:t>
      </w:r>
    </w:p>
    <w:p w14:paraId="4FAE7B76" w14:textId="77777777" w:rsidR="002B10A6" w:rsidRDefault="00000000">
      <w:pPr>
        <w:pStyle w:val="Normal23"/>
        <w:widowControl w:val="0"/>
        <w:spacing w:before="200" w:line="260" w:lineRule="atLeast"/>
        <w:jc w:val="both"/>
      </w:pPr>
      <w:bookmarkStart w:id="4906" w:name="Bookmark_para_119_0"/>
      <w:bookmarkStart w:id="4907" w:name="Bookmark_I722C9WP0MK0000671P00026"/>
      <w:bookmarkStart w:id="4908" w:name="Bookmark_I61CDGJK2D6N6M0020000400"/>
      <w:bookmarkEnd w:id="4906"/>
      <w:bookmarkEnd w:id="4907"/>
      <w:bookmarkEnd w:id="4908"/>
      <w:r>
        <w:rPr>
          <w:rFonts w:ascii="Arial" w:eastAsia="Arial" w:hAnsi="Arial" w:cs="Arial"/>
          <w:color w:val="000000"/>
          <w:sz w:val="20"/>
        </w:rPr>
        <w:t xml:space="preserve">In the only failure-to-accommodate case this court has previously considered en banc, we accurately listed the elements of the claim to include a prong designed to satisfy the in-regard-to clause. In </w:t>
      </w:r>
      <w:r>
        <w:rPr>
          <w:rFonts w:ascii="Arial" w:eastAsia="Arial" w:hAnsi="Arial" w:cs="Arial"/>
          <w:i/>
          <w:color w:val="000000"/>
          <w:sz w:val="20"/>
        </w:rPr>
        <w:t>Smith v. Midland Brake, Inc.</w:t>
      </w:r>
      <w:r>
        <w:rPr>
          <w:rFonts w:ascii="Arial" w:eastAsia="Arial" w:hAnsi="Arial" w:cs="Arial"/>
          <w:color w:val="000000"/>
          <w:sz w:val="20"/>
        </w:rPr>
        <w:t xml:space="preserve">, we were faced with the following question: "if a person is a 'qualified individual with a disability' and a reasonable accommodation is not available to enable that employee to perform the essential functions of his or her existing job, what is the scope of the employer's obligation to offer that employee a reassignment job?" </w:t>
      </w:r>
      <w:bookmarkStart w:id="4909" w:name="Bookmark_I61CDGJK2D6N6M0010000400"/>
      <w:bookmarkEnd w:id="4909"/>
      <w:r>
        <w:rPr>
          <w:rFonts w:ascii="Arial" w:eastAsia="Arial" w:hAnsi="Arial" w:cs="Arial"/>
          <w:color w:val="000000"/>
          <w:sz w:val="20"/>
        </w:rPr>
        <w:t>180 F.3d 1154, 1159 (10th Cir. 1999) (en banc). In answering this question, the en banc court determined that</w:t>
      </w:r>
    </w:p>
    <w:p w14:paraId="73C331C9" w14:textId="77777777" w:rsidR="002B10A6" w:rsidRDefault="00000000">
      <w:pPr>
        <w:pStyle w:val="Normal23"/>
        <w:widowControl w:val="0"/>
        <w:spacing w:before="200" w:line="260" w:lineRule="atLeast"/>
        <w:ind w:left="400"/>
        <w:jc w:val="both"/>
      </w:pPr>
      <w:bookmarkStart w:id="4910" w:name="Bookmark_para_120_0"/>
      <w:bookmarkStart w:id="4911" w:name="Bookmark_I722C9WP3CW0000671P00027"/>
      <w:bookmarkStart w:id="4912" w:name="Bookmark_I61CDGJK2D6N6M0040000400"/>
      <w:bookmarkEnd w:id="4910"/>
      <w:bookmarkEnd w:id="4911"/>
      <w:bookmarkEnd w:id="4912"/>
      <w:r>
        <w:rPr>
          <w:rFonts w:ascii="Arial" w:eastAsia="Arial" w:hAnsi="Arial" w:cs="Arial"/>
          <w:color w:val="000000"/>
          <w:sz w:val="20"/>
        </w:rPr>
        <w:t xml:space="preserve">[t]he unvarnished obligation derived from the statute is this: an employer </w:t>
      </w:r>
      <w:r>
        <w:rPr>
          <w:rFonts w:ascii="Arial" w:eastAsia="Arial" w:hAnsi="Arial" w:cs="Arial"/>
          <w:i/>
          <w:color w:val="000000"/>
          <w:sz w:val="20"/>
        </w:rPr>
        <w:t>discriminates</w:t>
      </w:r>
      <w:r>
        <w:rPr>
          <w:rFonts w:ascii="Arial" w:eastAsia="Arial" w:hAnsi="Arial" w:cs="Arial"/>
          <w:color w:val="000000"/>
          <w:sz w:val="20"/>
        </w:rPr>
        <w:t xml:space="preserve"> against a qualified individual with a disability if the employer fails to offer a reasonable accommodation. If no reasonable accommodation can keep the employee in his or her existing job, then the reasonable accommodation may require reassignment to a vacant position so long as the employee is qualified for the job and it does not impose an undue burden on the employer.</w:t>
      </w:r>
    </w:p>
    <w:p w14:paraId="2259D6A5" w14:textId="77777777" w:rsidR="002B10A6" w:rsidRDefault="00000000">
      <w:pPr>
        <w:pStyle w:val="Normal23"/>
        <w:widowControl w:val="0"/>
        <w:spacing w:before="200" w:line="260" w:lineRule="atLeast"/>
        <w:jc w:val="both"/>
      </w:pPr>
      <w:bookmarkStart w:id="4913" w:name="Bookmark_I61CDGJK2D6N6M0040000400_2"/>
      <w:bookmarkStart w:id="4914" w:name="Bookmark_I61CDGJK2D6N6M0030000400"/>
      <w:bookmarkEnd w:id="4913"/>
      <w:bookmarkEnd w:id="4914"/>
      <w:r>
        <w:rPr>
          <w:rFonts w:ascii="Arial" w:eastAsia="Arial" w:hAnsi="Arial" w:cs="Arial"/>
          <w:i/>
          <w:color w:val="000000"/>
          <w:sz w:val="20"/>
        </w:rPr>
        <w:t>Id.</w:t>
      </w:r>
      <w:r>
        <w:rPr>
          <w:rFonts w:ascii="Arial" w:eastAsia="Arial" w:hAnsi="Arial" w:cs="Arial"/>
          <w:color w:val="000000"/>
          <w:sz w:val="20"/>
        </w:rPr>
        <w:t xml:space="preserve"> at 1169.</w:t>
      </w:r>
    </w:p>
    <w:p w14:paraId="6B8C3DB3" w14:textId="77777777" w:rsidR="002B10A6" w:rsidRDefault="00000000">
      <w:pPr>
        <w:pStyle w:val="Normal23"/>
        <w:widowControl w:val="0"/>
        <w:spacing w:before="200" w:line="260" w:lineRule="atLeast"/>
        <w:jc w:val="both"/>
      </w:pPr>
      <w:bookmarkStart w:id="4915" w:name="Bookmark_para_121_0"/>
      <w:bookmarkEnd w:id="4915"/>
      <w:r>
        <w:rPr>
          <w:rFonts w:ascii="Arial" w:eastAsia="Arial" w:hAnsi="Arial" w:cs="Arial"/>
          <w:color w:val="000000"/>
          <w:sz w:val="20"/>
        </w:rPr>
        <w:t>We then set out the elements of a prima facie case of failure-to-accommodate, [**84]  explaining the employee must show</w:t>
      </w:r>
    </w:p>
    <w:p w14:paraId="7E27D9FC" w14:textId="77777777" w:rsidR="002B10A6" w:rsidRDefault="00000000">
      <w:pPr>
        <w:pStyle w:val="Normal23"/>
        <w:widowControl w:val="0"/>
        <w:spacing w:line="260" w:lineRule="atLeast"/>
        <w:ind w:left="400"/>
        <w:jc w:val="both"/>
      </w:pPr>
      <w:bookmarkStart w:id="4916" w:name="Bookmark_para_122_0"/>
      <w:bookmarkEnd w:id="4916"/>
      <w:r>
        <w:rPr>
          <w:rFonts w:ascii="Arial" w:eastAsia="Arial" w:hAnsi="Arial" w:cs="Arial"/>
          <w:color w:val="000000"/>
          <w:sz w:val="20"/>
        </w:rPr>
        <w:t>(1) The employee is a disabled person within the meaning of the ADA and has made any resulting limitations from his or her disability known to the employer;</w:t>
      </w:r>
    </w:p>
    <w:p w14:paraId="59E2905B" w14:textId="77777777" w:rsidR="002B10A6" w:rsidRDefault="00000000">
      <w:pPr>
        <w:pStyle w:val="Normal23"/>
        <w:widowControl w:val="0"/>
        <w:spacing w:line="260" w:lineRule="atLeast"/>
        <w:ind w:left="400"/>
        <w:jc w:val="both"/>
      </w:pPr>
      <w:bookmarkStart w:id="4917" w:name="Bookmark_para_123_0"/>
      <w:bookmarkEnd w:id="4917"/>
      <w:r>
        <w:rPr>
          <w:rFonts w:ascii="Arial" w:eastAsia="Arial" w:hAnsi="Arial" w:cs="Arial"/>
          <w:color w:val="000000"/>
          <w:sz w:val="20"/>
        </w:rPr>
        <w:t>(2) The preferred option of accommodation within the employee's existing job cannot reasonably be accomplished[;]</w:t>
      </w:r>
    </w:p>
    <w:p w14:paraId="63C8DDFB" w14:textId="77777777" w:rsidR="002B10A6" w:rsidRDefault="00000000">
      <w:pPr>
        <w:pStyle w:val="Normal23"/>
        <w:widowControl w:val="0"/>
        <w:spacing w:before="200" w:line="260" w:lineRule="atLeast"/>
        <w:ind w:left="400"/>
        <w:jc w:val="both"/>
      </w:pPr>
      <w:bookmarkStart w:id="4918" w:name="Bookmark_para_124_0"/>
      <w:bookmarkEnd w:id="4918"/>
      <w:r>
        <w:rPr>
          <w:rFonts w:ascii="Arial" w:eastAsia="Arial" w:hAnsi="Arial" w:cs="Arial"/>
          <w:color w:val="000000"/>
          <w:sz w:val="20"/>
        </w:rPr>
        <w:t>(3) The employee requested the employer reasonably to accommodate his or her disability by reassignment to a vacant position, which the employee may identify at the outset or which the employee may request the employer identify through an interactive process, in which  [*826]  the employee in good faith was willing to, or did, cooperate;</w:t>
      </w:r>
    </w:p>
    <w:p w14:paraId="2BF8C7BE" w14:textId="77777777" w:rsidR="002B10A6" w:rsidRDefault="00000000">
      <w:pPr>
        <w:pStyle w:val="Normal23"/>
        <w:widowControl w:val="0"/>
        <w:spacing w:before="200" w:line="260" w:lineRule="atLeast"/>
        <w:ind w:left="400"/>
        <w:jc w:val="both"/>
      </w:pPr>
      <w:bookmarkStart w:id="4919" w:name="Bookmark_para_125_0"/>
      <w:bookmarkStart w:id="4920" w:name="Bookmark_I722C9WP8X20000671P00029"/>
      <w:bookmarkStart w:id="4921" w:name="Bookmark_I61CDGJM2D6N6N0010000400"/>
      <w:bookmarkEnd w:id="4919"/>
      <w:bookmarkEnd w:id="4920"/>
      <w:bookmarkEnd w:id="4921"/>
      <w:r>
        <w:rPr>
          <w:rFonts w:ascii="Arial" w:eastAsia="Arial" w:hAnsi="Arial" w:cs="Arial"/>
          <w:color w:val="000000"/>
          <w:sz w:val="20"/>
        </w:rPr>
        <w:t>(4) The employee was qualified, with or without reasonable accommodation, to perform one or more appropriate vacant jobs within the company that the employee must, at the time of the summary judgment proceeding, specifically identify and show were available within the company at or about the time the request for reassignment was made; and</w:t>
      </w:r>
    </w:p>
    <w:p w14:paraId="02138A89" w14:textId="77777777" w:rsidR="002B10A6" w:rsidRDefault="00000000">
      <w:pPr>
        <w:pStyle w:val="Normal23"/>
        <w:widowControl w:val="0"/>
        <w:spacing w:before="200" w:line="260" w:lineRule="atLeast"/>
        <w:ind w:left="400"/>
        <w:jc w:val="both"/>
      </w:pPr>
      <w:bookmarkStart w:id="4922" w:name="Bookmark_para_126"/>
      <w:bookmarkStart w:id="4923" w:name="Bookmark_I61CDGJM2D6N6N0010000400_2"/>
      <w:bookmarkEnd w:id="4922"/>
      <w:bookmarkEnd w:id="4923"/>
      <w:r>
        <w:rPr>
          <w:rFonts w:ascii="Arial" w:eastAsia="Arial" w:hAnsi="Arial" w:cs="Arial"/>
          <w:color w:val="000000"/>
          <w:sz w:val="20"/>
        </w:rPr>
        <w:t xml:space="preserve">(5) The employee </w:t>
      </w:r>
      <w:r>
        <w:rPr>
          <w:rFonts w:ascii="Arial" w:eastAsia="Arial" w:hAnsi="Arial" w:cs="Arial"/>
          <w:i/>
          <w:color w:val="000000"/>
          <w:sz w:val="20"/>
        </w:rPr>
        <w:t>suffered injury because the employer did not offer to reassign the employee to any appropriate vacant position</w:t>
      </w:r>
      <w:r>
        <w:rPr>
          <w:rFonts w:ascii="Arial" w:eastAsia="Arial" w:hAnsi="Arial" w:cs="Arial"/>
          <w:color w:val="000000"/>
          <w:sz w:val="20"/>
        </w:rPr>
        <w:t>.</w:t>
      </w:r>
    </w:p>
    <w:p w14:paraId="42B65A53" w14:textId="77777777" w:rsidR="002B10A6" w:rsidRDefault="00000000">
      <w:pPr>
        <w:pStyle w:val="Normal23"/>
        <w:widowControl w:val="0"/>
        <w:spacing w:before="200" w:line="260" w:lineRule="atLeast"/>
        <w:jc w:val="both"/>
      </w:pPr>
      <w:bookmarkStart w:id="4924" w:name="Bookmark_I61CDGJM2D6N6N0010000400_3"/>
      <w:bookmarkStart w:id="4925" w:name="Bookmark_I61CDGJK2D6N6M0050000400"/>
      <w:bookmarkEnd w:id="4924"/>
      <w:bookmarkEnd w:id="4925"/>
      <w:r>
        <w:rPr>
          <w:rFonts w:ascii="Arial" w:eastAsia="Arial" w:hAnsi="Arial" w:cs="Arial"/>
          <w:i/>
          <w:color w:val="000000"/>
          <w:sz w:val="20"/>
        </w:rPr>
        <w:t>Id.</w:t>
      </w:r>
      <w:r>
        <w:rPr>
          <w:rFonts w:ascii="Arial" w:eastAsia="Arial" w:hAnsi="Arial" w:cs="Arial"/>
          <w:color w:val="000000"/>
          <w:sz w:val="20"/>
        </w:rPr>
        <w:t xml:space="preserve"> at 1179 (emphasis added). The plaintiff is also required to prove each of these five elements at trial. </w:t>
      </w:r>
      <w:r>
        <w:rPr>
          <w:rFonts w:ascii="Arial" w:eastAsia="Arial" w:hAnsi="Arial" w:cs="Arial"/>
          <w:i/>
          <w:color w:val="000000"/>
          <w:sz w:val="20"/>
        </w:rPr>
        <w:t>Id. [**85] </w:t>
      </w:r>
      <w:r>
        <w:rPr>
          <w:rFonts w:ascii="Arial" w:eastAsia="Arial" w:hAnsi="Arial" w:cs="Arial"/>
          <w:color w:val="000000"/>
          <w:sz w:val="20"/>
        </w:rPr>
        <w:t xml:space="preserve"> Importantly, we recognized that the failure to reassign was not enough, standing alone, to make out the claim. Instead, the employee must also show injury as a result of that failure.</w:t>
      </w:r>
    </w:p>
    <w:p w14:paraId="68B3F09A" w14:textId="77777777" w:rsidR="002B10A6" w:rsidRDefault="00000000">
      <w:pPr>
        <w:pStyle w:val="Normal23"/>
        <w:widowControl w:val="0"/>
        <w:spacing w:before="200" w:line="260" w:lineRule="atLeast"/>
        <w:jc w:val="both"/>
      </w:pPr>
      <w:bookmarkStart w:id="4926" w:name="Bookmark_para_127"/>
      <w:bookmarkStart w:id="4927" w:name="Bookmark_I722C9WPK8J0000671P0002D"/>
      <w:bookmarkStart w:id="4928" w:name="Bookmark_I722C9WPP1M0000671P0002F"/>
      <w:bookmarkStart w:id="4929" w:name="Bookmark_I722C9WPSSB0000671P0002G"/>
      <w:bookmarkStart w:id="4930" w:name="Bookmark_I722C9WPWNR0000671P0002H"/>
      <w:bookmarkStart w:id="4931" w:name="Bookmark_I722C9WR0DR0000671P0002J"/>
      <w:bookmarkStart w:id="4932" w:name="Bookmark_I722C9WR36B0000671P0002K"/>
      <w:bookmarkStart w:id="4933" w:name="Bookmark_I722C9WR5W70000671P0002M"/>
      <w:bookmarkStart w:id="4934" w:name="Bookmark_I722C9WR8FT0000671P0002N"/>
      <w:bookmarkStart w:id="4935" w:name="Bookmark_I61CDGJM2D6N6N0030000400"/>
      <w:bookmarkEnd w:id="4926"/>
      <w:bookmarkEnd w:id="4927"/>
      <w:bookmarkEnd w:id="4928"/>
      <w:bookmarkEnd w:id="4929"/>
      <w:bookmarkEnd w:id="4930"/>
      <w:bookmarkEnd w:id="4931"/>
      <w:bookmarkEnd w:id="4932"/>
      <w:bookmarkEnd w:id="4933"/>
      <w:bookmarkEnd w:id="4934"/>
      <w:bookmarkEnd w:id="4935"/>
      <w:r>
        <w:rPr>
          <w:rFonts w:ascii="Arial" w:eastAsia="Arial" w:hAnsi="Arial" w:cs="Arial"/>
          <w:color w:val="000000"/>
          <w:sz w:val="20"/>
        </w:rPr>
        <w:t xml:space="preserve">The majority's reliance on other decisions from this court to argue we have endorsed a prima facie case for failure to accommodate that does not include an injury "in regard to" employment—often referred to as an adverse employment action—is also unpersuasive for another reason. In setting forth a prima facie claim for standard disability discrimination, we have often failed to expressly include an adverse employment action as an element. </w:t>
      </w:r>
      <w:bookmarkStart w:id="4936" w:name="Bookmark_I722C9WRC8R0000671P0002P"/>
      <w:bookmarkStart w:id="4937" w:name="Bookmark_I722C9WRJTT0000671P0002S"/>
      <w:bookmarkStart w:id="4938" w:name="Bookmark_I722C9WRSGH0000671P0002V"/>
      <w:bookmarkStart w:id="4939" w:name="Bookmark_I61CDGJN28T52V0040000400"/>
      <w:bookmarkEnd w:id="4936"/>
      <w:bookmarkEnd w:id="4937"/>
      <w:bookmarkEnd w:id="4938"/>
      <w:bookmarkEnd w:id="4939"/>
      <w:r>
        <w:rPr>
          <w:rFonts w:ascii="Arial" w:eastAsia="Arial" w:hAnsi="Arial" w:cs="Arial"/>
          <w:i/>
          <w:color w:val="000000"/>
          <w:sz w:val="20"/>
        </w:rPr>
        <w:t xml:space="preserve">See, e.g., </w:t>
      </w:r>
      <w:bookmarkStart w:id="4940" w:name="Bookmark_I61CDGJM2D6N6N0020000400"/>
      <w:bookmarkEnd w:id="4940"/>
      <w:r>
        <w:rPr>
          <w:rFonts w:ascii="Arial" w:eastAsia="Arial" w:hAnsi="Arial" w:cs="Arial"/>
          <w:i/>
          <w:color w:val="000000"/>
          <w:sz w:val="20"/>
        </w:rPr>
        <w:t>EEOC v. C.R. Eng., Inc.</w:t>
      </w:r>
      <w:r>
        <w:rPr>
          <w:rFonts w:ascii="Arial" w:eastAsia="Arial" w:hAnsi="Arial" w:cs="Arial"/>
          <w:color w:val="000000"/>
          <w:sz w:val="20"/>
        </w:rPr>
        <w:t xml:space="preserve">, 644 F.3d 1028, 1037-38 (10th Cir. 2011) ("[I]n order to establish a prima facie case of disability discrimination under the ADA, a plaintiff must demonstrate that he (1) is a disabled person as defined by the ADA; (2) is qualified, with or without reasonable accommodation, to perform the essential functions of the job held or desired; and (3) suffered discrimination by an employer or prospective employer because of that disability." (internal quotation marks omitted)); </w:t>
      </w:r>
      <w:r>
        <w:rPr>
          <w:rFonts w:ascii="Arial" w:eastAsia="Arial" w:hAnsi="Arial" w:cs="Arial"/>
          <w:i/>
          <w:color w:val="000000"/>
          <w:sz w:val="20"/>
        </w:rPr>
        <w:t xml:space="preserve">see also </w:t>
      </w:r>
      <w:bookmarkStart w:id="4941" w:name="Bookmark_I61CDGJM2D6N6N0040000400"/>
      <w:bookmarkEnd w:id="4941"/>
      <w:r>
        <w:rPr>
          <w:rFonts w:ascii="Arial" w:eastAsia="Arial" w:hAnsi="Arial" w:cs="Arial"/>
          <w:i/>
          <w:color w:val="000000"/>
          <w:sz w:val="20"/>
        </w:rPr>
        <w:t>Lincoln v. BNSF Ry. Co.</w:t>
      </w:r>
      <w:r>
        <w:rPr>
          <w:rFonts w:ascii="Arial" w:eastAsia="Arial" w:hAnsi="Arial" w:cs="Arial"/>
          <w:color w:val="000000"/>
          <w:sz w:val="20"/>
        </w:rPr>
        <w:t xml:space="preserve">, 900 F.3d 1166, 1192 (10th Cir. 2018); </w:t>
      </w:r>
      <w:bookmarkStart w:id="4942" w:name="Bookmark_I61CDGJM2N1R800010000400"/>
      <w:bookmarkEnd w:id="4942"/>
      <w:r>
        <w:rPr>
          <w:rFonts w:ascii="Arial" w:eastAsia="Arial" w:hAnsi="Arial" w:cs="Arial"/>
          <w:i/>
          <w:color w:val="000000"/>
          <w:sz w:val="20"/>
        </w:rPr>
        <w:t>Dewitt v. Sw. Bell Tel. Co.</w:t>
      </w:r>
      <w:r>
        <w:rPr>
          <w:rFonts w:ascii="Arial" w:eastAsia="Arial" w:hAnsi="Arial" w:cs="Arial"/>
          <w:color w:val="000000"/>
          <w:sz w:val="20"/>
        </w:rPr>
        <w:t xml:space="preserve">, 845 F.3d 1299, 1308 (10th Cir. 2017); </w:t>
      </w:r>
      <w:bookmarkStart w:id="4943" w:name="Bookmark_I61CDGJM2N1R800030000400"/>
      <w:bookmarkEnd w:id="4943"/>
      <w:r>
        <w:rPr>
          <w:rFonts w:ascii="Arial" w:eastAsia="Arial" w:hAnsi="Arial" w:cs="Arial"/>
          <w:i/>
          <w:color w:val="000000"/>
          <w:sz w:val="20"/>
        </w:rPr>
        <w:t>Adair v. City of Muskogee</w:t>
      </w:r>
      <w:r>
        <w:rPr>
          <w:rFonts w:ascii="Arial" w:eastAsia="Arial" w:hAnsi="Arial" w:cs="Arial"/>
          <w:color w:val="000000"/>
          <w:sz w:val="20"/>
        </w:rPr>
        <w:t xml:space="preserve">, 823 F.3d 1297, 1304 (10th Cir. 2016); </w:t>
      </w:r>
      <w:bookmarkStart w:id="4944" w:name="Bookmark_I61CDGJM2N1R800050000400"/>
      <w:bookmarkEnd w:id="4944"/>
      <w:r>
        <w:rPr>
          <w:rFonts w:ascii="Arial" w:eastAsia="Arial" w:hAnsi="Arial" w:cs="Arial"/>
          <w:i/>
          <w:color w:val="000000"/>
          <w:sz w:val="20"/>
        </w:rPr>
        <w:t>Osborne v. Baxter Healthcare Corp.</w:t>
      </w:r>
      <w:r>
        <w:rPr>
          <w:rFonts w:ascii="Arial" w:eastAsia="Arial" w:hAnsi="Arial" w:cs="Arial"/>
          <w:color w:val="000000"/>
          <w:sz w:val="20"/>
        </w:rPr>
        <w:t xml:space="preserve">, 798 F.3d 1260, 1266 (10th Cir. 2015); </w:t>
      </w:r>
      <w:bookmarkStart w:id="4945" w:name="Bookmark_I61CDGJN2N1R820020000400"/>
      <w:bookmarkEnd w:id="4945"/>
      <w:r>
        <w:rPr>
          <w:rFonts w:ascii="Arial" w:eastAsia="Arial" w:hAnsi="Arial" w:cs="Arial"/>
          <w:i/>
          <w:color w:val="000000"/>
          <w:sz w:val="20"/>
        </w:rPr>
        <w:t>Koessel v. Sublette Cnty. Sherriff's Dep't</w:t>
      </w:r>
      <w:r>
        <w:rPr>
          <w:rFonts w:ascii="Arial" w:eastAsia="Arial" w:hAnsi="Arial" w:cs="Arial"/>
          <w:color w:val="000000"/>
          <w:sz w:val="20"/>
        </w:rPr>
        <w:t xml:space="preserve">, 717 F.3d 736, 742 (10th Cir. 2013); </w:t>
      </w:r>
      <w:bookmarkStart w:id="4946" w:name="Bookmark_I61CDGJN2N1R820040000400"/>
      <w:bookmarkEnd w:id="4946"/>
      <w:r>
        <w:rPr>
          <w:rFonts w:ascii="Arial" w:eastAsia="Arial" w:hAnsi="Arial" w:cs="Arial"/>
          <w:i/>
          <w:color w:val="000000"/>
          <w:sz w:val="20"/>
        </w:rPr>
        <w:t>Butler v. City of Prairie Vill.</w:t>
      </w:r>
      <w:r>
        <w:rPr>
          <w:rFonts w:ascii="Arial" w:eastAsia="Arial" w:hAnsi="Arial" w:cs="Arial"/>
          <w:color w:val="000000"/>
          <w:sz w:val="20"/>
        </w:rPr>
        <w:t xml:space="preserve">, 172 F. 3d 736, 748 (10th Cir. 1999); </w:t>
      </w:r>
      <w:r>
        <w:rPr>
          <w:rFonts w:ascii="Arial" w:eastAsia="Arial" w:hAnsi="Arial" w:cs="Arial"/>
          <w:i/>
          <w:color w:val="000000"/>
          <w:sz w:val="20"/>
        </w:rPr>
        <w:t xml:space="preserve">but see </w:t>
      </w:r>
      <w:bookmarkStart w:id="4947" w:name="Bookmark_I61CDGJN28T52V0010000400"/>
      <w:bookmarkEnd w:id="4947"/>
      <w:r>
        <w:rPr>
          <w:rFonts w:ascii="Arial" w:eastAsia="Arial" w:hAnsi="Arial" w:cs="Arial"/>
          <w:i/>
          <w:color w:val="000000"/>
          <w:sz w:val="20"/>
        </w:rPr>
        <w:t>Mathews v. Denver Post</w:t>
      </w:r>
      <w:r>
        <w:rPr>
          <w:rFonts w:ascii="Arial" w:eastAsia="Arial" w:hAnsi="Arial" w:cs="Arial"/>
          <w:color w:val="000000"/>
          <w:sz w:val="20"/>
        </w:rPr>
        <w:t xml:space="preserve">, 263 F.3d 1164, 1167 (10th Cir. 2001) (listing the third element as "suffered adverse employment action because of the disability"). </w:t>
      </w:r>
      <w:bookmarkStart w:id="4948" w:name="Bookmark_I61CDGJN28T52V0040000400_2"/>
      <w:bookmarkEnd w:id="4948"/>
      <w:r>
        <w:rPr>
          <w:rFonts w:ascii="Arial" w:eastAsia="Arial" w:hAnsi="Arial" w:cs="Arial"/>
          <w:color w:val="000000"/>
          <w:sz w:val="20"/>
        </w:rPr>
        <w:t xml:space="preserve">Yet, [**86]  the reasoning of those decisions makes clear that an adverse employment action is an element of such claims. </w:t>
      </w:r>
      <w:r>
        <w:rPr>
          <w:rFonts w:ascii="Arial" w:eastAsia="Arial" w:hAnsi="Arial" w:cs="Arial"/>
          <w:i/>
          <w:color w:val="000000"/>
          <w:sz w:val="20"/>
        </w:rPr>
        <w:t xml:space="preserve">See, e.g., </w:t>
      </w:r>
      <w:bookmarkStart w:id="4949" w:name="Bookmark_I61CDGJN28T52V0030000400"/>
      <w:bookmarkEnd w:id="4949"/>
      <w:r>
        <w:rPr>
          <w:rFonts w:ascii="Arial" w:eastAsia="Arial" w:hAnsi="Arial" w:cs="Arial"/>
          <w:i/>
          <w:color w:val="000000"/>
          <w:sz w:val="20"/>
        </w:rPr>
        <w:t>C.R. Eng.</w:t>
      </w:r>
      <w:r>
        <w:rPr>
          <w:rFonts w:ascii="Arial" w:eastAsia="Arial" w:hAnsi="Arial" w:cs="Arial"/>
          <w:color w:val="000000"/>
          <w:sz w:val="20"/>
        </w:rPr>
        <w:t xml:space="preserve">, 644 F.3d at 1038 &amp; n.10; </w:t>
      </w:r>
      <w:bookmarkStart w:id="4950" w:name="Bookmark_I61CDGJN28T52V0050000400"/>
      <w:bookmarkEnd w:id="4950"/>
      <w:r>
        <w:rPr>
          <w:rFonts w:ascii="Arial" w:eastAsia="Arial" w:hAnsi="Arial" w:cs="Arial"/>
          <w:i/>
          <w:color w:val="000000"/>
          <w:sz w:val="20"/>
        </w:rPr>
        <w:t>Lincoln</w:t>
      </w:r>
      <w:r>
        <w:rPr>
          <w:rFonts w:ascii="Arial" w:eastAsia="Arial" w:hAnsi="Arial" w:cs="Arial"/>
          <w:color w:val="000000"/>
          <w:sz w:val="20"/>
        </w:rPr>
        <w:t xml:space="preserve">, 900 F.3d at 1192-93; </w:t>
      </w:r>
      <w:bookmarkStart w:id="4951" w:name="Bookmark_I61CDGJN2N1R870020000400"/>
      <w:bookmarkEnd w:id="4951"/>
      <w:r>
        <w:rPr>
          <w:rFonts w:ascii="Arial" w:eastAsia="Arial" w:hAnsi="Arial" w:cs="Arial"/>
          <w:i/>
          <w:color w:val="000000"/>
          <w:sz w:val="20"/>
        </w:rPr>
        <w:t>Butler</w:t>
      </w:r>
      <w:r>
        <w:rPr>
          <w:rFonts w:ascii="Arial" w:eastAsia="Arial" w:hAnsi="Arial" w:cs="Arial"/>
          <w:color w:val="000000"/>
          <w:sz w:val="20"/>
        </w:rPr>
        <w:t>, 172 F.3d at 748.</w:t>
      </w:r>
    </w:p>
    <w:p w14:paraId="5A223B9B" w14:textId="77777777" w:rsidR="002B10A6" w:rsidRDefault="00000000">
      <w:pPr>
        <w:pStyle w:val="Normal23"/>
        <w:widowControl w:val="0"/>
        <w:spacing w:before="200" w:line="260" w:lineRule="atLeast"/>
        <w:jc w:val="both"/>
      </w:pPr>
      <w:bookmarkStart w:id="4952" w:name="Bookmark_para_128"/>
      <w:bookmarkEnd w:id="4952"/>
      <w:r>
        <w:rPr>
          <w:rFonts w:ascii="Arial" w:eastAsia="Arial" w:hAnsi="Arial" w:cs="Arial"/>
          <w:color w:val="000000"/>
          <w:sz w:val="20"/>
        </w:rPr>
        <w:t>In any event, because we are sitting en banc, we are free to interpret the ADA anew, giving appropriate meaning to the words used by Congress.</w:t>
      </w:r>
    </w:p>
    <w:p w14:paraId="6E558638" w14:textId="77777777" w:rsidR="002B10A6" w:rsidRDefault="00000000">
      <w:pPr>
        <w:pStyle w:val="Normal23"/>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Inherent Nature of a Failure-to-Accommodate Claim</w:t>
      </w:r>
    </w:p>
    <w:p w14:paraId="620AF52C" w14:textId="77777777" w:rsidR="002B10A6" w:rsidRDefault="00000000">
      <w:pPr>
        <w:pStyle w:val="Normal23"/>
        <w:widowControl w:val="0"/>
        <w:spacing w:before="200" w:line="260" w:lineRule="atLeast"/>
        <w:jc w:val="both"/>
      </w:pPr>
      <w:bookmarkStart w:id="4953" w:name="Bookmark_para_129"/>
      <w:bookmarkEnd w:id="4953"/>
      <w:r>
        <w:rPr>
          <w:rFonts w:ascii="Arial" w:eastAsia="Arial" w:hAnsi="Arial" w:cs="Arial"/>
          <w:color w:val="000000"/>
          <w:sz w:val="20"/>
        </w:rPr>
        <w:t xml:space="preserve">According to the majority, failure-to-accommodate claims should be construed differently than the other six types of discrimination identified by Congress in 42 U.S.C. § 12112(b) because the other types of discrimination claims target actions, while failure-to-accommodate claims focus on the failure to act. </w:t>
      </w:r>
      <w:r>
        <w:rPr>
          <w:rFonts w:ascii="Arial" w:eastAsia="Arial" w:hAnsi="Arial" w:cs="Arial"/>
          <w:i/>
          <w:color w:val="000000"/>
          <w:sz w:val="20"/>
        </w:rPr>
        <w:t>See</w:t>
      </w:r>
      <w:r>
        <w:rPr>
          <w:rFonts w:ascii="Arial" w:eastAsia="Arial" w:hAnsi="Arial" w:cs="Arial"/>
          <w:color w:val="000000"/>
          <w:sz w:val="20"/>
        </w:rPr>
        <w:t xml:space="preserve"> Maj. Op., Part II.B.2. </w:t>
      </w:r>
      <w:bookmarkStart w:id="4954" w:name="Bookmark_I722C9WS02P0000671P0002X"/>
      <w:bookmarkStart w:id="4955" w:name="Bookmark_I61CDGJN2N1R870050000400"/>
      <w:bookmarkEnd w:id="4954"/>
      <w:bookmarkEnd w:id="4955"/>
      <w:r>
        <w:rPr>
          <w:rFonts w:ascii="Arial" w:eastAsia="Arial" w:hAnsi="Arial" w:cs="Arial"/>
          <w:color w:val="000000"/>
          <w:sz w:val="20"/>
        </w:rPr>
        <w:t xml:space="preserve">While that may be an accurate observation, I fail to see why it excuses us from applying the statute according to its plain language. Nor do I agree that "it would verge on the illogical to require failure-to-accommodate plaintiffs to establish that their employer </w:t>
      </w:r>
      <w:r>
        <w:rPr>
          <w:rFonts w:ascii="Arial" w:eastAsia="Arial" w:hAnsi="Arial" w:cs="Arial"/>
          <w:i/>
          <w:color w:val="000000"/>
          <w:sz w:val="20"/>
        </w:rPr>
        <w:t>acted</w:t>
      </w:r>
      <w:r>
        <w:rPr>
          <w:rFonts w:ascii="Arial" w:eastAsia="Arial" w:hAnsi="Arial" w:cs="Arial"/>
          <w:color w:val="000000"/>
          <w:sz w:val="20"/>
        </w:rPr>
        <w:t xml:space="preserve"> adversely toward them—when the fundamental nature of the claim is that the employer </w:t>
      </w:r>
      <w:r>
        <w:rPr>
          <w:rFonts w:ascii="Arial" w:eastAsia="Arial" w:hAnsi="Arial" w:cs="Arial"/>
          <w:i/>
          <w:color w:val="000000"/>
          <w:sz w:val="20"/>
        </w:rPr>
        <w:t>failed to act</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at 23. Indeed, the best indication of what Congress intended "is the statutory text adopted by both Houses  [*827]  of Congress and submitted to the President." </w:t>
      </w:r>
      <w:bookmarkStart w:id="4956" w:name="Bookmark_I61CDGJN2N1R870040000400"/>
      <w:bookmarkEnd w:id="4956"/>
      <w:r>
        <w:rPr>
          <w:rFonts w:ascii="Arial" w:eastAsia="Arial" w:hAnsi="Arial" w:cs="Arial"/>
          <w:i/>
          <w:color w:val="000000"/>
          <w:sz w:val="20"/>
        </w:rPr>
        <w:t>W. Va. Univ. Hosps., Inc. v. Casey</w:t>
      </w:r>
      <w:r>
        <w:rPr>
          <w:rFonts w:ascii="Arial" w:eastAsia="Arial" w:hAnsi="Arial" w:cs="Arial"/>
          <w:color w:val="000000"/>
          <w:sz w:val="20"/>
        </w:rPr>
        <w:t>, 499 U.S. 83, 98, 111 S. Ct. 1138, 113 L. Ed. 2d 68 (1991).</w:t>
      </w:r>
    </w:p>
    <w:p w14:paraId="596C894D" w14:textId="77777777" w:rsidR="002B10A6" w:rsidRDefault="00000000">
      <w:pPr>
        <w:pStyle w:val="Normal23"/>
        <w:widowControl w:val="0"/>
        <w:spacing w:before="200" w:line="260" w:lineRule="atLeast"/>
        <w:jc w:val="both"/>
      </w:pPr>
      <w:bookmarkStart w:id="4957" w:name="Bookmark_para_130"/>
      <w:bookmarkEnd w:id="4957"/>
      <w:r>
        <w:rPr>
          <w:rFonts w:ascii="Arial" w:eastAsia="Arial" w:hAnsi="Arial" w:cs="Arial"/>
          <w:color w:val="000000"/>
          <w:sz w:val="20"/>
        </w:rPr>
        <w:t xml:space="preserve">Section 12112(a)'s second element does not require a plaintiff [**87]  to establish that the employer </w:t>
      </w:r>
      <w:r>
        <w:rPr>
          <w:rFonts w:ascii="Arial" w:eastAsia="Arial" w:hAnsi="Arial" w:cs="Arial"/>
          <w:i/>
          <w:color w:val="000000"/>
          <w:sz w:val="20"/>
        </w:rPr>
        <w:t>acted</w:t>
      </w:r>
      <w:r>
        <w:rPr>
          <w:rFonts w:ascii="Arial" w:eastAsia="Arial" w:hAnsi="Arial" w:cs="Arial"/>
          <w:color w:val="000000"/>
          <w:sz w:val="20"/>
        </w:rPr>
        <w:t xml:space="preserve"> adversely toward the plaintiff. Rather, it requires that the failure to accommodate be "in regard to job application procedures, the hiring, advancement, or discharge of employees, employee compensation, job training, and other terms, conditions, and privileges of employment." 42 U.S.C. § 12112(a). That is, the failure to accommodate must have had some negative impact on hiring, promotion, firing, compensation, training, or, more expansively, "other terms, conditions, and privileges of employment." Nothing about this language requires the plaintiff to prove that the employer took some affirmative action, in addition to the failure to accommodate. But the failure to accommodate is actionable only if it is "in regard to" the "terms, conditions, and privileges of employment." Thus, in my view, the majority's distinction between action and failure to act is a straw man that does not advance the statutory analysis.</w:t>
      </w:r>
    </w:p>
    <w:p w14:paraId="33DC3387" w14:textId="77777777" w:rsidR="002B10A6" w:rsidRDefault="00000000">
      <w:pPr>
        <w:pStyle w:val="Normal23"/>
        <w:widowControl w:val="0"/>
        <w:spacing w:before="200" w:line="260" w:lineRule="atLeast"/>
        <w:jc w:val="both"/>
      </w:pPr>
      <w:bookmarkStart w:id="4958" w:name="Bookmark_para_131"/>
      <w:bookmarkStart w:id="4959" w:name="Bookmark_I722C9WS3020000671P0002Y"/>
      <w:bookmarkStart w:id="4960" w:name="Bookmark_I61CDGJP2HM6XS0020000400"/>
      <w:bookmarkEnd w:id="4958"/>
      <w:bookmarkEnd w:id="4959"/>
      <w:bookmarkEnd w:id="4960"/>
      <w:r>
        <w:rPr>
          <w:rFonts w:ascii="Arial" w:eastAsia="Arial" w:hAnsi="Arial" w:cs="Arial"/>
          <w:color w:val="000000"/>
          <w:sz w:val="20"/>
        </w:rPr>
        <w:t xml:space="preserve">Likewise, the absence of a discriminatory intent requirement in failure-to-accommodate claims says nothing about the need to show a connection between the failure and the terms, conditions, and privileges of employment. Congress did not intend to create a "super" [**88]  human resources department to dictate employer conduct irrespective of its impact. </w:t>
      </w:r>
      <w:r>
        <w:rPr>
          <w:rFonts w:ascii="Arial" w:eastAsia="Arial" w:hAnsi="Arial" w:cs="Arial"/>
          <w:i/>
          <w:color w:val="000000"/>
          <w:sz w:val="20"/>
        </w:rPr>
        <w:t xml:space="preserve">Cf. </w:t>
      </w:r>
      <w:bookmarkStart w:id="4961" w:name="Bookmark_I61CDGJP2HM6XS0010000400"/>
      <w:bookmarkEnd w:id="4961"/>
      <w:r>
        <w:rPr>
          <w:rFonts w:ascii="Arial" w:eastAsia="Arial" w:hAnsi="Arial" w:cs="Arial"/>
          <w:i/>
          <w:color w:val="000000"/>
          <w:sz w:val="20"/>
        </w:rPr>
        <w:t>Jones v. Barnhart</w:t>
      </w:r>
      <w:r>
        <w:rPr>
          <w:rFonts w:ascii="Arial" w:eastAsia="Arial" w:hAnsi="Arial" w:cs="Arial"/>
          <w:color w:val="000000"/>
          <w:sz w:val="20"/>
        </w:rPr>
        <w:t>, 349 F.3d 1260, 1267 (10th Cir. 2003) ("Our role is to prevent unlawful hiring practices, not to act as a super personnel department that second guesses employers' business judgments." (quotation marks omitted) (interpreting Title VII)). Rather, the ADA gives disabled employees a remedy for actual harm incurred in employment. Thus, even where the employer's failure to make a reasonable accommodation was not intentionally discriminatory, the ADA protects an employee whose conditions of employment are nonetheless impacted as a result. And in most instances, it should be a small burden for the plaintiff to meet this requirement. Where the failure to accommodate results in termination, demotion, reduced compensation, the loss of an opportunity for promotion, or another detrimental impact on the terms or conditions of employment, the second requirement is easily met.</w:t>
      </w:r>
    </w:p>
    <w:p w14:paraId="21B192BE" w14:textId="77777777" w:rsidR="002B10A6" w:rsidRDefault="00000000">
      <w:pPr>
        <w:pStyle w:val="Normal23"/>
        <w:widowControl w:val="0"/>
        <w:spacing w:before="200" w:line="260" w:lineRule="atLeast"/>
        <w:jc w:val="both"/>
      </w:pPr>
      <w:bookmarkStart w:id="4962" w:name="Bookmark_para_132"/>
      <w:bookmarkEnd w:id="4962"/>
      <w:r>
        <w:rPr>
          <w:rFonts w:ascii="Arial" w:eastAsia="Arial" w:hAnsi="Arial" w:cs="Arial"/>
          <w:color w:val="000000"/>
          <w:sz w:val="20"/>
        </w:rPr>
        <w:t>The majority advances sound reasons why Congress might have decided to excuse plaintiffs bringing failure-to-accommodate claims from satisfying the in-regard-to clause. But the plain language of the statute indicates Congress declined to do so. Instead, as with all other discrimination [**89]  claims under the ADA, failure-to-accommodate claims include a requirement that the failure be in regard to the terms, conditions, or privileges of employment.</w:t>
      </w:r>
    </w:p>
    <w:p w14:paraId="34574E8D" w14:textId="77777777" w:rsidR="002B10A6" w:rsidRDefault="00000000">
      <w:pPr>
        <w:pStyle w:val="Normal23"/>
        <w:widowControl w:val="0"/>
        <w:spacing w:before="240" w:line="260" w:lineRule="atLeast"/>
      </w:pPr>
      <w:r>
        <w:br/>
      </w:r>
      <w:r>
        <w:rPr>
          <w:rFonts w:ascii="Arial" w:eastAsia="Arial" w:hAnsi="Arial" w:cs="Arial"/>
          <w:b/>
          <w:color w:val="000000"/>
          <w:sz w:val="20"/>
        </w:rPr>
        <w:t xml:space="preserve">C. </w:t>
      </w:r>
      <w:r>
        <w:rPr>
          <w:rFonts w:ascii="Arial" w:eastAsia="Arial" w:hAnsi="Arial" w:cs="Arial"/>
          <w:b/>
          <w:i/>
          <w:color w:val="000000"/>
          <w:sz w:val="20"/>
        </w:rPr>
        <w:t>Statutory Purpose</w:t>
      </w:r>
    </w:p>
    <w:p w14:paraId="146D54A9" w14:textId="77777777" w:rsidR="002B10A6" w:rsidRDefault="00000000">
      <w:pPr>
        <w:pStyle w:val="Normal23"/>
        <w:widowControl w:val="0"/>
        <w:spacing w:before="200" w:line="260" w:lineRule="atLeast"/>
        <w:jc w:val="both"/>
      </w:pPr>
      <w:bookmarkStart w:id="4963" w:name="Bookmark_para_133"/>
      <w:bookmarkStart w:id="4964" w:name="Bookmark_I722C9WS5RS0000671P00030"/>
      <w:bookmarkStart w:id="4965" w:name="Bookmark_I61CDGJP2HM6XS0040000400"/>
      <w:bookmarkEnd w:id="4963"/>
      <w:bookmarkEnd w:id="4964"/>
      <w:bookmarkEnd w:id="4965"/>
      <w:r>
        <w:rPr>
          <w:rFonts w:ascii="Arial" w:eastAsia="Arial" w:hAnsi="Arial" w:cs="Arial"/>
          <w:color w:val="000000"/>
          <w:sz w:val="20"/>
        </w:rPr>
        <w:t xml:space="preserve">Next, the majority claims we can read out the in-regard-to clause because it is inconsistent with the ADA's remedial purpose. </w:t>
      </w:r>
      <w:bookmarkStart w:id="4966" w:name="Bookmark_I722C9WS8HW0000671P00031"/>
      <w:bookmarkStart w:id="4967" w:name="Bookmark_I61CDGJP2SF8PM0010000400"/>
      <w:bookmarkEnd w:id="4966"/>
      <w:bookmarkEnd w:id="4967"/>
      <w:r>
        <w:rPr>
          <w:rFonts w:ascii="Arial" w:eastAsia="Arial" w:hAnsi="Arial" w:cs="Arial"/>
          <w:i/>
          <w:color w:val="000000"/>
          <w:sz w:val="20"/>
        </w:rPr>
        <w:t>See</w:t>
      </w:r>
      <w:r>
        <w:rPr>
          <w:rFonts w:ascii="Arial" w:eastAsia="Arial" w:hAnsi="Arial" w:cs="Arial"/>
          <w:color w:val="000000"/>
          <w:sz w:val="20"/>
        </w:rPr>
        <w:t xml:space="preserve"> Maj. Op., Part II.B.3. Although I agree that consideration of a "'statute's . . . purpose' is one of the traditional 'tools' of statutory construction," </w:t>
      </w:r>
      <w:r>
        <w:rPr>
          <w:rFonts w:ascii="Arial" w:eastAsia="Arial" w:hAnsi="Arial" w:cs="Arial"/>
          <w:i/>
          <w:color w:val="000000"/>
          <w:sz w:val="20"/>
        </w:rPr>
        <w:t>id.</w:t>
      </w:r>
      <w:r>
        <w:rPr>
          <w:rFonts w:ascii="Arial" w:eastAsia="Arial" w:hAnsi="Arial" w:cs="Arial"/>
          <w:color w:val="000000"/>
          <w:sz w:val="20"/>
        </w:rPr>
        <w:t xml:space="preserve"> at 26 (quoting </w:t>
      </w:r>
      <w:bookmarkStart w:id="4968" w:name="Bookmark_I61CDGJP2HM6XS0030000400"/>
      <w:bookmarkEnd w:id="4968"/>
      <w:r>
        <w:rPr>
          <w:rFonts w:ascii="Arial" w:eastAsia="Arial" w:hAnsi="Arial" w:cs="Arial"/>
          <w:i/>
          <w:color w:val="000000"/>
          <w:sz w:val="20"/>
        </w:rPr>
        <w:t>Am. Fed'n of Gov't Emps., Local 1592 v. Fed. Labor Relations Auth.</w:t>
      </w:r>
      <w:r>
        <w:rPr>
          <w:rFonts w:ascii="Arial" w:eastAsia="Arial" w:hAnsi="Arial" w:cs="Arial"/>
          <w:color w:val="000000"/>
          <w:sz w:val="20"/>
        </w:rPr>
        <w:t xml:space="preserve">, 836 F.3d 1291, 1295 (10th Cir. 2016)), we cannot allow our view of a statute's purpose to negate its plain language. </w:t>
      </w:r>
      <w:bookmarkStart w:id="4969" w:name="Bookmark_I61CDGJP2SF8PM0010000400_2"/>
      <w:bookmarkEnd w:id="4969"/>
      <w:r>
        <w:rPr>
          <w:rFonts w:ascii="Arial" w:eastAsia="Arial" w:hAnsi="Arial" w:cs="Arial"/>
          <w:color w:val="000000"/>
          <w:sz w:val="20"/>
        </w:rPr>
        <w:t xml:space="preserve">"Statutory construction must begin with the language employed by Congress and the assumption that the ordinary meaning of that language accurately expresses the legislative purpose." </w:t>
      </w:r>
      <w:bookmarkStart w:id="4970" w:name="Bookmark_I61CDGJP2HM6XS0050000400"/>
      <w:bookmarkEnd w:id="4970"/>
      <w:r>
        <w:rPr>
          <w:rFonts w:ascii="Arial" w:eastAsia="Arial" w:hAnsi="Arial" w:cs="Arial"/>
          <w:i/>
          <w:color w:val="000000"/>
          <w:sz w:val="20"/>
        </w:rPr>
        <w:t>Park 'N Fly, Inc. v. Dollar Park and Fly, Inc.</w:t>
      </w:r>
      <w:r>
        <w:rPr>
          <w:rFonts w:ascii="Arial" w:eastAsia="Arial" w:hAnsi="Arial" w:cs="Arial"/>
          <w:color w:val="000000"/>
          <w:sz w:val="20"/>
        </w:rPr>
        <w:t xml:space="preserve">, 469 U.S. 189, 194, 105 S. Ct. 658, 83 L. Ed. 2d 582 (1985); </w:t>
      </w:r>
      <w:r>
        <w:rPr>
          <w:rFonts w:ascii="Arial" w:eastAsia="Arial" w:hAnsi="Arial" w:cs="Arial"/>
          <w:i/>
          <w:color w:val="000000"/>
          <w:sz w:val="20"/>
        </w:rPr>
        <w:t>see also</w:t>
      </w:r>
      <w:r>
        <w:rPr>
          <w:rFonts w:ascii="Arial" w:eastAsia="Arial" w:hAnsi="Arial" w:cs="Arial"/>
          <w:color w:val="000000"/>
          <w:sz w:val="20"/>
        </w:rPr>
        <w:t xml:space="preserve"> A.  [*828]  Scalia &amp; B. Garner, § 2, at 57 (stating that except in rare cases, statutory purpose "cannot be used to contradict text or to supplement it").</w:t>
      </w:r>
    </w:p>
    <w:p w14:paraId="41559E47" w14:textId="77777777" w:rsidR="002B10A6" w:rsidRDefault="00000000">
      <w:pPr>
        <w:pStyle w:val="Normal23"/>
        <w:widowControl w:val="0"/>
        <w:spacing w:before="200" w:line="260" w:lineRule="atLeast"/>
        <w:jc w:val="both"/>
      </w:pPr>
      <w:bookmarkStart w:id="4971" w:name="Bookmark_para_134"/>
      <w:bookmarkEnd w:id="4971"/>
      <w:r>
        <w:rPr>
          <w:rFonts w:ascii="Arial" w:eastAsia="Arial" w:hAnsi="Arial" w:cs="Arial"/>
          <w:color w:val="000000"/>
          <w:sz w:val="20"/>
        </w:rPr>
        <w:t xml:space="preserve">In support of its position, the majority posits the hypothetical of a blind law clerk whose judge is satisfied with the clerk's unaccommodated ability to produce two draft opinions per month, rather than the three draft opinions required of the judge's sighted clerks. </w:t>
      </w:r>
      <w:r>
        <w:rPr>
          <w:rFonts w:ascii="Arial" w:eastAsia="Arial" w:hAnsi="Arial" w:cs="Arial"/>
          <w:i/>
          <w:color w:val="000000"/>
          <w:sz w:val="20"/>
        </w:rPr>
        <w:t>See</w:t>
      </w:r>
      <w:r>
        <w:rPr>
          <w:rFonts w:ascii="Arial" w:eastAsia="Arial" w:hAnsi="Arial" w:cs="Arial"/>
          <w:color w:val="000000"/>
          <w:sz w:val="20"/>
        </w:rPr>
        <w:t xml:space="preserve"> Maj. Op. at 29-31. </w:t>
      </w:r>
      <w:bookmarkStart w:id="4972" w:name="Bookmark_I722C9WSG7S0000671P00033"/>
      <w:bookmarkStart w:id="4973" w:name="Bookmark_I61CDGJP2SF8PM0030000400"/>
      <w:bookmarkEnd w:id="4972"/>
      <w:bookmarkEnd w:id="4973"/>
      <w:r>
        <w:rPr>
          <w:rFonts w:ascii="Arial" w:eastAsia="Arial" w:hAnsi="Arial" w:cs="Arial"/>
          <w:color w:val="000000"/>
          <w:sz w:val="20"/>
        </w:rPr>
        <w:t xml:space="preserve">While the blind clerk [**90]  may prefer the assistance of a personal reader, she has suffered no adverse employment action in connection with the judge's decision to accept without complaint two draft decisions per month rather than supply a reader as a reasonable accommodation. Unlike the majority, I do not believe Congress, by passing the ADA, intended to micromanage employment decisions. </w:t>
      </w:r>
      <w:bookmarkStart w:id="4974" w:name="Bookmark_I722C9WSK120000671P00034"/>
      <w:bookmarkStart w:id="4975" w:name="Bookmark_I61CDGJP2SF8PM0050000400"/>
      <w:bookmarkEnd w:id="4974"/>
      <w:bookmarkEnd w:id="4975"/>
      <w:r>
        <w:rPr>
          <w:rFonts w:ascii="Arial" w:eastAsia="Arial" w:hAnsi="Arial" w:cs="Arial"/>
          <w:i/>
          <w:color w:val="000000"/>
          <w:sz w:val="20"/>
        </w:rPr>
        <w:t xml:space="preserve">See </w:t>
      </w:r>
      <w:bookmarkStart w:id="4976" w:name="Bookmark_I61CDGJP2SF8PM0020000400"/>
      <w:bookmarkEnd w:id="4976"/>
      <w:r>
        <w:rPr>
          <w:rFonts w:ascii="Arial" w:eastAsia="Arial" w:hAnsi="Arial" w:cs="Arial"/>
          <w:i/>
          <w:color w:val="000000"/>
          <w:sz w:val="20"/>
        </w:rPr>
        <w:t>Jones</w:t>
      </w:r>
      <w:r>
        <w:rPr>
          <w:rFonts w:ascii="Arial" w:eastAsia="Arial" w:hAnsi="Arial" w:cs="Arial"/>
          <w:color w:val="000000"/>
          <w:sz w:val="20"/>
        </w:rPr>
        <w:t xml:space="preserve">, 349 F.3d at 1267. </w:t>
      </w:r>
      <w:bookmarkStart w:id="4977" w:name="Bookmark_I61CDGJP2SF8PM0050000400_2"/>
      <w:bookmarkStart w:id="4978" w:name="Bookmark_I722C9WSSJF0000671P00036"/>
      <w:bookmarkStart w:id="4979" w:name="Bookmark_I61CDGJR2HM6XX0020000400"/>
      <w:bookmarkEnd w:id="4977"/>
      <w:bookmarkEnd w:id="4978"/>
      <w:bookmarkEnd w:id="4979"/>
      <w:r>
        <w:rPr>
          <w:rFonts w:ascii="Arial" w:eastAsia="Arial" w:hAnsi="Arial" w:cs="Arial"/>
          <w:color w:val="000000"/>
          <w:sz w:val="20"/>
        </w:rPr>
        <w:t xml:space="preserve">Rather, the ADA provides a remedy for harms suffered by disabled employees. In my view, the judge's decision to allocate work in chambers with consideration for the clerk's limitations is not and should not be actionable under the ADA. </w:t>
      </w:r>
      <w:r>
        <w:rPr>
          <w:rFonts w:ascii="Arial" w:eastAsia="Arial" w:hAnsi="Arial" w:cs="Arial"/>
          <w:i/>
          <w:color w:val="000000"/>
          <w:sz w:val="20"/>
        </w:rPr>
        <w:t xml:space="preserve">See </w:t>
      </w:r>
      <w:bookmarkStart w:id="4980" w:name="Bookmark_I61CDGJP2SF8PM0040000400"/>
      <w:bookmarkEnd w:id="4980"/>
      <w:r>
        <w:rPr>
          <w:rFonts w:ascii="Arial" w:eastAsia="Arial" w:hAnsi="Arial" w:cs="Arial"/>
          <w:i/>
          <w:color w:val="000000"/>
          <w:sz w:val="20"/>
        </w:rPr>
        <w:t>Sanchez v. Denver Pub. Schs.</w:t>
      </w:r>
      <w:r>
        <w:rPr>
          <w:rFonts w:ascii="Arial" w:eastAsia="Arial" w:hAnsi="Arial" w:cs="Arial"/>
          <w:color w:val="000000"/>
          <w:sz w:val="20"/>
        </w:rPr>
        <w:t xml:space="preserve">, 164 F.3d 527, 532 (10th Cir. 1998) (stating that in the context of employment discrimination statutes, "we will not consider . . . </w:t>
      </w:r>
      <w:bookmarkStart w:id="4981" w:name="Bookmark_I61CDGJR2HM6XX0020000400_2"/>
      <w:bookmarkEnd w:id="4981"/>
      <w:r>
        <w:rPr>
          <w:rFonts w:ascii="Arial" w:eastAsia="Arial" w:hAnsi="Arial" w:cs="Arial"/>
          <w:color w:val="000000"/>
          <w:sz w:val="20"/>
        </w:rPr>
        <w:t xml:space="preserve">'an alteration of job responsibilities' to be an adverse employment action" (quoting </w:t>
      </w:r>
      <w:bookmarkStart w:id="4982" w:name="Bookmark_I61CDGJR2HM6XX0010000400"/>
      <w:bookmarkEnd w:id="4982"/>
      <w:r>
        <w:rPr>
          <w:rFonts w:ascii="Arial" w:eastAsia="Arial" w:hAnsi="Arial" w:cs="Arial"/>
          <w:i/>
          <w:color w:val="000000"/>
          <w:sz w:val="20"/>
        </w:rPr>
        <w:t>Crady v. Liberty Nat'l Bank &amp; Tr. Co.</w:t>
      </w:r>
      <w:r>
        <w:rPr>
          <w:rFonts w:ascii="Arial" w:eastAsia="Arial" w:hAnsi="Arial" w:cs="Arial"/>
          <w:color w:val="000000"/>
          <w:sz w:val="20"/>
        </w:rPr>
        <w:t>, 993 F.2d 132, 136 (7th Cir. 1993))). Thus, the majority's hypothetical highlights the different purposes of the discrimination clause and the in-regard-to clause. Congress could have made all failures to accommodate actionable. But it did not do so, instead directing that only failures in regard to the terms, conditions, or privileges of employment trigger liability under the Act.</w:t>
      </w:r>
    </w:p>
    <w:p w14:paraId="0CA5DD31" w14:textId="77777777" w:rsidR="002B10A6" w:rsidRDefault="00000000">
      <w:pPr>
        <w:pStyle w:val="Normal23"/>
        <w:widowControl w:val="0"/>
        <w:spacing w:before="200" w:line="260" w:lineRule="atLeast"/>
        <w:jc w:val="both"/>
      </w:pPr>
      <w:bookmarkStart w:id="4983" w:name="Bookmark_para_135"/>
      <w:bookmarkEnd w:id="4983"/>
      <w:r>
        <w:rPr>
          <w:rFonts w:ascii="Arial" w:eastAsia="Arial" w:hAnsi="Arial" w:cs="Arial"/>
          <w:color w:val="000000"/>
          <w:sz w:val="20"/>
        </w:rPr>
        <w:t xml:space="preserve">Nor do I think our en banc decision in </w:t>
      </w:r>
      <w:r>
        <w:rPr>
          <w:rFonts w:ascii="Arial" w:eastAsia="Arial" w:hAnsi="Arial" w:cs="Arial"/>
          <w:i/>
          <w:color w:val="000000"/>
          <w:sz w:val="20"/>
        </w:rPr>
        <w:t>Smith</w:t>
      </w:r>
      <w:r>
        <w:rPr>
          <w:rFonts w:ascii="Arial" w:eastAsia="Arial" w:hAnsi="Arial" w:cs="Arial"/>
          <w:color w:val="000000"/>
          <w:sz w:val="20"/>
        </w:rPr>
        <w:t xml:space="preserve"> supports a contrary [**91]  result. </w:t>
      </w:r>
      <w:bookmarkStart w:id="4984" w:name="Bookmark_I722C9WT04S0000671P00038"/>
      <w:bookmarkStart w:id="4985" w:name="Bookmark_I61CDGJR2HM6XX0040000400"/>
      <w:bookmarkEnd w:id="4984"/>
      <w:bookmarkEnd w:id="4985"/>
      <w:r>
        <w:rPr>
          <w:rFonts w:ascii="Arial" w:eastAsia="Arial" w:hAnsi="Arial" w:cs="Arial"/>
          <w:i/>
          <w:color w:val="000000"/>
          <w:sz w:val="20"/>
        </w:rPr>
        <w:t>See</w:t>
      </w:r>
      <w:r>
        <w:rPr>
          <w:rFonts w:ascii="Arial" w:eastAsia="Arial" w:hAnsi="Arial" w:cs="Arial"/>
          <w:color w:val="000000"/>
          <w:sz w:val="20"/>
        </w:rPr>
        <w:t xml:space="preserve"> Maj. Op. at 33-35. The plaintiff in </w:t>
      </w:r>
      <w:r>
        <w:rPr>
          <w:rFonts w:ascii="Arial" w:eastAsia="Arial" w:hAnsi="Arial" w:cs="Arial"/>
          <w:i/>
          <w:color w:val="000000"/>
          <w:sz w:val="20"/>
        </w:rPr>
        <w:t>Smith</w:t>
      </w:r>
      <w:r>
        <w:rPr>
          <w:rFonts w:ascii="Arial" w:eastAsia="Arial" w:hAnsi="Arial" w:cs="Arial"/>
          <w:color w:val="000000"/>
          <w:sz w:val="20"/>
        </w:rPr>
        <w:t xml:space="preserve"> suffered a traditional adverse employment action—he was terminated after his employer (a brake manufacturer) was unable to find an assignment within the light assembly department that he could safely perform, given his physical limitations (muscular injuries and chronic dermatitis). </w:t>
      </w:r>
      <w:r>
        <w:rPr>
          <w:rFonts w:ascii="Arial" w:eastAsia="Arial" w:hAnsi="Arial" w:cs="Arial"/>
          <w:i/>
          <w:color w:val="000000"/>
          <w:sz w:val="20"/>
        </w:rPr>
        <w:t>See</w:t>
      </w:r>
      <w:r>
        <w:rPr>
          <w:rFonts w:ascii="Arial" w:eastAsia="Arial" w:hAnsi="Arial" w:cs="Arial"/>
          <w:color w:val="000000"/>
          <w:sz w:val="20"/>
        </w:rPr>
        <w:t xml:space="preserve"> </w:t>
      </w:r>
      <w:bookmarkStart w:id="4986" w:name="Bookmark_I61CDGJR2HM6XX0030000400"/>
      <w:bookmarkEnd w:id="4986"/>
      <w:r>
        <w:rPr>
          <w:rFonts w:ascii="Arial" w:eastAsia="Arial" w:hAnsi="Arial" w:cs="Arial"/>
          <w:color w:val="000000"/>
          <w:sz w:val="20"/>
        </w:rPr>
        <w:t>180 F.3d at 1160. If, instead, the plaintiff could safely work in that department by assembling components at a lesser rate than other employees, and the employer permitted him to remain in the job while agreeing to accept only this reduced output that could be produced safely, it is doubtful an ADA claim would lie. In that scenario, the plaintiff could continue to receive all the benefits of employment, despite the employer's failure to reassign him.</w:t>
      </w:r>
    </w:p>
    <w:p w14:paraId="52235AA5" w14:textId="77777777" w:rsidR="002B10A6" w:rsidRDefault="00000000">
      <w:pPr>
        <w:pStyle w:val="Normal23"/>
        <w:widowControl w:val="0"/>
        <w:spacing w:before="200" w:line="260" w:lineRule="atLeast"/>
        <w:jc w:val="both"/>
      </w:pPr>
      <w:bookmarkStart w:id="4987" w:name="Bookmark_para_136"/>
      <w:bookmarkStart w:id="4988" w:name="Bookmark_I722C9WT2XB0000671P00039"/>
      <w:bookmarkStart w:id="4989" w:name="Bookmark_I61CDGJR2D6N750010000400"/>
      <w:bookmarkEnd w:id="4987"/>
      <w:bookmarkEnd w:id="4988"/>
      <w:bookmarkEnd w:id="4989"/>
      <w:r>
        <w:rPr>
          <w:rFonts w:ascii="Arial" w:eastAsia="Arial" w:hAnsi="Arial" w:cs="Arial"/>
          <w:color w:val="000000"/>
          <w:sz w:val="20"/>
        </w:rPr>
        <w:t xml:space="preserve">Here the statute expressly includes the requirement that the failure to accommodate be "in regard to" terms, conditions, or privileges of employment. And unlike the majority, I am not persuaded that requiring a plaintiff bringing a claim under an employment discrimination statute to tie the alleged discrimination to an adverse employment action would render the promise of the statute "hollow." Maj. Op. at 35 (quoting [**92]  </w:t>
      </w:r>
      <w:bookmarkStart w:id="4990" w:name="Bookmark_I61CDGJR2HM6XX0050000400"/>
      <w:bookmarkEnd w:id="4990"/>
      <w:r>
        <w:rPr>
          <w:rFonts w:ascii="Arial" w:eastAsia="Arial" w:hAnsi="Arial" w:cs="Arial"/>
          <w:i/>
          <w:color w:val="000000"/>
          <w:sz w:val="20"/>
        </w:rPr>
        <w:t>Smith</w:t>
      </w:r>
      <w:r>
        <w:rPr>
          <w:rFonts w:ascii="Arial" w:eastAsia="Arial" w:hAnsi="Arial" w:cs="Arial"/>
          <w:color w:val="000000"/>
          <w:sz w:val="20"/>
        </w:rPr>
        <w:t>, 180 F.3d at 1167). Rather, the "in regard to" language strikes the appropriate balance between protection of disabled employees and deference to the business decisions of employers.</w:t>
      </w:r>
    </w:p>
    <w:p w14:paraId="31594E79" w14:textId="77777777" w:rsidR="002B10A6" w:rsidRDefault="00000000">
      <w:pPr>
        <w:pStyle w:val="Normal23"/>
        <w:widowControl w:val="0"/>
        <w:spacing w:before="240" w:line="260" w:lineRule="atLeast"/>
      </w:pPr>
      <w:r>
        <w:br/>
      </w:r>
      <w:r>
        <w:rPr>
          <w:rFonts w:ascii="Arial" w:eastAsia="Arial" w:hAnsi="Arial" w:cs="Arial"/>
          <w:b/>
          <w:color w:val="000000"/>
          <w:sz w:val="20"/>
        </w:rPr>
        <w:t xml:space="preserve">D. </w:t>
      </w:r>
      <w:r>
        <w:rPr>
          <w:rFonts w:ascii="Arial" w:eastAsia="Arial" w:hAnsi="Arial" w:cs="Arial"/>
          <w:b/>
          <w:i/>
          <w:color w:val="000000"/>
          <w:sz w:val="20"/>
        </w:rPr>
        <w:t>Pronouncements of the EEOC</w:t>
      </w:r>
    </w:p>
    <w:p w14:paraId="4A244C53" w14:textId="77777777" w:rsidR="002B10A6" w:rsidRDefault="00000000">
      <w:pPr>
        <w:pStyle w:val="Normal23"/>
        <w:widowControl w:val="0"/>
        <w:spacing w:before="200" w:line="260" w:lineRule="atLeast"/>
        <w:jc w:val="both"/>
      </w:pPr>
      <w:bookmarkStart w:id="4991" w:name="Bookmark_para_137"/>
      <w:bookmarkEnd w:id="4991"/>
      <w:r>
        <w:rPr>
          <w:rFonts w:ascii="Arial" w:eastAsia="Arial" w:hAnsi="Arial" w:cs="Arial"/>
          <w:color w:val="000000"/>
          <w:sz w:val="20"/>
        </w:rPr>
        <w:t xml:space="preserve">Next, the majority claims its understanding of the requisite elements of an ADA failure-to-accommodate claim is consistent with the EEOC's pronouncements. </w:t>
      </w:r>
      <w:r>
        <w:rPr>
          <w:rFonts w:ascii="Arial" w:eastAsia="Arial" w:hAnsi="Arial" w:cs="Arial"/>
          <w:i/>
          <w:color w:val="000000"/>
          <w:sz w:val="20"/>
        </w:rPr>
        <w:t>See</w:t>
      </w:r>
      <w:r>
        <w:rPr>
          <w:rFonts w:ascii="Arial" w:eastAsia="Arial" w:hAnsi="Arial" w:cs="Arial"/>
          <w:color w:val="000000"/>
          <w:sz w:val="20"/>
        </w:rPr>
        <w:t xml:space="preserve"> Maj. Op., Part II.B.4. The majority first points to 29 C.F.R. § 1630.9(a), which states that "[i]t is unlawful for a[n employer] not to make reasonable accommodation to the known physical or mental limitations  [*829]  of an otherwise qualified applicant or employee with a disability, unless such [employer] can demonstrate that the accommodation would impose an undue hardship on the operation of its business." This regulation, however, simply reiterates the failure-to-accommodate definition found in § 12112(b)(5)(A), one of the seven examples of discrimination that satisfy the first element of § 12112(a)'s general rule. It does not purport to define the second element of that rule—that the discrimination be "in regard to . . . terms, conditions, and privileges of employment." Indeed, the EEOC spoke to that second element in a separate regulation, 29 C.F.R. § 1630.4(a)(1). </w:t>
      </w:r>
      <w:bookmarkStart w:id="4992" w:name="Bookmark_I722C9WT5TF0000671P0003B"/>
      <w:bookmarkStart w:id="4993" w:name="Bookmark_I61CDGJR2D6N750030000400"/>
      <w:bookmarkEnd w:id="4992"/>
      <w:bookmarkEnd w:id="4993"/>
      <w:r>
        <w:rPr>
          <w:rFonts w:ascii="Arial" w:eastAsia="Arial" w:hAnsi="Arial" w:cs="Arial"/>
          <w:i/>
          <w:color w:val="000000"/>
          <w:sz w:val="20"/>
        </w:rPr>
        <w:t>See infra</w:t>
      </w:r>
      <w:r>
        <w:rPr>
          <w:rFonts w:ascii="Arial" w:eastAsia="Arial" w:hAnsi="Arial" w:cs="Arial"/>
          <w:color w:val="000000"/>
          <w:sz w:val="20"/>
        </w:rPr>
        <w:t xml:space="preserve"> Part III.A.1. As a result, to the [**93]  extent the in-regard-to language is deemed ambiguous, the EEOC cannot be said to have provided an interpretation of that language in § 1630.9 to which we would owe any deference. </w:t>
      </w:r>
      <w:r>
        <w:rPr>
          <w:rFonts w:ascii="Arial" w:eastAsia="Arial" w:hAnsi="Arial" w:cs="Arial"/>
          <w:i/>
          <w:color w:val="000000"/>
          <w:sz w:val="20"/>
        </w:rPr>
        <w:t xml:space="preserve">See </w:t>
      </w:r>
      <w:bookmarkStart w:id="4994" w:name="Bookmark_I61CDGJR2D6N750020000400"/>
      <w:bookmarkEnd w:id="4994"/>
      <w:r>
        <w:rPr>
          <w:rFonts w:ascii="Arial" w:eastAsia="Arial" w:hAnsi="Arial" w:cs="Arial"/>
          <w:i/>
          <w:color w:val="000000"/>
          <w:sz w:val="20"/>
        </w:rPr>
        <w:t>Chevron, U.S.A., Inc. v. Nat. Res. Def. Council, Inc.</w:t>
      </w:r>
      <w:r>
        <w:rPr>
          <w:rFonts w:ascii="Arial" w:eastAsia="Arial" w:hAnsi="Arial" w:cs="Arial"/>
          <w:color w:val="000000"/>
          <w:sz w:val="20"/>
        </w:rPr>
        <w:t>, 467 U.S. 837, 844,104 S. Ct. 2778, 81 L. Ed. 2d 694 (1984).</w:t>
      </w:r>
    </w:p>
    <w:p w14:paraId="6D90FA38" w14:textId="77777777" w:rsidR="002B10A6" w:rsidRDefault="00000000">
      <w:pPr>
        <w:pStyle w:val="Normal23"/>
        <w:widowControl w:val="0"/>
        <w:spacing w:before="200" w:line="260" w:lineRule="atLeast"/>
        <w:jc w:val="both"/>
      </w:pPr>
      <w:bookmarkStart w:id="4995" w:name="Bookmark_para_138"/>
      <w:bookmarkStart w:id="4996" w:name="Bookmark_I722C9WT8KK0000671P0003C"/>
      <w:bookmarkStart w:id="4997" w:name="Bookmark_I61CDGJR2D6N750050000400"/>
      <w:bookmarkEnd w:id="4995"/>
      <w:bookmarkEnd w:id="4996"/>
      <w:bookmarkEnd w:id="4997"/>
      <w:r>
        <w:rPr>
          <w:rFonts w:ascii="Arial" w:eastAsia="Arial" w:hAnsi="Arial" w:cs="Arial"/>
          <w:color w:val="000000"/>
          <w:sz w:val="20"/>
        </w:rPr>
        <w:t xml:space="preserve">Likewise, because § 1630.9 addresses only § 12112(a)'s discrimination clause—and is silent on the second element of Title I's "general proscription," </w:t>
      </w:r>
      <w:bookmarkStart w:id="4998" w:name="Bookmark_I61CDGJR2D6N750040000400"/>
      <w:bookmarkEnd w:id="4998"/>
      <w:r>
        <w:rPr>
          <w:rFonts w:ascii="Arial" w:eastAsia="Arial" w:hAnsi="Arial" w:cs="Arial"/>
          <w:i/>
          <w:color w:val="000000"/>
          <w:sz w:val="20"/>
        </w:rPr>
        <w:t>Smith</w:t>
      </w:r>
      <w:r>
        <w:rPr>
          <w:rFonts w:ascii="Arial" w:eastAsia="Arial" w:hAnsi="Arial" w:cs="Arial"/>
          <w:color w:val="000000"/>
          <w:sz w:val="20"/>
        </w:rPr>
        <w:t xml:space="preserve">, 180 F.3d at 1160—I fail to see how that regulatory interpretation "implicitly rejects" the idea that the in-regard-to clause embodies a distinct and meaningful requirement of failure-to-accommodate claims. </w:t>
      </w:r>
      <w:r>
        <w:rPr>
          <w:rFonts w:ascii="Arial" w:eastAsia="Arial" w:hAnsi="Arial" w:cs="Arial"/>
          <w:i/>
          <w:color w:val="000000"/>
          <w:sz w:val="20"/>
        </w:rPr>
        <w:t>See</w:t>
      </w:r>
      <w:r>
        <w:rPr>
          <w:rFonts w:ascii="Arial" w:eastAsia="Arial" w:hAnsi="Arial" w:cs="Arial"/>
          <w:color w:val="000000"/>
          <w:sz w:val="20"/>
        </w:rPr>
        <w:t xml:space="preserve"> Maj. Op. at 37. </w:t>
      </w:r>
      <w:bookmarkStart w:id="4999" w:name="Bookmark_I722C9WTCD70000671P0003D"/>
      <w:bookmarkStart w:id="5000" w:name="Bookmark_I61CDGJR28T5340020000400"/>
      <w:bookmarkEnd w:id="4999"/>
      <w:bookmarkEnd w:id="5000"/>
      <w:r>
        <w:rPr>
          <w:rFonts w:ascii="Arial" w:eastAsia="Arial" w:hAnsi="Arial" w:cs="Arial"/>
          <w:color w:val="000000"/>
          <w:sz w:val="20"/>
        </w:rPr>
        <w:t xml:space="preserve">Even if the negative-implication canon could be deemed to point in that direction, </w:t>
      </w:r>
      <w:r>
        <w:rPr>
          <w:rFonts w:ascii="Arial" w:eastAsia="Arial" w:hAnsi="Arial" w:cs="Arial"/>
          <w:i/>
          <w:color w:val="000000"/>
          <w:sz w:val="20"/>
        </w:rPr>
        <w:t>see id.</w:t>
      </w:r>
      <w:r>
        <w:rPr>
          <w:rFonts w:ascii="Arial" w:eastAsia="Arial" w:hAnsi="Arial" w:cs="Arial"/>
          <w:color w:val="000000"/>
          <w:sz w:val="20"/>
        </w:rPr>
        <w:t xml:space="preserve"> at 35-36, the surplusage canon undoubtedly points the opposite way. That is, if a plaintiff need satisfy only the discrimination clause to gain relief for an employer's failure to accommodate, the in-regard-to clause would be rendered of no consequence. </w:t>
      </w:r>
      <w:bookmarkStart w:id="5001" w:name="Bookmark_I61CDGJR28T5340020000400_2"/>
      <w:bookmarkEnd w:id="5001"/>
      <w:r>
        <w:rPr>
          <w:rFonts w:ascii="Arial" w:eastAsia="Arial" w:hAnsi="Arial" w:cs="Arial"/>
          <w:i/>
          <w:color w:val="000000"/>
          <w:sz w:val="20"/>
        </w:rPr>
        <w:t>See</w:t>
      </w:r>
      <w:r>
        <w:rPr>
          <w:rFonts w:ascii="Arial" w:eastAsia="Arial" w:hAnsi="Arial" w:cs="Arial"/>
          <w:color w:val="000000"/>
          <w:sz w:val="20"/>
        </w:rPr>
        <w:t xml:space="preserve"> A. Scalia &amp; B. Garner, § 26, at 174-79 (discussing the operation of the surplusage canon); </w:t>
      </w:r>
      <w:r>
        <w:rPr>
          <w:rFonts w:ascii="Arial" w:eastAsia="Arial" w:hAnsi="Arial" w:cs="Arial"/>
          <w:i/>
          <w:color w:val="000000"/>
          <w:sz w:val="20"/>
        </w:rPr>
        <w:t>see also</w:t>
      </w:r>
      <w:r>
        <w:rPr>
          <w:rFonts w:ascii="Arial" w:eastAsia="Arial" w:hAnsi="Arial" w:cs="Arial"/>
          <w:color w:val="000000"/>
          <w:sz w:val="20"/>
        </w:rPr>
        <w:t xml:space="preserve"> Karl N. Llewellyn, </w:t>
      </w:r>
      <w:r>
        <w:rPr>
          <w:rFonts w:ascii="Arial" w:eastAsia="Arial" w:hAnsi="Arial" w:cs="Arial"/>
          <w:i/>
          <w:color w:val="000000"/>
          <w:sz w:val="20"/>
        </w:rPr>
        <w:t>Remarks on the Theory of Appellate Decision and the Rules or Canons About How Statutes Are To Be Construed</w:t>
      </w:r>
      <w:r>
        <w:rPr>
          <w:rFonts w:ascii="Arial" w:eastAsia="Arial" w:hAnsi="Arial" w:cs="Arial"/>
          <w:color w:val="000000"/>
          <w:sz w:val="20"/>
        </w:rPr>
        <w:t xml:space="preserve">, 3 VAND. L. REV. 395, 401 (1950) ("[T]here are two opposing canons on almost every point."). What is more, if § 1630.9 </w:t>
      </w:r>
      <w:r>
        <w:rPr>
          <w:rFonts w:ascii="Arial" w:eastAsia="Arial" w:hAnsi="Arial" w:cs="Arial"/>
          <w:i/>
          <w:color w:val="000000"/>
          <w:sz w:val="20"/>
        </w:rPr>
        <w:t>did</w:t>
      </w:r>
      <w:r>
        <w:rPr>
          <w:rFonts w:ascii="Arial" w:eastAsia="Arial" w:hAnsi="Arial" w:cs="Arial"/>
          <w:color w:val="000000"/>
          <w:sz w:val="20"/>
        </w:rPr>
        <w:t xml:space="preserve"> purport to lay out all the components of [**94]  a failure-to-accommodate claim, "[f]ull stop," Maj. Op. at 37, its conspicuous omission of § 12112(a)'s in-regard-to requirement would leave that particular agency interpretation susceptible to being found "manifestly contrary to the statute." </w:t>
      </w:r>
      <w:bookmarkStart w:id="5002" w:name="Bookmark_I61CDGJR28T5340010000400"/>
      <w:bookmarkEnd w:id="5002"/>
      <w:r>
        <w:rPr>
          <w:rFonts w:ascii="Arial" w:eastAsia="Arial" w:hAnsi="Arial" w:cs="Arial"/>
          <w:i/>
          <w:color w:val="000000"/>
          <w:sz w:val="20"/>
        </w:rPr>
        <w:t>Chevron</w:t>
      </w:r>
      <w:r>
        <w:rPr>
          <w:rFonts w:ascii="Arial" w:eastAsia="Arial" w:hAnsi="Arial" w:cs="Arial"/>
          <w:color w:val="000000"/>
          <w:sz w:val="20"/>
        </w:rPr>
        <w:t>, 467 U.S. at 844.</w:t>
      </w:r>
    </w:p>
    <w:p w14:paraId="6DDC3006" w14:textId="77777777" w:rsidR="002B10A6" w:rsidRDefault="00000000">
      <w:pPr>
        <w:pStyle w:val="Normal23"/>
        <w:widowControl w:val="0"/>
        <w:spacing w:before="200" w:line="260" w:lineRule="atLeast"/>
        <w:jc w:val="both"/>
      </w:pPr>
      <w:bookmarkStart w:id="5003" w:name="Bookmark_para_139"/>
      <w:bookmarkStart w:id="5004" w:name="Bookmark_I722C9WTK0J0000671P0003G"/>
      <w:bookmarkStart w:id="5005" w:name="Bookmark_I722C9WTNKS0000671P0003H"/>
      <w:bookmarkStart w:id="5006" w:name="Bookmark_I61CDGJR28T5340040000400"/>
      <w:bookmarkStart w:id="5007" w:name="Bookmark_I722C9WTSF50000671P0003J"/>
      <w:bookmarkStart w:id="5008" w:name="Bookmark_I722C9WTW8F0000671P0003K"/>
      <w:bookmarkStart w:id="5009" w:name="Bookmark_I722C9WV02C0000671P0003M"/>
      <w:bookmarkStart w:id="5010" w:name="Bookmark_I61CDGJR2SF8PT0030000400"/>
      <w:bookmarkEnd w:id="5003"/>
      <w:bookmarkEnd w:id="5004"/>
      <w:bookmarkEnd w:id="5005"/>
      <w:bookmarkEnd w:id="5006"/>
      <w:bookmarkEnd w:id="5007"/>
      <w:bookmarkEnd w:id="5008"/>
      <w:bookmarkEnd w:id="5009"/>
      <w:bookmarkEnd w:id="5010"/>
      <w:r>
        <w:rPr>
          <w:rFonts w:ascii="Arial" w:eastAsia="Arial" w:hAnsi="Arial" w:cs="Arial"/>
          <w:color w:val="000000"/>
          <w:sz w:val="20"/>
        </w:rPr>
        <w:t xml:space="preserve">The majority also points to EEOC guidance documents in support of its understanding of the requisite elements of a failure-to-accommodate claim—specifically, interpretive guidance on Title I, </w:t>
      </w:r>
      <w:r>
        <w:rPr>
          <w:rFonts w:ascii="Arial" w:eastAsia="Arial" w:hAnsi="Arial" w:cs="Arial"/>
          <w:i/>
          <w:color w:val="000000"/>
          <w:sz w:val="20"/>
        </w:rPr>
        <w:t>see</w:t>
      </w:r>
      <w:r>
        <w:rPr>
          <w:rFonts w:ascii="Arial" w:eastAsia="Arial" w:hAnsi="Arial" w:cs="Arial"/>
          <w:color w:val="000000"/>
          <w:sz w:val="20"/>
        </w:rPr>
        <w:t xml:space="preserve"> 29 C.F.R. pt. 1630 app., and enforcement guidance on failure-to-accommodate claims, </w:t>
      </w:r>
      <w:r>
        <w:rPr>
          <w:rFonts w:ascii="Arial" w:eastAsia="Arial" w:hAnsi="Arial" w:cs="Arial"/>
          <w:i/>
          <w:color w:val="000000"/>
          <w:sz w:val="20"/>
        </w:rPr>
        <w:t>see</w:t>
      </w:r>
      <w:r>
        <w:rPr>
          <w:rFonts w:ascii="Arial" w:eastAsia="Arial" w:hAnsi="Arial" w:cs="Arial"/>
          <w:color w:val="000000"/>
          <w:sz w:val="20"/>
        </w:rPr>
        <w:t xml:space="preserve"> U.S. Equal Emp. Opportunity Comm'n, EEOC-CVG-2003-1, </w:t>
      </w:r>
      <w:r>
        <w:rPr>
          <w:rFonts w:ascii="Arial" w:eastAsia="Arial" w:hAnsi="Arial" w:cs="Arial"/>
          <w:smallCaps/>
          <w:color w:val="000000"/>
          <w:sz w:val="20"/>
        </w:rPr>
        <w:t>Enforcement Guidance on Reasonable Accommodation and Undue Hardship under the Ada (2002)</w:t>
      </w:r>
      <w:r>
        <w:rPr>
          <w:rFonts w:ascii="Arial" w:eastAsia="Arial" w:hAnsi="Arial" w:cs="Arial"/>
          <w:color w:val="000000"/>
          <w:sz w:val="20"/>
        </w:rPr>
        <w:t xml:space="preserve">, http://www.eeoc.gov/policy/docs/accommodation.html . </w:t>
      </w:r>
      <w:bookmarkStart w:id="5011" w:name="Bookmark_I722C9WV2VD0000671P0003N"/>
      <w:bookmarkStart w:id="5012" w:name="Bookmark_I722C9WV8B90000671P0003R"/>
      <w:bookmarkStart w:id="5013" w:name="Bookmark_I722C9WVFV90000671P0003T"/>
      <w:bookmarkStart w:id="5014" w:name="Bookmark_I61CDGJS2D6N790040000400"/>
      <w:bookmarkEnd w:id="5011"/>
      <w:bookmarkEnd w:id="5012"/>
      <w:bookmarkEnd w:id="5013"/>
      <w:bookmarkEnd w:id="5014"/>
      <w:r>
        <w:rPr>
          <w:rFonts w:ascii="Arial" w:eastAsia="Arial" w:hAnsi="Arial" w:cs="Arial"/>
          <w:color w:val="000000"/>
          <w:sz w:val="20"/>
        </w:rPr>
        <w:t xml:space="preserve">Such documents "do constitute a body of experience and informed judgment to which courts and litigants may properly resort for guidance." </w:t>
      </w:r>
      <w:bookmarkStart w:id="5015" w:name="Bookmark_I61CDGJR28T5340030000400"/>
      <w:bookmarkEnd w:id="5015"/>
      <w:r>
        <w:rPr>
          <w:rFonts w:ascii="Arial" w:eastAsia="Arial" w:hAnsi="Arial" w:cs="Arial"/>
          <w:i/>
          <w:color w:val="000000"/>
          <w:sz w:val="20"/>
        </w:rPr>
        <w:t>Smith</w:t>
      </w:r>
      <w:r>
        <w:rPr>
          <w:rFonts w:ascii="Arial" w:eastAsia="Arial" w:hAnsi="Arial" w:cs="Arial"/>
          <w:color w:val="000000"/>
          <w:sz w:val="20"/>
        </w:rPr>
        <w:t xml:space="preserve">, 180 F.3d at 1165 n.5 (quoting </w:t>
      </w:r>
      <w:bookmarkStart w:id="5016" w:name="Bookmark_I61CDGJR28T5340050000400"/>
      <w:bookmarkEnd w:id="5016"/>
      <w:r>
        <w:rPr>
          <w:rFonts w:ascii="Arial" w:eastAsia="Arial" w:hAnsi="Arial" w:cs="Arial"/>
          <w:i/>
          <w:color w:val="000000"/>
          <w:sz w:val="20"/>
        </w:rPr>
        <w:t>Meritor Sav. Bank, FSB v. Vinson</w:t>
      </w:r>
      <w:r>
        <w:rPr>
          <w:rFonts w:ascii="Arial" w:eastAsia="Arial" w:hAnsi="Arial" w:cs="Arial"/>
          <w:color w:val="000000"/>
          <w:sz w:val="20"/>
        </w:rPr>
        <w:t xml:space="preserve">, 477 U.S. 57, 65, 106 S. Ct. 2399, 91 L. Ed. 2d 49 (1986)). But "[w]hile the EEOC's guidance may be entitled to some consideration in our analysis, it does not carry the force of law and is not entitled to any special deference." </w:t>
      </w:r>
      <w:bookmarkStart w:id="5017" w:name="Bookmark_I61CDGJR2SF8PT0020000400"/>
      <w:bookmarkEnd w:id="5017"/>
      <w:r>
        <w:rPr>
          <w:rFonts w:ascii="Arial" w:eastAsia="Arial" w:hAnsi="Arial" w:cs="Arial"/>
          <w:i/>
          <w:color w:val="000000"/>
          <w:sz w:val="20"/>
        </w:rPr>
        <w:t>Pack v. Kmart Corp.</w:t>
      </w:r>
      <w:r>
        <w:rPr>
          <w:rFonts w:ascii="Arial" w:eastAsia="Arial" w:hAnsi="Arial" w:cs="Arial"/>
          <w:color w:val="000000"/>
          <w:sz w:val="20"/>
        </w:rPr>
        <w:t xml:space="preserve">, 166 F.3d 1300, 1305 n.5 (10th Cir. 1999); </w:t>
      </w:r>
      <w:r>
        <w:rPr>
          <w:rFonts w:ascii="Arial" w:eastAsia="Arial" w:hAnsi="Arial" w:cs="Arial"/>
          <w:i/>
          <w:color w:val="000000"/>
          <w:sz w:val="20"/>
        </w:rPr>
        <w:t xml:space="preserve">see also </w:t>
      </w:r>
      <w:bookmarkStart w:id="5018" w:name="Bookmark_I61CDGJR2SF8PT0040000400"/>
      <w:bookmarkEnd w:id="5018"/>
      <w:r>
        <w:rPr>
          <w:rFonts w:ascii="Arial" w:eastAsia="Arial" w:hAnsi="Arial" w:cs="Arial"/>
          <w:i/>
          <w:color w:val="000000"/>
          <w:sz w:val="20"/>
        </w:rPr>
        <w:t>Nat'l R.R. Passenger Corp. v. Morgan</w:t>
      </w:r>
      <w:r>
        <w:rPr>
          <w:rFonts w:ascii="Arial" w:eastAsia="Arial" w:hAnsi="Arial" w:cs="Arial"/>
          <w:color w:val="000000"/>
          <w:sz w:val="20"/>
        </w:rPr>
        <w:t xml:space="preserve">, 536 U.S. 101, 110 n.6, 122 S. Ct. 2061, 153 L. Ed. 2d 106 (2002) ("[T]he EEOC's interpretive guidelines do not receive </w:t>
      </w:r>
      <w:r>
        <w:rPr>
          <w:rFonts w:ascii="Arial" w:eastAsia="Arial" w:hAnsi="Arial" w:cs="Arial"/>
          <w:i/>
          <w:color w:val="000000"/>
          <w:sz w:val="20"/>
        </w:rPr>
        <w:t>Chevron</w:t>
      </w:r>
      <w:r>
        <w:rPr>
          <w:rFonts w:ascii="Arial" w:eastAsia="Arial" w:hAnsi="Arial" w:cs="Arial"/>
          <w:color w:val="000000"/>
          <w:sz w:val="20"/>
        </w:rPr>
        <w:t xml:space="preserve"> deference."); </w:t>
      </w:r>
      <w:bookmarkStart w:id="5019" w:name="Bookmark_I61CDGJS2D6N790010000400"/>
      <w:bookmarkEnd w:id="5019"/>
      <w:r>
        <w:rPr>
          <w:rFonts w:ascii="Arial" w:eastAsia="Arial" w:hAnsi="Arial" w:cs="Arial"/>
          <w:i/>
          <w:color w:val="000000"/>
          <w:sz w:val="20"/>
        </w:rPr>
        <w:t>Ansonia Bd. of Educ. v. Philbrook</w:t>
      </w:r>
      <w:r>
        <w:rPr>
          <w:rFonts w:ascii="Arial" w:eastAsia="Arial" w:hAnsi="Arial" w:cs="Arial"/>
          <w:color w:val="000000"/>
          <w:sz w:val="20"/>
        </w:rPr>
        <w:t xml:space="preserve">, 479 U.S. 60, 69 n.6, 107 S. Ct. 367, 93 L. Ed. 2d 305 (1986) ("EEOC guidelines are properly accorded less weight than administrative regulations declared by [**95]  Congress to have  [*830]  the force of law."). </w:t>
      </w:r>
      <w:bookmarkStart w:id="5020" w:name="Bookmark_I61CDGJS2D6N790040000400_2"/>
      <w:bookmarkEnd w:id="5020"/>
      <w:r>
        <w:rPr>
          <w:rFonts w:ascii="Arial" w:eastAsia="Arial" w:hAnsi="Arial" w:cs="Arial"/>
          <w:color w:val="000000"/>
          <w:sz w:val="20"/>
        </w:rPr>
        <w:t xml:space="preserve">Rather, these guidance documents "are 'entitled to respect' . . . only to the extent that [they] have the 'power to persuade.'" </w:t>
      </w:r>
      <w:bookmarkStart w:id="5021" w:name="Bookmark_I61CDGJS2D6N790030000400"/>
      <w:bookmarkEnd w:id="5021"/>
      <w:r>
        <w:rPr>
          <w:rFonts w:ascii="Arial" w:eastAsia="Arial" w:hAnsi="Arial" w:cs="Arial"/>
          <w:i/>
          <w:color w:val="000000"/>
          <w:sz w:val="20"/>
        </w:rPr>
        <w:t>Christensen v. Harris Cnty.</w:t>
      </w:r>
      <w:r>
        <w:rPr>
          <w:rFonts w:ascii="Arial" w:eastAsia="Arial" w:hAnsi="Arial" w:cs="Arial"/>
          <w:color w:val="000000"/>
          <w:sz w:val="20"/>
        </w:rPr>
        <w:t xml:space="preserve">, 529 U.S. 576, 587, 120 S. Ct. 1655, 146 L. Ed. 2d 621 (2000) (quoting </w:t>
      </w:r>
      <w:bookmarkStart w:id="5022" w:name="Bookmark_I61CDGJS2D6N790050000400"/>
      <w:bookmarkEnd w:id="5022"/>
      <w:r>
        <w:rPr>
          <w:rFonts w:ascii="Arial" w:eastAsia="Arial" w:hAnsi="Arial" w:cs="Arial"/>
          <w:i/>
          <w:color w:val="000000"/>
          <w:sz w:val="20"/>
        </w:rPr>
        <w:t>Skidmore v. Swift &amp; Co.</w:t>
      </w:r>
      <w:r>
        <w:rPr>
          <w:rFonts w:ascii="Arial" w:eastAsia="Arial" w:hAnsi="Arial" w:cs="Arial"/>
          <w:color w:val="000000"/>
          <w:sz w:val="20"/>
        </w:rPr>
        <w:t xml:space="preserve">, 323 U.S. 134, 140, 65 S. Ct. 161, 89 L. Ed. 124 (1944)); </w:t>
      </w:r>
      <w:r>
        <w:rPr>
          <w:rFonts w:ascii="Arial" w:eastAsia="Arial" w:hAnsi="Arial" w:cs="Arial"/>
          <w:i/>
          <w:color w:val="000000"/>
          <w:sz w:val="20"/>
        </w:rPr>
        <w:t xml:space="preserve">see also </w:t>
      </w:r>
      <w:bookmarkStart w:id="5023" w:name="Bookmark_I61CDGJS2HM6Y30020000400"/>
      <w:bookmarkEnd w:id="5023"/>
      <w:r>
        <w:rPr>
          <w:rFonts w:ascii="Arial" w:eastAsia="Arial" w:hAnsi="Arial" w:cs="Arial"/>
          <w:i/>
          <w:color w:val="000000"/>
          <w:sz w:val="20"/>
        </w:rPr>
        <w:t>EEOC v. SunDance Rehab. Corp.</w:t>
      </w:r>
      <w:r>
        <w:rPr>
          <w:rFonts w:ascii="Arial" w:eastAsia="Arial" w:hAnsi="Arial" w:cs="Arial"/>
          <w:color w:val="000000"/>
          <w:sz w:val="20"/>
        </w:rPr>
        <w:t>, 466 F.3d 490, 500 (6th Cir. 2006).</w:t>
      </w:r>
    </w:p>
    <w:p w14:paraId="332B55C9" w14:textId="77777777" w:rsidR="002B10A6" w:rsidRDefault="00000000">
      <w:pPr>
        <w:pStyle w:val="Normal23"/>
        <w:widowControl w:val="0"/>
        <w:spacing w:before="200" w:line="260" w:lineRule="atLeast"/>
        <w:jc w:val="both"/>
      </w:pPr>
      <w:bookmarkStart w:id="5024" w:name="Bookmark_para_140"/>
      <w:bookmarkStart w:id="5025" w:name="Bookmark_I722C9WVNBC0000671P0003W"/>
      <w:bookmarkStart w:id="5026" w:name="Bookmark_I61CDGJS2HM6Y30050000400"/>
      <w:bookmarkEnd w:id="5024"/>
      <w:bookmarkEnd w:id="5025"/>
      <w:bookmarkEnd w:id="5026"/>
      <w:r>
        <w:rPr>
          <w:rFonts w:ascii="Arial" w:eastAsia="Arial" w:hAnsi="Arial" w:cs="Arial"/>
          <w:color w:val="000000"/>
          <w:sz w:val="20"/>
        </w:rPr>
        <w:t xml:space="preserve">I find the persuasive power of this EEOC guidance to be minimal with respect to the issue at hand. As stated by the panel majority, although the EEOC's enforcement guidance "discusses at length the meaning of the reasonable-accommodation requirement, it never purports to state all the elements of an ADA discrimination claim based on a failure to accommodate." </w:t>
      </w:r>
      <w:bookmarkStart w:id="5027" w:name="Bookmark_I61CDGJS2HM6Y30040000400"/>
      <w:bookmarkEnd w:id="5027"/>
      <w:r>
        <w:rPr>
          <w:rFonts w:ascii="Arial" w:eastAsia="Arial" w:hAnsi="Arial" w:cs="Arial"/>
          <w:i/>
          <w:color w:val="000000"/>
          <w:sz w:val="20"/>
        </w:rPr>
        <w:t>Exby-Stolley</w:t>
      </w:r>
      <w:r>
        <w:rPr>
          <w:rFonts w:ascii="Arial" w:eastAsia="Arial" w:hAnsi="Arial" w:cs="Arial"/>
          <w:color w:val="000000"/>
          <w:sz w:val="20"/>
        </w:rPr>
        <w:t xml:space="preserve">, 906 F.3d at 916 n.8. Indeed, it does not mention the second element of § 12112(a) at all. And neither does the interpretive guidance on Title I address the meaning of this independent statutory requirement, referencing the in-regard-to clause just once. "Perhaps statements in the EEOC Guidance could be persuasive regarding the meaning of an antidiscrimination statute, but only if supported by some reasoning, not silence, however thundering." </w:t>
      </w:r>
      <w:r>
        <w:rPr>
          <w:rFonts w:ascii="Arial" w:eastAsia="Arial" w:hAnsi="Arial" w:cs="Arial"/>
          <w:i/>
          <w:color w:val="000000"/>
          <w:sz w:val="20"/>
        </w:rPr>
        <w:t>Id.</w:t>
      </w:r>
    </w:p>
    <w:p w14:paraId="2086C063" w14:textId="77777777" w:rsidR="002B10A6" w:rsidRDefault="00000000">
      <w:pPr>
        <w:pStyle w:val="Normal23"/>
        <w:widowControl w:val="0"/>
        <w:spacing w:before="200" w:line="260" w:lineRule="atLeast"/>
        <w:jc w:val="both"/>
      </w:pPr>
      <w:bookmarkStart w:id="5028" w:name="Bookmark_para_141"/>
      <w:bookmarkStart w:id="5029" w:name="Bookmark_I722C9WVS4B0000671P0003X"/>
      <w:bookmarkStart w:id="5030" w:name="Bookmark_I61CDGJT28T3TK0020000400"/>
      <w:bookmarkStart w:id="5031" w:name="Bookmark_I722C9WVW310000671P0003Y"/>
      <w:bookmarkStart w:id="5032" w:name="Bookmark_I722C9WVYVM0000671P00040"/>
      <w:bookmarkStart w:id="5033" w:name="Bookmark_I61CDGJT28T3TK0040000400"/>
      <w:bookmarkEnd w:id="5028"/>
      <w:bookmarkEnd w:id="5029"/>
      <w:bookmarkEnd w:id="5030"/>
      <w:bookmarkEnd w:id="5031"/>
      <w:bookmarkEnd w:id="5032"/>
      <w:bookmarkEnd w:id="5033"/>
      <w:r>
        <w:rPr>
          <w:rFonts w:ascii="Arial" w:eastAsia="Arial" w:hAnsi="Arial" w:cs="Arial"/>
          <w:color w:val="000000"/>
          <w:sz w:val="20"/>
        </w:rPr>
        <w:t xml:space="preserve">This silence is rendered even less persuasive by the clear parallels between the in-regard-to clause and similar language in Title VII, the statute upon which the ADA was modeled. </w:t>
      </w:r>
      <w:r>
        <w:rPr>
          <w:rFonts w:ascii="Arial" w:eastAsia="Arial" w:hAnsi="Arial" w:cs="Arial"/>
          <w:i/>
          <w:color w:val="000000"/>
          <w:sz w:val="20"/>
        </w:rPr>
        <w:t>See</w:t>
      </w:r>
      <w:r>
        <w:rPr>
          <w:rFonts w:ascii="Arial" w:eastAsia="Arial" w:hAnsi="Arial" w:cs="Arial"/>
          <w:color w:val="000000"/>
          <w:sz w:val="20"/>
        </w:rPr>
        <w:t xml:space="preserve"> 42 U.S.C. § 2000e-2(a)(1) (Title VII disparate-treatment provision making [**96]  it unlawful "to discriminate against any individual with respect to his compensation, terms, conditions, or privileges of employment"); </w:t>
      </w:r>
      <w:bookmarkStart w:id="5034" w:name="Bookmark_I61CDGJT28T3TK0010000400"/>
      <w:bookmarkEnd w:id="5034"/>
      <w:r>
        <w:rPr>
          <w:rFonts w:ascii="Arial" w:eastAsia="Arial" w:hAnsi="Arial" w:cs="Arial"/>
          <w:i/>
          <w:color w:val="000000"/>
          <w:sz w:val="20"/>
        </w:rPr>
        <w:t>Lanman v. Johnson Cnty.</w:t>
      </w:r>
      <w:r>
        <w:rPr>
          <w:rFonts w:ascii="Arial" w:eastAsia="Arial" w:hAnsi="Arial" w:cs="Arial"/>
          <w:color w:val="000000"/>
          <w:sz w:val="20"/>
        </w:rPr>
        <w:t xml:space="preserve">, 393 F.3d 1151, 1155 (10th Cir. 2004) (stating that the ADA's "terms, conditions, and privileges of employment" language was borrowed from Title VII and should mean the same in both statutory contexts); </w:t>
      </w:r>
      <w:r>
        <w:rPr>
          <w:rFonts w:ascii="Arial" w:eastAsia="Arial" w:hAnsi="Arial" w:cs="Arial"/>
          <w:i/>
          <w:color w:val="000000"/>
          <w:sz w:val="20"/>
        </w:rPr>
        <w:t>see also infra</w:t>
      </w:r>
      <w:r>
        <w:rPr>
          <w:rFonts w:ascii="Arial" w:eastAsia="Arial" w:hAnsi="Arial" w:cs="Arial"/>
          <w:color w:val="000000"/>
          <w:sz w:val="20"/>
        </w:rPr>
        <w:t xml:space="preserve"> Part III.A.2. In other words, "if it really intended to express guidance on the matter," </w:t>
      </w:r>
      <w:bookmarkStart w:id="5035" w:name="Bookmark_I61CDGJT28T3TK0030000400"/>
      <w:bookmarkEnd w:id="5035"/>
      <w:r>
        <w:rPr>
          <w:rFonts w:ascii="Arial" w:eastAsia="Arial" w:hAnsi="Arial" w:cs="Arial"/>
          <w:i/>
          <w:color w:val="000000"/>
          <w:sz w:val="20"/>
        </w:rPr>
        <w:t>Exby-Stolley</w:t>
      </w:r>
      <w:r>
        <w:rPr>
          <w:rFonts w:ascii="Arial" w:eastAsia="Arial" w:hAnsi="Arial" w:cs="Arial"/>
          <w:color w:val="000000"/>
          <w:sz w:val="20"/>
        </w:rPr>
        <w:t xml:space="preserve">, 906 F.3d at 916 n.8, one would have expected the EEOC to address why the judicial interpretation given that parallel language in Title VII—specifically, the necessary showing of "explicit or constructive </w:t>
      </w:r>
      <w:r>
        <w:rPr>
          <w:rFonts w:ascii="Arial" w:eastAsia="Arial" w:hAnsi="Arial" w:cs="Arial"/>
          <w:i/>
          <w:color w:val="000000"/>
          <w:sz w:val="20"/>
        </w:rPr>
        <w:t>alterations</w:t>
      </w:r>
      <w:r>
        <w:rPr>
          <w:rFonts w:ascii="Arial" w:eastAsia="Arial" w:hAnsi="Arial" w:cs="Arial"/>
          <w:color w:val="000000"/>
          <w:sz w:val="20"/>
        </w:rPr>
        <w:t xml:space="preserve"> in the terms or conditions of employment," </w:t>
      </w:r>
      <w:bookmarkStart w:id="5036" w:name="Bookmark_I61CDGJT28T3TK0050000400"/>
      <w:bookmarkEnd w:id="5036"/>
      <w:r>
        <w:rPr>
          <w:rFonts w:ascii="Arial" w:eastAsia="Arial" w:hAnsi="Arial" w:cs="Arial"/>
          <w:i/>
          <w:color w:val="000000"/>
          <w:sz w:val="20"/>
        </w:rPr>
        <w:t>Burlington Indus., Inc. v. Ellerth</w:t>
      </w:r>
      <w:r>
        <w:rPr>
          <w:rFonts w:ascii="Arial" w:eastAsia="Arial" w:hAnsi="Arial" w:cs="Arial"/>
          <w:color w:val="000000"/>
          <w:sz w:val="20"/>
        </w:rPr>
        <w:t>, 524 U.S. 742, 752, 118 S. Ct. 2257, 141 L. Ed. 2d 633 (1998) (emphasis added)—is inapplicable in the ADA failure-to-accommodate context. In the absence of any such explanation for how best to interpret the second element of § 12112(a), the two EEOC guidance documents cited by the majority are, in my view, unhelpful to our current task.</w:t>
      </w:r>
    </w:p>
    <w:p w14:paraId="6C8F4A90" w14:textId="77777777" w:rsidR="002B10A6" w:rsidRDefault="00000000">
      <w:pPr>
        <w:pStyle w:val="Normal23"/>
        <w:widowControl w:val="0"/>
        <w:spacing w:before="240" w:line="260" w:lineRule="atLeast"/>
      </w:pPr>
      <w:r>
        <w:br/>
      </w:r>
      <w:r>
        <w:rPr>
          <w:rFonts w:ascii="Arial" w:eastAsia="Arial" w:hAnsi="Arial" w:cs="Arial"/>
          <w:b/>
          <w:color w:val="000000"/>
          <w:sz w:val="20"/>
        </w:rPr>
        <w:t xml:space="preserve">E. </w:t>
      </w:r>
      <w:r>
        <w:rPr>
          <w:rFonts w:ascii="Arial" w:eastAsia="Arial" w:hAnsi="Arial" w:cs="Arial"/>
          <w:b/>
          <w:i/>
          <w:color w:val="000000"/>
          <w:sz w:val="20"/>
        </w:rPr>
        <w:t>Practices of our Sister Circuits</w:t>
      </w:r>
    </w:p>
    <w:p w14:paraId="502C63C8" w14:textId="77777777" w:rsidR="002B10A6" w:rsidRDefault="00000000">
      <w:pPr>
        <w:pStyle w:val="Normal23"/>
        <w:widowControl w:val="0"/>
        <w:spacing w:before="200" w:line="260" w:lineRule="atLeast"/>
        <w:jc w:val="both"/>
      </w:pPr>
      <w:bookmarkStart w:id="5037" w:name="Bookmark_para_142"/>
      <w:bookmarkEnd w:id="5037"/>
      <w:r>
        <w:rPr>
          <w:rFonts w:ascii="Arial" w:eastAsia="Arial" w:hAnsi="Arial" w:cs="Arial"/>
          <w:color w:val="000000"/>
          <w:sz w:val="20"/>
        </w:rPr>
        <w:t xml:space="preserve">Lastly, the majority conducts a thorough review of decisions from our sister circuits in support of its conclusion that incorporating an adverse-employment-action requirement into the failure-to-accommodate cause of action would "effectively create a circuit [**97]  split." Maj. Op. at 54; </w:t>
      </w:r>
      <w:r>
        <w:rPr>
          <w:rFonts w:ascii="Arial" w:eastAsia="Arial" w:hAnsi="Arial" w:cs="Arial"/>
          <w:i/>
          <w:color w:val="000000"/>
          <w:sz w:val="20"/>
        </w:rPr>
        <w:t>see id.</w:t>
      </w:r>
      <w:r>
        <w:rPr>
          <w:rFonts w:ascii="Arial" w:eastAsia="Arial" w:hAnsi="Arial" w:cs="Arial"/>
          <w:color w:val="000000"/>
          <w:sz w:val="20"/>
        </w:rPr>
        <w:t xml:space="preserve"> Part II.B.5. My survey of the circuit landscape reveals a decidedly muddier picture than the majority portrays.</w:t>
      </w:r>
    </w:p>
    <w:p w14:paraId="51FCD808" w14:textId="77777777" w:rsidR="002B10A6" w:rsidRDefault="00000000">
      <w:pPr>
        <w:pStyle w:val="Normal23"/>
        <w:widowControl w:val="0"/>
        <w:spacing w:before="200" w:line="260" w:lineRule="atLeast"/>
        <w:jc w:val="both"/>
      </w:pPr>
      <w:bookmarkStart w:id="5038" w:name="Bookmark_para_143"/>
      <w:bookmarkStart w:id="5039" w:name="Bookmark_I722C9WW2KJ0000671P00041"/>
      <w:bookmarkStart w:id="5040" w:name="Bookmark_I61CDGJV2N1R8R0030000400"/>
      <w:bookmarkEnd w:id="5038"/>
      <w:bookmarkEnd w:id="5039"/>
      <w:bookmarkEnd w:id="5040"/>
      <w:r>
        <w:rPr>
          <w:rFonts w:ascii="Arial" w:eastAsia="Arial" w:hAnsi="Arial" w:cs="Arial"/>
          <w:color w:val="000000"/>
          <w:sz w:val="20"/>
        </w:rPr>
        <w:t xml:space="preserve">The majority concedes that the decisions in other circuits "do not all point in the same direction." </w:t>
      </w:r>
      <w:r>
        <w:rPr>
          <w:rFonts w:ascii="Arial" w:eastAsia="Arial" w:hAnsi="Arial" w:cs="Arial"/>
          <w:i/>
          <w:color w:val="000000"/>
          <w:sz w:val="20"/>
        </w:rPr>
        <w:t>Id.</w:t>
      </w:r>
      <w:r>
        <w:rPr>
          <w:rFonts w:ascii="Arial" w:eastAsia="Arial" w:hAnsi="Arial" w:cs="Arial"/>
          <w:color w:val="000000"/>
          <w:sz w:val="20"/>
        </w:rPr>
        <w:t xml:space="preserve"> at 39. What it fails to highlight, however, is that when faced with such inconsistent intracircuit decisions, nearly every federal court of appeals follows the general rule that the earlier panel opinion controls. </w:t>
      </w:r>
      <w:r>
        <w:rPr>
          <w:rFonts w:ascii="Arial" w:eastAsia="Arial" w:hAnsi="Arial" w:cs="Arial"/>
          <w:i/>
          <w:color w:val="000000"/>
          <w:sz w:val="20"/>
        </w:rPr>
        <w:t xml:space="preserve">See, e.g., </w:t>
      </w:r>
      <w:bookmarkStart w:id="5041" w:name="Bookmark_I61CDGJV2N1R8R0020000400"/>
      <w:bookmarkEnd w:id="5041"/>
      <w:r>
        <w:rPr>
          <w:rFonts w:ascii="Arial" w:eastAsia="Arial" w:hAnsi="Arial" w:cs="Arial"/>
          <w:i/>
          <w:color w:val="000000"/>
          <w:sz w:val="20"/>
        </w:rPr>
        <w:t>McMellon v. United States</w:t>
      </w:r>
      <w:r>
        <w:rPr>
          <w:rFonts w:ascii="Arial" w:eastAsia="Arial" w:hAnsi="Arial" w:cs="Arial"/>
          <w:color w:val="000000"/>
          <w:sz w:val="20"/>
        </w:rPr>
        <w:t xml:space="preserve">, 387 F.3d 329, 333 (4th Cir. 2004) (stating that most circuits agree with "the basic rule that one panel cannot overrule another," and thus "follow the earlier of conflicting panel opinions"); </w:t>
      </w:r>
      <w:r>
        <w:rPr>
          <w:rFonts w:ascii="Arial" w:eastAsia="Arial" w:hAnsi="Arial" w:cs="Arial"/>
          <w:i/>
          <w:color w:val="000000"/>
          <w:sz w:val="20"/>
        </w:rPr>
        <w:t>see also</w:t>
      </w:r>
      <w:r>
        <w:rPr>
          <w:rFonts w:ascii="Arial" w:eastAsia="Arial" w:hAnsi="Arial" w:cs="Arial"/>
          <w:color w:val="000000"/>
          <w:sz w:val="20"/>
        </w:rPr>
        <w:t xml:space="preserve"> Bryan A. Garner et al., </w:t>
      </w:r>
      <w:r>
        <w:rPr>
          <w:rFonts w:ascii="Arial" w:eastAsia="Arial" w:hAnsi="Arial" w:cs="Arial"/>
          <w:i/>
          <w:color w:val="000000"/>
          <w:sz w:val="20"/>
        </w:rPr>
        <w:t>The Law of Judicial Precedent</w:t>
      </w:r>
      <w:r>
        <w:rPr>
          <w:rFonts w:ascii="Arial" w:eastAsia="Arial" w:hAnsi="Arial" w:cs="Arial"/>
          <w:color w:val="000000"/>
          <w:sz w:val="20"/>
        </w:rPr>
        <w:t xml:space="preserve"> § 36, at 303-04 (2016)  [*831]  ("With an intermediate appellate court, an earlier horizontal precedent nearly always controls. . . . The federal appellate courts in particular apply this solution to resolve a conflict between different panels and hold that the earlier opinion controls later panels . . . ."). And in several of our sister circuits, an earlier panel opinion that included some type of adverse employment action or alteration in the terms or conditions of employment as an element of a failure-to-accommodate claim [**98]  was ignored or glossed over by subsequent panels addressing the same issue.</w:t>
      </w:r>
    </w:p>
    <w:p w14:paraId="6BF885B8" w14:textId="77777777" w:rsidR="002B10A6" w:rsidRDefault="00000000">
      <w:pPr>
        <w:pStyle w:val="Normal23"/>
        <w:widowControl w:val="0"/>
        <w:spacing w:before="200" w:line="260" w:lineRule="atLeast"/>
        <w:jc w:val="both"/>
      </w:pPr>
      <w:bookmarkStart w:id="5042" w:name="Bookmark_para_144"/>
      <w:bookmarkStart w:id="5043" w:name="Bookmark_I722C9WW5D10000671P00042"/>
      <w:bookmarkStart w:id="5044" w:name="Bookmark_I61CDGJV2N1R8R0050000400"/>
      <w:bookmarkEnd w:id="5042"/>
      <w:bookmarkEnd w:id="5043"/>
      <w:bookmarkEnd w:id="5044"/>
      <w:r>
        <w:rPr>
          <w:rFonts w:ascii="Arial" w:eastAsia="Arial" w:hAnsi="Arial" w:cs="Arial"/>
          <w:color w:val="000000"/>
          <w:sz w:val="20"/>
        </w:rPr>
        <w:t xml:space="preserve">For example, the majority lumps the First and D.C. Circuits in with those that "either state, or strongly suggest, that there is no adverse-employment-action requirement in ADA failure-to-accommodate claims." Maj. Op. at 41. </w:t>
      </w:r>
      <w:bookmarkStart w:id="5045" w:name="Bookmark_I722C9WWBXF0000671P00044"/>
      <w:bookmarkStart w:id="5046" w:name="Bookmark_I722C9WWN8B0000671P00047"/>
      <w:bookmarkStart w:id="5047" w:name="Bookmark_I61CDGJV2SF8R30020000400"/>
      <w:bookmarkEnd w:id="5045"/>
      <w:bookmarkEnd w:id="5046"/>
      <w:bookmarkEnd w:id="5047"/>
      <w:r>
        <w:rPr>
          <w:rFonts w:ascii="Arial" w:eastAsia="Arial" w:hAnsi="Arial" w:cs="Arial"/>
          <w:color w:val="000000"/>
          <w:sz w:val="20"/>
        </w:rPr>
        <w:t xml:space="preserve">The majority cites </w:t>
      </w:r>
      <w:bookmarkStart w:id="5048" w:name="Bookmark_I61CDGJV2N1R8R0040000400"/>
      <w:bookmarkEnd w:id="5048"/>
      <w:r>
        <w:rPr>
          <w:rFonts w:ascii="Arial" w:eastAsia="Arial" w:hAnsi="Arial" w:cs="Arial"/>
          <w:i/>
          <w:color w:val="000000"/>
          <w:sz w:val="20"/>
        </w:rPr>
        <w:t>Carroll v. Xerox Corp.</w:t>
      </w:r>
      <w:r>
        <w:rPr>
          <w:rFonts w:ascii="Arial" w:eastAsia="Arial" w:hAnsi="Arial" w:cs="Arial"/>
          <w:color w:val="000000"/>
          <w:sz w:val="20"/>
        </w:rPr>
        <w:t>, 294 F.3d 231, 237 (1st Cir. 2002), for the conclusion that the First Circuit swaps out the requirement to show an adverse employment action in failure-to-accommodate claims for the requirement to show that the employer, "despite knowing of [the plaintiff's] alleged disability, did not reasonably accommodate it." Three years earlier, however, the First Circuit framed a prima facie failure-to-accommodate claim as also requiring one additional element:</w:t>
      </w:r>
    </w:p>
    <w:p w14:paraId="382EC361" w14:textId="77777777" w:rsidR="002B10A6" w:rsidRDefault="00000000">
      <w:pPr>
        <w:pStyle w:val="Normal23"/>
        <w:widowControl w:val="0"/>
        <w:spacing w:before="200" w:line="260" w:lineRule="atLeast"/>
        <w:ind w:left="400"/>
        <w:jc w:val="both"/>
      </w:pPr>
      <w:bookmarkStart w:id="5049" w:name="Bookmark_para_145"/>
      <w:bookmarkStart w:id="5050" w:name="Bookmark_I61CDGJV2SF8R30020000400_2"/>
      <w:bookmarkStart w:id="5051" w:name="Bookmark_I61CDGJV2N1R8R0050000400_2"/>
      <w:bookmarkStart w:id="5052" w:name="Bookmark_I722C9WWYK30000671P0004B"/>
      <w:bookmarkStart w:id="5053" w:name="Bookmark_I61CDGJW2D6N7K0010000400"/>
      <w:bookmarkEnd w:id="5049"/>
      <w:bookmarkEnd w:id="5050"/>
      <w:bookmarkEnd w:id="5051"/>
      <w:bookmarkEnd w:id="5052"/>
      <w:bookmarkEnd w:id="5053"/>
      <w:r>
        <w:rPr>
          <w:rFonts w:ascii="Arial" w:eastAsia="Arial" w:hAnsi="Arial" w:cs="Arial"/>
          <w:color w:val="000000"/>
          <w:sz w:val="20"/>
        </w:rPr>
        <w:t xml:space="preserve">To survive a motion for summary judgment on a failure-to-accommodate claim, a plaintiff ordinarily must furnish significantly probative evidence that he is a qualified individual with a disability within the meaning of the applicable statute; that he works (or worked) for an employer whom the ADA covers; that the employer, despite knowing of the employee's physical or mental limitations, did not reasonably accommodate those limitations; </w:t>
      </w:r>
      <w:r>
        <w:rPr>
          <w:rFonts w:ascii="Arial" w:eastAsia="Arial" w:hAnsi="Arial" w:cs="Arial"/>
          <w:i/>
          <w:color w:val="000000"/>
          <w:sz w:val="20"/>
        </w:rPr>
        <w:t>and that the employer's [**99]  failure to do so affected the terms, conditions, or privileges of the plaintiff's employment</w:t>
      </w:r>
      <w:r>
        <w:rPr>
          <w:rFonts w:ascii="Arial" w:eastAsia="Arial" w:hAnsi="Arial" w:cs="Arial"/>
          <w:color w:val="000000"/>
          <w:sz w:val="20"/>
        </w:rPr>
        <w:t>.</w:t>
      </w:r>
    </w:p>
    <w:p w14:paraId="750A2A7D" w14:textId="77777777" w:rsidR="002B10A6" w:rsidRDefault="00000000">
      <w:pPr>
        <w:pStyle w:val="Normal23"/>
        <w:widowControl w:val="0"/>
        <w:spacing w:before="200" w:line="260" w:lineRule="atLeast"/>
        <w:jc w:val="both"/>
      </w:pPr>
      <w:bookmarkStart w:id="5054" w:name="Bookmark_I61CDGJW2D6N7K0010000400_2"/>
      <w:bookmarkStart w:id="5055" w:name="Bookmark_I61CDGJV2SF8R30020000400_3"/>
      <w:bookmarkStart w:id="5056" w:name="Bookmark_I61CDGJV2SF8R30010000400"/>
      <w:bookmarkEnd w:id="5054"/>
      <w:bookmarkEnd w:id="5055"/>
      <w:bookmarkEnd w:id="5056"/>
      <w:r>
        <w:rPr>
          <w:rFonts w:ascii="Arial" w:eastAsia="Arial" w:hAnsi="Arial" w:cs="Arial"/>
          <w:i/>
          <w:color w:val="000000"/>
          <w:sz w:val="20"/>
        </w:rPr>
        <w:t>Higgins v. New Balance Athletic Shoe, Inc.</w:t>
      </w:r>
      <w:r>
        <w:rPr>
          <w:rFonts w:ascii="Arial" w:eastAsia="Arial" w:hAnsi="Arial" w:cs="Arial"/>
          <w:color w:val="000000"/>
          <w:sz w:val="20"/>
        </w:rPr>
        <w:t>, 194 F.3d 252, 264 (1st Cir. 1999) (emphasis added).</w:t>
      </w:r>
      <w:r>
        <w:rPr>
          <w:rFonts w:ascii="Arial" w:eastAsia="Arial" w:hAnsi="Arial" w:cs="Arial"/>
          <w:vertAlign w:val="superscript"/>
        </w:rPr>
        <w:footnoteReference w:customMarkFollows="1" w:id="192"/>
        <w:t>4</w:t>
      </w:r>
      <w:r>
        <w:rPr>
          <w:rFonts w:ascii="Arial" w:eastAsia="Arial" w:hAnsi="Arial" w:cs="Arial"/>
          <w:color w:val="000000"/>
          <w:sz w:val="20"/>
        </w:rPr>
        <w:t xml:space="preserve"> Similarly, the majority cites </w:t>
      </w:r>
      <w:bookmarkStart w:id="5061" w:name="Bookmark_I61CDGJV2SF8R30030000400"/>
      <w:bookmarkEnd w:id="5061"/>
      <w:r>
        <w:rPr>
          <w:rFonts w:ascii="Arial" w:eastAsia="Arial" w:hAnsi="Arial" w:cs="Arial"/>
          <w:i/>
          <w:color w:val="000000"/>
          <w:sz w:val="20"/>
        </w:rPr>
        <w:t>Hill v. Assocs. for Renewal in Educ., Inc.</w:t>
      </w:r>
      <w:r>
        <w:rPr>
          <w:rFonts w:ascii="Arial" w:eastAsia="Arial" w:hAnsi="Arial" w:cs="Arial"/>
          <w:color w:val="000000"/>
          <w:sz w:val="20"/>
        </w:rPr>
        <w:t>, 897 F.3d. 232, 237, 437 U.S. App. D.C. 379 (D.C. Cir. 2018), for the conclusion that the D.C. Circuit omits any adverse-employment-action requirement in failure-to-accommodate claims. But in a 1997 opinion, the D.C. Circuit stated that "</w:t>
      </w:r>
      <w:r>
        <w:rPr>
          <w:rFonts w:ascii="Arial" w:eastAsia="Arial" w:hAnsi="Arial" w:cs="Arial"/>
          <w:i/>
          <w:color w:val="000000"/>
          <w:sz w:val="20"/>
        </w:rPr>
        <w:t>[a]s the language of § 12112(a) makes clear</w:t>
      </w:r>
      <w:r>
        <w:rPr>
          <w:rFonts w:ascii="Arial" w:eastAsia="Arial" w:hAnsi="Arial" w:cs="Arial"/>
          <w:color w:val="000000"/>
          <w:sz w:val="20"/>
        </w:rPr>
        <w:t xml:space="preserve">, for discrimination (including denial of reasonable accommodation) to be actionable, it must occur </w:t>
      </w:r>
      <w:r>
        <w:rPr>
          <w:rFonts w:ascii="Arial" w:eastAsia="Arial" w:hAnsi="Arial" w:cs="Arial"/>
          <w:i/>
          <w:color w:val="000000"/>
          <w:sz w:val="20"/>
        </w:rPr>
        <w:t>in regard to</w:t>
      </w:r>
      <w:r>
        <w:rPr>
          <w:rFonts w:ascii="Arial" w:eastAsia="Arial" w:hAnsi="Arial" w:cs="Arial"/>
          <w:color w:val="000000"/>
          <w:sz w:val="20"/>
        </w:rPr>
        <w:t xml:space="preserve"> some adverse personnel decision or other term or condition of employment." </w:t>
      </w:r>
      <w:bookmarkStart w:id="5062" w:name="Bookmark_I61CDGJV2SF8R30050000400"/>
      <w:bookmarkEnd w:id="5062"/>
      <w:r>
        <w:rPr>
          <w:rFonts w:ascii="Arial" w:eastAsia="Arial" w:hAnsi="Arial" w:cs="Arial"/>
          <w:i/>
          <w:color w:val="000000"/>
          <w:sz w:val="20"/>
        </w:rPr>
        <w:t>Marshall v. Fed. Express Corp.</w:t>
      </w:r>
      <w:r>
        <w:rPr>
          <w:rFonts w:ascii="Arial" w:eastAsia="Arial" w:hAnsi="Arial" w:cs="Arial"/>
          <w:color w:val="000000"/>
          <w:sz w:val="20"/>
        </w:rPr>
        <w:t xml:space="preserve">, 130 F.3d 1095, 1099, 327 U.S. App. D.C. 302 (D.C. Cir. 1997) (first emphasis added); </w:t>
      </w:r>
      <w:r>
        <w:rPr>
          <w:rFonts w:ascii="Arial" w:eastAsia="Arial" w:hAnsi="Arial" w:cs="Arial"/>
          <w:i/>
          <w:color w:val="000000"/>
          <w:sz w:val="20"/>
        </w:rPr>
        <w:t>see also id.</w:t>
      </w:r>
      <w:r>
        <w:rPr>
          <w:rFonts w:ascii="Arial" w:eastAsia="Arial" w:hAnsi="Arial" w:cs="Arial"/>
          <w:color w:val="000000"/>
          <w:sz w:val="20"/>
        </w:rPr>
        <w:t xml:space="preserve"> (further suggesting that there must be a "nexus" between an "adverse action" and "a possible denial of reasonable accommodation").</w:t>
      </w:r>
      <w:r>
        <w:rPr>
          <w:rFonts w:ascii="Arial" w:eastAsia="Arial" w:hAnsi="Arial" w:cs="Arial"/>
          <w:vertAlign w:val="superscript"/>
        </w:rPr>
        <w:footnoteReference w:customMarkFollows="1" w:id="193"/>
        <w:t>5</w:t>
      </w:r>
    </w:p>
    <w:p w14:paraId="220CFDD7" w14:textId="77777777" w:rsidR="002B10A6" w:rsidRDefault="00000000">
      <w:pPr>
        <w:pStyle w:val="Normal23"/>
        <w:widowControl w:val="0"/>
        <w:spacing w:before="200" w:line="260" w:lineRule="atLeast"/>
        <w:jc w:val="both"/>
      </w:pPr>
      <w:bookmarkStart w:id="5069" w:name="Bookmark_para_147"/>
      <w:bookmarkEnd w:id="5069"/>
      <w:r>
        <w:rPr>
          <w:rFonts w:ascii="Arial" w:eastAsia="Arial" w:hAnsi="Arial" w:cs="Arial"/>
          <w:color w:val="000000"/>
          <w:sz w:val="20"/>
        </w:rPr>
        <w:t xml:space="preserve"> [*832]  In both the First and D.C. Circuits, then, the earlier articulations of the requisite elements of a failure-to-accommodate claim should control. </w:t>
      </w:r>
      <w:bookmarkStart w:id="5070" w:name="Bookmark_I722C9WXFJ10000671P0004H"/>
      <w:bookmarkStart w:id="5071" w:name="Bookmark_I722C9WXJ9D0000671P0004J"/>
      <w:bookmarkStart w:id="5072" w:name="Bookmark_I722C9WXN280000671P0004K"/>
      <w:bookmarkStart w:id="5073" w:name="Bookmark_I722C9WXRV00000671P0004M"/>
      <w:bookmarkStart w:id="5074" w:name="Bookmark_I61CDGJW28T3TT0020000400"/>
      <w:bookmarkEnd w:id="5070"/>
      <w:bookmarkEnd w:id="5071"/>
      <w:bookmarkEnd w:id="5072"/>
      <w:bookmarkEnd w:id="5073"/>
      <w:bookmarkEnd w:id="5074"/>
      <w:r>
        <w:rPr>
          <w:rFonts w:ascii="Arial" w:eastAsia="Arial" w:hAnsi="Arial" w:cs="Arial"/>
          <w:color w:val="000000"/>
          <w:sz w:val="20"/>
        </w:rPr>
        <w:t xml:space="preserve">The same holds true in the Second, Seventh, and Ninth Circuits. While the majority asserts that "the predominant view of [the decisions in these circuits] does not support the incorporation of an adverse-employment-action requirement into an ADA failure-to-accommodate claim," Maj. Op. at 41, the earliest relevant panel decision cited by the majority from all three circuits points in the other direction. </w:t>
      </w:r>
      <w:r>
        <w:rPr>
          <w:rFonts w:ascii="Arial" w:eastAsia="Arial" w:hAnsi="Arial" w:cs="Arial"/>
          <w:i/>
          <w:color w:val="000000"/>
          <w:sz w:val="20"/>
        </w:rPr>
        <w:t xml:space="preserve">See </w:t>
      </w:r>
      <w:bookmarkStart w:id="5075" w:name="Bookmark_I61CDGJW28T3TT0010000400"/>
      <w:bookmarkEnd w:id="5075"/>
      <w:r>
        <w:rPr>
          <w:rFonts w:ascii="Arial" w:eastAsia="Arial" w:hAnsi="Arial" w:cs="Arial"/>
          <w:i/>
          <w:color w:val="000000"/>
          <w:sz w:val="20"/>
        </w:rPr>
        <w:t>Parker v. Sony Pictures Ent., Inc.</w:t>
      </w:r>
      <w:r>
        <w:rPr>
          <w:rFonts w:ascii="Arial" w:eastAsia="Arial" w:hAnsi="Arial" w:cs="Arial"/>
          <w:color w:val="000000"/>
          <w:sz w:val="20"/>
        </w:rPr>
        <w:t xml:space="preserve">, 260 F.3d 100, 108 (2d Cir. 2001) (stating that "the </w:t>
      </w:r>
      <w:r>
        <w:rPr>
          <w:rFonts w:ascii="Arial" w:eastAsia="Arial" w:hAnsi="Arial" w:cs="Arial"/>
          <w:i/>
          <w:color w:val="000000"/>
          <w:sz w:val="20"/>
        </w:rPr>
        <w:t>connections</w:t>
      </w:r>
      <w:r>
        <w:rPr>
          <w:rFonts w:ascii="Arial" w:eastAsia="Arial" w:hAnsi="Arial" w:cs="Arial"/>
          <w:color w:val="000000"/>
          <w:sz w:val="20"/>
        </w:rPr>
        <w:t xml:space="preserve"> between (1) the failure to accommodate a disability, (2) the performance deficiencies, and (3) the adverse employment action, must still exist for there to be liability" in reasonable accommodation cases); </w:t>
      </w:r>
      <w:bookmarkStart w:id="5076" w:name="Bookmark_I61CDGJW28T3TT0030000400"/>
      <w:bookmarkEnd w:id="5076"/>
      <w:r>
        <w:rPr>
          <w:rFonts w:ascii="Arial" w:eastAsia="Arial" w:hAnsi="Arial" w:cs="Arial"/>
          <w:i/>
          <w:color w:val="000000"/>
          <w:sz w:val="20"/>
        </w:rPr>
        <w:t>Foster v. Arthur Andersen, LLP</w:t>
      </w:r>
      <w:r>
        <w:rPr>
          <w:rFonts w:ascii="Arial" w:eastAsia="Arial" w:hAnsi="Arial" w:cs="Arial"/>
          <w:color w:val="000000"/>
          <w:sz w:val="20"/>
        </w:rPr>
        <w:t xml:space="preserve">, 168 F.3d 1029, 1032 (7th Cir. 1999) (including in the prima facie failure-to-accommodate case the requirement that "the disability caused the adverse employment action (a factor which is implied if not stated)"); </w:t>
      </w:r>
      <w:bookmarkStart w:id="5077" w:name="Bookmark_I61CDGJW28T3TT0050000400"/>
      <w:bookmarkEnd w:id="5077"/>
      <w:r>
        <w:rPr>
          <w:rFonts w:ascii="Arial" w:eastAsia="Arial" w:hAnsi="Arial" w:cs="Arial"/>
          <w:i/>
          <w:color w:val="000000"/>
          <w:sz w:val="20"/>
        </w:rPr>
        <w:t>Samper v. Providence St. Vincent Med. Ctr.</w:t>
      </w:r>
      <w:r>
        <w:rPr>
          <w:rFonts w:ascii="Arial" w:eastAsia="Arial" w:hAnsi="Arial" w:cs="Arial"/>
          <w:color w:val="000000"/>
          <w:sz w:val="20"/>
        </w:rPr>
        <w:t xml:space="preserve">, 675 F.3d 1233, 1237 (9th Cir. 2012) (requiring a failure-to-accommodate plaintiff to show that "(1) [s]he is disabled within the meaning of the ADA; (2) [s]he is a qualified individual able to perform [**101]  the essential functions of the job with reasonable accommodation; and (3) [s]he suffered an adverse employment action because of [her] disability" (alterations in original) (quoting </w:t>
      </w:r>
      <w:bookmarkStart w:id="5078" w:name="Bookmark_I61CDGJW2HM6YD0020000400"/>
      <w:bookmarkEnd w:id="5078"/>
      <w:r>
        <w:rPr>
          <w:rFonts w:ascii="Arial" w:eastAsia="Arial" w:hAnsi="Arial" w:cs="Arial"/>
          <w:i/>
          <w:color w:val="000000"/>
          <w:sz w:val="20"/>
        </w:rPr>
        <w:t>Allen v. Pac. Bell</w:t>
      </w:r>
      <w:r>
        <w:rPr>
          <w:rFonts w:ascii="Arial" w:eastAsia="Arial" w:hAnsi="Arial" w:cs="Arial"/>
          <w:color w:val="000000"/>
          <w:sz w:val="20"/>
        </w:rPr>
        <w:t>, 348 F.3d 1113, 1114 (9th Cir. 2003) (per curiam))).</w:t>
      </w:r>
    </w:p>
    <w:p w14:paraId="6772E177" w14:textId="77777777" w:rsidR="002B10A6" w:rsidRDefault="00000000">
      <w:pPr>
        <w:pStyle w:val="Normal23"/>
        <w:widowControl w:val="0"/>
        <w:spacing w:before="200" w:line="260" w:lineRule="atLeast"/>
        <w:jc w:val="both"/>
      </w:pPr>
      <w:bookmarkStart w:id="5079" w:name="Bookmark_para_148"/>
      <w:bookmarkStart w:id="5080" w:name="Bookmark_I722C9WXVJN0000671P0004N"/>
      <w:bookmarkStart w:id="5081" w:name="Bookmark_I61CDGJW2HM6YD0050000400"/>
      <w:bookmarkEnd w:id="5079"/>
      <w:bookmarkEnd w:id="5080"/>
      <w:bookmarkEnd w:id="5081"/>
      <w:r>
        <w:rPr>
          <w:rFonts w:ascii="Arial" w:eastAsia="Arial" w:hAnsi="Arial" w:cs="Arial"/>
          <w:color w:val="000000"/>
          <w:sz w:val="20"/>
        </w:rPr>
        <w:t xml:space="preserve">I am not convinced by the majority's attempt to dismiss these earlier, controlling precedents. </w:t>
      </w:r>
      <w:bookmarkStart w:id="5082" w:name="Bookmark_I722C9WXY9M0000671P0004P"/>
      <w:bookmarkStart w:id="5083" w:name="Bookmark_I722C9WY5030000671P0004S"/>
      <w:bookmarkStart w:id="5084" w:name="Bookmark_I61CDGJX2N1R900020000400"/>
      <w:bookmarkEnd w:id="5082"/>
      <w:bookmarkEnd w:id="5083"/>
      <w:bookmarkEnd w:id="5084"/>
      <w:r>
        <w:rPr>
          <w:rFonts w:ascii="Arial" w:eastAsia="Arial" w:hAnsi="Arial" w:cs="Arial"/>
          <w:color w:val="000000"/>
          <w:sz w:val="20"/>
        </w:rPr>
        <w:t xml:space="preserve">For example, despite the clear statement by the Ninth Circuit in </w:t>
      </w:r>
      <w:r>
        <w:rPr>
          <w:rFonts w:ascii="Arial" w:eastAsia="Arial" w:hAnsi="Arial" w:cs="Arial"/>
          <w:i/>
          <w:color w:val="000000"/>
          <w:sz w:val="20"/>
        </w:rPr>
        <w:t>Samper v. Providence St. Vincent Medical Center</w:t>
      </w:r>
      <w:r>
        <w:rPr>
          <w:rFonts w:ascii="Arial" w:eastAsia="Arial" w:hAnsi="Arial" w:cs="Arial"/>
          <w:color w:val="000000"/>
          <w:sz w:val="20"/>
        </w:rPr>
        <w:t xml:space="preserve">, the majority nevertheless posits that the predominant view from that circuit "may be stated succinctly: an adverse employment action is not a requisite element of an ADA failure-to-accommodate claim." Maj. Op. at 52 (citing </w:t>
      </w:r>
      <w:bookmarkStart w:id="5085" w:name="Bookmark_I61CDGJW2HM6YD0040000400"/>
      <w:bookmarkEnd w:id="5085"/>
      <w:r>
        <w:rPr>
          <w:rFonts w:ascii="Arial" w:eastAsia="Arial" w:hAnsi="Arial" w:cs="Arial"/>
          <w:i/>
          <w:color w:val="000000"/>
          <w:sz w:val="20"/>
        </w:rPr>
        <w:t>Snapp v. United Transp. Union</w:t>
      </w:r>
      <w:r>
        <w:rPr>
          <w:rFonts w:ascii="Arial" w:eastAsia="Arial" w:hAnsi="Arial" w:cs="Arial"/>
          <w:color w:val="000000"/>
          <w:sz w:val="20"/>
        </w:rPr>
        <w:t xml:space="preserve">, 889 F.3d 1088, 1095 (9th Cir. 2018)). The passage the majority quotes from </w:t>
      </w:r>
      <w:r>
        <w:rPr>
          <w:rFonts w:ascii="Arial" w:eastAsia="Arial" w:hAnsi="Arial" w:cs="Arial"/>
          <w:i/>
          <w:color w:val="000000"/>
          <w:sz w:val="20"/>
        </w:rPr>
        <w:t>Snapp v. United Transportation Union</w:t>
      </w:r>
      <w:r>
        <w:rPr>
          <w:rFonts w:ascii="Arial" w:eastAsia="Arial" w:hAnsi="Arial" w:cs="Arial"/>
          <w:color w:val="000000"/>
          <w:sz w:val="20"/>
        </w:rPr>
        <w:t xml:space="preserve">, however, concerns only the definition of discrimination found in § 12112(b)(5)(A), not every element of a failure-to-accommodate claim. </w:t>
      </w:r>
      <w:bookmarkStart w:id="5086" w:name="Bookmark_I61CDGJX2N1R900020000400_2"/>
      <w:bookmarkStart w:id="5087" w:name="Bookmark_I722C9X08W60000671P0004V"/>
      <w:bookmarkStart w:id="5088" w:name="Bookmark_I61CDGJX2N1R910010000400"/>
      <w:bookmarkEnd w:id="5086"/>
      <w:bookmarkEnd w:id="5087"/>
      <w:bookmarkEnd w:id="5088"/>
      <w:r>
        <w:rPr>
          <w:rFonts w:ascii="Arial" w:eastAsia="Arial" w:hAnsi="Arial" w:cs="Arial"/>
          <w:i/>
          <w:color w:val="000000"/>
          <w:sz w:val="20"/>
        </w:rPr>
        <w:t>See</w:t>
      </w:r>
      <w:r>
        <w:rPr>
          <w:rFonts w:ascii="Arial" w:eastAsia="Arial" w:hAnsi="Arial" w:cs="Arial"/>
          <w:color w:val="000000"/>
          <w:sz w:val="20"/>
        </w:rPr>
        <w:t xml:space="preserve"> </w:t>
      </w:r>
      <w:bookmarkStart w:id="5089" w:name="Bookmark_I61CDGJX2N1R900010000400"/>
      <w:bookmarkEnd w:id="5089"/>
      <w:r>
        <w:rPr>
          <w:rFonts w:ascii="Arial" w:eastAsia="Arial" w:hAnsi="Arial" w:cs="Arial"/>
          <w:color w:val="000000"/>
          <w:sz w:val="20"/>
        </w:rPr>
        <w:t xml:space="preserve">889 F.3d at 1095 ("The ADA treats the failure to provide a reasonable accommodation as </w:t>
      </w:r>
      <w:r>
        <w:rPr>
          <w:rFonts w:ascii="Arial" w:eastAsia="Arial" w:hAnsi="Arial" w:cs="Arial"/>
          <w:i/>
          <w:color w:val="000000"/>
          <w:sz w:val="20"/>
        </w:rPr>
        <w:t>an act of discrimination</w:t>
      </w:r>
      <w:r>
        <w:rPr>
          <w:rFonts w:ascii="Arial" w:eastAsia="Arial" w:hAnsi="Arial" w:cs="Arial"/>
          <w:color w:val="000000"/>
          <w:sz w:val="20"/>
        </w:rPr>
        <w:t xml:space="preserve"> if the employee is a 'qualified individual,' the employer receives adequate notice, and a reasonable accommodation is available that would not place an undue hardship on the operation of the employer's business." (emphasis added) (quoting only § 12112(b)(5)(A))); </w:t>
      </w:r>
      <w:r>
        <w:rPr>
          <w:rFonts w:ascii="Arial" w:eastAsia="Arial" w:hAnsi="Arial" w:cs="Arial"/>
          <w:i/>
          <w:color w:val="000000"/>
          <w:sz w:val="20"/>
        </w:rPr>
        <w:t xml:space="preserve">cf. </w:t>
      </w:r>
      <w:bookmarkStart w:id="5090" w:name="Bookmark_I61CDGJX2N1R900030000400"/>
      <w:bookmarkEnd w:id="5090"/>
      <w:r>
        <w:rPr>
          <w:rFonts w:ascii="Arial" w:eastAsia="Arial" w:hAnsi="Arial" w:cs="Arial"/>
          <w:i/>
          <w:color w:val="000000"/>
          <w:sz w:val="20"/>
        </w:rPr>
        <w:t>Exby-Stolley</w:t>
      </w:r>
      <w:r>
        <w:rPr>
          <w:rFonts w:ascii="Arial" w:eastAsia="Arial" w:hAnsi="Arial" w:cs="Arial"/>
          <w:color w:val="000000"/>
          <w:sz w:val="20"/>
        </w:rPr>
        <w:t xml:space="preserve">, 906 F.3d at 913 (reasoning that prior [**102]  panels that omitted an adverse-employment-action element may well have been "simply setting forth the failure-to-accommodate requirements of § 12112(b)(5)(A), not all the elements of an ADA claim based on failure to accommodate"). </w:t>
      </w:r>
      <w:bookmarkStart w:id="5091" w:name="Bookmark_I61CDGJX2N1R910010000400_2"/>
      <w:bookmarkStart w:id="5092" w:name="Bookmark_I722C9X0GWP0000671P0004X"/>
      <w:bookmarkStart w:id="5093" w:name="Bookmark_I61CDGJX2N1R910030000400"/>
      <w:bookmarkEnd w:id="5091"/>
      <w:bookmarkEnd w:id="5092"/>
      <w:bookmarkEnd w:id="5093"/>
      <w:r>
        <w:rPr>
          <w:rFonts w:ascii="Arial" w:eastAsia="Arial" w:hAnsi="Arial" w:cs="Arial"/>
          <w:color w:val="000000"/>
          <w:sz w:val="20"/>
        </w:rPr>
        <w:t xml:space="preserve">But not every act of discrimination affects a term, condition, or privilege of employment. </w:t>
      </w:r>
      <w:r>
        <w:rPr>
          <w:rFonts w:ascii="Arial" w:eastAsia="Arial" w:hAnsi="Arial" w:cs="Arial"/>
          <w:i/>
          <w:color w:val="000000"/>
          <w:sz w:val="20"/>
        </w:rPr>
        <w:t xml:space="preserve">See </w:t>
      </w:r>
      <w:bookmarkStart w:id="5094" w:name="Bookmark_I61CDGJX2N1R900050000400"/>
      <w:bookmarkEnd w:id="5094"/>
      <w:r>
        <w:rPr>
          <w:rFonts w:ascii="Arial" w:eastAsia="Arial" w:hAnsi="Arial" w:cs="Arial"/>
          <w:i/>
          <w:color w:val="000000"/>
          <w:sz w:val="20"/>
        </w:rPr>
        <w:t>Meritor Sav. Bank</w:t>
      </w:r>
      <w:r>
        <w:rPr>
          <w:rFonts w:ascii="Arial" w:eastAsia="Arial" w:hAnsi="Arial" w:cs="Arial"/>
          <w:color w:val="000000"/>
          <w:sz w:val="20"/>
        </w:rPr>
        <w:t xml:space="preserve">, 477 U.S. at 64, 67 (discussing workplace harassment). </w:t>
      </w:r>
      <w:bookmarkStart w:id="5095" w:name="Bookmark_I61CDGJX2N1R910030000400_2"/>
      <w:bookmarkEnd w:id="5095"/>
      <w:r>
        <w:rPr>
          <w:rFonts w:ascii="Arial" w:eastAsia="Arial" w:hAnsi="Arial" w:cs="Arial"/>
          <w:color w:val="000000"/>
          <w:sz w:val="20"/>
        </w:rPr>
        <w:t xml:space="preserve">In telling contrast to </w:t>
      </w:r>
      <w:r>
        <w:rPr>
          <w:rFonts w:ascii="Arial" w:eastAsia="Arial" w:hAnsi="Arial" w:cs="Arial"/>
          <w:i/>
          <w:color w:val="000000"/>
          <w:sz w:val="20"/>
        </w:rPr>
        <w:t>Snapp</w:t>
      </w:r>
      <w:r>
        <w:rPr>
          <w:rFonts w:ascii="Arial" w:eastAsia="Arial" w:hAnsi="Arial" w:cs="Arial"/>
          <w:color w:val="000000"/>
          <w:sz w:val="20"/>
        </w:rPr>
        <w:t xml:space="preserve">, the discussion in </w:t>
      </w:r>
      <w:r>
        <w:rPr>
          <w:rFonts w:ascii="Arial" w:eastAsia="Arial" w:hAnsi="Arial" w:cs="Arial"/>
          <w:i/>
          <w:color w:val="000000"/>
          <w:sz w:val="20"/>
        </w:rPr>
        <w:t>Samper</w:t>
      </w:r>
      <w:r>
        <w:rPr>
          <w:rFonts w:ascii="Arial" w:eastAsia="Arial" w:hAnsi="Arial" w:cs="Arial"/>
          <w:color w:val="000000"/>
          <w:sz w:val="20"/>
        </w:rPr>
        <w:t xml:space="preserve"> concerned not just the definition of discrimination in the failure-to-accommodate context—an element that is undisputed in this en banc appeal—but rather the complete prima facie showing needed to bring such a claim, incorporating </w:t>
      </w:r>
      <w:r>
        <w:rPr>
          <w:rFonts w:ascii="Arial" w:eastAsia="Arial" w:hAnsi="Arial" w:cs="Arial"/>
          <w:i/>
          <w:color w:val="000000"/>
          <w:sz w:val="20"/>
        </w:rPr>
        <w:t>both</w:t>
      </w:r>
      <w:r>
        <w:rPr>
          <w:rFonts w:ascii="Arial" w:eastAsia="Arial" w:hAnsi="Arial" w:cs="Arial"/>
          <w:color w:val="000000"/>
          <w:sz w:val="20"/>
        </w:rPr>
        <w:t xml:space="preserve"> the discrimination  [*833]  clause </w:t>
      </w:r>
      <w:r>
        <w:rPr>
          <w:rFonts w:ascii="Arial" w:eastAsia="Arial" w:hAnsi="Arial" w:cs="Arial"/>
          <w:i/>
          <w:color w:val="000000"/>
          <w:sz w:val="20"/>
        </w:rPr>
        <w:t>and</w:t>
      </w:r>
      <w:r>
        <w:rPr>
          <w:rFonts w:ascii="Arial" w:eastAsia="Arial" w:hAnsi="Arial" w:cs="Arial"/>
          <w:color w:val="000000"/>
          <w:sz w:val="20"/>
        </w:rPr>
        <w:t xml:space="preserve"> the in-regard-to clause of Title I's general rule. </w:t>
      </w:r>
      <w:r>
        <w:rPr>
          <w:rFonts w:ascii="Arial" w:eastAsia="Arial" w:hAnsi="Arial" w:cs="Arial"/>
          <w:i/>
          <w:color w:val="000000"/>
          <w:sz w:val="20"/>
        </w:rPr>
        <w:t>See</w:t>
      </w:r>
      <w:r>
        <w:rPr>
          <w:rFonts w:ascii="Arial" w:eastAsia="Arial" w:hAnsi="Arial" w:cs="Arial"/>
          <w:color w:val="000000"/>
          <w:sz w:val="20"/>
        </w:rPr>
        <w:t xml:space="preserve"> </w:t>
      </w:r>
      <w:bookmarkStart w:id="5096" w:name="Bookmark_I61CDGJX2N1R910020000400"/>
      <w:bookmarkEnd w:id="5096"/>
      <w:r>
        <w:rPr>
          <w:rFonts w:ascii="Arial" w:eastAsia="Arial" w:hAnsi="Arial" w:cs="Arial"/>
          <w:color w:val="000000"/>
          <w:sz w:val="20"/>
        </w:rPr>
        <w:t xml:space="preserve">675 F.3d at 1237 (citing </w:t>
      </w:r>
      <w:r>
        <w:rPr>
          <w:rFonts w:ascii="Arial" w:eastAsia="Arial" w:hAnsi="Arial" w:cs="Arial"/>
          <w:i/>
          <w:color w:val="000000"/>
          <w:sz w:val="20"/>
        </w:rPr>
        <w:t>both</w:t>
      </w:r>
      <w:r>
        <w:rPr>
          <w:rFonts w:ascii="Arial" w:eastAsia="Arial" w:hAnsi="Arial" w:cs="Arial"/>
          <w:color w:val="000000"/>
          <w:sz w:val="20"/>
        </w:rPr>
        <w:t xml:space="preserve"> § 12112(b)(5)(A) </w:t>
      </w:r>
      <w:r>
        <w:rPr>
          <w:rFonts w:ascii="Arial" w:eastAsia="Arial" w:hAnsi="Arial" w:cs="Arial"/>
          <w:i/>
          <w:color w:val="000000"/>
          <w:sz w:val="20"/>
        </w:rPr>
        <w:t>and</w:t>
      </w:r>
      <w:r>
        <w:rPr>
          <w:rFonts w:ascii="Arial" w:eastAsia="Arial" w:hAnsi="Arial" w:cs="Arial"/>
          <w:color w:val="000000"/>
          <w:sz w:val="20"/>
        </w:rPr>
        <w:t xml:space="preserve"> § 12112(a)). As such, </w:t>
      </w:r>
      <w:r>
        <w:rPr>
          <w:rFonts w:ascii="Arial" w:eastAsia="Arial" w:hAnsi="Arial" w:cs="Arial"/>
          <w:i/>
          <w:color w:val="000000"/>
          <w:sz w:val="20"/>
        </w:rPr>
        <w:t>Samper</w:t>
      </w:r>
      <w:r>
        <w:rPr>
          <w:rFonts w:ascii="Arial" w:eastAsia="Arial" w:hAnsi="Arial" w:cs="Arial"/>
          <w:color w:val="000000"/>
          <w:sz w:val="20"/>
        </w:rPr>
        <w:t xml:space="preserve"> and </w:t>
      </w:r>
      <w:r>
        <w:rPr>
          <w:rFonts w:ascii="Arial" w:eastAsia="Arial" w:hAnsi="Arial" w:cs="Arial"/>
          <w:i/>
          <w:color w:val="000000"/>
          <w:sz w:val="20"/>
        </w:rPr>
        <w:t>Snapp</w:t>
      </w:r>
      <w:r>
        <w:rPr>
          <w:rFonts w:ascii="Arial" w:eastAsia="Arial" w:hAnsi="Arial" w:cs="Arial"/>
          <w:color w:val="000000"/>
          <w:sz w:val="20"/>
        </w:rPr>
        <w:t xml:space="preserve"> do not appear to be in tension. </w:t>
      </w:r>
      <w:r>
        <w:rPr>
          <w:rFonts w:ascii="Arial" w:eastAsia="Arial" w:hAnsi="Arial" w:cs="Arial"/>
          <w:i/>
          <w:color w:val="000000"/>
          <w:sz w:val="20"/>
        </w:rPr>
        <w:t>See</w:t>
      </w:r>
      <w:r>
        <w:rPr>
          <w:rFonts w:ascii="Arial" w:eastAsia="Arial" w:hAnsi="Arial" w:cs="Arial"/>
          <w:color w:val="000000"/>
          <w:sz w:val="20"/>
        </w:rPr>
        <w:t xml:space="preserve"> Garner et al., </w:t>
      </w:r>
      <w:r>
        <w:rPr>
          <w:rFonts w:ascii="Arial" w:eastAsia="Arial" w:hAnsi="Arial" w:cs="Arial"/>
          <w:i/>
          <w:color w:val="000000"/>
          <w:sz w:val="20"/>
        </w:rPr>
        <w:t>The Law of Judicial Precedent</w:t>
      </w:r>
      <w:r>
        <w:rPr>
          <w:rFonts w:ascii="Arial" w:eastAsia="Arial" w:hAnsi="Arial" w:cs="Arial"/>
          <w:color w:val="000000"/>
          <w:sz w:val="20"/>
        </w:rPr>
        <w:t xml:space="preserve"> § 36, at 300 ("A court considering discordant decisions must first determine whether the perceived conflict between them is real. If at all possible, the opinions should be harmonized.").</w:t>
      </w:r>
    </w:p>
    <w:p w14:paraId="3D40938F" w14:textId="77777777" w:rsidR="002B10A6" w:rsidRDefault="00000000">
      <w:pPr>
        <w:pStyle w:val="Normal23"/>
        <w:widowControl w:val="0"/>
        <w:spacing w:before="200" w:line="260" w:lineRule="atLeast"/>
        <w:jc w:val="both"/>
      </w:pPr>
      <w:bookmarkStart w:id="5097" w:name="Bookmark_para_149"/>
      <w:bookmarkStart w:id="5098" w:name="Bookmark_I722C9X0PDT0000671P00050"/>
      <w:bookmarkStart w:id="5099" w:name="Bookmark_I61CDGJX2N1R910050000400"/>
      <w:bookmarkEnd w:id="5097"/>
      <w:bookmarkEnd w:id="5098"/>
      <w:bookmarkEnd w:id="5099"/>
      <w:r>
        <w:rPr>
          <w:rFonts w:ascii="Arial" w:eastAsia="Arial" w:hAnsi="Arial" w:cs="Arial"/>
          <w:color w:val="000000"/>
          <w:sz w:val="20"/>
        </w:rPr>
        <w:t xml:space="preserve">Overall, however, the primary reason the authority cited by the majority from our sister circuits fails to persuade is not because it runs afoul of the "law of the circuit" [**103]  doctrine, but because it strays from the text of Title I's "general proscription." Those opinions that list the prima facie elements of a § 12112(b)(5)(A) discrimination claim without connecting the failure to accommodate to "job application procedures, the hiring, advancement, or discharge of employees, employee compensation, job training, and other terms, conditions, and privileges of employment," are reading words out of the ADA. The decisions from our sister circuits that do correctly ground themselves in § 12112(a)'s text—and thus correctly recognize the operation of the in-regard-to clause in conjunction with the discrimination clause—all require some showing that a failure-to-accommodate plaintiff suffered either an adverse employment action or some other detrimental alteration in the terms, conditions, or privileges of employment. </w:t>
      </w:r>
      <w:r>
        <w:rPr>
          <w:rFonts w:ascii="Arial" w:eastAsia="Arial" w:hAnsi="Arial" w:cs="Arial"/>
          <w:i/>
          <w:color w:val="000000"/>
          <w:sz w:val="20"/>
        </w:rPr>
        <w:t xml:space="preserve">See, e.g., </w:t>
      </w:r>
      <w:bookmarkStart w:id="5100" w:name="Bookmark_I61CDGJX2N1R910040000400"/>
      <w:bookmarkEnd w:id="5100"/>
      <w:r>
        <w:rPr>
          <w:rFonts w:ascii="Arial" w:eastAsia="Arial" w:hAnsi="Arial" w:cs="Arial"/>
          <w:i/>
          <w:color w:val="000000"/>
          <w:sz w:val="20"/>
        </w:rPr>
        <w:t>Marshall</w:t>
      </w:r>
      <w:r>
        <w:rPr>
          <w:rFonts w:ascii="Arial" w:eastAsia="Arial" w:hAnsi="Arial" w:cs="Arial"/>
          <w:color w:val="000000"/>
          <w:sz w:val="20"/>
        </w:rPr>
        <w:t>, 130 F.3d at 1099 ("As the language of § 12112(a) makes clear . . . .").</w:t>
      </w:r>
    </w:p>
    <w:p w14:paraId="71699C0E" w14:textId="77777777" w:rsidR="002B10A6" w:rsidRDefault="00000000">
      <w:pPr>
        <w:pStyle w:val="Normal23"/>
        <w:widowControl w:val="0"/>
        <w:spacing w:before="240" w:line="260" w:lineRule="atLeast"/>
      </w:pPr>
      <w:r>
        <w:br/>
      </w:r>
      <w:r>
        <w:rPr>
          <w:rFonts w:ascii="Arial" w:eastAsia="Arial" w:hAnsi="Arial" w:cs="Arial"/>
          <w:b/>
          <w:color w:val="000000"/>
          <w:sz w:val="20"/>
        </w:rPr>
        <w:t>III. INTERPRETING THE IN-REGARD-TO CLAUSE</w:t>
      </w:r>
    </w:p>
    <w:p w14:paraId="7B94AD62" w14:textId="77777777" w:rsidR="002B10A6" w:rsidRDefault="00000000">
      <w:pPr>
        <w:pStyle w:val="Normal23"/>
        <w:widowControl w:val="0"/>
        <w:spacing w:before="200" w:line="260" w:lineRule="atLeast"/>
        <w:jc w:val="both"/>
      </w:pPr>
      <w:bookmarkStart w:id="5101" w:name="Bookmark_para_150"/>
      <w:bookmarkEnd w:id="5101"/>
      <w:r>
        <w:rPr>
          <w:rFonts w:ascii="Arial" w:eastAsia="Arial" w:hAnsi="Arial" w:cs="Arial"/>
          <w:color w:val="000000"/>
          <w:sz w:val="20"/>
        </w:rPr>
        <w:t>I now turn to what I view as the core question presented by this en banc appeal: what the in-regard-to clause requires. With guidance from decisions applying Title VII's analogous "with-respect-to" provision, I conclude the plaintiff's burden under the in-regard-to clause is less [**104]  onerous than suggested by some of our decisions applying an "adverse employment action" requirement. But, even in a failure to accommodate case, the plaintiff must satisfy that burden.</w:t>
      </w:r>
    </w:p>
    <w:p w14:paraId="11CC82D0" w14:textId="77777777" w:rsidR="002B10A6" w:rsidRDefault="00000000">
      <w:pPr>
        <w:pStyle w:val="Normal23"/>
        <w:widowControl w:val="0"/>
        <w:spacing w:before="200" w:line="260" w:lineRule="atLeast"/>
        <w:jc w:val="both"/>
      </w:pPr>
      <w:bookmarkStart w:id="5102" w:name="Bookmark_para_151"/>
      <w:bookmarkEnd w:id="5102"/>
      <w:r>
        <w:rPr>
          <w:rFonts w:ascii="Arial" w:eastAsia="Arial" w:hAnsi="Arial" w:cs="Arial"/>
          <w:color w:val="000000"/>
          <w:sz w:val="20"/>
        </w:rPr>
        <w:t>Interpreting the role of the in-regard-to clause encompasses two inquiries: (1) What aspects of an employer's relationship with an employee are covered by the in-regard-to clause?; and (2) When is discrimination taken "in regard to" those covered aspects? I undertake each inquiry in turn.</w:t>
      </w:r>
    </w:p>
    <w:p w14:paraId="6DC322ED" w14:textId="77777777" w:rsidR="002B10A6" w:rsidRDefault="00000000">
      <w:pPr>
        <w:pStyle w:val="Normal23"/>
        <w:widowControl w:val="0"/>
        <w:spacing w:before="240" w:line="260" w:lineRule="atLeast"/>
      </w:pPr>
      <w:r>
        <w:br/>
      </w:r>
      <w:r>
        <w:rPr>
          <w:rFonts w:ascii="Arial" w:eastAsia="Arial" w:hAnsi="Arial" w:cs="Arial"/>
          <w:b/>
          <w:color w:val="000000"/>
          <w:sz w:val="20"/>
        </w:rPr>
        <w:t xml:space="preserve">A. </w:t>
      </w:r>
      <w:r>
        <w:rPr>
          <w:rFonts w:ascii="Arial" w:eastAsia="Arial" w:hAnsi="Arial" w:cs="Arial"/>
          <w:b/>
          <w:i/>
          <w:color w:val="000000"/>
          <w:sz w:val="20"/>
        </w:rPr>
        <w:t>The Scope of the In-Regard-To Clause</w:t>
      </w:r>
    </w:p>
    <w:p w14:paraId="721FD53B" w14:textId="77777777" w:rsidR="002B10A6" w:rsidRDefault="00000000">
      <w:pPr>
        <w:pStyle w:val="Normal23"/>
        <w:widowControl w:val="0"/>
        <w:spacing w:before="200" w:line="260" w:lineRule="atLeast"/>
        <w:jc w:val="both"/>
      </w:pPr>
      <w:bookmarkStart w:id="5103" w:name="Bookmark_para_152"/>
      <w:bookmarkEnd w:id="5103"/>
      <w:r>
        <w:rPr>
          <w:rFonts w:ascii="Arial" w:eastAsia="Arial" w:hAnsi="Arial" w:cs="Arial"/>
          <w:color w:val="000000"/>
          <w:sz w:val="20"/>
        </w:rPr>
        <w:t>Although the language of the statute identifies specific situations covered by the in-regard-to clause, the EEOC has provided additional guidance on that question. Therefore, I begin by setting forth the relevant EEOC regulation. Next, I turn to precedent interpreting Title VII. Last, I discuss which aspects of an employer's relationships are covered by the in-regard-to clause.</w:t>
      </w:r>
    </w:p>
    <w:p w14:paraId="4A443171" w14:textId="77777777" w:rsidR="002B10A6" w:rsidRDefault="00000000">
      <w:pPr>
        <w:pStyle w:val="Normal23"/>
        <w:widowControl w:val="0"/>
        <w:spacing w:before="240" w:line="260" w:lineRule="atLeast"/>
      </w:pPr>
      <w:r>
        <w:br/>
      </w:r>
      <w:r>
        <w:rPr>
          <w:rFonts w:ascii="Arial" w:eastAsia="Arial" w:hAnsi="Arial" w:cs="Arial"/>
          <w:b/>
          <w:color w:val="000000"/>
          <w:sz w:val="20"/>
        </w:rPr>
        <w:t>1. EEOC Regulations</w:t>
      </w:r>
    </w:p>
    <w:p w14:paraId="3529A361" w14:textId="77777777" w:rsidR="002B10A6" w:rsidRDefault="00000000">
      <w:pPr>
        <w:pStyle w:val="Normal23"/>
        <w:widowControl w:val="0"/>
        <w:spacing w:before="200" w:line="260" w:lineRule="atLeast"/>
        <w:jc w:val="both"/>
      </w:pPr>
      <w:bookmarkStart w:id="5104" w:name="Bookmark_para_153"/>
      <w:bookmarkEnd w:id="5104"/>
      <w:r>
        <w:rPr>
          <w:rFonts w:ascii="Arial" w:eastAsia="Arial" w:hAnsi="Arial" w:cs="Arial"/>
          <w:color w:val="000000"/>
          <w:sz w:val="20"/>
        </w:rPr>
        <w:t xml:space="preserve">Congress granted the EEOC the authority to issue regulations to carry out the ADA. </w:t>
      </w:r>
      <w:r>
        <w:rPr>
          <w:rFonts w:ascii="Arial" w:eastAsia="Arial" w:hAnsi="Arial" w:cs="Arial"/>
          <w:i/>
          <w:color w:val="000000"/>
          <w:sz w:val="20"/>
        </w:rPr>
        <w:t>See</w:t>
      </w:r>
      <w:r>
        <w:rPr>
          <w:rFonts w:ascii="Arial" w:eastAsia="Arial" w:hAnsi="Arial" w:cs="Arial"/>
          <w:color w:val="000000"/>
          <w:sz w:val="20"/>
        </w:rPr>
        <w:t xml:space="preserve"> 42 U.S.C. § 12116. The EEOC has used this authority to adopt a regulation expounding on the aspects of employment that are protected under the ADA:</w:t>
      </w:r>
    </w:p>
    <w:p w14:paraId="196D8639" w14:textId="77777777" w:rsidR="002B10A6" w:rsidRDefault="00000000">
      <w:pPr>
        <w:pStyle w:val="Normal23"/>
        <w:widowControl w:val="0"/>
        <w:spacing w:before="200" w:line="260" w:lineRule="atLeast"/>
        <w:ind w:left="400"/>
        <w:jc w:val="both"/>
      </w:pPr>
      <w:bookmarkStart w:id="5105" w:name="Bookmark_para_154"/>
      <w:bookmarkEnd w:id="5105"/>
      <w:r>
        <w:rPr>
          <w:rFonts w:ascii="Arial" w:eastAsia="Arial" w:hAnsi="Arial" w:cs="Arial"/>
          <w:color w:val="000000"/>
          <w:sz w:val="20"/>
        </w:rPr>
        <w:t>It is unlawful for a[n employer] to discriminate on the basis of disability [**105]  against a qualified individual in regard to:</w:t>
      </w:r>
    </w:p>
    <w:p w14:paraId="19C30536" w14:textId="77777777" w:rsidR="002B10A6" w:rsidRDefault="00000000">
      <w:pPr>
        <w:pStyle w:val="Normal23"/>
        <w:widowControl w:val="0"/>
        <w:spacing w:line="260" w:lineRule="atLeast"/>
        <w:ind w:left="400"/>
        <w:jc w:val="both"/>
      </w:pPr>
      <w:bookmarkStart w:id="5106" w:name="Bookmark_para_155"/>
      <w:bookmarkEnd w:id="5106"/>
      <w:r>
        <w:rPr>
          <w:rFonts w:ascii="Arial" w:eastAsia="Arial" w:hAnsi="Arial" w:cs="Arial"/>
          <w:color w:val="000000"/>
          <w:sz w:val="20"/>
        </w:rPr>
        <w:t>(i) Recruitment, advertising, and job application procedures;</w:t>
      </w:r>
    </w:p>
    <w:p w14:paraId="69ABAD8D" w14:textId="77777777" w:rsidR="002B10A6" w:rsidRDefault="00000000">
      <w:pPr>
        <w:pStyle w:val="Normal23"/>
        <w:widowControl w:val="0"/>
        <w:spacing w:before="200" w:line="260" w:lineRule="atLeast"/>
        <w:ind w:left="400"/>
        <w:jc w:val="both"/>
      </w:pPr>
      <w:bookmarkStart w:id="5107" w:name="Bookmark_para_156"/>
      <w:bookmarkEnd w:id="5107"/>
      <w:r>
        <w:rPr>
          <w:rFonts w:ascii="Arial" w:eastAsia="Arial" w:hAnsi="Arial" w:cs="Arial"/>
          <w:color w:val="000000"/>
          <w:sz w:val="20"/>
        </w:rPr>
        <w:t>(ii) Hiring, upgrading, promotion, award of tenure, demotion, transfer, layoff, termination,  [*834]  right of return from layoff, and rehiring;</w:t>
      </w:r>
    </w:p>
    <w:p w14:paraId="7A2DD841" w14:textId="77777777" w:rsidR="002B10A6" w:rsidRDefault="00000000">
      <w:pPr>
        <w:pStyle w:val="Normal23"/>
        <w:widowControl w:val="0"/>
        <w:spacing w:line="260" w:lineRule="atLeast"/>
        <w:ind w:left="400"/>
        <w:jc w:val="both"/>
      </w:pPr>
      <w:bookmarkStart w:id="5108" w:name="Bookmark_para_157"/>
      <w:bookmarkEnd w:id="5108"/>
      <w:r>
        <w:rPr>
          <w:rFonts w:ascii="Arial" w:eastAsia="Arial" w:hAnsi="Arial" w:cs="Arial"/>
          <w:color w:val="000000"/>
          <w:sz w:val="20"/>
        </w:rPr>
        <w:t>(iii) Rates of pay or any other form of compensation and changes in compensation;</w:t>
      </w:r>
    </w:p>
    <w:p w14:paraId="4BCE343E" w14:textId="77777777" w:rsidR="002B10A6" w:rsidRDefault="00000000">
      <w:pPr>
        <w:pStyle w:val="Normal23"/>
        <w:widowControl w:val="0"/>
        <w:spacing w:line="260" w:lineRule="atLeast"/>
        <w:ind w:left="400"/>
        <w:jc w:val="both"/>
      </w:pPr>
      <w:bookmarkStart w:id="5109" w:name="Bookmark_para_158"/>
      <w:bookmarkEnd w:id="5109"/>
      <w:r>
        <w:rPr>
          <w:rFonts w:ascii="Arial" w:eastAsia="Arial" w:hAnsi="Arial" w:cs="Arial"/>
          <w:color w:val="000000"/>
          <w:sz w:val="20"/>
        </w:rPr>
        <w:t>(iv) Job assignments, job classifications, organizational structures, position descriptions, lines of progression, and seniority lists;</w:t>
      </w:r>
    </w:p>
    <w:p w14:paraId="40B70777" w14:textId="77777777" w:rsidR="002B10A6" w:rsidRDefault="00000000">
      <w:pPr>
        <w:pStyle w:val="Normal23"/>
        <w:widowControl w:val="0"/>
        <w:spacing w:line="260" w:lineRule="atLeast"/>
        <w:ind w:left="400"/>
        <w:jc w:val="both"/>
      </w:pPr>
      <w:bookmarkStart w:id="5110" w:name="Bookmark_para_159"/>
      <w:bookmarkEnd w:id="5110"/>
      <w:r>
        <w:rPr>
          <w:rFonts w:ascii="Arial" w:eastAsia="Arial" w:hAnsi="Arial" w:cs="Arial"/>
          <w:color w:val="000000"/>
          <w:sz w:val="20"/>
        </w:rPr>
        <w:t>(v) Leaves of absence, sick leave, or any other leave;</w:t>
      </w:r>
    </w:p>
    <w:p w14:paraId="48A62B02" w14:textId="77777777" w:rsidR="002B10A6" w:rsidRDefault="00000000">
      <w:pPr>
        <w:pStyle w:val="Normal23"/>
        <w:widowControl w:val="0"/>
        <w:spacing w:line="260" w:lineRule="atLeast"/>
        <w:ind w:left="400"/>
        <w:jc w:val="both"/>
      </w:pPr>
      <w:bookmarkStart w:id="5111" w:name="Bookmark_para_160"/>
      <w:bookmarkEnd w:id="5111"/>
      <w:r>
        <w:rPr>
          <w:rFonts w:ascii="Arial" w:eastAsia="Arial" w:hAnsi="Arial" w:cs="Arial"/>
          <w:color w:val="000000"/>
          <w:sz w:val="20"/>
        </w:rPr>
        <w:t>(vi) Fringe benefits available by virtue of employment, whether or not administered by the [employer];</w:t>
      </w:r>
    </w:p>
    <w:p w14:paraId="29CCD035" w14:textId="77777777" w:rsidR="002B10A6" w:rsidRDefault="00000000">
      <w:pPr>
        <w:pStyle w:val="Normal23"/>
        <w:widowControl w:val="0"/>
        <w:spacing w:line="260" w:lineRule="atLeast"/>
        <w:ind w:left="400"/>
        <w:jc w:val="both"/>
      </w:pPr>
      <w:bookmarkStart w:id="5112" w:name="Bookmark_para_161"/>
      <w:bookmarkEnd w:id="5112"/>
      <w:r>
        <w:rPr>
          <w:rFonts w:ascii="Arial" w:eastAsia="Arial" w:hAnsi="Arial" w:cs="Arial"/>
          <w:color w:val="000000"/>
          <w:sz w:val="20"/>
        </w:rPr>
        <w:t>(vii) Selection and financial support for training, including: apprenticeships, professional meetings, conferences and other related activities, and selection for leaves of absence to pursue training;</w:t>
      </w:r>
    </w:p>
    <w:p w14:paraId="315C4AFC" w14:textId="77777777" w:rsidR="002B10A6" w:rsidRDefault="00000000">
      <w:pPr>
        <w:pStyle w:val="Normal23"/>
        <w:widowControl w:val="0"/>
        <w:spacing w:line="260" w:lineRule="atLeast"/>
        <w:ind w:left="400"/>
        <w:jc w:val="both"/>
      </w:pPr>
      <w:bookmarkStart w:id="5113" w:name="Bookmark_para_162"/>
      <w:bookmarkEnd w:id="5113"/>
      <w:r>
        <w:rPr>
          <w:rFonts w:ascii="Arial" w:eastAsia="Arial" w:hAnsi="Arial" w:cs="Arial"/>
          <w:color w:val="000000"/>
          <w:sz w:val="20"/>
        </w:rPr>
        <w:t>(viii) Activities sponsored by a[n employer], including social and recreational programs; and</w:t>
      </w:r>
    </w:p>
    <w:p w14:paraId="3CB57532" w14:textId="77777777" w:rsidR="002B10A6" w:rsidRDefault="00000000">
      <w:pPr>
        <w:pStyle w:val="Normal23"/>
        <w:widowControl w:val="0"/>
        <w:spacing w:line="260" w:lineRule="atLeast"/>
        <w:ind w:left="400"/>
        <w:jc w:val="both"/>
      </w:pPr>
      <w:bookmarkStart w:id="5114" w:name="Bookmark_para_163"/>
      <w:bookmarkEnd w:id="5114"/>
      <w:r>
        <w:rPr>
          <w:rFonts w:ascii="Arial" w:eastAsia="Arial" w:hAnsi="Arial" w:cs="Arial"/>
          <w:color w:val="000000"/>
          <w:sz w:val="20"/>
        </w:rPr>
        <w:t>(ix) Any other term, condition, or privilege of employment.</w:t>
      </w:r>
    </w:p>
    <w:p w14:paraId="185DDC3A" w14:textId="77777777" w:rsidR="002B10A6" w:rsidRDefault="00000000">
      <w:pPr>
        <w:pStyle w:val="Normal23"/>
        <w:widowControl w:val="0"/>
        <w:spacing w:line="260" w:lineRule="atLeast"/>
        <w:jc w:val="both"/>
      </w:pPr>
      <w:r>
        <w:rPr>
          <w:rFonts w:ascii="Arial" w:eastAsia="Arial" w:hAnsi="Arial" w:cs="Arial"/>
          <w:color w:val="000000"/>
          <w:sz w:val="20"/>
        </w:rPr>
        <w:t>29 C.F.R. § 1630.4(a)(1).</w:t>
      </w:r>
    </w:p>
    <w:p w14:paraId="63D66779" w14:textId="77777777" w:rsidR="002B10A6" w:rsidRDefault="00000000">
      <w:pPr>
        <w:pStyle w:val="Normal23"/>
        <w:widowControl w:val="0"/>
        <w:spacing w:before="200" w:line="260" w:lineRule="atLeast"/>
        <w:jc w:val="both"/>
      </w:pPr>
      <w:bookmarkStart w:id="5115" w:name="Bookmark_para_164"/>
      <w:bookmarkEnd w:id="5115"/>
      <w:r>
        <w:rPr>
          <w:rFonts w:ascii="Arial" w:eastAsia="Arial" w:hAnsi="Arial" w:cs="Arial"/>
          <w:color w:val="000000"/>
          <w:sz w:val="20"/>
        </w:rPr>
        <w:t xml:space="preserve">Through this regulation, the EEOC has defined certain circumstances that fall within the scope of the ADA. But § 1630.4(a)(1) also contains the same catchall as § 12112(a): other terms, conditions, and privileges of employment. </w:t>
      </w:r>
      <w:r>
        <w:rPr>
          <w:rFonts w:ascii="Arial" w:eastAsia="Arial" w:hAnsi="Arial" w:cs="Arial"/>
          <w:i/>
          <w:color w:val="000000"/>
          <w:sz w:val="20"/>
        </w:rPr>
        <w:t>See</w:t>
      </w:r>
      <w:r>
        <w:rPr>
          <w:rFonts w:ascii="Arial" w:eastAsia="Arial" w:hAnsi="Arial" w:cs="Arial"/>
          <w:color w:val="000000"/>
          <w:sz w:val="20"/>
        </w:rPr>
        <w:t xml:space="preserve"> 29 C.F.R. § 1630.4(a)(1)(ix). Thus, neither the statutory [**106]  nor the regulatory categories are exclusive.</w:t>
      </w:r>
    </w:p>
    <w:p w14:paraId="334C74F5" w14:textId="77777777" w:rsidR="002B10A6" w:rsidRDefault="00000000">
      <w:pPr>
        <w:pStyle w:val="Normal23"/>
        <w:widowControl w:val="0"/>
        <w:spacing w:before="240" w:line="260" w:lineRule="atLeast"/>
      </w:pPr>
      <w:r>
        <w:br/>
      </w:r>
      <w:r>
        <w:rPr>
          <w:rFonts w:ascii="Arial" w:eastAsia="Arial" w:hAnsi="Arial" w:cs="Arial"/>
          <w:b/>
          <w:color w:val="000000"/>
          <w:sz w:val="20"/>
        </w:rPr>
        <w:t>2. Title VII</w:t>
      </w:r>
    </w:p>
    <w:p w14:paraId="172FB957" w14:textId="77777777" w:rsidR="002B10A6" w:rsidRDefault="00000000">
      <w:pPr>
        <w:pStyle w:val="Normal23"/>
        <w:widowControl w:val="0"/>
        <w:spacing w:before="200" w:line="260" w:lineRule="atLeast"/>
        <w:jc w:val="both"/>
      </w:pPr>
      <w:bookmarkStart w:id="5116" w:name="Bookmark_para_165"/>
      <w:bookmarkStart w:id="5117" w:name="Bookmark_I722C9X0T5V0000671P00051"/>
      <w:bookmarkStart w:id="5118" w:name="Bookmark_I722C9X0WY70000671P00052"/>
      <w:bookmarkStart w:id="5119" w:name="Bookmark_I61CDGJX28T3TY0020000400"/>
      <w:bookmarkEnd w:id="5116"/>
      <w:bookmarkEnd w:id="5117"/>
      <w:bookmarkEnd w:id="5118"/>
      <w:bookmarkEnd w:id="5119"/>
      <w:r>
        <w:rPr>
          <w:rFonts w:ascii="Arial" w:eastAsia="Arial" w:hAnsi="Arial" w:cs="Arial"/>
          <w:color w:val="000000"/>
          <w:sz w:val="20"/>
        </w:rPr>
        <w:t xml:space="preserve">As previously mentioned, this court has recognized the importance of interpreting the ADA congruently with similar language in Title VII. </w:t>
      </w:r>
      <w:r>
        <w:rPr>
          <w:rFonts w:ascii="Arial" w:eastAsia="Arial" w:hAnsi="Arial" w:cs="Arial"/>
          <w:i/>
          <w:color w:val="000000"/>
          <w:sz w:val="20"/>
        </w:rPr>
        <w:t xml:space="preserve">See </w:t>
      </w:r>
      <w:bookmarkStart w:id="5120" w:name="Bookmark_I61CDGJX28T3TY0010000400"/>
      <w:bookmarkEnd w:id="5120"/>
      <w:r>
        <w:rPr>
          <w:rFonts w:ascii="Arial" w:eastAsia="Arial" w:hAnsi="Arial" w:cs="Arial"/>
          <w:i/>
          <w:color w:val="000000"/>
          <w:sz w:val="20"/>
        </w:rPr>
        <w:t>Lanman</w:t>
      </w:r>
      <w:r>
        <w:rPr>
          <w:rFonts w:ascii="Arial" w:eastAsia="Arial" w:hAnsi="Arial" w:cs="Arial"/>
          <w:color w:val="000000"/>
          <w:sz w:val="20"/>
        </w:rPr>
        <w:t xml:space="preserve">, 393 F.3d at 1155 ("Congress borrowed [the terms, conditions, and privileges of employment] language from Title VII," and its "incorporation of this language into the ADA is indicative of its intent that the language mean the same in the ADA as it does in Title VII."); </w:t>
      </w:r>
      <w:r>
        <w:rPr>
          <w:rFonts w:ascii="Arial" w:eastAsia="Arial" w:hAnsi="Arial" w:cs="Arial"/>
          <w:i/>
          <w:color w:val="000000"/>
          <w:sz w:val="20"/>
        </w:rPr>
        <w:t>id.</w:t>
      </w:r>
      <w:r>
        <w:rPr>
          <w:rFonts w:ascii="Arial" w:eastAsia="Arial" w:hAnsi="Arial" w:cs="Arial"/>
          <w:color w:val="000000"/>
          <w:sz w:val="20"/>
        </w:rPr>
        <w:t xml:space="preserve"> ("The parallel purposes and remedial structures of the two statutes also support a consistent interpretation."); </w:t>
      </w:r>
      <w:r>
        <w:rPr>
          <w:rFonts w:ascii="Arial" w:eastAsia="Arial" w:hAnsi="Arial" w:cs="Arial"/>
          <w:i/>
          <w:color w:val="000000"/>
          <w:sz w:val="20"/>
        </w:rPr>
        <w:t xml:space="preserve">see also </w:t>
      </w:r>
      <w:bookmarkStart w:id="5121" w:name="Bookmark_I61CDGJX28T3TY0030000400"/>
      <w:bookmarkEnd w:id="5121"/>
      <w:r>
        <w:rPr>
          <w:rFonts w:ascii="Arial" w:eastAsia="Arial" w:hAnsi="Arial" w:cs="Arial"/>
          <w:i/>
          <w:color w:val="000000"/>
          <w:sz w:val="20"/>
        </w:rPr>
        <w:t>Smith v. City of Jackson</w:t>
      </w:r>
      <w:r>
        <w:rPr>
          <w:rFonts w:ascii="Arial" w:eastAsia="Arial" w:hAnsi="Arial" w:cs="Arial"/>
          <w:color w:val="000000"/>
          <w:sz w:val="20"/>
        </w:rPr>
        <w:t>, 544 U.S. 228, 233, 125 S. Ct. 1536, 161 L. Ed. 2d 410 (2005) (plurality) ("[W]hen Congress uses the same language in two statutes having similar purposes . . . it is appropriate to presume that Congress intended that text to have the same meaning in both statutes.").</w:t>
      </w:r>
    </w:p>
    <w:p w14:paraId="1CE60C62" w14:textId="77777777" w:rsidR="002B10A6" w:rsidRDefault="00000000">
      <w:pPr>
        <w:pStyle w:val="Normal23"/>
        <w:widowControl w:val="0"/>
        <w:spacing w:before="200" w:line="260" w:lineRule="atLeast"/>
        <w:jc w:val="both"/>
      </w:pPr>
      <w:bookmarkStart w:id="5122" w:name="Bookmark_para_166"/>
      <w:bookmarkEnd w:id="5122"/>
      <w:r>
        <w:rPr>
          <w:rFonts w:ascii="Arial" w:eastAsia="Arial" w:hAnsi="Arial" w:cs="Arial"/>
          <w:color w:val="000000"/>
          <w:sz w:val="20"/>
        </w:rPr>
        <w:t>Under the disparate-treatment provision of Title VII, it is "an unlawful employment practice for an employer . . . to fail or refuse to hire or to discharge any individual, or otherwise to discriminate against any individual with respect to his compensation, terms, conditions, or privileges of employment, because of such individual's race, color, religion, sex, or national origin." 42 U.S.C. § 2000e-2(a)(1). I find it helpful to consider [**107]  Title VII's with-respect-to clause in interpreting the ADA's in-regard-to clause. In doing so, I first examine the treatment of claims under Title VII for failure to accommodate religious practices, which require the plaintiff to show that the non-accommodation was with respect to the terms, conditions, or privileges of employment. Next, I explore the scope of Title VII's "terms, conditions, or privileges of employment" language, which in my view is broader than some of our decisions suggest. Finally, I apply the lessons learned from that analysis to the ADA's in-regard-to clause.</w:t>
      </w:r>
    </w:p>
    <w:p w14:paraId="4075D3E8" w14:textId="77777777" w:rsidR="002B10A6" w:rsidRDefault="00000000">
      <w:pPr>
        <w:pStyle w:val="Normal23"/>
        <w:widowControl w:val="0"/>
        <w:spacing w:before="240" w:line="260" w:lineRule="atLeast"/>
      </w:pPr>
      <w:r>
        <w:br/>
      </w:r>
      <w:r>
        <w:rPr>
          <w:rFonts w:ascii="Arial" w:eastAsia="Arial" w:hAnsi="Arial" w:cs="Arial"/>
          <w:i/>
          <w:color w:val="000000"/>
          <w:sz w:val="20"/>
        </w:rPr>
        <w:t>a. Failure to accommodate under Title VII</w:t>
      </w:r>
    </w:p>
    <w:p w14:paraId="034F4FFD" w14:textId="77777777" w:rsidR="002B10A6" w:rsidRDefault="00000000">
      <w:pPr>
        <w:pStyle w:val="Normal23"/>
        <w:widowControl w:val="0"/>
        <w:spacing w:before="200" w:line="260" w:lineRule="atLeast"/>
        <w:jc w:val="both"/>
      </w:pPr>
      <w:bookmarkStart w:id="5123" w:name="Bookmark_para_167"/>
      <w:bookmarkEnd w:id="5123"/>
      <w:r>
        <w:rPr>
          <w:rFonts w:ascii="Arial" w:eastAsia="Arial" w:hAnsi="Arial" w:cs="Arial"/>
          <w:color w:val="000000"/>
          <w:sz w:val="20"/>
        </w:rPr>
        <w:t xml:space="preserve">Given the clear parallels between the ADA and Title VII, it is instructive to compare failure-to-accommodate claims under both statutes. In the Title VII context, a failure-to-accommodate claim addresses an employee's religious practices,  [*835]  rather than her disability. </w:t>
      </w:r>
      <w:bookmarkStart w:id="5124" w:name="Bookmark_I722C9X10VP0000671P00053"/>
      <w:bookmarkStart w:id="5125" w:name="Bookmark_I722C9X13M60000671P00054"/>
      <w:bookmarkStart w:id="5126" w:name="Bookmark_I61CDGJX2D6N7T0010000400"/>
      <w:bookmarkEnd w:id="5124"/>
      <w:bookmarkEnd w:id="5125"/>
      <w:bookmarkEnd w:id="5126"/>
      <w:r>
        <w:rPr>
          <w:rFonts w:ascii="Arial" w:eastAsia="Arial" w:hAnsi="Arial" w:cs="Arial"/>
          <w:color w:val="000000"/>
          <w:sz w:val="20"/>
        </w:rPr>
        <w:t xml:space="preserve">And a plaintiff seeking to state a claim for an employer's failure to accommodate her religious practices cannot stand merely on the employer's non-accommodation—rather, she must show that she was subjected to an adverse employment action in connection with that non-accommodation. Specifically, we require [**108]  an employee to show that she was either fired or not hired for failing to comply with an employer requirement that conflicts with her religious belief. </w:t>
      </w:r>
      <w:r>
        <w:rPr>
          <w:rFonts w:ascii="Arial" w:eastAsia="Arial" w:hAnsi="Arial" w:cs="Arial"/>
          <w:i/>
          <w:color w:val="000000"/>
          <w:sz w:val="20"/>
        </w:rPr>
        <w:t xml:space="preserve">See </w:t>
      </w:r>
      <w:bookmarkStart w:id="5127" w:name="Bookmark_I61CDGJX28T3TY0050000400"/>
      <w:bookmarkEnd w:id="5127"/>
      <w:r>
        <w:rPr>
          <w:rFonts w:ascii="Arial" w:eastAsia="Arial" w:hAnsi="Arial" w:cs="Arial"/>
          <w:i/>
          <w:color w:val="000000"/>
          <w:sz w:val="20"/>
        </w:rPr>
        <w:t>Thomas v. Nat'l Ass'n of Letter Carriers</w:t>
      </w:r>
      <w:r>
        <w:rPr>
          <w:rFonts w:ascii="Arial" w:eastAsia="Arial" w:hAnsi="Arial" w:cs="Arial"/>
          <w:color w:val="000000"/>
          <w:sz w:val="20"/>
        </w:rPr>
        <w:t xml:space="preserve">, 225 F.3d 1149, 1155 (10th Cir. 2000) (fired); </w:t>
      </w:r>
      <w:bookmarkStart w:id="5128" w:name="Bookmark_I61CDGJX2D6N7T0020000400"/>
      <w:bookmarkEnd w:id="5128"/>
      <w:r>
        <w:rPr>
          <w:rFonts w:ascii="Arial" w:eastAsia="Arial" w:hAnsi="Arial" w:cs="Arial"/>
          <w:i/>
          <w:color w:val="000000"/>
          <w:sz w:val="20"/>
        </w:rPr>
        <w:t>Toledo v. Nobel-Sysco, Inc.</w:t>
      </w:r>
      <w:r>
        <w:rPr>
          <w:rFonts w:ascii="Arial" w:eastAsia="Arial" w:hAnsi="Arial" w:cs="Arial"/>
          <w:color w:val="000000"/>
          <w:sz w:val="20"/>
        </w:rPr>
        <w:t>, 892 F.2d 1481, 1486 (10th Cir. 1989) (not hired).</w:t>
      </w:r>
    </w:p>
    <w:p w14:paraId="14BC552F" w14:textId="77777777" w:rsidR="002B10A6" w:rsidRDefault="00000000">
      <w:pPr>
        <w:pStyle w:val="Normal23"/>
        <w:widowControl w:val="0"/>
        <w:spacing w:before="200" w:line="260" w:lineRule="atLeast"/>
        <w:jc w:val="both"/>
      </w:pPr>
      <w:bookmarkStart w:id="5129" w:name="Bookmark_para_168"/>
      <w:bookmarkStart w:id="5130" w:name="Bookmark_I722C9X16DF0000671P00055"/>
      <w:bookmarkStart w:id="5131" w:name="Bookmark_I61CDGJX2D6N7T0050000400"/>
      <w:bookmarkStart w:id="5132" w:name="Bookmark_I722C9X195D0000671P00056"/>
      <w:bookmarkStart w:id="5133" w:name="Bookmark_I722C9X1CY90000671P00057"/>
      <w:bookmarkStart w:id="5134" w:name="Bookmark_I722C9X1GXJ0000671P00058"/>
      <w:bookmarkStart w:id="5135" w:name="Bookmark_I722C9X1KNY0000671P00059"/>
      <w:bookmarkStart w:id="5136" w:name="Bookmark_I61CDGJY2N1R940020000400"/>
      <w:bookmarkEnd w:id="5129"/>
      <w:bookmarkEnd w:id="5130"/>
      <w:bookmarkEnd w:id="5131"/>
      <w:bookmarkEnd w:id="5132"/>
      <w:bookmarkEnd w:id="5133"/>
      <w:bookmarkEnd w:id="5134"/>
      <w:bookmarkEnd w:id="5135"/>
      <w:bookmarkEnd w:id="5136"/>
      <w:r>
        <w:rPr>
          <w:rFonts w:ascii="Arial" w:eastAsia="Arial" w:hAnsi="Arial" w:cs="Arial"/>
          <w:color w:val="000000"/>
          <w:sz w:val="20"/>
        </w:rPr>
        <w:t xml:space="preserve">The Supreme Court's most recent discussion of Title VII religious failure-to-accommodate claims came in </w:t>
      </w:r>
      <w:bookmarkStart w:id="5137" w:name="Bookmark_I61CDGJX2D6N7T0040000400"/>
      <w:bookmarkEnd w:id="5137"/>
      <w:r>
        <w:rPr>
          <w:rFonts w:ascii="Arial" w:eastAsia="Arial" w:hAnsi="Arial" w:cs="Arial"/>
          <w:i/>
          <w:color w:val="000000"/>
          <w:sz w:val="20"/>
        </w:rPr>
        <w:t>EEOC v. Abercrombie &amp; Fitch Stores, Inc.</w:t>
      </w:r>
      <w:r>
        <w:rPr>
          <w:rFonts w:ascii="Arial" w:eastAsia="Arial" w:hAnsi="Arial" w:cs="Arial"/>
          <w:color w:val="000000"/>
          <w:sz w:val="20"/>
        </w:rPr>
        <w:t xml:space="preserve">, 575 U.S. 768, 135 S. Ct. 2028, 192 L. Ed. 2d 35 (2015). There, the Court clarified that these claims can be brought under either Title VII's disparate-treatment provision, 42 U.S.C. § 2000e-2(a)(1), or its disparate-impact provision, </w:t>
      </w:r>
      <w:r>
        <w:rPr>
          <w:rFonts w:ascii="Arial" w:eastAsia="Arial" w:hAnsi="Arial" w:cs="Arial"/>
          <w:i/>
          <w:color w:val="000000"/>
          <w:sz w:val="20"/>
        </w:rPr>
        <w:t>id.</w:t>
      </w:r>
      <w:r>
        <w:rPr>
          <w:rFonts w:ascii="Arial" w:eastAsia="Arial" w:hAnsi="Arial" w:cs="Arial"/>
          <w:color w:val="000000"/>
          <w:sz w:val="20"/>
        </w:rPr>
        <w:t xml:space="preserve"> § 2000e-2(a)(2). </w:t>
      </w:r>
      <w:r>
        <w:rPr>
          <w:rFonts w:ascii="Arial" w:eastAsia="Arial" w:hAnsi="Arial" w:cs="Arial"/>
          <w:i/>
          <w:color w:val="000000"/>
          <w:sz w:val="20"/>
        </w:rPr>
        <w:t>See</w:t>
      </w:r>
      <w:r>
        <w:rPr>
          <w:rFonts w:ascii="Arial" w:eastAsia="Arial" w:hAnsi="Arial" w:cs="Arial"/>
          <w:color w:val="000000"/>
          <w:sz w:val="20"/>
        </w:rPr>
        <w:t xml:space="preserve"> </w:t>
      </w:r>
      <w:bookmarkStart w:id="5138" w:name="Bookmark_I61CDGJY2N1R940010000400"/>
      <w:bookmarkEnd w:id="5138"/>
      <w:r>
        <w:rPr>
          <w:rFonts w:ascii="Arial" w:eastAsia="Arial" w:hAnsi="Arial" w:cs="Arial"/>
          <w:color w:val="000000"/>
          <w:sz w:val="20"/>
        </w:rPr>
        <w:t>135 S. Ct. at 2033-34.</w:t>
      </w:r>
      <w:r>
        <w:rPr>
          <w:rFonts w:ascii="Arial" w:eastAsia="Arial" w:hAnsi="Arial" w:cs="Arial"/>
          <w:vertAlign w:val="superscript"/>
        </w:rPr>
        <w:footnoteReference w:customMarkFollows="1" w:id="194"/>
        <w:t>6</w:t>
      </w:r>
      <w:r>
        <w:rPr>
          <w:rFonts w:ascii="Arial" w:eastAsia="Arial" w:hAnsi="Arial" w:cs="Arial"/>
          <w:color w:val="000000"/>
          <w:sz w:val="20"/>
        </w:rPr>
        <w:t xml:space="preserve"> Regarding a religious failure-to-accommodate claim brought under the disparate-treatment provision, the Court held that Title VII gives religious practices "favored treatment, affirmatively obligating employers not 'to fail or refuse to hire or discharge any individual . . . because of such individual's' 'religious observance and practice.'" </w:t>
      </w:r>
      <w:bookmarkStart w:id="5159" w:name="Bookmark_I61CDGJY2N1R940030000400"/>
      <w:bookmarkEnd w:id="5159"/>
      <w:r>
        <w:rPr>
          <w:rFonts w:ascii="Arial" w:eastAsia="Arial" w:hAnsi="Arial" w:cs="Arial"/>
          <w:i/>
          <w:color w:val="000000"/>
          <w:sz w:val="20"/>
        </w:rPr>
        <w:t>Id.</w:t>
      </w:r>
      <w:r>
        <w:rPr>
          <w:rFonts w:ascii="Arial" w:eastAsia="Arial" w:hAnsi="Arial" w:cs="Arial"/>
          <w:color w:val="000000"/>
          <w:sz w:val="20"/>
        </w:rPr>
        <w:t xml:space="preserve"> at 2034 (ellipsis in original); </w:t>
      </w:r>
      <w:r>
        <w:rPr>
          <w:rFonts w:ascii="Arial" w:eastAsia="Arial" w:hAnsi="Arial" w:cs="Arial"/>
          <w:i/>
          <w:color w:val="000000"/>
          <w:sz w:val="20"/>
        </w:rPr>
        <w:t xml:space="preserve">see also </w:t>
      </w:r>
      <w:bookmarkStart w:id="5160" w:name="Bookmark_I61CDGJY2N1R940050000400"/>
      <w:bookmarkEnd w:id="5160"/>
      <w:r>
        <w:rPr>
          <w:rFonts w:ascii="Arial" w:eastAsia="Arial" w:hAnsi="Arial" w:cs="Arial"/>
          <w:i/>
          <w:color w:val="000000"/>
          <w:sz w:val="20"/>
        </w:rPr>
        <w:t>id</w:t>
      </w:r>
      <w:r>
        <w:rPr>
          <w:rFonts w:ascii="Arial" w:eastAsia="Arial" w:hAnsi="Arial" w:cs="Arial"/>
          <w:color w:val="000000"/>
          <w:sz w:val="20"/>
        </w:rPr>
        <w:t xml:space="preserve"> at 2033 ("An employer may not make a [ job] applicant's religious practice, confirmed or otherwise, a factor in employment decisions."); </w:t>
      </w:r>
      <w:bookmarkStart w:id="5161" w:name="Bookmark_I61CDGJY28T3V30020000400"/>
      <w:bookmarkEnd w:id="5161"/>
      <w:r>
        <w:rPr>
          <w:rFonts w:ascii="Arial" w:eastAsia="Arial" w:hAnsi="Arial" w:cs="Arial"/>
          <w:i/>
          <w:color w:val="000000"/>
          <w:sz w:val="20"/>
        </w:rPr>
        <w:t>id.</w:t>
      </w:r>
      <w:r>
        <w:rPr>
          <w:rFonts w:ascii="Arial" w:eastAsia="Arial" w:hAnsi="Arial" w:cs="Arial"/>
          <w:color w:val="000000"/>
          <w:sz w:val="20"/>
        </w:rPr>
        <w:t xml:space="preserve"> at 2034 (Alito, J., concurring in the judgment) ("Title VII . . . prohibits an employer from taking an adverse employment action (refusal to hire, discharge, etc.) 'against any individual . . . because of such individual's . . . religion.'" (footnote [**109]  omitted) (ellipses in original) (quoting 42 U.S.C. § 2000e-2(a))). </w:t>
      </w:r>
      <w:r>
        <w:rPr>
          <w:rFonts w:ascii="Arial" w:eastAsia="Arial" w:hAnsi="Arial" w:cs="Arial"/>
          <w:i/>
          <w:color w:val="000000"/>
          <w:sz w:val="20"/>
        </w:rPr>
        <w:t>Abercrombie &amp; Fitch</w:t>
      </w:r>
      <w:r>
        <w:rPr>
          <w:rFonts w:ascii="Arial" w:eastAsia="Arial" w:hAnsi="Arial" w:cs="Arial"/>
          <w:color w:val="000000"/>
          <w:sz w:val="20"/>
        </w:rPr>
        <w:t xml:space="preserve"> thus makes clear that, in the Title VII context, a disparate-treatment claim for failure to accommodate religious practices requires that the non-accommodation result in an adverse impact with respect to hiring, firing, or the terms, conditions, or privileges of employment.</w:t>
      </w:r>
    </w:p>
    <w:p w14:paraId="181CAF5D" w14:textId="77777777" w:rsidR="002B10A6" w:rsidRDefault="00000000">
      <w:pPr>
        <w:pStyle w:val="Normal23"/>
        <w:widowControl w:val="0"/>
        <w:spacing w:before="200" w:line="260" w:lineRule="atLeast"/>
        <w:jc w:val="both"/>
      </w:pPr>
      <w:bookmarkStart w:id="5162" w:name="Bookmark_para_169"/>
      <w:bookmarkEnd w:id="5162"/>
      <w:r>
        <w:rPr>
          <w:rFonts w:ascii="Arial" w:eastAsia="Arial" w:hAnsi="Arial" w:cs="Arial"/>
          <w:color w:val="000000"/>
          <w:sz w:val="20"/>
        </w:rPr>
        <w:t xml:space="preserve">The majority contends that the inclusion of an adverse-employment-action requirement in Title VII religious failure-to-accommodate claims can be explained by the fact that the cases mentioning that requirement all concern disparate treatment. </w:t>
      </w:r>
      <w:r>
        <w:rPr>
          <w:rFonts w:ascii="Arial" w:eastAsia="Arial" w:hAnsi="Arial" w:cs="Arial"/>
          <w:i/>
          <w:color w:val="000000"/>
          <w:sz w:val="20"/>
        </w:rPr>
        <w:t>See</w:t>
      </w:r>
      <w:r>
        <w:rPr>
          <w:rFonts w:ascii="Arial" w:eastAsia="Arial" w:hAnsi="Arial" w:cs="Arial"/>
          <w:color w:val="000000"/>
          <w:sz w:val="20"/>
        </w:rPr>
        <w:t xml:space="preserve"> Maj. Op. at 14-15 n.3. And it is "wholly unremarkable" "[t]hat a disparate-treatment  [*836]  claim—under Title VII </w:t>
      </w:r>
      <w:r>
        <w:rPr>
          <w:rFonts w:ascii="Arial" w:eastAsia="Arial" w:hAnsi="Arial" w:cs="Arial"/>
          <w:i/>
          <w:color w:val="000000"/>
          <w:sz w:val="20"/>
        </w:rPr>
        <w:t>or</w:t>
      </w:r>
      <w:r>
        <w:rPr>
          <w:rFonts w:ascii="Arial" w:eastAsia="Arial" w:hAnsi="Arial" w:cs="Arial"/>
          <w:color w:val="000000"/>
          <w:sz w:val="20"/>
        </w:rPr>
        <w:t xml:space="preserve"> the ADA—would require an adverse employment action." </w:t>
      </w:r>
      <w:r>
        <w:rPr>
          <w:rFonts w:ascii="Arial" w:eastAsia="Arial" w:hAnsi="Arial" w:cs="Arial"/>
          <w:i/>
          <w:color w:val="000000"/>
          <w:sz w:val="20"/>
        </w:rPr>
        <w:t>Id.</w:t>
      </w:r>
      <w:r>
        <w:rPr>
          <w:rFonts w:ascii="Arial" w:eastAsia="Arial" w:hAnsi="Arial" w:cs="Arial"/>
          <w:color w:val="000000"/>
          <w:sz w:val="20"/>
        </w:rPr>
        <w:t xml:space="preserve"> Therefore, the majority asserts that the inclusion of an adverse-employment-action requirement in Title VII failure-to-accommodate claims "sheds no light on the entirely separate question of whether such a requirement exists for failure-to-accommodate claims under the ADA, where a freestanding claim exists for such unlawful conduct." </w:t>
      </w:r>
      <w:r>
        <w:rPr>
          <w:rFonts w:ascii="Arial" w:eastAsia="Arial" w:hAnsi="Arial" w:cs="Arial"/>
          <w:i/>
          <w:color w:val="000000"/>
          <w:sz w:val="20"/>
        </w:rPr>
        <w:t>Id.</w:t>
      </w:r>
    </w:p>
    <w:p w14:paraId="1F80519D" w14:textId="77777777" w:rsidR="002B10A6" w:rsidRDefault="00000000">
      <w:pPr>
        <w:pStyle w:val="Normal23"/>
        <w:widowControl w:val="0"/>
        <w:spacing w:before="200" w:line="260" w:lineRule="atLeast"/>
        <w:jc w:val="both"/>
      </w:pPr>
      <w:bookmarkStart w:id="5163" w:name="Bookmark_para_170"/>
      <w:bookmarkEnd w:id="5163"/>
      <w:r>
        <w:rPr>
          <w:rFonts w:ascii="Arial" w:eastAsia="Arial" w:hAnsi="Arial" w:cs="Arial"/>
          <w:color w:val="000000"/>
          <w:sz w:val="20"/>
        </w:rPr>
        <w:t xml:space="preserve">The majority is correct that failure to accommodate under the ADA is a freestanding discrimination claim, [**110]  while failure to accommodate under Title VII is not. </w:t>
      </w:r>
      <w:r>
        <w:rPr>
          <w:rFonts w:ascii="Arial" w:eastAsia="Arial" w:hAnsi="Arial" w:cs="Arial"/>
          <w:i/>
          <w:color w:val="000000"/>
          <w:sz w:val="20"/>
        </w:rPr>
        <w:t>Compare</w:t>
      </w:r>
      <w:r>
        <w:rPr>
          <w:rFonts w:ascii="Arial" w:eastAsia="Arial" w:hAnsi="Arial" w:cs="Arial"/>
          <w:color w:val="000000"/>
          <w:sz w:val="20"/>
        </w:rPr>
        <w:t xml:space="preserve"> 42 U.S.C. § 12112(b)(5)(A) </w:t>
      </w:r>
      <w:r>
        <w:rPr>
          <w:rFonts w:ascii="Arial" w:eastAsia="Arial" w:hAnsi="Arial" w:cs="Arial"/>
          <w:i/>
          <w:color w:val="000000"/>
          <w:sz w:val="20"/>
        </w:rPr>
        <w:t>with</w:t>
      </w:r>
      <w:r>
        <w:rPr>
          <w:rFonts w:ascii="Arial" w:eastAsia="Arial" w:hAnsi="Arial" w:cs="Arial"/>
          <w:color w:val="000000"/>
          <w:sz w:val="20"/>
        </w:rPr>
        <w:t xml:space="preserve"> 42 U.S.C. § 2000e-2(a). But the need for an adverse employment action is derived not from the disparate-treatment nature of the Title VII claim, but from the separate requirement that the disparate treatment have a significant impact on employment status. </w:t>
      </w:r>
      <w:bookmarkStart w:id="5164" w:name="Bookmark_I722C9X2KRR0000671P0005N"/>
      <w:bookmarkStart w:id="5165" w:name="Bookmark_I722C9X2PGP0000671P0005P"/>
      <w:bookmarkStart w:id="5166" w:name="Bookmark_I61CDGK02D6N7Y0040000400"/>
      <w:bookmarkEnd w:id="5164"/>
      <w:bookmarkEnd w:id="5165"/>
      <w:bookmarkEnd w:id="5166"/>
      <w:r>
        <w:rPr>
          <w:rFonts w:ascii="Arial" w:eastAsia="Arial" w:hAnsi="Arial" w:cs="Arial"/>
          <w:color w:val="000000"/>
          <w:sz w:val="20"/>
        </w:rPr>
        <w:t xml:space="preserve">Thus, what matters for our purposes is not that failure to accommodate is brought as a disparate-treatment claim under Title VII and a freestanding claim under the ADA, but that </w:t>
      </w:r>
      <w:r>
        <w:rPr>
          <w:rFonts w:ascii="Arial" w:eastAsia="Arial" w:hAnsi="Arial" w:cs="Arial"/>
          <w:i/>
          <w:color w:val="000000"/>
          <w:sz w:val="20"/>
        </w:rPr>
        <w:t>both</w:t>
      </w:r>
      <w:r>
        <w:rPr>
          <w:rFonts w:ascii="Arial" w:eastAsia="Arial" w:hAnsi="Arial" w:cs="Arial"/>
          <w:color w:val="000000"/>
          <w:sz w:val="20"/>
        </w:rPr>
        <w:t xml:space="preserve"> claims must satisfy the "terms, conditions, and privileges" element (either "with-respect-to" or "in-regard-to"). It is that element that imposes the need for at least some showing of an alteration to the terms or conditions of employment, and not the discrimination itself, however characterized. </w:t>
      </w:r>
      <w:r>
        <w:rPr>
          <w:rFonts w:ascii="Arial" w:eastAsia="Arial" w:hAnsi="Arial" w:cs="Arial"/>
          <w:i/>
          <w:color w:val="000000"/>
          <w:sz w:val="20"/>
        </w:rPr>
        <w:t xml:space="preserve">See </w:t>
      </w:r>
      <w:bookmarkStart w:id="5167" w:name="Bookmark_I61CDGK02D6N7Y0030000400"/>
      <w:bookmarkEnd w:id="5167"/>
      <w:r>
        <w:rPr>
          <w:rFonts w:ascii="Arial" w:eastAsia="Arial" w:hAnsi="Arial" w:cs="Arial"/>
          <w:i/>
          <w:color w:val="000000"/>
          <w:sz w:val="20"/>
        </w:rPr>
        <w:t>Power v. Summers</w:t>
      </w:r>
      <w:r>
        <w:rPr>
          <w:rFonts w:ascii="Arial" w:eastAsia="Arial" w:hAnsi="Arial" w:cs="Arial"/>
          <w:color w:val="000000"/>
          <w:sz w:val="20"/>
        </w:rPr>
        <w:t xml:space="preserve">, 226 F.3d 815, 820 (7th Cir. 2000) (describing "adverse employment action" as "judicial shorthand . . . for the fact that [federal employment discrimination] statutes require the plaintiff to prove that the employer's action of which he is complaining altered the terms or conditions of his employment"); </w:t>
      </w:r>
      <w:r>
        <w:rPr>
          <w:rFonts w:ascii="Arial" w:eastAsia="Arial" w:hAnsi="Arial" w:cs="Arial"/>
          <w:i/>
          <w:color w:val="000000"/>
          <w:sz w:val="20"/>
        </w:rPr>
        <w:t xml:space="preserve">see also </w:t>
      </w:r>
      <w:bookmarkStart w:id="5168" w:name="Bookmark_I61CDGK02D6N7Y0050000400"/>
      <w:bookmarkEnd w:id="5168"/>
      <w:r>
        <w:rPr>
          <w:rFonts w:ascii="Arial" w:eastAsia="Arial" w:hAnsi="Arial" w:cs="Arial"/>
          <w:i/>
          <w:color w:val="000000"/>
          <w:sz w:val="20"/>
        </w:rPr>
        <w:t>Meritor Sav. Bank</w:t>
      </w:r>
      <w:r>
        <w:rPr>
          <w:rFonts w:ascii="Arial" w:eastAsia="Arial" w:hAnsi="Arial" w:cs="Arial"/>
          <w:color w:val="000000"/>
          <w:sz w:val="20"/>
        </w:rPr>
        <w:t>, 477 U.S. at 67 ("[N]ot all workplace conduct that may be described as 'harassment' affects a 'term, condition, or privilege' of employment within the [**111]  meaning of Title VII."). In other words, freestanding or not, the relevant discrimination under both statutes—a failure to accommodate—must nevertheless be "with respect to" or "in regard to" the terms or conditions of employment, and consequently must work a disruption in employment terms or conditions that is more than de minimis.</w:t>
      </w:r>
    </w:p>
    <w:p w14:paraId="18C7AACF" w14:textId="77777777" w:rsidR="002B10A6" w:rsidRDefault="00000000">
      <w:pPr>
        <w:pStyle w:val="Normal23"/>
        <w:widowControl w:val="0"/>
        <w:spacing w:before="200" w:line="260" w:lineRule="atLeast"/>
        <w:jc w:val="both"/>
      </w:pPr>
      <w:bookmarkStart w:id="5169" w:name="Bookmark_para_171"/>
      <w:bookmarkEnd w:id="5169"/>
      <w:r>
        <w:rPr>
          <w:rFonts w:ascii="Arial" w:eastAsia="Arial" w:hAnsi="Arial" w:cs="Arial"/>
          <w:color w:val="000000"/>
          <w:sz w:val="20"/>
        </w:rPr>
        <w:t xml:space="preserve">The inclusion of failure-to-accommodate claims in Title VII's disparate-treatment provision also undercuts the majority's discussion of the purportedly sharp distinction between those two forms of discrimination. </w:t>
      </w:r>
      <w:r>
        <w:rPr>
          <w:rFonts w:ascii="Arial" w:eastAsia="Arial" w:hAnsi="Arial" w:cs="Arial"/>
          <w:i/>
          <w:color w:val="000000"/>
          <w:sz w:val="20"/>
        </w:rPr>
        <w:t>See</w:t>
      </w:r>
      <w:r>
        <w:rPr>
          <w:rFonts w:ascii="Arial" w:eastAsia="Arial" w:hAnsi="Arial" w:cs="Arial"/>
          <w:color w:val="000000"/>
          <w:sz w:val="20"/>
        </w:rPr>
        <w:t xml:space="preserve"> Maj. Op., Part II.B.2; </w:t>
      </w:r>
      <w:r>
        <w:rPr>
          <w:rFonts w:ascii="Arial" w:eastAsia="Arial" w:hAnsi="Arial" w:cs="Arial"/>
          <w:i/>
          <w:color w:val="000000"/>
          <w:sz w:val="20"/>
        </w:rPr>
        <w:t>supra</w:t>
      </w:r>
      <w:r>
        <w:rPr>
          <w:rFonts w:ascii="Arial" w:eastAsia="Arial" w:hAnsi="Arial" w:cs="Arial"/>
          <w:color w:val="000000"/>
          <w:sz w:val="20"/>
        </w:rPr>
        <w:t xml:space="preserve"> Part II.B. As previously discussed, the majority asserts that disparate-treatment claims require a showing of an employer </w:t>
      </w:r>
      <w:r>
        <w:rPr>
          <w:rFonts w:ascii="Arial" w:eastAsia="Arial" w:hAnsi="Arial" w:cs="Arial"/>
          <w:i/>
          <w:color w:val="000000"/>
          <w:sz w:val="20"/>
        </w:rPr>
        <w:t>action</w:t>
      </w:r>
      <w:r>
        <w:rPr>
          <w:rFonts w:ascii="Arial" w:eastAsia="Arial" w:hAnsi="Arial" w:cs="Arial"/>
          <w:color w:val="000000"/>
          <w:sz w:val="20"/>
        </w:rPr>
        <w:t xml:space="preserve">, while failure-to-accommodate claims require a showing of an employer </w:t>
      </w:r>
      <w:r>
        <w:rPr>
          <w:rFonts w:ascii="Arial" w:eastAsia="Arial" w:hAnsi="Arial" w:cs="Arial"/>
          <w:i/>
          <w:color w:val="000000"/>
          <w:sz w:val="20"/>
        </w:rPr>
        <w:t>omission. See</w:t>
      </w:r>
      <w:r>
        <w:rPr>
          <w:rFonts w:ascii="Arial" w:eastAsia="Arial" w:hAnsi="Arial" w:cs="Arial"/>
          <w:color w:val="000000"/>
          <w:sz w:val="20"/>
        </w:rPr>
        <w:t xml:space="preserve"> Maj. Op. at 21. The problem with constructing this fundamental dichotomy is that Title VII includes a claim for religious discrimination that has one foot in both worlds—that is </w:t>
      </w:r>
      <w:r>
        <w:rPr>
          <w:rFonts w:ascii="Arial" w:eastAsia="Arial" w:hAnsi="Arial" w:cs="Arial"/>
          <w:i/>
          <w:color w:val="000000"/>
          <w:sz w:val="20"/>
        </w:rPr>
        <w:t>both</w:t>
      </w:r>
      <w:r>
        <w:rPr>
          <w:rFonts w:ascii="Arial" w:eastAsia="Arial" w:hAnsi="Arial" w:cs="Arial"/>
          <w:color w:val="000000"/>
          <w:sz w:val="20"/>
        </w:rPr>
        <w:t xml:space="preserve"> a disparate-treatment claim </w:t>
      </w:r>
      <w:r>
        <w:rPr>
          <w:rFonts w:ascii="Arial" w:eastAsia="Arial" w:hAnsi="Arial" w:cs="Arial"/>
          <w:i/>
          <w:color w:val="000000"/>
          <w:sz w:val="20"/>
        </w:rPr>
        <w:t>and</w:t>
      </w:r>
      <w:r>
        <w:rPr>
          <w:rFonts w:ascii="Arial" w:eastAsia="Arial" w:hAnsi="Arial" w:cs="Arial"/>
          <w:color w:val="000000"/>
          <w:sz w:val="20"/>
        </w:rPr>
        <w:t xml:space="preserve"> a failure-to-accommodate claim.</w:t>
      </w:r>
    </w:p>
    <w:p w14:paraId="3EF09892" w14:textId="77777777" w:rsidR="002B10A6" w:rsidRDefault="00000000">
      <w:pPr>
        <w:pStyle w:val="Normal23"/>
        <w:widowControl w:val="0"/>
        <w:spacing w:before="200" w:line="260" w:lineRule="atLeast"/>
        <w:jc w:val="both"/>
      </w:pPr>
      <w:bookmarkStart w:id="5170" w:name="Bookmark_para_172"/>
      <w:bookmarkStart w:id="5171" w:name="Bookmark_I722C9X2T7P0000671P0005R"/>
      <w:bookmarkStart w:id="5172" w:name="Bookmark_I61CDGK02HM6YT0030000400"/>
      <w:bookmarkStart w:id="5173" w:name="Bookmark_I722C9X2X100000671P0005S"/>
      <w:bookmarkStart w:id="5174" w:name="Bookmark_I61CDGK02HM6YT0050000400"/>
      <w:bookmarkStart w:id="5175" w:name="Bookmark_I722C9X30RX0000671P0005T"/>
      <w:bookmarkStart w:id="5176" w:name="Bookmark_I722C9X45H10000671P0005V"/>
      <w:bookmarkStart w:id="5177" w:name="Bookmark_I61CDGK02N1R980020000400"/>
      <w:bookmarkEnd w:id="5170"/>
      <w:bookmarkEnd w:id="5171"/>
      <w:bookmarkEnd w:id="5172"/>
      <w:bookmarkEnd w:id="5173"/>
      <w:bookmarkEnd w:id="5174"/>
      <w:bookmarkEnd w:id="5175"/>
      <w:bookmarkEnd w:id="5176"/>
      <w:bookmarkEnd w:id="5177"/>
      <w:r>
        <w:rPr>
          <w:rFonts w:ascii="Arial" w:eastAsia="Arial" w:hAnsi="Arial" w:cs="Arial"/>
          <w:color w:val="000000"/>
          <w:sz w:val="20"/>
        </w:rPr>
        <w:t xml:space="preserve">Further, there is no doubt that ADA failure-to-accommodate claims are meaningfully related to failure-to-accommodate claims brought under Title VII. </w:t>
      </w:r>
      <w:r>
        <w:rPr>
          <w:rFonts w:ascii="Arial" w:eastAsia="Arial" w:hAnsi="Arial" w:cs="Arial"/>
          <w:i/>
          <w:color w:val="000000"/>
          <w:sz w:val="20"/>
        </w:rPr>
        <w:t xml:space="preserve">See </w:t>
      </w:r>
      <w:bookmarkStart w:id="5178" w:name="Bookmark_I61CDGK02HM6YT0020000400"/>
      <w:bookmarkEnd w:id="5178"/>
      <w:r>
        <w:rPr>
          <w:rFonts w:ascii="Arial" w:eastAsia="Arial" w:hAnsi="Arial" w:cs="Arial"/>
          <w:i/>
          <w:color w:val="000000"/>
          <w:sz w:val="20"/>
        </w:rPr>
        <w:t>Thomas</w:t>
      </w:r>
      <w:r>
        <w:rPr>
          <w:rFonts w:ascii="Arial" w:eastAsia="Arial" w:hAnsi="Arial" w:cs="Arial"/>
          <w:color w:val="000000"/>
          <w:sz w:val="20"/>
        </w:rPr>
        <w:t xml:space="preserve">, 225 F.3d at 1155 n.5 ("A claim [**112]  of religious discrimination under Title VII is similar to a claim under the ADA . . . ."). "[I]n both situations, the employer has an affirmative obligation to make a reasonable accommodation."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cf. </w:t>
      </w:r>
      <w:bookmarkStart w:id="5179" w:name="Bookmark_I61CDGK02HM6YT0040000400"/>
      <w:bookmarkEnd w:id="5179"/>
      <w:r>
        <w:rPr>
          <w:rFonts w:ascii="Arial" w:eastAsia="Arial" w:hAnsi="Arial" w:cs="Arial"/>
          <w:i/>
          <w:color w:val="000000"/>
          <w:sz w:val="20"/>
        </w:rPr>
        <w:t>Abercrombie &amp; Fitch</w:t>
      </w:r>
      <w:r>
        <w:rPr>
          <w:rFonts w:ascii="Arial" w:eastAsia="Arial" w:hAnsi="Arial" w:cs="Arial"/>
          <w:color w:val="000000"/>
          <w:sz w:val="20"/>
        </w:rPr>
        <w:t xml:space="preserve">, 135 S. Ct. at 2034 (stating that a failure-to-accommodate claim brought under Title VII's disparate-treatment provision "affirmatively obligat[es] employers" to accommodate religious practices). Additionally, just as the ADA "requires preferences in the form of 'reasonable accommodations' that are needed for those with disabilities," </w:t>
      </w:r>
      <w:bookmarkStart w:id="5180" w:name="Bookmark_I61CDGK02N1R980010000400"/>
      <w:bookmarkEnd w:id="5180"/>
      <w:r>
        <w:rPr>
          <w:rFonts w:ascii="Arial" w:eastAsia="Arial" w:hAnsi="Arial" w:cs="Arial"/>
          <w:i/>
          <w:color w:val="000000"/>
          <w:sz w:val="20"/>
        </w:rPr>
        <w:t>Barnett</w:t>
      </w:r>
      <w:r>
        <w:rPr>
          <w:rFonts w:ascii="Arial" w:eastAsia="Arial" w:hAnsi="Arial" w:cs="Arial"/>
          <w:color w:val="000000"/>
          <w:sz w:val="20"/>
        </w:rPr>
        <w:t xml:space="preserve">, 535 U.S. at 397, Title VII "gives [religious practices]  [*837]  favored treatment," </w:t>
      </w:r>
      <w:bookmarkStart w:id="5181" w:name="Bookmark_I61CDGK02N1R980030000400"/>
      <w:bookmarkEnd w:id="5181"/>
      <w:r>
        <w:rPr>
          <w:rFonts w:ascii="Arial" w:eastAsia="Arial" w:hAnsi="Arial" w:cs="Arial"/>
          <w:i/>
          <w:color w:val="000000"/>
          <w:sz w:val="20"/>
        </w:rPr>
        <w:t>Abercrombie &amp; Fitch</w:t>
      </w:r>
      <w:r>
        <w:rPr>
          <w:rFonts w:ascii="Arial" w:eastAsia="Arial" w:hAnsi="Arial" w:cs="Arial"/>
          <w:color w:val="000000"/>
          <w:sz w:val="20"/>
        </w:rPr>
        <w:t>, 135 S. Ct. at 2034. Thus, because a religious failure-to-accommodate claim under Title VII requires some sort of adverse impact on the terms or conditions of employment, over and above a showing of the failure to accommodate itself, it would not be "illogical," Maj. Op. at 23, to require a plaintiff to make the same showing in the analogous ADA failure-to-accommodate context.</w:t>
      </w:r>
    </w:p>
    <w:p w14:paraId="2F19FCEB" w14:textId="77777777" w:rsidR="002B10A6" w:rsidRDefault="00000000">
      <w:pPr>
        <w:pStyle w:val="Normal23"/>
        <w:widowControl w:val="0"/>
        <w:spacing w:before="200" w:line="260" w:lineRule="atLeast"/>
        <w:jc w:val="both"/>
      </w:pPr>
      <w:bookmarkStart w:id="5182" w:name="Bookmark_para_173"/>
      <w:bookmarkEnd w:id="5182"/>
      <w:r>
        <w:rPr>
          <w:rFonts w:ascii="Arial" w:eastAsia="Arial" w:hAnsi="Arial" w:cs="Arial"/>
          <w:color w:val="000000"/>
          <w:sz w:val="20"/>
        </w:rPr>
        <w:t>I thus proceed to assess what that showing requires.</w:t>
      </w:r>
    </w:p>
    <w:p w14:paraId="1308A215" w14:textId="77777777" w:rsidR="002B10A6" w:rsidRDefault="00000000">
      <w:pPr>
        <w:pStyle w:val="Normal23"/>
        <w:widowControl w:val="0"/>
        <w:spacing w:before="240" w:line="260" w:lineRule="atLeast"/>
      </w:pPr>
      <w:r>
        <w:br/>
      </w:r>
      <w:r>
        <w:rPr>
          <w:rFonts w:ascii="Arial" w:eastAsia="Arial" w:hAnsi="Arial" w:cs="Arial"/>
          <w:i/>
          <w:color w:val="000000"/>
          <w:sz w:val="20"/>
        </w:rPr>
        <w:t>b. The scope of "terms, conditions, or privileges" under Title VII</w:t>
      </w:r>
    </w:p>
    <w:p w14:paraId="4D3EC9E2" w14:textId="77777777" w:rsidR="002B10A6" w:rsidRDefault="00000000">
      <w:pPr>
        <w:pStyle w:val="Normal23"/>
        <w:widowControl w:val="0"/>
        <w:spacing w:before="200" w:line="260" w:lineRule="atLeast"/>
        <w:jc w:val="both"/>
      </w:pPr>
      <w:bookmarkStart w:id="5183" w:name="Bookmark_para_174"/>
      <w:bookmarkStart w:id="5184" w:name="Bookmark_I722C9X49R60000671P0005W"/>
      <w:bookmarkStart w:id="5185" w:name="Bookmark_I722C9X4DGH0000671P0005X"/>
      <w:bookmarkStart w:id="5186" w:name="Bookmark_I61CDGK02N1R990010000400"/>
      <w:bookmarkStart w:id="5187" w:name="Bookmark_I722C9X4H7N0000671P0005Y"/>
      <w:bookmarkStart w:id="5188" w:name="Bookmark_I61CDGK02N1R990050000400"/>
      <w:bookmarkStart w:id="5189" w:name="Bookmark_I722C9X4M7C0000671P00060"/>
      <w:bookmarkStart w:id="5190" w:name="Bookmark_I722C9X4R0T0000671P00061"/>
      <w:bookmarkStart w:id="5191" w:name="Bookmark_I61CDGK12SF8RP0020000400"/>
      <w:bookmarkEnd w:id="5183"/>
      <w:bookmarkEnd w:id="5184"/>
      <w:bookmarkEnd w:id="5185"/>
      <w:bookmarkEnd w:id="5186"/>
      <w:bookmarkEnd w:id="5187"/>
      <w:bookmarkEnd w:id="5188"/>
      <w:bookmarkEnd w:id="5189"/>
      <w:bookmarkEnd w:id="5190"/>
      <w:bookmarkEnd w:id="5191"/>
      <w:r>
        <w:rPr>
          <w:rFonts w:ascii="Arial" w:eastAsia="Arial" w:hAnsi="Arial" w:cs="Arial"/>
          <w:color w:val="000000"/>
          <w:sz w:val="20"/>
        </w:rPr>
        <w:t xml:space="preserve">In interpreting Title VII, the Supreme Court has long recognized that "[t]he phrase 'terms, conditions, or privileges of employment' evinces [**113]  a congressional intent 'to strike at the entire spectrum of disparate treatment of men and women' in employment." </w:t>
      </w:r>
      <w:bookmarkStart w:id="5192" w:name="Bookmark_I61CDGK02N1R980050000400"/>
      <w:bookmarkEnd w:id="5192"/>
      <w:r>
        <w:rPr>
          <w:rFonts w:ascii="Arial" w:eastAsia="Arial" w:hAnsi="Arial" w:cs="Arial"/>
          <w:i/>
          <w:color w:val="000000"/>
          <w:sz w:val="20"/>
        </w:rPr>
        <w:t>Meritor Sav. Bank</w:t>
      </w:r>
      <w:r>
        <w:rPr>
          <w:rFonts w:ascii="Arial" w:eastAsia="Arial" w:hAnsi="Arial" w:cs="Arial"/>
          <w:color w:val="000000"/>
          <w:sz w:val="20"/>
        </w:rPr>
        <w:t xml:space="preserve">, 477 U.S. at 64 (1986) (quoting </w:t>
      </w:r>
      <w:bookmarkStart w:id="5193" w:name="Bookmark_I61CDGK02N1R990020000400"/>
      <w:bookmarkEnd w:id="5193"/>
      <w:r>
        <w:rPr>
          <w:rFonts w:ascii="Arial" w:eastAsia="Arial" w:hAnsi="Arial" w:cs="Arial"/>
          <w:i/>
          <w:color w:val="000000"/>
          <w:sz w:val="20"/>
        </w:rPr>
        <w:t>L.A. Dep't of Water &amp; Power v. Manhart</w:t>
      </w:r>
      <w:r>
        <w:rPr>
          <w:rFonts w:ascii="Arial" w:eastAsia="Arial" w:hAnsi="Arial" w:cs="Arial"/>
          <w:color w:val="000000"/>
          <w:sz w:val="20"/>
        </w:rPr>
        <w:t xml:space="preserve">, 435 U.S. 702, 707 n.13, 98 S. Ct. 1370, 55 L. Ed. 2d 657 (1978)). </w:t>
      </w:r>
      <w:bookmarkStart w:id="5194" w:name="Bookmark_I722C9X4TS50000671P00062"/>
      <w:bookmarkStart w:id="5195" w:name="Bookmark_I61CDGK12SF8RR0010000400"/>
      <w:bookmarkEnd w:id="5194"/>
      <w:bookmarkEnd w:id="5195"/>
      <w:r>
        <w:rPr>
          <w:rFonts w:ascii="Arial" w:eastAsia="Arial" w:hAnsi="Arial" w:cs="Arial"/>
          <w:color w:val="000000"/>
          <w:sz w:val="20"/>
        </w:rPr>
        <w:t xml:space="preserve">When "the underlying employment relationship is contractual, it follows that the 'terms, conditions, or privileges of employment' clearly include benefits that are part of an employment contract." </w:t>
      </w:r>
      <w:bookmarkStart w:id="5196" w:name="Bookmark_I61CDGK02N1R990040000400"/>
      <w:bookmarkEnd w:id="5196"/>
      <w:r>
        <w:rPr>
          <w:rFonts w:ascii="Arial" w:eastAsia="Arial" w:hAnsi="Arial" w:cs="Arial"/>
          <w:i/>
          <w:color w:val="000000"/>
          <w:sz w:val="20"/>
        </w:rPr>
        <w:t>Hishon v. King &amp; Spalding</w:t>
      </w:r>
      <w:r>
        <w:rPr>
          <w:rFonts w:ascii="Arial" w:eastAsia="Arial" w:hAnsi="Arial" w:cs="Arial"/>
          <w:color w:val="000000"/>
          <w:sz w:val="20"/>
        </w:rPr>
        <w:t xml:space="preserve">, 467 U.S. 69, 74, 104 S. Ct. 2229, 81 L. Ed. 2d 59 (1984). </w:t>
      </w:r>
      <w:bookmarkStart w:id="5197" w:name="Bookmark_I722C9X51DV0000671P00064"/>
      <w:bookmarkStart w:id="5198" w:name="Bookmark_I722C9X572S0000671P00066"/>
      <w:bookmarkStart w:id="5199" w:name="Bookmark_I61CDGK12SF8RR0030000400"/>
      <w:bookmarkEnd w:id="5197"/>
      <w:bookmarkEnd w:id="5198"/>
      <w:bookmarkEnd w:id="5199"/>
      <w:r>
        <w:rPr>
          <w:rFonts w:ascii="Arial" w:eastAsia="Arial" w:hAnsi="Arial" w:cs="Arial"/>
          <w:color w:val="000000"/>
          <w:sz w:val="20"/>
        </w:rPr>
        <w:t xml:space="preserve">But "the language of Title VII is not limited to 'economic' or 'tangible' discrimination," </w:t>
      </w:r>
      <w:bookmarkStart w:id="5200" w:name="Bookmark_I61CDGK12SF8RP0010000400"/>
      <w:bookmarkEnd w:id="5200"/>
      <w:r>
        <w:rPr>
          <w:rFonts w:ascii="Arial" w:eastAsia="Arial" w:hAnsi="Arial" w:cs="Arial"/>
          <w:i/>
          <w:color w:val="000000"/>
          <w:sz w:val="20"/>
        </w:rPr>
        <w:t>Meritor Sav. Bank</w:t>
      </w:r>
      <w:r>
        <w:rPr>
          <w:rFonts w:ascii="Arial" w:eastAsia="Arial" w:hAnsi="Arial" w:cs="Arial"/>
          <w:color w:val="000000"/>
          <w:sz w:val="20"/>
        </w:rPr>
        <w:t xml:space="preserve">, 477 U.S. at 64, and covers more than "'terms' and 'conditions' in the narrow contractual sense," </w:t>
      </w:r>
      <w:bookmarkStart w:id="5201" w:name="Bookmark_I61CDGK12SF8RP0030000400"/>
      <w:bookmarkEnd w:id="5201"/>
      <w:r>
        <w:rPr>
          <w:rFonts w:ascii="Arial" w:eastAsia="Arial" w:hAnsi="Arial" w:cs="Arial"/>
          <w:i/>
          <w:color w:val="000000"/>
          <w:sz w:val="20"/>
        </w:rPr>
        <w:t>Oncale v. Sundowner Offshore Servs., Inc.</w:t>
      </w:r>
      <w:r>
        <w:rPr>
          <w:rFonts w:ascii="Arial" w:eastAsia="Arial" w:hAnsi="Arial" w:cs="Arial"/>
          <w:color w:val="000000"/>
          <w:sz w:val="20"/>
        </w:rPr>
        <w:t xml:space="preserve">, 523 U.S. 75, 78, 118 S. Ct. 998, 140 L. Ed. 2d 201 (1998). </w:t>
      </w:r>
      <w:bookmarkStart w:id="5202" w:name="Bookmark_I61CDGK12SF8RR0030000400_2"/>
      <w:bookmarkStart w:id="5203" w:name="Bookmark_I61CDGK12SF8RR0010000400_2"/>
      <w:bookmarkEnd w:id="5202"/>
      <w:bookmarkEnd w:id="5203"/>
      <w:r>
        <w:rPr>
          <w:rFonts w:ascii="Arial" w:eastAsia="Arial" w:hAnsi="Arial" w:cs="Arial"/>
          <w:color w:val="000000"/>
          <w:sz w:val="20"/>
        </w:rPr>
        <w:t xml:space="preserve">Even when a contract is not made, "[a]n employer may provide its employees with many benefits that it is under no obligation to furnish by any express or implied contract." </w:t>
      </w:r>
      <w:bookmarkStart w:id="5204" w:name="Bookmark_I61CDGK12SF8RP0050000400"/>
      <w:bookmarkEnd w:id="5204"/>
      <w:r>
        <w:rPr>
          <w:rFonts w:ascii="Arial" w:eastAsia="Arial" w:hAnsi="Arial" w:cs="Arial"/>
          <w:i/>
          <w:color w:val="000000"/>
          <w:sz w:val="20"/>
        </w:rPr>
        <w:t>Hishon</w:t>
      </w:r>
      <w:r>
        <w:rPr>
          <w:rFonts w:ascii="Arial" w:eastAsia="Arial" w:hAnsi="Arial" w:cs="Arial"/>
          <w:color w:val="000000"/>
          <w:sz w:val="20"/>
        </w:rPr>
        <w:t xml:space="preserve">, 467 U.S. at 75. "A benefit that is part and parcel of the employment relationship may not be doled out in a discriminatory fashion, even if the employer would be free under the employment contract simply not to provide the benefit at all." </w:t>
      </w:r>
      <w:r>
        <w:rPr>
          <w:rFonts w:ascii="Arial" w:eastAsia="Arial" w:hAnsi="Arial" w:cs="Arial"/>
          <w:i/>
          <w:color w:val="000000"/>
          <w:sz w:val="20"/>
        </w:rPr>
        <w:t>Id.</w:t>
      </w:r>
      <w:r>
        <w:rPr>
          <w:rFonts w:ascii="Arial" w:eastAsia="Arial" w:hAnsi="Arial" w:cs="Arial"/>
          <w:color w:val="000000"/>
          <w:sz w:val="20"/>
        </w:rPr>
        <w:t xml:space="preserve"> "Those benefits that comprise the 'incidents of employment,' or that form 'an aspect of the relationship between the employer and employees,' may not be afforded in a manner contrary to Title VII." </w:t>
      </w:r>
      <w:bookmarkStart w:id="5205" w:name="Bookmark_I61CDGK12SF8RR0020000400"/>
      <w:bookmarkEnd w:id="5205"/>
      <w:r>
        <w:rPr>
          <w:rFonts w:ascii="Arial" w:eastAsia="Arial" w:hAnsi="Arial" w:cs="Arial"/>
          <w:i/>
          <w:color w:val="000000"/>
          <w:sz w:val="20"/>
        </w:rPr>
        <w:t>Id.</w:t>
      </w:r>
      <w:r>
        <w:rPr>
          <w:rFonts w:ascii="Arial" w:eastAsia="Arial" w:hAnsi="Arial" w:cs="Arial"/>
          <w:color w:val="000000"/>
          <w:sz w:val="20"/>
        </w:rPr>
        <w:t xml:space="preserve"> at 75-76 (citation and footnotes omitted) (quoting S. Rep. No. 867, 88th Cong., 2d Sess., 11 (1964); then [**114]  quoting </w:t>
      </w:r>
      <w:bookmarkStart w:id="5206" w:name="Bookmark_I61CDGK12SF8RR0040000400"/>
      <w:bookmarkEnd w:id="5206"/>
      <w:r>
        <w:rPr>
          <w:rFonts w:ascii="Arial" w:eastAsia="Arial" w:hAnsi="Arial" w:cs="Arial"/>
          <w:i/>
          <w:color w:val="000000"/>
          <w:sz w:val="20"/>
        </w:rPr>
        <w:t>Chem. &amp; Alkali Workers v. Pittsburg Plate Glass Co.</w:t>
      </w:r>
      <w:r>
        <w:rPr>
          <w:rFonts w:ascii="Arial" w:eastAsia="Arial" w:hAnsi="Arial" w:cs="Arial"/>
          <w:color w:val="000000"/>
          <w:sz w:val="20"/>
        </w:rPr>
        <w:t>, 404 U.S. 157, 178, 92 S. Ct. 383, 30 L. Ed. 2d 341 (1971)).</w:t>
      </w:r>
    </w:p>
    <w:p w14:paraId="7CD3BD29" w14:textId="77777777" w:rsidR="002B10A6" w:rsidRDefault="00000000">
      <w:pPr>
        <w:pStyle w:val="Normal23"/>
        <w:widowControl w:val="0"/>
        <w:spacing w:before="200" w:line="260" w:lineRule="atLeast"/>
        <w:jc w:val="both"/>
      </w:pPr>
      <w:bookmarkStart w:id="5207" w:name="Bookmark_para_175"/>
      <w:bookmarkStart w:id="5208" w:name="Bookmark_I722C9X5DN70000671P00068"/>
      <w:bookmarkStart w:id="5209" w:name="Bookmark_I61CDGK22HM5P70020000400"/>
      <w:bookmarkStart w:id="5210" w:name="Bookmark_I722C9X5HFB0000671P00069"/>
      <w:bookmarkStart w:id="5211" w:name="Bookmark_I61CDGK22HM5P70040000400"/>
      <w:bookmarkEnd w:id="5207"/>
      <w:bookmarkEnd w:id="5208"/>
      <w:bookmarkEnd w:id="5209"/>
      <w:bookmarkEnd w:id="5210"/>
      <w:bookmarkEnd w:id="5211"/>
      <w:r>
        <w:rPr>
          <w:rFonts w:ascii="Arial" w:eastAsia="Arial" w:hAnsi="Arial" w:cs="Arial"/>
          <w:color w:val="000000"/>
          <w:sz w:val="20"/>
        </w:rPr>
        <w:t xml:space="preserve">Title VII can be "violated by either explicit or constructive alterations in the terms or conditions of employment." </w:t>
      </w:r>
      <w:bookmarkStart w:id="5212" w:name="Bookmark_I61CDGK22HM5P70010000400"/>
      <w:bookmarkEnd w:id="5212"/>
      <w:r>
        <w:rPr>
          <w:rFonts w:ascii="Arial" w:eastAsia="Arial" w:hAnsi="Arial" w:cs="Arial"/>
          <w:i/>
          <w:color w:val="000000"/>
          <w:sz w:val="20"/>
        </w:rPr>
        <w:t>Ellerth</w:t>
      </w:r>
      <w:r>
        <w:rPr>
          <w:rFonts w:ascii="Arial" w:eastAsia="Arial" w:hAnsi="Arial" w:cs="Arial"/>
          <w:color w:val="000000"/>
          <w:sz w:val="20"/>
        </w:rPr>
        <w:t xml:space="preserve">, 524 U.S. at 752. A plaintiff may establish constructive alterations in the terms or conditions of employment "by proving that discrimination based on sex has created a hostile or abusive work environment." </w:t>
      </w:r>
      <w:bookmarkStart w:id="5213" w:name="Bookmark_I61CDGK22HM5P70030000400"/>
      <w:bookmarkEnd w:id="5213"/>
      <w:r>
        <w:rPr>
          <w:rFonts w:ascii="Arial" w:eastAsia="Arial" w:hAnsi="Arial" w:cs="Arial"/>
          <w:i/>
          <w:color w:val="000000"/>
          <w:sz w:val="20"/>
        </w:rPr>
        <w:t>Meritor Sav. Bank</w:t>
      </w:r>
      <w:r>
        <w:rPr>
          <w:rFonts w:ascii="Arial" w:eastAsia="Arial" w:hAnsi="Arial" w:cs="Arial"/>
          <w:color w:val="000000"/>
          <w:sz w:val="20"/>
        </w:rPr>
        <w:t>, 477 U.S. at 66.</w:t>
      </w:r>
    </w:p>
    <w:p w14:paraId="620CDAD5" w14:textId="77777777" w:rsidR="002B10A6" w:rsidRDefault="00000000">
      <w:pPr>
        <w:pStyle w:val="Normal23"/>
        <w:widowControl w:val="0"/>
        <w:spacing w:before="200" w:line="260" w:lineRule="atLeast"/>
        <w:jc w:val="both"/>
      </w:pPr>
      <w:bookmarkStart w:id="5214" w:name="Bookmark_para_176"/>
      <w:bookmarkStart w:id="5215" w:name="Bookmark_I722C9X5M6H0000671P0006B"/>
      <w:bookmarkStart w:id="5216" w:name="Bookmark_I61CDGK22D6N870010000400"/>
      <w:bookmarkStart w:id="5217" w:name="Bookmark_I722C9X5PYT0000671P0006C"/>
      <w:bookmarkStart w:id="5218" w:name="Bookmark_I61CDGK22D6N870030000400"/>
      <w:bookmarkStart w:id="5219" w:name="Bookmark_I722C9X5TS50000671P0006D"/>
      <w:bookmarkStart w:id="5220" w:name="Bookmark_I61CDGK22D6N870050000400"/>
      <w:bookmarkEnd w:id="5214"/>
      <w:bookmarkEnd w:id="5215"/>
      <w:bookmarkEnd w:id="5216"/>
      <w:bookmarkEnd w:id="5217"/>
      <w:bookmarkEnd w:id="5218"/>
      <w:bookmarkEnd w:id="5219"/>
      <w:bookmarkEnd w:id="5220"/>
      <w:r>
        <w:rPr>
          <w:rFonts w:ascii="Arial" w:eastAsia="Arial" w:hAnsi="Arial" w:cs="Arial"/>
          <w:color w:val="000000"/>
          <w:sz w:val="20"/>
        </w:rPr>
        <w:t xml:space="preserve">In recognizing hostile work environment claims, the Supreme Court began by noting that "[w]ithout question, when a supervisor sexually harasses a subordinate because of the subordinate's sex, that supervisor 'discriminate[s]' on the basis of sex." </w:t>
      </w:r>
      <w:bookmarkStart w:id="5221" w:name="Bookmark_I61CDGK22HM5P70050000400"/>
      <w:bookmarkEnd w:id="5221"/>
      <w:r>
        <w:rPr>
          <w:rFonts w:ascii="Arial" w:eastAsia="Arial" w:hAnsi="Arial" w:cs="Arial"/>
          <w:i/>
          <w:color w:val="000000"/>
          <w:sz w:val="20"/>
        </w:rPr>
        <w:t>Id.</w:t>
      </w:r>
      <w:r>
        <w:rPr>
          <w:rFonts w:ascii="Arial" w:eastAsia="Arial" w:hAnsi="Arial" w:cs="Arial"/>
          <w:color w:val="000000"/>
          <w:sz w:val="20"/>
        </w:rPr>
        <w:t xml:space="preserve"> at 64 (second alteration in original). </w:t>
      </w:r>
      <w:bookmarkStart w:id="5222" w:name="Bookmark_I722C9X5XN10000671P0006F"/>
      <w:bookmarkStart w:id="5223" w:name="Bookmark_I722C9X645C0000671P0006H"/>
      <w:bookmarkStart w:id="5224" w:name="Bookmark_I722C9X69ND0000671P0006K"/>
      <w:bookmarkStart w:id="5225" w:name="Bookmark_I722C9X6H5Y0000671P0006N"/>
      <w:bookmarkStart w:id="5226" w:name="Bookmark_I61CDGK228T3VF0020000400"/>
      <w:bookmarkEnd w:id="5222"/>
      <w:bookmarkEnd w:id="5223"/>
      <w:bookmarkEnd w:id="5224"/>
      <w:bookmarkEnd w:id="5225"/>
      <w:bookmarkEnd w:id="5226"/>
      <w:r>
        <w:rPr>
          <w:rFonts w:ascii="Arial" w:eastAsia="Arial" w:hAnsi="Arial" w:cs="Arial"/>
          <w:color w:val="000000"/>
          <w:sz w:val="20"/>
        </w:rPr>
        <w:t xml:space="preserve">But "not all workplace conduct that may be described as 'harassment' affects a 'term, condition, or privilege' of employment within the meaning of Title VII." </w:t>
      </w:r>
      <w:bookmarkStart w:id="5227" w:name="Bookmark_I61CDGK22D6N870020000400"/>
      <w:bookmarkEnd w:id="5227"/>
      <w:r>
        <w:rPr>
          <w:rFonts w:ascii="Arial" w:eastAsia="Arial" w:hAnsi="Arial" w:cs="Arial"/>
          <w:i/>
          <w:color w:val="000000"/>
          <w:sz w:val="20"/>
        </w:rPr>
        <w:t>Id.</w:t>
      </w:r>
      <w:r>
        <w:rPr>
          <w:rFonts w:ascii="Arial" w:eastAsia="Arial" w:hAnsi="Arial" w:cs="Arial"/>
          <w:color w:val="000000"/>
          <w:sz w:val="20"/>
        </w:rPr>
        <w:t xml:space="preserve"> at 67. </w:t>
      </w:r>
      <w:bookmarkStart w:id="5228" w:name="Bookmark_I722C9X6PTB0000671P0006R"/>
      <w:bookmarkStart w:id="5229" w:name="Bookmark_I722C9X6XB30000671P0006T"/>
      <w:bookmarkStart w:id="5230" w:name="Bookmark_I61CDGK22HM5PB0050000400"/>
      <w:bookmarkEnd w:id="5228"/>
      <w:bookmarkEnd w:id="5229"/>
      <w:bookmarkEnd w:id="5230"/>
      <w:r>
        <w:rPr>
          <w:rFonts w:ascii="Arial" w:eastAsia="Arial" w:hAnsi="Arial" w:cs="Arial"/>
          <w:color w:val="000000"/>
          <w:sz w:val="20"/>
        </w:rPr>
        <w:t xml:space="preserve">That is, Title VII is not meant to be "a general civility code for the American workplace." </w:t>
      </w:r>
      <w:bookmarkStart w:id="5231" w:name="Bookmark_I61CDGK22D6N870040000400"/>
      <w:bookmarkEnd w:id="5231"/>
      <w:r>
        <w:rPr>
          <w:rFonts w:ascii="Arial" w:eastAsia="Arial" w:hAnsi="Arial" w:cs="Arial"/>
          <w:i/>
          <w:color w:val="000000"/>
          <w:sz w:val="20"/>
        </w:rPr>
        <w:t>Oncale</w:t>
      </w:r>
      <w:r>
        <w:rPr>
          <w:rFonts w:ascii="Arial" w:eastAsia="Arial" w:hAnsi="Arial" w:cs="Arial"/>
          <w:color w:val="000000"/>
          <w:sz w:val="20"/>
        </w:rPr>
        <w:t xml:space="preserve">, 523 U.S. at 80. </w:t>
      </w:r>
      <w:bookmarkStart w:id="5232" w:name="Bookmark_I61CDGK22HM5PB0050000400_2"/>
      <w:bookmarkStart w:id="5233" w:name="Bookmark_I61CDGK228T3VF0020000400_2"/>
      <w:bookmarkStart w:id="5234" w:name="Bookmark_I722C9X73VY0000671P0006W"/>
      <w:bookmarkStart w:id="5235" w:name="Bookmark_I722C9X7D730000671P00070"/>
      <w:bookmarkStart w:id="5236" w:name="Bookmark_I61CDGK228T3VH0040000400"/>
      <w:bookmarkEnd w:id="5232"/>
      <w:bookmarkEnd w:id="5233"/>
      <w:bookmarkEnd w:id="5234"/>
      <w:bookmarkEnd w:id="5235"/>
      <w:bookmarkEnd w:id="5236"/>
      <w:r>
        <w:rPr>
          <w:rFonts w:ascii="Arial" w:eastAsia="Arial" w:hAnsi="Arial" w:cs="Arial"/>
          <w:color w:val="000000"/>
          <w:sz w:val="20"/>
        </w:rPr>
        <w:t xml:space="preserve">As a result, the "'mere utterance of an . . . epithet which engenders offensive feelings in a[n] employee,' does not sufficiently affect the conditions of employment  [*838]  to implicate Title VII." </w:t>
      </w:r>
      <w:bookmarkStart w:id="5237" w:name="Bookmark_I61CDGK228T3VF0010000400"/>
      <w:bookmarkEnd w:id="5237"/>
      <w:r>
        <w:rPr>
          <w:rFonts w:ascii="Arial" w:eastAsia="Arial" w:hAnsi="Arial" w:cs="Arial"/>
          <w:i/>
          <w:color w:val="000000"/>
          <w:sz w:val="20"/>
        </w:rPr>
        <w:t>Harris v. Forklift Sys., Inc.</w:t>
      </w:r>
      <w:r>
        <w:rPr>
          <w:rFonts w:ascii="Arial" w:eastAsia="Arial" w:hAnsi="Arial" w:cs="Arial"/>
          <w:color w:val="000000"/>
          <w:sz w:val="20"/>
        </w:rPr>
        <w:t xml:space="preserve">, 510 U.S. 17, 21, 114 S. Ct. 367, 126 L. Ed. 2d 295 (1993) (ellipsis in original) (quoting </w:t>
      </w:r>
      <w:bookmarkStart w:id="5238" w:name="Bookmark_I61CDGK228T3VF0030000400"/>
      <w:bookmarkEnd w:id="5238"/>
      <w:r>
        <w:rPr>
          <w:rFonts w:ascii="Arial" w:eastAsia="Arial" w:hAnsi="Arial" w:cs="Arial"/>
          <w:i/>
          <w:color w:val="000000"/>
          <w:sz w:val="20"/>
        </w:rPr>
        <w:t>Meritor Sav. Bank</w:t>
      </w:r>
      <w:r>
        <w:rPr>
          <w:rFonts w:ascii="Arial" w:eastAsia="Arial" w:hAnsi="Arial" w:cs="Arial"/>
          <w:color w:val="000000"/>
          <w:sz w:val="20"/>
        </w:rPr>
        <w:t xml:space="preserve">, 477 U.S. at 67); </w:t>
      </w:r>
      <w:r>
        <w:rPr>
          <w:rFonts w:ascii="Arial" w:eastAsia="Arial" w:hAnsi="Arial" w:cs="Arial"/>
          <w:i/>
          <w:color w:val="000000"/>
          <w:sz w:val="20"/>
        </w:rPr>
        <w:t xml:space="preserve">see also </w:t>
      </w:r>
      <w:bookmarkStart w:id="5239" w:name="Bookmark_I61CDGK228T3VF0050000400"/>
      <w:bookmarkEnd w:id="5239"/>
      <w:r>
        <w:rPr>
          <w:rFonts w:ascii="Arial" w:eastAsia="Arial" w:hAnsi="Arial" w:cs="Arial"/>
          <w:i/>
          <w:color w:val="000000"/>
          <w:sz w:val="20"/>
        </w:rPr>
        <w:t>Faragher v. City of Boca Raton</w:t>
      </w:r>
      <w:r>
        <w:rPr>
          <w:rFonts w:ascii="Arial" w:eastAsia="Arial" w:hAnsi="Arial" w:cs="Arial"/>
          <w:color w:val="000000"/>
          <w:sz w:val="20"/>
        </w:rPr>
        <w:t xml:space="preserve">, 524 U.S. 775, 788, 118 S. Ct. 2275, 141 L. Ed. 2d 662 (1998) ("'[S]imple teasing,' offhand comments, and isolated incidents (unless extremely serious) will not amount to [**115]  discriminatory changes in the 'terms and conditions of employment.'" (citation omitted) (quoting </w:t>
      </w:r>
      <w:bookmarkStart w:id="5240" w:name="Bookmark_I61CDGK22HM5PB0020000400"/>
      <w:bookmarkEnd w:id="5240"/>
      <w:r>
        <w:rPr>
          <w:rFonts w:ascii="Arial" w:eastAsia="Arial" w:hAnsi="Arial" w:cs="Arial"/>
          <w:i/>
          <w:color w:val="000000"/>
          <w:sz w:val="20"/>
        </w:rPr>
        <w:t>Oncale</w:t>
      </w:r>
      <w:r>
        <w:rPr>
          <w:rFonts w:ascii="Arial" w:eastAsia="Arial" w:hAnsi="Arial" w:cs="Arial"/>
          <w:color w:val="000000"/>
          <w:sz w:val="20"/>
        </w:rPr>
        <w:t xml:space="preserve">, 523 U.S. at 82)). </w:t>
      </w:r>
      <w:bookmarkStart w:id="5241" w:name="Bookmark_I61CDGK228T3VH0040000400_2"/>
      <w:bookmarkEnd w:id="5241"/>
      <w:r>
        <w:rPr>
          <w:rFonts w:ascii="Arial" w:eastAsia="Arial" w:hAnsi="Arial" w:cs="Arial"/>
          <w:color w:val="000000"/>
          <w:sz w:val="20"/>
        </w:rPr>
        <w:t xml:space="preserve">Rather, for constructive alterations in the terms and conditions of employment to be actionable, the conduct "must be severe or pervasive." </w:t>
      </w:r>
      <w:bookmarkStart w:id="5242" w:name="Bookmark_I61CDGK22HM5PB0040000400"/>
      <w:bookmarkEnd w:id="5242"/>
      <w:r>
        <w:rPr>
          <w:rFonts w:ascii="Arial" w:eastAsia="Arial" w:hAnsi="Arial" w:cs="Arial"/>
          <w:i/>
          <w:color w:val="000000"/>
          <w:sz w:val="20"/>
        </w:rPr>
        <w:t>Ellerth</w:t>
      </w:r>
      <w:r>
        <w:rPr>
          <w:rFonts w:ascii="Arial" w:eastAsia="Arial" w:hAnsi="Arial" w:cs="Arial"/>
          <w:color w:val="000000"/>
          <w:sz w:val="20"/>
        </w:rPr>
        <w:t xml:space="preserve">, 524 U.S. at 752; </w:t>
      </w:r>
      <w:r>
        <w:rPr>
          <w:rFonts w:ascii="Arial" w:eastAsia="Arial" w:hAnsi="Arial" w:cs="Arial"/>
          <w:i/>
          <w:color w:val="000000"/>
          <w:sz w:val="20"/>
        </w:rPr>
        <w:t xml:space="preserve">see also </w:t>
      </w:r>
      <w:bookmarkStart w:id="5243" w:name="Bookmark_I61CDGK228T3VH0010000400"/>
      <w:bookmarkEnd w:id="5243"/>
      <w:r>
        <w:rPr>
          <w:rFonts w:ascii="Arial" w:eastAsia="Arial" w:hAnsi="Arial" w:cs="Arial"/>
          <w:i/>
          <w:color w:val="000000"/>
          <w:sz w:val="20"/>
        </w:rPr>
        <w:t>Faragher</w:t>
      </w:r>
      <w:r>
        <w:rPr>
          <w:rFonts w:ascii="Arial" w:eastAsia="Arial" w:hAnsi="Arial" w:cs="Arial"/>
          <w:color w:val="000000"/>
          <w:sz w:val="20"/>
        </w:rPr>
        <w:t xml:space="preserve">, 524 U.S. at 788 ("[C]onduct must be extreme to amount to a change in the terms and conditions of employment."). </w:t>
      </w:r>
      <w:bookmarkStart w:id="5244" w:name="Bookmark_I61CDGK228T3VH0040000400_3"/>
      <w:bookmarkEnd w:id="5244"/>
      <w:r>
        <w:rPr>
          <w:rFonts w:ascii="Arial" w:eastAsia="Arial" w:hAnsi="Arial" w:cs="Arial"/>
          <w:color w:val="000000"/>
          <w:sz w:val="20"/>
        </w:rPr>
        <w:t xml:space="preserve">Title VII is violated "[w]hen the workplace is permeated with 'discriminatory intimidation, ridicule, and insult,' that is 'sufficiently severe or pervasive to </w:t>
      </w:r>
      <w:r>
        <w:rPr>
          <w:rFonts w:ascii="Arial" w:eastAsia="Arial" w:hAnsi="Arial" w:cs="Arial"/>
          <w:i/>
          <w:color w:val="000000"/>
          <w:sz w:val="20"/>
        </w:rPr>
        <w:t>alter the conditions of the victim's employment</w:t>
      </w:r>
      <w:r>
        <w:rPr>
          <w:rFonts w:ascii="Arial" w:eastAsia="Arial" w:hAnsi="Arial" w:cs="Arial"/>
          <w:color w:val="000000"/>
          <w:sz w:val="20"/>
        </w:rPr>
        <w:t xml:space="preserve"> and create an abusive working environment.'" </w:t>
      </w:r>
      <w:bookmarkStart w:id="5245" w:name="Bookmark_I61CDGK228T3VH0030000400"/>
      <w:bookmarkEnd w:id="5245"/>
      <w:r>
        <w:rPr>
          <w:rFonts w:ascii="Arial" w:eastAsia="Arial" w:hAnsi="Arial" w:cs="Arial"/>
          <w:i/>
          <w:color w:val="000000"/>
          <w:sz w:val="20"/>
        </w:rPr>
        <w:t>Harris</w:t>
      </w:r>
      <w:r>
        <w:rPr>
          <w:rFonts w:ascii="Arial" w:eastAsia="Arial" w:hAnsi="Arial" w:cs="Arial"/>
          <w:color w:val="000000"/>
          <w:sz w:val="20"/>
        </w:rPr>
        <w:t xml:space="preserve">, 510 U.S. at 21 (emphasis added) (citation omitted) (quoting </w:t>
      </w:r>
      <w:bookmarkStart w:id="5246" w:name="Bookmark_I61CDGK228T3VH0050000400"/>
      <w:bookmarkEnd w:id="5246"/>
      <w:r>
        <w:rPr>
          <w:rFonts w:ascii="Arial" w:eastAsia="Arial" w:hAnsi="Arial" w:cs="Arial"/>
          <w:i/>
          <w:color w:val="000000"/>
          <w:sz w:val="20"/>
        </w:rPr>
        <w:t>Meritor Sav. Bank</w:t>
      </w:r>
      <w:r>
        <w:rPr>
          <w:rFonts w:ascii="Arial" w:eastAsia="Arial" w:hAnsi="Arial" w:cs="Arial"/>
          <w:color w:val="000000"/>
          <w:sz w:val="20"/>
        </w:rPr>
        <w:t>, 477 U.S. at 65, 67).</w:t>
      </w:r>
    </w:p>
    <w:p w14:paraId="223410D8" w14:textId="77777777" w:rsidR="002B10A6" w:rsidRDefault="00000000">
      <w:pPr>
        <w:pStyle w:val="Normal23"/>
        <w:widowControl w:val="0"/>
        <w:spacing w:before="200" w:line="260" w:lineRule="atLeast"/>
        <w:jc w:val="both"/>
      </w:pPr>
      <w:bookmarkStart w:id="5247" w:name="Bookmark_para_177"/>
      <w:bookmarkStart w:id="5248" w:name="Bookmark_I722C9X7PHP0000671P00073"/>
      <w:bookmarkStart w:id="5249" w:name="Bookmark_I722C9X7T930000671P00074"/>
      <w:bookmarkStart w:id="5250" w:name="Bookmark_I61CDGK22SF8RV0030000400"/>
      <w:bookmarkStart w:id="5251" w:name="Bookmark_I722C9X7X3F0000671P00075"/>
      <w:bookmarkStart w:id="5252" w:name="Bookmark_I61CDGK22SF8RW0020000400"/>
      <w:bookmarkStart w:id="5253" w:name="Bookmark_I722C9X80VP0000671P00076"/>
      <w:bookmarkStart w:id="5254" w:name="Bookmark_I61CDGK22SF8RW0040000400"/>
      <w:bookmarkEnd w:id="5247"/>
      <w:bookmarkEnd w:id="5248"/>
      <w:bookmarkEnd w:id="5249"/>
      <w:bookmarkEnd w:id="5250"/>
      <w:bookmarkEnd w:id="5251"/>
      <w:bookmarkEnd w:id="5252"/>
      <w:bookmarkEnd w:id="5253"/>
      <w:bookmarkEnd w:id="5254"/>
      <w:r>
        <w:rPr>
          <w:rFonts w:ascii="Arial" w:eastAsia="Arial" w:hAnsi="Arial" w:cs="Arial"/>
          <w:color w:val="000000"/>
          <w:sz w:val="20"/>
        </w:rPr>
        <w:t xml:space="preserve">"The critical issue, Title VII's text indicates, is whether members of one sex are exposed to disadvantageous terms or conditions of employment to which members of the other sex are not exposed." </w:t>
      </w:r>
      <w:bookmarkStart w:id="5255" w:name="Bookmark_I61CDGK22SF8RV0020000400"/>
      <w:bookmarkEnd w:id="5255"/>
      <w:r>
        <w:rPr>
          <w:rFonts w:ascii="Arial" w:eastAsia="Arial" w:hAnsi="Arial" w:cs="Arial"/>
          <w:i/>
          <w:color w:val="000000"/>
          <w:sz w:val="20"/>
        </w:rPr>
        <w:t>Oncale</w:t>
      </w:r>
      <w:r>
        <w:rPr>
          <w:rFonts w:ascii="Arial" w:eastAsia="Arial" w:hAnsi="Arial" w:cs="Arial"/>
          <w:color w:val="000000"/>
          <w:sz w:val="20"/>
        </w:rPr>
        <w:t xml:space="preserve">, 523 U.S. at 80 (quoting </w:t>
      </w:r>
      <w:bookmarkStart w:id="5256" w:name="Bookmark_I61CDGK22SF8RV0040000400"/>
      <w:bookmarkEnd w:id="5256"/>
      <w:r>
        <w:rPr>
          <w:rFonts w:ascii="Arial" w:eastAsia="Arial" w:hAnsi="Arial" w:cs="Arial"/>
          <w:i/>
          <w:color w:val="000000"/>
          <w:sz w:val="20"/>
        </w:rPr>
        <w:t>Harris</w:t>
      </w:r>
      <w:r>
        <w:rPr>
          <w:rFonts w:ascii="Arial" w:eastAsia="Arial" w:hAnsi="Arial" w:cs="Arial"/>
          <w:color w:val="000000"/>
          <w:sz w:val="20"/>
        </w:rPr>
        <w:t xml:space="preserve">, 510 U.S. at 25 (Ginsburg, J., concurring)). </w:t>
      </w:r>
      <w:bookmarkStart w:id="5257" w:name="Bookmark_I722C9X83KV0000671P00077"/>
      <w:bookmarkStart w:id="5258" w:name="Bookmark_I61CDGK22HM5PC0010000400"/>
      <w:bookmarkEnd w:id="5257"/>
      <w:bookmarkEnd w:id="5258"/>
      <w:r>
        <w:rPr>
          <w:rFonts w:ascii="Arial" w:eastAsia="Arial" w:hAnsi="Arial" w:cs="Arial"/>
          <w:color w:val="000000"/>
          <w:sz w:val="20"/>
        </w:rPr>
        <w:t xml:space="preserve">"[A] sexually objectionable environment must be both objectively and subjectively offensive, one that a reasonable person would find hostile or abusive, and one that the victim in fact did perceive to be so." </w:t>
      </w:r>
      <w:bookmarkStart w:id="5259" w:name="Bookmark_I61CDGK22SF8RW0010000400"/>
      <w:bookmarkEnd w:id="5259"/>
      <w:r>
        <w:rPr>
          <w:rFonts w:ascii="Arial" w:eastAsia="Arial" w:hAnsi="Arial" w:cs="Arial"/>
          <w:i/>
          <w:color w:val="000000"/>
          <w:sz w:val="20"/>
        </w:rPr>
        <w:t>Faragher</w:t>
      </w:r>
      <w:r>
        <w:rPr>
          <w:rFonts w:ascii="Arial" w:eastAsia="Arial" w:hAnsi="Arial" w:cs="Arial"/>
          <w:color w:val="000000"/>
          <w:sz w:val="20"/>
        </w:rPr>
        <w:t xml:space="preserve">, 524 U.S. at 787. Determining "whether an environment is 'hostile' or 'abusive'" requires "looking at all the circumstances," [**116]  such as "the frequency of the discriminatory conduct; its severity; whether it is physically threatening or humiliating, or a mere offensive utterance; and whether it unreasonably interferes with an employee's work performance." </w:t>
      </w:r>
      <w:bookmarkStart w:id="5260" w:name="Bookmark_I61CDGK22SF8RW0030000400"/>
      <w:bookmarkEnd w:id="5260"/>
      <w:r>
        <w:rPr>
          <w:rFonts w:ascii="Arial" w:eastAsia="Arial" w:hAnsi="Arial" w:cs="Arial"/>
          <w:i/>
          <w:color w:val="000000"/>
          <w:sz w:val="20"/>
        </w:rPr>
        <w:t>Harris</w:t>
      </w:r>
      <w:r>
        <w:rPr>
          <w:rFonts w:ascii="Arial" w:eastAsia="Arial" w:hAnsi="Arial" w:cs="Arial"/>
          <w:color w:val="000000"/>
          <w:sz w:val="20"/>
        </w:rPr>
        <w:t xml:space="preserve">, 510 U.S. at 23. </w:t>
      </w:r>
      <w:bookmarkStart w:id="5261" w:name="Bookmark_I61CDGK22HM5PC0010000400_2"/>
      <w:bookmarkEnd w:id="5261"/>
      <w:r>
        <w:rPr>
          <w:rFonts w:ascii="Arial" w:eastAsia="Arial" w:hAnsi="Arial" w:cs="Arial"/>
          <w:color w:val="000000"/>
          <w:sz w:val="20"/>
        </w:rPr>
        <w:t xml:space="preserve">If the harassment is sufficiently severe, it may result in a "hostile-environment constructive discharge," which exists where "working conditions [are] so intolerable that a reasonable person would have felt compelled to resign." </w:t>
      </w:r>
      <w:bookmarkStart w:id="5262" w:name="Bookmark_I61CDGK22SF8RW0050000400"/>
      <w:bookmarkEnd w:id="5262"/>
      <w:r>
        <w:rPr>
          <w:rFonts w:ascii="Arial" w:eastAsia="Arial" w:hAnsi="Arial" w:cs="Arial"/>
          <w:i/>
          <w:color w:val="000000"/>
          <w:sz w:val="20"/>
        </w:rPr>
        <w:t>Penn. State Police v. Suders</w:t>
      </w:r>
      <w:r>
        <w:rPr>
          <w:rFonts w:ascii="Arial" w:eastAsia="Arial" w:hAnsi="Arial" w:cs="Arial"/>
          <w:color w:val="000000"/>
          <w:sz w:val="20"/>
        </w:rPr>
        <w:t>, 542 U.S. 129, 147, 124 S. Ct. 2342, 159 L. Ed. 2d 204 (2004).</w:t>
      </w:r>
    </w:p>
    <w:p w14:paraId="427704C9" w14:textId="77777777" w:rsidR="002B10A6" w:rsidRDefault="00000000">
      <w:pPr>
        <w:pStyle w:val="Normal23"/>
        <w:widowControl w:val="0"/>
        <w:spacing w:before="200" w:line="260" w:lineRule="atLeast"/>
        <w:jc w:val="both"/>
      </w:pPr>
      <w:bookmarkStart w:id="5263" w:name="Bookmark_para_178"/>
      <w:bookmarkStart w:id="5264" w:name="Bookmark_I722C9X894Y0000671P00079"/>
      <w:bookmarkStart w:id="5265" w:name="Bookmark_I61CDGK22HM5PC0030000400"/>
      <w:bookmarkStart w:id="5266" w:name="Bookmark_I722C9X8CWX0000671P0007B"/>
      <w:bookmarkStart w:id="5267" w:name="Bookmark_I61CDGK22HM5PC0050000400"/>
      <w:bookmarkEnd w:id="5263"/>
      <w:bookmarkEnd w:id="5264"/>
      <w:bookmarkEnd w:id="5265"/>
      <w:bookmarkEnd w:id="5266"/>
      <w:bookmarkEnd w:id="5267"/>
      <w:r>
        <w:rPr>
          <w:rFonts w:ascii="Arial" w:eastAsia="Arial" w:hAnsi="Arial" w:cs="Arial"/>
          <w:color w:val="000000"/>
          <w:sz w:val="20"/>
        </w:rPr>
        <w:t xml:space="preserve">The Supreme Court has contrasted hostile work environment claims with another type of sexual harassment: </w:t>
      </w:r>
      <w:r>
        <w:rPr>
          <w:rFonts w:ascii="Arial" w:eastAsia="Arial" w:hAnsi="Arial" w:cs="Arial"/>
          <w:i/>
          <w:color w:val="000000"/>
          <w:sz w:val="20"/>
        </w:rPr>
        <w:t>quid pro quo</w:t>
      </w:r>
      <w:r>
        <w:rPr>
          <w:rFonts w:ascii="Arial" w:eastAsia="Arial" w:hAnsi="Arial" w:cs="Arial"/>
          <w:color w:val="000000"/>
          <w:sz w:val="20"/>
        </w:rPr>
        <w:t xml:space="preserve">. A </w:t>
      </w:r>
      <w:r>
        <w:rPr>
          <w:rFonts w:ascii="Arial" w:eastAsia="Arial" w:hAnsi="Arial" w:cs="Arial"/>
          <w:i/>
          <w:color w:val="000000"/>
          <w:sz w:val="20"/>
        </w:rPr>
        <w:t>quid pro quo</w:t>
      </w:r>
      <w:r>
        <w:rPr>
          <w:rFonts w:ascii="Arial" w:eastAsia="Arial" w:hAnsi="Arial" w:cs="Arial"/>
          <w:color w:val="000000"/>
          <w:sz w:val="20"/>
        </w:rPr>
        <w:t xml:space="preserve"> claim exists where a supervisor's threats to retaliate if the employee does not comply with sexual demands are carried out. </w:t>
      </w:r>
      <w:bookmarkStart w:id="5268" w:name="Bookmark_I61CDGK22HM5PC0020000400"/>
      <w:bookmarkEnd w:id="5268"/>
      <w:r>
        <w:rPr>
          <w:rFonts w:ascii="Arial" w:eastAsia="Arial" w:hAnsi="Arial" w:cs="Arial"/>
          <w:i/>
          <w:color w:val="000000"/>
          <w:sz w:val="20"/>
        </w:rPr>
        <w:t>Ellerth</w:t>
      </w:r>
      <w:r>
        <w:rPr>
          <w:rFonts w:ascii="Arial" w:eastAsia="Arial" w:hAnsi="Arial" w:cs="Arial"/>
          <w:color w:val="000000"/>
          <w:sz w:val="20"/>
        </w:rPr>
        <w:t xml:space="preserve">, 524 U.S. at 752-53. These </w:t>
      </w:r>
      <w:r>
        <w:rPr>
          <w:rFonts w:ascii="Arial" w:eastAsia="Arial" w:hAnsi="Arial" w:cs="Arial"/>
          <w:i/>
          <w:color w:val="000000"/>
          <w:sz w:val="20"/>
        </w:rPr>
        <w:t>quid pro quo</w:t>
      </w:r>
      <w:r>
        <w:rPr>
          <w:rFonts w:ascii="Arial" w:eastAsia="Arial" w:hAnsi="Arial" w:cs="Arial"/>
          <w:color w:val="000000"/>
          <w:sz w:val="20"/>
        </w:rPr>
        <w:t xml:space="preserve"> cases, unlike hostile work environment cases, involve an explicit alteration in the terms and conditions of employment. </w:t>
      </w:r>
      <w:bookmarkStart w:id="5269" w:name="Bookmark_I61CDGK22HM5PC0040000400"/>
      <w:bookmarkEnd w:id="5269"/>
      <w:r>
        <w:rPr>
          <w:rFonts w:ascii="Arial" w:eastAsia="Arial" w:hAnsi="Arial" w:cs="Arial"/>
          <w:i/>
          <w:color w:val="000000"/>
          <w:sz w:val="20"/>
        </w:rPr>
        <w:t>Id.</w:t>
      </w:r>
      <w:r>
        <w:rPr>
          <w:rFonts w:ascii="Arial" w:eastAsia="Arial" w:hAnsi="Arial" w:cs="Arial"/>
          <w:color w:val="000000"/>
          <w:sz w:val="20"/>
        </w:rPr>
        <w:t xml:space="preserve"> at 752. </w:t>
      </w:r>
      <w:bookmarkStart w:id="5270" w:name="Bookmark_I722C9X8GMX0000671P0007C"/>
      <w:bookmarkStart w:id="5271" w:name="Bookmark_I61CDGK22N1R9M0020000400"/>
      <w:bookmarkEnd w:id="5270"/>
      <w:bookmarkEnd w:id="5271"/>
      <w:r>
        <w:rPr>
          <w:rFonts w:ascii="Arial" w:eastAsia="Arial" w:hAnsi="Arial" w:cs="Arial"/>
          <w:color w:val="000000"/>
          <w:sz w:val="20"/>
        </w:rPr>
        <w:t>The Supreme Court summarized the difference in the proof required for these claims:</w:t>
      </w:r>
    </w:p>
    <w:p w14:paraId="6AFF7672" w14:textId="77777777" w:rsidR="002B10A6" w:rsidRDefault="00000000">
      <w:pPr>
        <w:pStyle w:val="Normal23"/>
        <w:widowControl w:val="0"/>
        <w:spacing w:before="200" w:line="260" w:lineRule="atLeast"/>
        <w:ind w:left="400"/>
        <w:jc w:val="both"/>
      </w:pPr>
      <w:bookmarkStart w:id="5272" w:name="Bookmark_para_179"/>
      <w:bookmarkStart w:id="5273" w:name="Bookmark_I61CDGK22N1R9M0020000400_2"/>
      <w:bookmarkEnd w:id="5272"/>
      <w:bookmarkEnd w:id="5273"/>
      <w:r>
        <w:rPr>
          <w:rFonts w:ascii="Arial" w:eastAsia="Arial" w:hAnsi="Arial" w:cs="Arial"/>
          <w:color w:val="000000"/>
          <w:sz w:val="20"/>
        </w:rPr>
        <w:t xml:space="preserve">When a plaintiff proves that a </w:t>
      </w:r>
      <w:r>
        <w:rPr>
          <w:rFonts w:ascii="Arial" w:eastAsia="Arial" w:hAnsi="Arial" w:cs="Arial"/>
          <w:i/>
          <w:color w:val="000000"/>
          <w:sz w:val="20"/>
        </w:rPr>
        <w:t>tangible employment action</w:t>
      </w:r>
      <w:r>
        <w:rPr>
          <w:rFonts w:ascii="Arial" w:eastAsia="Arial" w:hAnsi="Arial" w:cs="Arial"/>
          <w:color w:val="000000"/>
          <w:sz w:val="20"/>
        </w:rPr>
        <w:t xml:space="preserve"> resulted from a refusal to submit to a supervisor's sexual demands, he or she establishes that the </w:t>
      </w:r>
      <w:r>
        <w:rPr>
          <w:rFonts w:ascii="Arial" w:eastAsia="Arial" w:hAnsi="Arial" w:cs="Arial"/>
          <w:i/>
          <w:color w:val="000000"/>
          <w:sz w:val="20"/>
        </w:rPr>
        <w:t>employment decision itself constitutes a change in the terms and conditions of employment</w:t>
      </w:r>
      <w:r>
        <w:rPr>
          <w:rFonts w:ascii="Arial" w:eastAsia="Arial" w:hAnsi="Arial" w:cs="Arial"/>
          <w:color w:val="000000"/>
          <w:sz w:val="20"/>
        </w:rPr>
        <w:t xml:space="preserve"> that is [**117]  actionable under Title VII. For any sexual harassment preceding the employment decision to be actionable, however, the conduct must be severe or pervasive.</w:t>
      </w:r>
    </w:p>
    <w:p w14:paraId="656FF50A" w14:textId="77777777" w:rsidR="002B10A6" w:rsidRDefault="00000000">
      <w:pPr>
        <w:pStyle w:val="Normal23"/>
        <w:widowControl w:val="0"/>
        <w:spacing w:before="200" w:line="260" w:lineRule="atLeast"/>
        <w:jc w:val="both"/>
      </w:pPr>
      <w:bookmarkStart w:id="5274" w:name="Bookmark_I61CDGK22N1R9M0020000400_3"/>
      <w:bookmarkStart w:id="5275" w:name="Bookmark_I61CDGK22N1R9M0010000400"/>
      <w:bookmarkEnd w:id="5274"/>
      <w:bookmarkEnd w:id="5275"/>
      <w:r>
        <w:rPr>
          <w:rFonts w:ascii="Arial" w:eastAsia="Arial" w:hAnsi="Arial" w:cs="Arial"/>
          <w:i/>
          <w:color w:val="000000"/>
          <w:sz w:val="20"/>
        </w:rPr>
        <w:t>Id.</w:t>
      </w:r>
      <w:r>
        <w:rPr>
          <w:rFonts w:ascii="Arial" w:eastAsia="Arial" w:hAnsi="Arial" w:cs="Arial"/>
          <w:color w:val="000000"/>
          <w:sz w:val="20"/>
        </w:rPr>
        <w:t xml:space="preserve"> at 753-54 (emphases added).</w:t>
      </w:r>
    </w:p>
    <w:p w14:paraId="131863C4" w14:textId="77777777" w:rsidR="002B10A6" w:rsidRDefault="00000000">
      <w:pPr>
        <w:pStyle w:val="Normal23"/>
        <w:widowControl w:val="0"/>
        <w:spacing w:before="200" w:line="260" w:lineRule="atLeast"/>
        <w:jc w:val="both"/>
      </w:pPr>
      <w:bookmarkStart w:id="5276" w:name="Bookmark_para_180"/>
      <w:bookmarkStart w:id="5277" w:name="Bookmark_I722C9X8SWJ0000671P0007G"/>
      <w:bookmarkStart w:id="5278" w:name="Bookmark_I722C9X8WMS0000671P0007H"/>
      <w:bookmarkStart w:id="5279" w:name="Bookmark_I722C9X90D40000671P0007J"/>
      <w:bookmarkStart w:id="5280" w:name="Bookmark_I61CDGK22N1R9M0040000400"/>
      <w:bookmarkStart w:id="5281" w:name="Bookmark_I722C9X935P0000671P0007K"/>
      <w:bookmarkStart w:id="5282" w:name="Bookmark_I61CDGK228T3VK0050000400"/>
      <w:bookmarkEnd w:id="5276"/>
      <w:bookmarkEnd w:id="5277"/>
      <w:bookmarkEnd w:id="5278"/>
      <w:bookmarkEnd w:id="5279"/>
      <w:bookmarkEnd w:id="5280"/>
      <w:bookmarkEnd w:id="5281"/>
      <w:bookmarkEnd w:id="5282"/>
      <w:r>
        <w:rPr>
          <w:rFonts w:ascii="Arial" w:eastAsia="Arial" w:hAnsi="Arial" w:cs="Arial"/>
          <w:color w:val="000000"/>
          <w:sz w:val="20"/>
        </w:rPr>
        <w:t xml:space="preserve">"A tangible employment action constitutes a significant change in employment status, such as hiring, firing, failing to  [*839]  promote, reassignment with significantly different responsibilities, or a decision causing a significant change in benefits." </w:t>
      </w:r>
      <w:bookmarkStart w:id="5283" w:name="Bookmark_I61CDGK22N1R9M0030000400"/>
      <w:bookmarkEnd w:id="5283"/>
      <w:r>
        <w:rPr>
          <w:rFonts w:ascii="Arial" w:eastAsia="Arial" w:hAnsi="Arial" w:cs="Arial"/>
          <w:i/>
          <w:color w:val="000000"/>
          <w:sz w:val="20"/>
        </w:rPr>
        <w:t>Id.</w:t>
      </w:r>
      <w:r>
        <w:rPr>
          <w:rFonts w:ascii="Arial" w:eastAsia="Arial" w:hAnsi="Arial" w:cs="Arial"/>
          <w:color w:val="000000"/>
          <w:sz w:val="20"/>
        </w:rPr>
        <w:t xml:space="preserve"> at 761.</w:t>
      </w:r>
      <w:r>
        <w:rPr>
          <w:rFonts w:ascii="Arial" w:eastAsia="Arial" w:hAnsi="Arial" w:cs="Arial"/>
          <w:vertAlign w:val="superscript"/>
        </w:rPr>
        <w:footnoteReference w:customMarkFollows="1" w:id="195"/>
        <w:t>7</w:t>
      </w:r>
      <w:r>
        <w:rPr>
          <w:rFonts w:ascii="Arial" w:eastAsia="Arial" w:hAnsi="Arial" w:cs="Arial"/>
          <w:color w:val="000000"/>
          <w:sz w:val="20"/>
        </w:rPr>
        <w:t xml:space="preserve"> But </w:t>
      </w:r>
      <w:r>
        <w:rPr>
          <w:rFonts w:ascii="Arial" w:eastAsia="Arial" w:hAnsi="Arial" w:cs="Arial"/>
          <w:i/>
          <w:color w:val="000000"/>
          <w:sz w:val="20"/>
        </w:rPr>
        <w:t>Ellerth</w:t>
      </w:r>
      <w:r>
        <w:rPr>
          <w:rFonts w:ascii="Arial" w:eastAsia="Arial" w:hAnsi="Arial" w:cs="Arial"/>
          <w:color w:val="000000"/>
          <w:sz w:val="20"/>
        </w:rPr>
        <w:t xml:space="preserve"> delineated tangible employment actions "only to 'identify a class of [hostile work environment] cases' in which an employer should be held vicariously liable (without an affirmative defense) for the acts of supervisors." </w:t>
      </w:r>
      <w:bookmarkStart w:id="5286" w:name="Bookmark_I61CDGK22N1R9M0050000400"/>
      <w:bookmarkEnd w:id="5286"/>
      <w:r>
        <w:rPr>
          <w:rFonts w:ascii="Arial" w:eastAsia="Arial" w:hAnsi="Arial" w:cs="Arial"/>
          <w:i/>
          <w:color w:val="000000"/>
          <w:sz w:val="20"/>
        </w:rPr>
        <w:t>Burlington N. &amp; Santa Fe Ry. Co. v. White</w:t>
      </w:r>
      <w:r>
        <w:rPr>
          <w:rFonts w:ascii="Arial" w:eastAsia="Arial" w:hAnsi="Arial" w:cs="Arial"/>
          <w:color w:val="000000"/>
          <w:sz w:val="20"/>
        </w:rPr>
        <w:t xml:space="preserve">, 548 U.S. 53, 64, 126 S. Ct. 2405, 165 L. Ed. 2d 345 (2006) (alteration in original) (quoting </w:t>
      </w:r>
      <w:bookmarkStart w:id="5287" w:name="Bookmark_I61CDGK228T3VK0020000400"/>
      <w:bookmarkEnd w:id="5287"/>
      <w:r>
        <w:rPr>
          <w:rFonts w:ascii="Arial" w:eastAsia="Arial" w:hAnsi="Arial" w:cs="Arial"/>
          <w:i/>
          <w:color w:val="000000"/>
          <w:sz w:val="20"/>
        </w:rPr>
        <w:t>Ellerth</w:t>
      </w:r>
      <w:r>
        <w:rPr>
          <w:rFonts w:ascii="Arial" w:eastAsia="Arial" w:hAnsi="Arial" w:cs="Arial"/>
          <w:color w:val="000000"/>
          <w:sz w:val="20"/>
        </w:rPr>
        <w:t>, 524 U.S. at 760). "</w:t>
      </w:r>
      <w:r>
        <w:rPr>
          <w:rFonts w:ascii="Arial" w:eastAsia="Arial" w:hAnsi="Arial" w:cs="Arial"/>
          <w:i/>
          <w:color w:val="000000"/>
          <w:sz w:val="20"/>
        </w:rPr>
        <w:t>Ellerth</w:t>
      </w:r>
      <w:r>
        <w:rPr>
          <w:rFonts w:ascii="Arial" w:eastAsia="Arial" w:hAnsi="Arial" w:cs="Arial"/>
          <w:color w:val="000000"/>
          <w:sz w:val="20"/>
        </w:rPr>
        <w:t xml:space="preserve"> did not discuss the scope of the general antidiscrimination provision." </w:t>
      </w:r>
      <w:r>
        <w:rPr>
          <w:rFonts w:ascii="Arial" w:eastAsia="Arial" w:hAnsi="Arial" w:cs="Arial"/>
          <w:i/>
          <w:color w:val="000000"/>
          <w:sz w:val="20"/>
        </w:rPr>
        <w:t>Id.</w:t>
      </w:r>
      <w:r>
        <w:rPr>
          <w:rFonts w:ascii="Arial" w:eastAsia="Arial" w:hAnsi="Arial" w:cs="Arial"/>
          <w:color w:val="000000"/>
          <w:sz w:val="20"/>
        </w:rPr>
        <w:t xml:space="preserve"> Rather, the Court was focused on changes in employment status because it was considering "action[s] result[ing] from a refusal to submit to a supervisor's sexual demands." </w:t>
      </w:r>
      <w:bookmarkStart w:id="5288" w:name="Bookmark_I61CDGK228T3VK0040000400"/>
      <w:bookmarkEnd w:id="5288"/>
      <w:r>
        <w:rPr>
          <w:rFonts w:ascii="Arial" w:eastAsia="Arial" w:hAnsi="Arial" w:cs="Arial"/>
          <w:i/>
          <w:color w:val="000000"/>
          <w:sz w:val="20"/>
        </w:rPr>
        <w:t>Ellerth</w:t>
      </w:r>
      <w:r>
        <w:rPr>
          <w:rFonts w:ascii="Arial" w:eastAsia="Arial" w:hAnsi="Arial" w:cs="Arial"/>
          <w:color w:val="000000"/>
          <w:sz w:val="20"/>
        </w:rPr>
        <w:t>, 524 U.S. at 753. As such, the scope of "tangible employment action" is, at least in theory, narrower than the scope of "adverse employment action," as the latter draws in not only concrete actions affecting job status but also the constructive alteration of the conditions [**118]  of employment.</w:t>
      </w:r>
    </w:p>
    <w:p w14:paraId="29B81598" w14:textId="77777777" w:rsidR="002B10A6" w:rsidRDefault="00000000">
      <w:pPr>
        <w:pStyle w:val="Normal23"/>
        <w:widowControl w:val="0"/>
        <w:spacing w:before="200" w:line="260" w:lineRule="atLeast"/>
        <w:jc w:val="both"/>
      </w:pPr>
      <w:bookmarkStart w:id="5289" w:name="Bookmark_para_181"/>
      <w:bookmarkStart w:id="5290" w:name="Bookmark_I722C9X95Y10000671P0007M"/>
      <w:bookmarkStart w:id="5291" w:name="Bookmark_I61CDGK32SF8RY0020000400"/>
      <w:bookmarkStart w:id="5292" w:name="Bookmark_I722C9X98PG0000671P0007N"/>
      <w:bookmarkStart w:id="5293" w:name="Bookmark_I61CDGK32SF8RY0040000400"/>
      <w:bookmarkEnd w:id="5289"/>
      <w:bookmarkEnd w:id="5290"/>
      <w:bookmarkEnd w:id="5291"/>
      <w:bookmarkEnd w:id="5292"/>
      <w:bookmarkEnd w:id="5293"/>
      <w:r>
        <w:rPr>
          <w:rFonts w:ascii="Arial" w:eastAsia="Arial" w:hAnsi="Arial" w:cs="Arial"/>
          <w:color w:val="000000"/>
          <w:sz w:val="20"/>
        </w:rPr>
        <w:t xml:space="preserve">This court adopted the concept of an "adverse employment action" as a shorthand for describing Title VII's requirement that discrimination is actionable only if taken with respect to hiring, firing, or the other terms, conditions, and privileges of employment. </w:t>
      </w:r>
      <w:bookmarkStart w:id="5294" w:name="Bookmark_I722C9X9CFX0000671P0007P"/>
      <w:bookmarkStart w:id="5295" w:name="Bookmark_I61CDGK32SF8S00010000400"/>
      <w:bookmarkEnd w:id="5294"/>
      <w:bookmarkEnd w:id="5295"/>
      <w:r>
        <w:rPr>
          <w:rFonts w:ascii="Arial" w:eastAsia="Arial" w:hAnsi="Arial" w:cs="Arial"/>
          <w:color w:val="000000"/>
          <w:sz w:val="20"/>
        </w:rPr>
        <w:t xml:space="preserve">We "liberally define[] the phrase 'adverse employment action,'" </w:t>
      </w:r>
      <w:bookmarkStart w:id="5296" w:name="Bookmark_I61CDGK32SF8RY0010000400"/>
      <w:bookmarkEnd w:id="5296"/>
      <w:r>
        <w:rPr>
          <w:rFonts w:ascii="Arial" w:eastAsia="Arial" w:hAnsi="Arial" w:cs="Arial"/>
          <w:i/>
          <w:color w:val="000000"/>
          <w:sz w:val="20"/>
        </w:rPr>
        <w:t>Sanchez</w:t>
      </w:r>
      <w:r>
        <w:rPr>
          <w:rFonts w:ascii="Arial" w:eastAsia="Arial" w:hAnsi="Arial" w:cs="Arial"/>
          <w:color w:val="000000"/>
          <w:sz w:val="20"/>
        </w:rPr>
        <w:t xml:space="preserve">, 164 F.3d at 532, and "take a case-by-case approach, examining the unique factors relevant to the situation at hand," </w:t>
      </w:r>
      <w:r>
        <w:rPr>
          <w:rFonts w:ascii="Arial" w:eastAsia="Arial" w:hAnsi="Arial" w:cs="Arial"/>
          <w:i/>
          <w:color w:val="000000"/>
          <w:sz w:val="20"/>
        </w:rPr>
        <w:t>id.</w:t>
      </w:r>
      <w:r>
        <w:rPr>
          <w:rFonts w:ascii="Arial" w:eastAsia="Arial" w:hAnsi="Arial" w:cs="Arial"/>
          <w:color w:val="000000"/>
          <w:sz w:val="20"/>
        </w:rPr>
        <w:t xml:space="preserve"> (internal quotation marks omitted), to assess whether such action has occurred. </w:t>
      </w:r>
      <w:bookmarkStart w:id="5297" w:name="Bookmark_I722C9X9JYV0000671P0007S"/>
      <w:bookmarkStart w:id="5298" w:name="Bookmark_I722C9XFWJH0000671P00099"/>
      <w:bookmarkStart w:id="5299" w:name="Bookmark_I61CDGK32SF8S00030000400"/>
      <w:bookmarkEnd w:id="5297"/>
      <w:bookmarkEnd w:id="5298"/>
      <w:bookmarkEnd w:id="5299"/>
      <w:r>
        <w:rPr>
          <w:rFonts w:ascii="Arial" w:eastAsia="Arial" w:hAnsi="Arial" w:cs="Arial"/>
          <w:color w:val="000000"/>
          <w:sz w:val="20"/>
        </w:rPr>
        <w:t xml:space="preserve">Adverse employment actions "are not simply limited to monetary losses in the form of wages or benefits." </w:t>
      </w:r>
      <w:r>
        <w:rPr>
          <w:rFonts w:ascii="Arial" w:eastAsia="Arial" w:hAnsi="Arial" w:cs="Arial"/>
          <w:i/>
          <w:color w:val="000000"/>
          <w:sz w:val="20"/>
        </w:rPr>
        <w:t>Id.</w:t>
      </w:r>
      <w:r>
        <w:rPr>
          <w:rFonts w:ascii="Arial" w:eastAsia="Arial" w:hAnsi="Arial" w:cs="Arial"/>
          <w:color w:val="000000"/>
          <w:sz w:val="20"/>
        </w:rPr>
        <w:t xml:space="preserve"> But this court "will not consider 'a mere inconvenience or an alteration of job responsibilities' to be an adverse employment action." </w:t>
      </w:r>
      <w:r>
        <w:rPr>
          <w:rFonts w:ascii="Arial" w:eastAsia="Arial" w:hAnsi="Arial" w:cs="Arial"/>
          <w:i/>
          <w:color w:val="000000"/>
          <w:sz w:val="20"/>
        </w:rPr>
        <w:t>Id.</w:t>
      </w:r>
      <w:r>
        <w:rPr>
          <w:rFonts w:ascii="Arial" w:eastAsia="Arial" w:hAnsi="Arial" w:cs="Arial"/>
          <w:color w:val="000000"/>
          <w:sz w:val="20"/>
        </w:rPr>
        <w:t xml:space="preserve"> (quoting </w:t>
      </w:r>
      <w:bookmarkStart w:id="5300" w:name="Bookmark_I61CDGK32SF8RY0030000400"/>
      <w:bookmarkEnd w:id="5300"/>
      <w:r>
        <w:rPr>
          <w:rFonts w:ascii="Arial" w:eastAsia="Arial" w:hAnsi="Arial" w:cs="Arial"/>
          <w:i/>
          <w:color w:val="000000"/>
          <w:sz w:val="20"/>
        </w:rPr>
        <w:t>Crady</w:t>
      </w:r>
      <w:r>
        <w:rPr>
          <w:rFonts w:ascii="Arial" w:eastAsia="Arial" w:hAnsi="Arial" w:cs="Arial"/>
          <w:color w:val="000000"/>
          <w:sz w:val="20"/>
        </w:rPr>
        <w:t xml:space="preserve">, 993 F.2d at 136). </w:t>
      </w:r>
      <w:bookmarkStart w:id="5301" w:name="Bookmark_I61CDGK32SF8S00030000400_2"/>
      <w:bookmarkStart w:id="5302" w:name="Bookmark_I61CDGK32SF8S00010000400_2"/>
      <w:bookmarkEnd w:id="5301"/>
      <w:bookmarkEnd w:id="5302"/>
      <w:r>
        <w:rPr>
          <w:rFonts w:ascii="Arial" w:eastAsia="Arial" w:hAnsi="Arial" w:cs="Arial"/>
          <w:color w:val="000000"/>
          <w:sz w:val="20"/>
        </w:rPr>
        <w:t xml:space="preserve">Similarly, "conduct that has no more than a de minimus impact on the employee's future job opportunities is not an adverse employment action." </w:t>
      </w:r>
      <w:bookmarkStart w:id="5303" w:name="Bookmark_I61CDGK32SF8RY0050000400"/>
      <w:bookmarkEnd w:id="5303"/>
      <w:r>
        <w:rPr>
          <w:rFonts w:ascii="Arial" w:eastAsia="Arial" w:hAnsi="Arial" w:cs="Arial"/>
          <w:i/>
          <w:color w:val="000000"/>
          <w:sz w:val="20"/>
        </w:rPr>
        <w:t>Wilson v. Harvey</w:t>
      </w:r>
      <w:r>
        <w:rPr>
          <w:rFonts w:ascii="Arial" w:eastAsia="Arial" w:hAnsi="Arial" w:cs="Arial"/>
          <w:color w:val="000000"/>
          <w:sz w:val="20"/>
        </w:rPr>
        <w:t xml:space="preserve">, 156 F. App'x 55, 58 (10th Cir. 2005) (unpublished). This means that "not every perceived indignity will rise to the level of an adverse employment action." </w:t>
      </w:r>
      <w:bookmarkStart w:id="5304" w:name="Bookmark_I61CDGK32SF8S00020000400"/>
      <w:bookmarkEnd w:id="5304"/>
      <w:r>
        <w:rPr>
          <w:rFonts w:ascii="Arial" w:eastAsia="Arial" w:hAnsi="Arial" w:cs="Arial"/>
          <w:i/>
          <w:color w:val="000000"/>
          <w:sz w:val="20"/>
        </w:rPr>
        <w:t>C.R. Eng.</w:t>
      </w:r>
      <w:r>
        <w:rPr>
          <w:rFonts w:ascii="Arial" w:eastAsia="Arial" w:hAnsi="Arial" w:cs="Arial"/>
          <w:color w:val="000000"/>
          <w:sz w:val="20"/>
        </w:rPr>
        <w:t xml:space="preserve">, 644 F.3d at 1041 (quoting </w:t>
      </w:r>
      <w:bookmarkStart w:id="5305" w:name="Bookmark_I61CDGK32SF8S00040000400"/>
      <w:bookmarkEnd w:id="5305"/>
      <w:r>
        <w:rPr>
          <w:rFonts w:ascii="Arial" w:eastAsia="Arial" w:hAnsi="Arial" w:cs="Arial"/>
          <w:i/>
          <w:color w:val="000000"/>
          <w:sz w:val="20"/>
        </w:rPr>
        <w:t>Haynes</w:t>
      </w:r>
      <w:r>
        <w:rPr>
          <w:rFonts w:ascii="Arial" w:eastAsia="Arial" w:hAnsi="Arial" w:cs="Arial"/>
          <w:color w:val="000000"/>
          <w:sz w:val="20"/>
        </w:rPr>
        <w:t>, 456 F.3d at 1222).</w:t>
      </w:r>
    </w:p>
    <w:p w14:paraId="16213553" w14:textId="77777777" w:rsidR="002B10A6" w:rsidRDefault="00000000">
      <w:pPr>
        <w:pStyle w:val="Normal23"/>
        <w:widowControl w:val="0"/>
        <w:spacing w:before="200" w:line="260" w:lineRule="atLeast"/>
        <w:jc w:val="both"/>
      </w:pPr>
      <w:bookmarkStart w:id="5306" w:name="Bookmark_para_182"/>
      <w:bookmarkStart w:id="5307" w:name="Bookmark_I722C9X9SGV0000671P0007V"/>
      <w:bookmarkStart w:id="5308" w:name="Bookmark_I722C9X9VT60000671P0007W"/>
      <w:bookmarkStart w:id="5309" w:name="Bookmark_I722C9X9Y7T0000671P0007X"/>
      <w:bookmarkStart w:id="5310" w:name="Bookmark_I722C9XB1M50000671P0007Y"/>
      <w:bookmarkStart w:id="5311" w:name="Bookmark_I722C9XB48F0000671P00080"/>
      <w:bookmarkStart w:id="5312" w:name="Bookmark_I61CDGK32N1R9R0020000400"/>
      <w:bookmarkEnd w:id="5306"/>
      <w:bookmarkEnd w:id="5307"/>
      <w:bookmarkEnd w:id="5308"/>
      <w:bookmarkEnd w:id="5309"/>
      <w:bookmarkEnd w:id="5310"/>
      <w:bookmarkEnd w:id="5311"/>
      <w:bookmarkEnd w:id="5312"/>
      <w:r>
        <w:rPr>
          <w:rFonts w:ascii="Arial" w:eastAsia="Arial" w:hAnsi="Arial" w:cs="Arial"/>
          <w:color w:val="000000"/>
          <w:sz w:val="20"/>
        </w:rPr>
        <w:t xml:space="preserve">Notwithstanding our ostensibly liberal definition of the phrase, </w:t>
      </w:r>
      <w:r>
        <w:rPr>
          <w:rFonts w:ascii="Arial" w:eastAsia="Arial" w:hAnsi="Arial" w:cs="Arial"/>
          <w:i/>
          <w:color w:val="000000"/>
          <w:sz w:val="20"/>
        </w:rPr>
        <w:t xml:space="preserve">see </w:t>
      </w:r>
      <w:bookmarkStart w:id="5313" w:name="Bookmark_I61CDGK32N1R9R0010000400"/>
      <w:bookmarkEnd w:id="5313"/>
      <w:r>
        <w:rPr>
          <w:rFonts w:ascii="Arial" w:eastAsia="Arial" w:hAnsi="Arial" w:cs="Arial"/>
          <w:i/>
          <w:color w:val="000000"/>
          <w:sz w:val="20"/>
        </w:rPr>
        <w:t>Sanchez</w:t>
      </w:r>
      <w:r>
        <w:rPr>
          <w:rFonts w:ascii="Arial" w:eastAsia="Arial" w:hAnsi="Arial" w:cs="Arial"/>
          <w:color w:val="000000"/>
          <w:sz w:val="20"/>
        </w:rPr>
        <w:t xml:space="preserve">, 164 F.3d at 532, and despite the limitations of </w:t>
      </w:r>
      <w:r>
        <w:rPr>
          <w:rFonts w:ascii="Arial" w:eastAsia="Arial" w:hAnsi="Arial" w:cs="Arial"/>
          <w:i/>
          <w:color w:val="000000"/>
          <w:sz w:val="20"/>
        </w:rPr>
        <w:t>Ellerth [**119] </w:t>
      </w:r>
      <w:r>
        <w:rPr>
          <w:rFonts w:ascii="Arial" w:eastAsia="Arial" w:hAnsi="Arial" w:cs="Arial"/>
          <w:color w:val="000000"/>
          <w:sz w:val="20"/>
        </w:rPr>
        <w:t xml:space="preserve">'s holding, this court has on occasion equated "adverse employment action" with "tangible employment action." </w:t>
      </w:r>
      <w:r>
        <w:rPr>
          <w:rFonts w:ascii="Arial" w:eastAsia="Arial" w:hAnsi="Arial" w:cs="Arial"/>
          <w:i/>
          <w:color w:val="000000"/>
          <w:sz w:val="20"/>
        </w:rPr>
        <w:t xml:space="preserve">See, e.g., </w:t>
      </w:r>
      <w:bookmarkStart w:id="5314" w:name="Bookmark_I61CDGK32N1R9R0030000400"/>
      <w:bookmarkEnd w:id="5314"/>
      <w:r>
        <w:rPr>
          <w:rFonts w:ascii="Arial" w:eastAsia="Arial" w:hAnsi="Arial" w:cs="Arial"/>
          <w:i/>
          <w:color w:val="000000"/>
          <w:sz w:val="20"/>
        </w:rPr>
        <w:t>Hiatt v. Colo. Seminary</w:t>
      </w:r>
      <w:r>
        <w:rPr>
          <w:rFonts w:ascii="Arial" w:eastAsia="Arial" w:hAnsi="Arial" w:cs="Arial"/>
          <w:color w:val="000000"/>
          <w:sz w:val="20"/>
        </w:rPr>
        <w:t xml:space="preserve">, 858 F.3d 1307, 1316 (10th Cir. 2017) ("For discrimination claims, an adverse employment action is a significant change in employment status, such as hiring, firing, failing to promote, reassignment with significantly different responsibilities, or a decision causing a significant change in benefits." (internal quotation marks omitted)); </w:t>
      </w:r>
      <w:bookmarkStart w:id="5315" w:name="Bookmark_I61CDGK32N1R9R0050000400"/>
      <w:bookmarkEnd w:id="5315"/>
      <w:r>
        <w:rPr>
          <w:rFonts w:ascii="Arial" w:eastAsia="Arial" w:hAnsi="Arial" w:cs="Arial"/>
          <w:i/>
          <w:color w:val="000000"/>
          <w:sz w:val="20"/>
        </w:rPr>
        <w:t>Annett  [*840]  v. Univ. of Kan.</w:t>
      </w:r>
      <w:r>
        <w:rPr>
          <w:rFonts w:ascii="Arial" w:eastAsia="Arial" w:hAnsi="Arial" w:cs="Arial"/>
          <w:color w:val="000000"/>
          <w:sz w:val="20"/>
        </w:rPr>
        <w:t xml:space="preserve">, 371 F.3d 1233, 1237-38 (10th Cir. 2004) (relying on </w:t>
      </w:r>
      <w:r>
        <w:rPr>
          <w:rFonts w:ascii="Arial" w:eastAsia="Arial" w:hAnsi="Arial" w:cs="Arial"/>
          <w:i/>
          <w:color w:val="000000"/>
          <w:sz w:val="20"/>
        </w:rPr>
        <w:t>Ellerth</w:t>
      </w:r>
      <w:r>
        <w:rPr>
          <w:rFonts w:ascii="Arial" w:eastAsia="Arial" w:hAnsi="Arial" w:cs="Arial"/>
          <w:color w:val="000000"/>
          <w:sz w:val="20"/>
        </w:rPr>
        <w:t xml:space="preserve">'s definition of tangible employment action to define adverse employment action); </w:t>
      </w:r>
      <w:bookmarkStart w:id="5316" w:name="Bookmark_I61CDGK32D6N8J0020000400"/>
      <w:bookmarkEnd w:id="5316"/>
      <w:r>
        <w:rPr>
          <w:rFonts w:ascii="Arial" w:eastAsia="Arial" w:hAnsi="Arial" w:cs="Arial"/>
          <w:i/>
          <w:color w:val="000000"/>
          <w:sz w:val="20"/>
        </w:rPr>
        <w:t>Meiners v. Univ. of Kan.</w:t>
      </w:r>
      <w:r>
        <w:rPr>
          <w:rFonts w:ascii="Arial" w:eastAsia="Arial" w:hAnsi="Arial" w:cs="Arial"/>
          <w:color w:val="000000"/>
          <w:sz w:val="20"/>
        </w:rPr>
        <w:t xml:space="preserve">, 359 F.3d 1222, 1230 (10th Cir. 2004) ("The adverse action must amount to a significant change in employment status, such as firing, failing to promote, reassignment with significantly different responsibilities, or a decision causing a significant change in benefits." (internal quotation marks omitted)); </w:t>
      </w:r>
      <w:bookmarkStart w:id="5317" w:name="Bookmark_I61CDGK32D6N8J0040000400"/>
      <w:bookmarkEnd w:id="5317"/>
      <w:r>
        <w:rPr>
          <w:rFonts w:ascii="Arial" w:eastAsia="Arial" w:hAnsi="Arial" w:cs="Arial"/>
          <w:i/>
          <w:color w:val="000000"/>
          <w:sz w:val="20"/>
        </w:rPr>
        <w:t>Stinnett v. Safeway, Inc.</w:t>
      </w:r>
      <w:r>
        <w:rPr>
          <w:rFonts w:ascii="Arial" w:eastAsia="Arial" w:hAnsi="Arial" w:cs="Arial"/>
          <w:color w:val="000000"/>
          <w:sz w:val="20"/>
        </w:rPr>
        <w:t>, 337 F.3d 1213, 1217 (10th Cir. 2003) ("Conduct rises to the level of 'adverse employment action' when it constitutes a significant change in employment status, such as hiring, firing, failing to promote, reassignment with significantly different responsibilities, or a decision causing a significant change in benefits." (internal quotation marks omitted)).</w:t>
      </w:r>
    </w:p>
    <w:p w14:paraId="1307611C" w14:textId="77777777" w:rsidR="002B10A6" w:rsidRDefault="00000000">
      <w:pPr>
        <w:pStyle w:val="Normal23"/>
        <w:widowControl w:val="0"/>
        <w:spacing w:before="200" w:line="260" w:lineRule="atLeast"/>
        <w:jc w:val="both"/>
      </w:pPr>
      <w:bookmarkStart w:id="5318" w:name="Bookmark_para_183"/>
      <w:bookmarkStart w:id="5319" w:name="Bookmark_I722C9XB90C0000671P00081"/>
      <w:bookmarkStart w:id="5320" w:name="Bookmark_I61CDGK42SF8S70020000400"/>
      <w:bookmarkEnd w:id="5318"/>
      <w:bookmarkEnd w:id="5319"/>
      <w:bookmarkEnd w:id="5320"/>
      <w:r>
        <w:rPr>
          <w:rFonts w:ascii="Arial" w:eastAsia="Arial" w:hAnsi="Arial" w:cs="Arial"/>
          <w:color w:val="000000"/>
          <w:sz w:val="20"/>
        </w:rPr>
        <w:t xml:space="preserve">Thus, while the with-respect-to clause covers activity broader than identified in </w:t>
      </w:r>
      <w:r>
        <w:rPr>
          <w:rFonts w:ascii="Arial" w:eastAsia="Arial" w:hAnsi="Arial" w:cs="Arial"/>
          <w:i/>
          <w:color w:val="000000"/>
          <w:sz w:val="20"/>
        </w:rPr>
        <w:t>Ellerth [**120] </w:t>
      </w:r>
      <w:r>
        <w:rPr>
          <w:rFonts w:ascii="Arial" w:eastAsia="Arial" w:hAnsi="Arial" w:cs="Arial"/>
          <w:color w:val="000000"/>
          <w:sz w:val="20"/>
        </w:rPr>
        <w:t xml:space="preserve">, in using the term "adverse employment action" as a shorthand for the requirements of that clause, we have sometimes unnecessarily narrowed its reach. But even where there is no requirement that discriminatory conduct be undertaken with respect to an employment action—as in Title VII anti-retaliation claims—the plaintiff must still show more than de minimis harm. </w:t>
      </w:r>
      <w:r>
        <w:rPr>
          <w:rFonts w:ascii="Arial" w:eastAsia="Arial" w:hAnsi="Arial" w:cs="Arial"/>
          <w:i/>
          <w:color w:val="000000"/>
          <w:sz w:val="20"/>
        </w:rPr>
        <w:t xml:space="preserve">See </w:t>
      </w:r>
      <w:bookmarkStart w:id="5321" w:name="Bookmark_I61CDGK42SF8S70010000400"/>
      <w:bookmarkEnd w:id="5321"/>
      <w:r>
        <w:rPr>
          <w:rFonts w:ascii="Arial" w:eastAsia="Arial" w:hAnsi="Arial" w:cs="Arial"/>
          <w:i/>
          <w:color w:val="000000"/>
          <w:sz w:val="20"/>
        </w:rPr>
        <w:t>White</w:t>
      </w:r>
      <w:r>
        <w:rPr>
          <w:rFonts w:ascii="Arial" w:eastAsia="Arial" w:hAnsi="Arial" w:cs="Arial"/>
          <w:color w:val="000000"/>
          <w:sz w:val="20"/>
        </w:rPr>
        <w:t>, 548 U.S. at 64, 67 (stating that while Title VII's "antiretaliation provision, unlike the substantive provision, is not limited to discriminatory actions that affect the terms and conditions of employment," that provision "protects an individual not from all retaliation, but from retaliation that produces an injury or harm").</w:t>
      </w:r>
    </w:p>
    <w:p w14:paraId="1D252C3E" w14:textId="77777777" w:rsidR="002B10A6" w:rsidRDefault="00000000">
      <w:pPr>
        <w:pStyle w:val="Normal23"/>
        <w:widowControl w:val="0"/>
        <w:spacing w:before="240" w:line="260" w:lineRule="atLeast"/>
      </w:pPr>
      <w:r>
        <w:br/>
      </w:r>
      <w:r>
        <w:rPr>
          <w:rFonts w:ascii="Arial" w:eastAsia="Arial" w:hAnsi="Arial" w:cs="Arial"/>
          <w:b/>
          <w:color w:val="000000"/>
          <w:sz w:val="20"/>
        </w:rPr>
        <w:t>3. What the ADA Covers</w:t>
      </w:r>
    </w:p>
    <w:p w14:paraId="361EFB6C" w14:textId="77777777" w:rsidR="002B10A6" w:rsidRDefault="00000000">
      <w:pPr>
        <w:pStyle w:val="Normal23"/>
        <w:widowControl w:val="0"/>
        <w:spacing w:before="200" w:line="260" w:lineRule="atLeast"/>
        <w:jc w:val="both"/>
      </w:pPr>
      <w:bookmarkStart w:id="5322" w:name="Bookmark_para_184"/>
      <w:bookmarkEnd w:id="5322"/>
      <w:r>
        <w:rPr>
          <w:rFonts w:ascii="Arial" w:eastAsia="Arial" w:hAnsi="Arial" w:cs="Arial"/>
          <w:color w:val="000000"/>
          <w:sz w:val="20"/>
        </w:rPr>
        <w:t xml:space="preserve">Turning back to the ADA, because the in-regard-to clause must be given some meaning, I would interpret the clause as tying the claimed discrimination to employment by providing an expansive, but not exclusive, list of the protected relationships with the employer. </w:t>
      </w:r>
      <w:r>
        <w:rPr>
          <w:rFonts w:ascii="Arial" w:eastAsia="Arial" w:hAnsi="Arial" w:cs="Arial"/>
          <w:i/>
          <w:color w:val="000000"/>
          <w:sz w:val="20"/>
        </w:rPr>
        <w:t>See</w:t>
      </w:r>
      <w:r>
        <w:rPr>
          <w:rFonts w:ascii="Arial" w:eastAsia="Arial" w:hAnsi="Arial" w:cs="Arial"/>
          <w:color w:val="000000"/>
          <w:sz w:val="20"/>
        </w:rPr>
        <w:t xml:space="preserve"> 29 C.F.R. § 1630.4(a)(1). And I would look to analogous Title VII jurisprudence to fill the remaining gaps.</w:t>
      </w:r>
    </w:p>
    <w:p w14:paraId="5DA04137" w14:textId="77777777" w:rsidR="002B10A6" w:rsidRDefault="00000000">
      <w:pPr>
        <w:pStyle w:val="Normal23"/>
        <w:widowControl w:val="0"/>
        <w:spacing w:before="200" w:line="260" w:lineRule="atLeast"/>
        <w:jc w:val="both"/>
      </w:pPr>
      <w:bookmarkStart w:id="5323" w:name="Bookmark_para_185"/>
      <w:bookmarkStart w:id="5324" w:name="Bookmark_I722C9XBCRY0000671P00082"/>
      <w:bookmarkStart w:id="5325" w:name="Bookmark_I722C9XBGHG0000671P00083"/>
      <w:bookmarkStart w:id="5326" w:name="Bookmark_I722C9XBK8P0000671P00084"/>
      <w:bookmarkStart w:id="5327" w:name="Bookmark_I722C9XBP1P0000671P00085"/>
      <w:bookmarkStart w:id="5328" w:name="Bookmark_I61CDGK42SF8S70040000400"/>
      <w:bookmarkEnd w:id="5323"/>
      <w:bookmarkEnd w:id="5324"/>
      <w:bookmarkEnd w:id="5325"/>
      <w:bookmarkEnd w:id="5326"/>
      <w:bookmarkEnd w:id="5327"/>
      <w:bookmarkEnd w:id="5328"/>
      <w:r>
        <w:rPr>
          <w:rFonts w:ascii="Arial" w:eastAsia="Arial" w:hAnsi="Arial" w:cs="Arial"/>
          <w:color w:val="000000"/>
          <w:sz w:val="20"/>
        </w:rPr>
        <w:t xml:space="preserve">When interpreting the ADA, this court has adopted Title VII's concepts of both adverse employment action, </w:t>
      </w:r>
      <w:r>
        <w:rPr>
          <w:rFonts w:ascii="Arial" w:eastAsia="Arial" w:hAnsi="Arial" w:cs="Arial"/>
          <w:i/>
          <w:color w:val="000000"/>
          <w:sz w:val="20"/>
        </w:rPr>
        <w:t xml:space="preserve">see </w:t>
      </w:r>
      <w:bookmarkStart w:id="5329" w:name="Bookmark_I61CDGK42SF8S70030000400"/>
      <w:bookmarkEnd w:id="5329"/>
      <w:r>
        <w:rPr>
          <w:rFonts w:ascii="Arial" w:eastAsia="Arial" w:hAnsi="Arial" w:cs="Arial"/>
          <w:i/>
          <w:color w:val="000000"/>
          <w:sz w:val="20"/>
        </w:rPr>
        <w:t>Lincoln</w:t>
      </w:r>
      <w:r>
        <w:rPr>
          <w:rFonts w:ascii="Arial" w:eastAsia="Arial" w:hAnsi="Arial" w:cs="Arial"/>
          <w:color w:val="000000"/>
          <w:sz w:val="20"/>
        </w:rPr>
        <w:t xml:space="preserve">, 900 F.3d at 1192-93; </w:t>
      </w:r>
      <w:bookmarkStart w:id="5330" w:name="Bookmark_I61CDGK42SF8S70050000400"/>
      <w:bookmarkEnd w:id="5330"/>
      <w:r>
        <w:rPr>
          <w:rFonts w:ascii="Arial" w:eastAsia="Arial" w:hAnsi="Arial" w:cs="Arial"/>
          <w:i/>
          <w:color w:val="000000"/>
          <w:sz w:val="20"/>
        </w:rPr>
        <w:t>C.R. Eng., Inc.</w:t>
      </w:r>
      <w:r>
        <w:rPr>
          <w:rFonts w:ascii="Arial" w:eastAsia="Arial" w:hAnsi="Arial" w:cs="Arial"/>
          <w:color w:val="000000"/>
          <w:sz w:val="20"/>
        </w:rPr>
        <w:t xml:space="preserve">, 644 F.3d at 1040; </w:t>
      </w:r>
      <w:bookmarkStart w:id="5331" w:name="Bookmark_I61CDGK42HM5PR0020000400"/>
      <w:bookmarkEnd w:id="5331"/>
      <w:r>
        <w:rPr>
          <w:rFonts w:ascii="Arial" w:eastAsia="Arial" w:hAnsi="Arial" w:cs="Arial"/>
          <w:i/>
          <w:color w:val="000000"/>
          <w:sz w:val="20"/>
        </w:rPr>
        <w:t>Mathews</w:t>
      </w:r>
      <w:r>
        <w:rPr>
          <w:rFonts w:ascii="Arial" w:eastAsia="Arial" w:hAnsi="Arial" w:cs="Arial"/>
          <w:color w:val="000000"/>
          <w:sz w:val="20"/>
        </w:rPr>
        <w:t xml:space="preserve">, 263 F.3d at 1167, and hostile work environment, </w:t>
      </w:r>
      <w:r>
        <w:rPr>
          <w:rFonts w:ascii="Arial" w:eastAsia="Arial" w:hAnsi="Arial" w:cs="Arial"/>
          <w:i/>
          <w:color w:val="000000"/>
          <w:sz w:val="20"/>
        </w:rPr>
        <w:t xml:space="preserve"> [**121] see </w:t>
      </w:r>
      <w:bookmarkStart w:id="5332" w:name="Bookmark_I61CDGK42HM5PR0040000400"/>
      <w:bookmarkEnd w:id="5332"/>
      <w:r>
        <w:rPr>
          <w:rFonts w:ascii="Arial" w:eastAsia="Arial" w:hAnsi="Arial" w:cs="Arial"/>
          <w:i/>
          <w:color w:val="000000"/>
          <w:sz w:val="20"/>
        </w:rPr>
        <w:t>Lanman</w:t>
      </w:r>
      <w:r>
        <w:rPr>
          <w:rFonts w:ascii="Arial" w:eastAsia="Arial" w:hAnsi="Arial" w:cs="Arial"/>
          <w:color w:val="000000"/>
          <w:sz w:val="20"/>
        </w:rPr>
        <w:t>, 393 F.3d at 1156. That is, the plaintiff can make out an ADA discrimination claim either by showing an express change or disparity in the terms or conditions of employment, or by showing a constructive change or disparity in those terms or conditions based on pervasive hostility or discomfort. Under the latter approach, a plaintiff need not wait for an explicit change in the terms or conditions of employment to advance a claim for failure to accommodate. Instead, where the failure to accommodate results in a constructive alteration in those terms or conditions, the employee can satisfy § 12112(a)'s in-regard-to clause.</w:t>
      </w:r>
    </w:p>
    <w:p w14:paraId="67F2B2CB" w14:textId="77777777" w:rsidR="002B10A6" w:rsidRDefault="00000000">
      <w:pPr>
        <w:pStyle w:val="Normal23"/>
        <w:widowControl w:val="0"/>
        <w:spacing w:before="200" w:line="260" w:lineRule="atLeast"/>
        <w:jc w:val="both"/>
      </w:pPr>
      <w:bookmarkStart w:id="5333" w:name="Bookmark_para_186"/>
      <w:bookmarkEnd w:id="5333"/>
      <w:r>
        <w:rPr>
          <w:rFonts w:ascii="Arial" w:eastAsia="Arial" w:hAnsi="Arial" w:cs="Arial"/>
          <w:color w:val="000000"/>
          <w:sz w:val="20"/>
        </w:rPr>
        <w:t xml:space="preserve">As mentioned, some of this court's decisions have inappropriately limited the term "adverse employment action" (for both Title VII and the ADA) to </w:t>
      </w:r>
      <w:r>
        <w:rPr>
          <w:rFonts w:ascii="Arial" w:eastAsia="Arial" w:hAnsi="Arial" w:cs="Arial"/>
          <w:i/>
          <w:color w:val="000000"/>
          <w:sz w:val="20"/>
        </w:rPr>
        <w:t>Ellerth</w:t>
      </w:r>
      <w:r>
        <w:rPr>
          <w:rFonts w:ascii="Arial" w:eastAsia="Arial" w:hAnsi="Arial" w:cs="Arial"/>
          <w:color w:val="000000"/>
          <w:sz w:val="20"/>
        </w:rPr>
        <w:t>'s narrower definition of tangible employment action. Labels such as "hostile work environment," "tangible employment action," and "adverse employment action" are helpful to the extent they describe one method of satisfying the in-regard-to clause. But when these judicially coined phrases begin to take on a meaning of their own, divorced from the text of the statute, they can become more harmful than helpful to the goal of statutory construction. [**122]  The concept of adverse employment action appears  [*841]  headed down this path, and I would turn back to the text of the statute to stop that progression.</w:t>
      </w:r>
    </w:p>
    <w:p w14:paraId="64C21173" w14:textId="77777777" w:rsidR="002B10A6" w:rsidRDefault="00000000">
      <w:pPr>
        <w:pStyle w:val="Normal23"/>
        <w:widowControl w:val="0"/>
        <w:spacing w:before="200" w:line="260" w:lineRule="atLeast"/>
        <w:jc w:val="both"/>
      </w:pPr>
      <w:bookmarkStart w:id="5334" w:name="Bookmark_para_187"/>
      <w:bookmarkStart w:id="5335" w:name="Bookmark_I722C9XBSSB0000671P00086"/>
      <w:bookmarkStart w:id="5336" w:name="Bookmark_I61CDGK42D6N8P0020000400"/>
      <w:bookmarkStart w:id="5337" w:name="Bookmark_I722C9XBWHN0000671P00087"/>
      <w:bookmarkStart w:id="5338" w:name="Bookmark_I722C9XC0460000671P00088"/>
      <w:bookmarkStart w:id="5339" w:name="Bookmark_I722C9XC34C0000671P00089"/>
      <w:bookmarkStart w:id="5340" w:name="Bookmark_I61CDGK42D6N8P0040000400"/>
      <w:bookmarkStart w:id="5341" w:name="Bookmark_I722C9XC5W60000671P0008B"/>
      <w:bookmarkStart w:id="5342" w:name="Bookmark_I61CDGK42N1R9Y0050000400"/>
      <w:bookmarkEnd w:id="5334"/>
      <w:bookmarkEnd w:id="5335"/>
      <w:bookmarkEnd w:id="5336"/>
      <w:bookmarkEnd w:id="5337"/>
      <w:bookmarkEnd w:id="5338"/>
      <w:bookmarkEnd w:id="5339"/>
      <w:bookmarkEnd w:id="5340"/>
      <w:bookmarkEnd w:id="5341"/>
      <w:bookmarkEnd w:id="5342"/>
      <w:r>
        <w:rPr>
          <w:rFonts w:ascii="Arial" w:eastAsia="Arial" w:hAnsi="Arial" w:cs="Arial"/>
          <w:color w:val="000000"/>
          <w:sz w:val="20"/>
        </w:rPr>
        <w:t xml:space="preserve">Like Title VII's substantive provision, the ADA uses terms such as "hiring," "discharge," "employee compensation," "job training," and "other terms, conditions, and privileges of employment," 42 U.S.C. § 12112(a), thereby "explicitly limit[ing] the scope of that provision to actions that affect employment or alter the conditions of the workplace," </w:t>
      </w:r>
      <w:r>
        <w:rPr>
          <w:rFonts w:ascii="Arial" w:eastAsia="Arial" w:hAnsi="Arial" w:cs="Arial"/>
          <w:i/>
          <w:color w:val="000000"/>
          <w:sz w:val="20"/>
        </w:rPr>
        <w:t xml:space="preserve">see </w:t>
      </w:r>
      <w:bookmarkStart w:id="5343" w:name="Bookmark_I61CDGK42D6N8P0010000400"/>
      <w:bookmarkEnd w:id="5343"/>
      <w:r>
        <w:rPr>
          <w:rFonts w:ascii="Arial" w:eastAsia="Arial" w:hAnsi="Arial" w:cs="Arial"/>
          <w:i/>
          <w:color w:val="000000"/>
          <w:sz w:val="20"/>
        </w:rPr>
        <w:t>White</w:t>
      </w:r>
      <w:r>
        <w:rPr>
          <w:rFonts w:ascii="Arial" w:eastAsia="Arial" w:hAnsi="Arial" w:cs="Arial"/>
          <w:color w:val="000000"/>
          <w:sz w:val="20"/>
        </w:rPr>
        <w:t xml:space="preserve">, 548 U.S. at 62. But the terms, conditions, and privileges of employment include not only "benefits that are part of an employment contract," </w:t>
      </w:r>
      <w:bookmarkStart w:id="5344" w:name="Bookmark_I61CDGK42D6N8P0030000400"/>
      <w:bookmarkEnd w:id="5344"/>
      <w:r>
        <w:rPr>
          <w:rFonts w:ascii="Arial" w:eastAsia="Arial" w:hAnsi="Arial" w:cs="Arial"/>
          <w:i/>
          <w:color w:val="000000"/>
          <w:sz w:val="20"/>
        </w:rPr>
        <w:t>Hishon</w:t>
      </w:r>
      <w:r>
        <w:rPr>
          <w:rFonts w:ascii="Arial" w:eastAsia="Arial" w:hAnsi="Arial" w:cs="Arial"/>
          <w:color w:val="000000"/>
          <w:sz w:val="20"/>
        </w:rPr>
        <w:t xml:space="preserve">, 467 U.S. at 74, but also "[t]hose benefits that comprise the 'incidents of employment,' or that form 'an aspect of the relationship between the employer and employees,'" </w:t>
      </w:r>
      <w:bookmarkStart w:id="5345" w:name="Bookmark_I61CDGK42D6N8P0050000400"/>
      <w:bookmarkEnd w:id="5345"/>
      <w:r>
        <w:rPr>
          <w:rFonts w:ascii="Arial" w:eastAsia="Arial" w:hAnsi="Arial" w:cs="Arial"/>
          <w:i/>
          <w:color w:val="000000"/>
          <w:sz w:val="20"/>
        </w:rPr>
        <w:t>id.</w:t>
      </w:r>
      <w:r>
        <w:rPr>
          <w:rFonts w:ascii="Arial" w:eastAsia="Arial" w:hAnsi="Arial" w:cs="Arial"/>
          <w:color w:val="000000"/>
          <w:sz w:val="20"/>
        </w:rPr>
        <w:t xml:space="preserve"> at 75-76 (citation and footnotes omitted) (quoting S. Rep. No. 867, at 11; then quoting </w:t>
      </w:r>
      <w:bookmarkStart w:id="5346" w:name="Bookmark_I61CDGK42N1R9Y0020000400"/>
      <w:bookmarkEnd w:id="5346"/>
      <w:r>
        <w:rPr>
          <w:rFonts w:ascii="Arial" w:eastAsia="Arial" w:hAnsi="Arial" w:cs="Arial"/>
          <w:i/>
          <w:color w:val="000000"/>
          <w:sz w:val="20"/>
        </w:rPr>
        <w:t>Chem. &amp; Alkali Workers</w:t>
      </w:r>
      <w:r>
        <w:rPr>
          <w:rFonts w:ascii="Arial" w:eastAsia="Arial" w:hAnsi="Arial" w:cs="Arial"/>
          <w:color w:val="000000"/>
          <w:sz w:val="20"/>
        </w:rPr>
        <w:t xml:space="preserve">, 404 U.S. at 178). And the "terms, conditions, or privileges" language "is not limited to 'economic' or 'tangible' discrimination." </w:t>
      </w:r>
      <w:bookmarkStart w:id="5347" w:name="Bookmark_I61CDGK42N1R9Y0040000400"/>
      <w:bookmarkEnd w:id="5347"/>
      <w:r>
        <w:rPr>
          <w:rFonts w:ascii="Arial" w:eastAsia="Arial" w:hAnsi="Arial" w:cs="Arial"/>
          <w:i/>
          <w:color w:val="000000"/>
          <w:sz w:val="20"/>
        </w:rPr>
        <w:t>Meritor Sav. Bank</w:t>
      </w:r>
      <w:r>
        <w:rPr>
          <w:rFonts w:ascii="Arial" w:eastAsia="Arial" w:hAnsi="Arial" w:cs="Arial"/>
          <w:color w:val="000000"/>
          <w:sz w:val="20"/>
        </w:rPr>
        <w:t>, 477 U.S. at 64.</w:t>
      </w:r>
    </w:p>
    <w:p w14:paraId="042464B6" w14:textId="77777777" w:rsidR="002B10A6" w:rsidRDefault="00000000">
      <w:pPr>
        <w:pStyle w:val="Normal23"/>
        <w:widowControl w:val="0"/>
        <w:spacing w:before="200" w:line="260" w:lineRule="atLeast"/>
        <w:jc w:val="both"/>
      </w:pPr>
      <w:bookmarkStart w:id="5348" w:name="Bookmark_para_188"/>
      <w:bookmarkEnd w:id="5348"/>
      <w:r>
        <w:rPr>
          <w:rFonts w:ascii="Arial" w:eastAsia="Arial" w:hAnsi="Arial" w:cs="Arial"/>
          <w:color w:val="000000"/>
          <w:sz w:val="20"/>
        </w:rPr>
        <w:t>It is this more expansive reading of the in-regard-to clause that I believe governs a claim under the ADA. I turn now to application of that reading.</w:t>
      </w:r>
    </w:p>
    <w:p w14:paraId="03385E3B" w14:textId="77777777" w:rsidR="002B10A6" w:rsidRDefault="00000000">
      <w:pPr>
        <w:pStyle w:val="Normal23"/>
        <w:widowControl w:val="0"/>
        <w:spacing w:before="240" w:line="260" w:lineRule="atLeast"/>
      </w:pPr>
      <w:r>
        <w:br/>
      </w:r>
      <w:r>
        <w:rPr>
          <w:rFonts w:ascii="Arial" w:eastAsia="Arial" w:hAnsi="Arial" w:cs="Arial"/>
          <w:b/>
          <w:color w:val="000000"/>
          <w:sz w:val="20"/>
        </w:rPr>
        <w:t xml:space="preserve">B. </w:t>
      </w:r>
      <w:r>
        <w:rPr>
          <w:rFonts w:ascii="Arial" w:eastAsia="Arial" w:hAnsi="Arial" w:cs="Arial"/>
          <w:b/>
          <w:i/>
          <w:color w:val="000000"/>
          <w:sz w:val="20"/>
        </w:rPr>
        <w:t>Application of the In-Regard-To Clause</w:t>
      </w:r>
    </w:p>
    <w:p w14:paraId="2483B52F" w14:textId="77777777" w:rsidR="002B10A6" w:rsidRDefault="00000000">
      <w:pPr>
        <w:pStyle w:val="Normal23"/>
        <w:widowControl w:val="0"/>
        <w:spacing w:before="200" w:line="260" w:lineRule="atLeast"/>
        <w:jc w:val="both"/>
      </w:pPr>
      <w:bookmarkStart w:id="5349" w:name="Bookmark_para_189"/>
      <w:bookmarkStart w:id="5350" w:name="Bookmark_I722C9XC8N70000671P0008C"/>
      <w:bookmarkStart w:id="5351" w:name="Bookmark_I722C9XCCF70000671P0008D"/>
      <w:bookmarkStart w:id="5352" w:name="Bookmark_I722C9XCG650000671P0008F"/>
      <w:bookmarkStart w:id="5353" w:name="Bookmark_I61CDGK428T3VX0020000400"/>
      <w:bookmarkEnd w:id="5349"/>
      <w:bookmarkEnd w:id="5350"/>
      <w:bookmarkEnd w:id="5351"/>
      <w:bookmarkEnd w:id="5352"/>
      <w:bookmarkEnd w:id="5353"/>
      <w:r>
        <w:rPr>
          <w:rFonts w:ascii="Arial" w:eastAsia="Arial" w:hAnsi="Arial" w:cs="Arial"/>
          <w:color w:val="000000"/>
          <w:sz w:val="20"/>
        </w:rPr>
        <w:t xml:space="preserve">The last step in analyzing claims under the ADA is [**123]  tying the discrimination clause (through the specific discriminatory theory) to the in-regard-to clause. The requirement that the discrimination be "in regard to" one of the protected aspects of an employer's relationship provides the final limitation on the type of discrimination actionable under the ADA. As with Title VII's substantive and anti-retaliation provisions, not every discriminatory action (or omission) is covered by the ADA. </w:t>
      </w:r>
      <w:r>
        <w:rPr>
          <w:rFonts w:ascii="Arial" w:eastAsia="Arial" w:hAnsi="Arial" w:cs="Arial"/>
          <w:i/>
          <w:color w:val="000000"/>
          <w:sz w:val="20"/>
        </w:rPr>
        <w:t xml:space="preserve">See </w:t>
      </w:r>
      <w:bookmarkStart w:id="5354" w:name="Bookmark_I61CDGK428T3VX0010000400"/>
      <w:bookmarkEnd w:id="5354"/>
      <w:r>
        <w:rPr>
          <w:rFonts w:ascii="Arial" w:eastAsia="Arial" w:hAnsi="Arial" w:cs="Arial"/>
          <w:i/>
          <w:color w:val="000000"/>
          <w:sz w:val="20"/>
        </w:rPr>
        <w:t>Meritor</w:t>
      </w:r>
      <w:r>
        <w:rPr>
          <w:rFonts w:ascii="Arial" w:eastAsia="Arial" w:hAnsi="Arial" w:cs="Arial"/>
          <w:color w:val="000000"/>
          <w:sz w:val="20"/>
        </w:rPr>
        <w:t xml:space="preserve">, 477 U.S. at 64, 67 (recognizing that although when "a supervisor sexually harasses a subordinate because of the subordinate's sex, that supervisor 'discriminate[s]' on the basis of sex," "not all workplace conduct that may be described as 'harassment' affects a 'term, condition, or privilege' of employment" (alteration in original)); </w:t>
      </w:r>
      <w:bookmarkStart w:id="5355" w:name="Bookmark_I61CDGK428T3VX0030000400"/>
      <w:bookmarkEnd w:id="5355"/>
      <w:r>
        <w:rPr>
          <w:rFonts w:ascii="Arial" w:eastAsia="Arial" w:hAnsi="Arial" w:cs="Arial"/>
          <w:i/>
          <w:color w:val="000000"/>
          <w:sz w:val="20"/>
        </w:rPr>
        <w:t>White</w:t>
      </w:r>
      <w:r>
        <w:rPr>
          <w:rFonts w:ascii="Arial" w:eastAsia="Arial" w:hAnsi="Arial" w:cs="Arial"/>
          <w:color w:val="000000"/>
          <w:sz w:val="20"/>
        </w:rPr>
        <w:t xml:space="preserve">, 548 U.S. at 67 ("The antiretaliation provision protects an individual not from all retaliation, but from retaliation that produces an injury or harm."); </w:t>
      </w:r>
      <w:bookmarkStart w:id="5356" w:name="Bookmark_I61CDGK428T3VX0050000400"/>
      <w:bookmarkEnd w:id="5356"/>
      <w:r>
        <w:rPr>
          <w:rFonts w:ascii="Arial" w:eastAsia="Arial" w:hAnsi="Arial" w:cs="Arial"/>
          <w:i/>
          <w:color w:val="000000"/>
          <w:sz w:val="20"/>
        </w:rPr>
        <w:t>id.</w:t>
      </w:r>
      <w:r>
        <w:rPr>
          <w:rFonts w:ascii="Arial" w:eastAsia="Arial" w:hAnsi="Arial" w:cs="Arial"/>
          <w:color w:val="000000"/>
          <w:sz w:val="20"/>
        </w:rPr>
        <w:t xml:space="preserve"> at 68 (requiring a plaintiff to show "</w:t>
      </w:r>
      <w:r>
        <w:rPr>
          <w:rFonts w:ascii="Arial" w:eastAsia="Arial" w:hAnsi="Arial" w:cs="Arial"/>
          <w:i/>
          <w:color w:val="000000"/>
          <w:sz w:val="20"/>
        </w:rPr>
        <w:t>material</w:t>
      </w:r>
      <w:r>
        <w:rPr>
          <w:rFonts w:ascii="Arial" w:eastAsia="Arial" w:hAnsi="Arial" w:cs="Arial"/>
          <w:color w:val="000000"/>
          <w:sz w:val="20"/>
        </w:rPr>
        <w:t xml:space="preserve"> adversity because . . . it is important to separate significant from trivial harms"). In short, the discrimination must be in regard to the employment-related aspects covered by § 12112(a) and it must cause more than de minimis harm.</w:t>
      </w:r>
    </w:p>
    <w:p w14:paraId="6BCA84F2" w14:textId="77777777" w:rsidR="002B10A6" w:rsidRDefault="00000000">
      <w:pPr>
        <w:pStyle w:val="Normal23"/>
        <w:widowControl w:val="0"/>
        <w:spacing w:before="200" w:line="260" w:lineRule="atLeast"/>
        <w:jc w:val="both"/>
      </w:pPr>
      <w:bookmarkStart w:id="5357" w:name="Bookmark_para_190"/>
      <w:bookmarkStart w:id="5358" w:name="Bookmark_I722C9XCJYC0000671P0008G"/>
      <w:bookmarkStart w:id="5359" w:name="Bookmark_I722C9XCNVV0000671P0008H"/>
      <w:bookmarkStart w:id="5360" w:name="Bookmark_I61CDGK42D6N8R0030000400"/>
      <w:bookmarkStart w:id="5361" w:name="Bookmark_I722C9XCSM20000671P0008J"/>
      <w:bookmarkStart w:id="5362" w:name="Bookmark_I61CDGK42SF8S90020000400"/>
      <w:bookmarkEnd w:id="5357"/>
      <w:bookmarkEnd w:id="5358"/>
      <w:bookmarkEnd w:id="5359"/>
      <w:bookmarkEnd w:id="5360"/>
      <w:bookmarkEnd w:id="5361"/>
      <w:bookmarkEnd w:id="5362"/>
      <w:r>
        <w:rPr>
          <w:rFonts w:ascii="Arial" w:eastAsia="Arial" w:hAnsi="Arial" w:cs="Arial"/>
          <w:color w:val="000000"/>
          <w:sz w:val="20"/>
        </w:rPr>
        <w:t xml:space="preserve">The method of tying together the [**124]  discrimination and in-regard-to clauses varies for each discrimination theory. For example, a disparate-treatment claim—where "the protected trait . . . actually motivated the employer's decision," </w:t>
      </w:r>
      <w:bookmarkStart w:id="5363" w:name="Bookmark_I61CDGK42D6N8R0020000400"/>
      <w:bookmarkEnd w:id="5363"/>
      <w:r>
        <w:rPr>
          <w:rFonts w:ascii="Arial" w:eastAsia="Arial" w:hAnsi="Arial" w:cs="Arial"/>
          <w:i/>
          <w:color w:val="000000"/>
          <w:sz w:val="20"/>
        </w:rPr>
        <w:t>Raytheon Co. v. Hernandez</w:t>
      </w:r>
      <w:r>
        <w:rPr>
          <w:rFonts w:ascii="Arial" w:eastAsia="Arial" w:hAnsi="Arial" w:cs="Arial"/>
          <w:color w:val="000000"/>
          <w:sz w:val="20"/>
        </w:rPr>
        <w:t xml:space="preserve">, 540 U.S. 44, 52, 124 S. Ct. 513, 157 L. Ed. 2d 357 (2003) (quoting </w:t>
      </w:r>
      <w:bookmarkStart w:id="5364" w:name="Bookmark_I61CDGK42D6N8R0040000400"/>
      <w:bookmarkEnd w:id="5364"/>
      <w:r>
        <w:rPr>
          <w:rFonts w:ascii="Arial" w:eastAsia="Arial" w:hAnsi="Arial" w:cs="Arial"/>
          <w:i/>
          <w:color w:val="000000"/>
          <w:sz w:val="20"/>
        </w:rPr>
        <w:t>Hazen Paper Co. v. Biggins</w:t>
      </w:r>
      <w:r>
        <w:rPr>
          <w:rFonts w:ascii="Arial" w:eastAsia="Arial" w:hAnsi="Arial" w:cs="Arial"/>
          <w:color w:val="000000"/>
          <w:sz w:val="20"/>
        </w:rPr>
        <w:t xml:space="preserve">, 607 U.S. 604, 610, 113 S. Ct. 1701, 123 L. Ed. 2d 338 (1993))—brought under § 12112(b)(1) requires analyzing whether the unfavorable treatment was in regard to the covered aspects. Conversely, a disparate-impact claim—based on "employment practices that are facially neutral in their treatment of different groups but that in fact fall more harshly on one group than another and cannot be justified by business necessity," </w:t>
      </w:r>
      <w:r>
        <w:rPr>
          <w:rFonts w:ascii="Arial" w:eastAsia="Arial" w:hAnsi="Arial" w:cs="Arial"/>
          <w:i/>
          <w:color w:val="000000"/>
          <w:sz w:val="20"/>
        </w:rPr>
        <w:t>id.</w:t>
      </w:r>
      <w:r>
        <w:rPr>
          <w:rFonts w:ascii="Arial" w:eastAsia="Arial" w:hAnsi="Arial" w:cs="Arial"/>
          <w:color w:val="000000"/>
          <w:sz w:val="20"/>
        </w:rPr>
        <w:t xml:space="preserve"> (quoting </w:t>
      </w:r>
      <w:bookmarkStart w:id="5365" w:name="Bookmark_I61CDGK42SF8S90010000400"/>
      <w:bookmarkEnd w:id="5365"/>
      <w:r>
        <w:rPr>
          <w:rFonts w:ascii="Arial" w:eastAsia="Arial" w:hAnsi="Arial" w:cs="Arial"/>
          <w:i/>
          <w:color w:val="000000"/>
          <w:sz w:val="20"/>
        </w:rPr>
        <w:t>Int'l Brotherhood of Teamsters v. United States</w:t>
      </w:r>
      <w:r>
        <w:rPr>
          <w:rFonts w:ascii="Arial" w:eastAsia="Arial" w:hAnsi="Arial" w:cs="Arial"/>
          <w:color w:val="000000"/>
          <w:sz w:val="20"/>
        </w:rPr>
        <w:t>, 431 U.S. 324, 335 n.15, 97 S. Ct. 1843, 52 L. Ed. 2d 396 (1977))—brought under § 12112(b)(6) necessitates determining whether the "qualification  [*842]  standards, employment tests or other selection criteria" used by the employer "screen[ed] out or tend[ed] to screen out an individual with a disability or a class of individuals with disabilities" in regard to those covered aspects.</w:t>
      </w:r>
    </w:p>
    <w:p w14:paraId="535B2396" w14:textId="77777777" w:rsidR="002B10A6" w:rsidRDefault="00000000">
      <w:pPr>
        <w:pStyle w:val="Normal23"/>
        <w:widowControl w:val="0"/>
        <w:spacing w:before="200" w:line="260" w:lineRule="atLeast"/>
        <w:jc w:val="both"/>
      </w:pPr>
      <w:bookmarkStart w:id="5366" w:name="Bookmark_para_191"/>
      <w:bookmarkEnd w:id="5366"/>
      <w:r>
        <w:rPr>
          <w:rFonts w:ascii="Arial" w:eastAsia="Arial" w:hAnsi="Arial" w:cs="Arial"/>
          <w:color w:val="000000"/>
          <w:sz w:val="20"/>
        </w:rPr>
        <w:t>Failure-to-accommodate claims require a different method of proof. The plaintiff must show that the employer did not make "reasonable accommodations to the known physical or mental limitations of an otherwise qualified individual with a disability who is an applicant or employee" in regard to the terms or conditions of employment. [**125]  42 U.S.C. § 12112(a), (b)(5)(A). Thus, an employer violates the discrimination and in-regard-to clauses by failing to make reasonable accommodations that are necessary to ensure an otherwise qualified individual with a disability is placed on equal ground with other employees in regard to the covered employment relationships. As illustrated in the following hypotheticals, satisfaction of this two-prong claim need not be difficult.</w:t>
      </w:r>
    </w:p>
    <w:p w14:paraId="6A710C14" w14:textId="77777777" w:rsidR="002B10A6" w:rsidRDefault="00000000">
      <w:pPr>
        <w:pStyle w:val="Normal23"/>
        <w:widowControl w:val="0"/>
        <w:spacing w:before="200" w:line="260" w:lineRule="atLeast"/>
        <w:jc w:val="both"/>
      </w:pPr>
      <w:bookmarkStart w:id="5367" w:name="Bookmark_para_192"/>
      <w:bookmarkEnd w:id="5367"/>
      <w:r>
        <w:rPr>
          <w:rFonts w:ascii="Arial" w:eastAsia="Arial" w:hAnsi="Arial" w:cs="Arial"/>
          <w:color w:val="000000"/>
          <w:sz w:val="20"/>
        </w:rPr>
        <w:t xml:space="preserve">Consider the blind law clerk discussed by the majority. </w:t>
      </w:r>
      <w:r>
        <w:rPr>
          <w:rFonts w:ascii="Arial" w:eastAsia="Arial" w:hAnsi="Arial" w:cs="Arial"/>
          <w:i/>
          <w:color w:val="000000"/>
          <w:sz w:val="20"/>
        </w:rPr>
        <w:t>See</w:t>
      </w:r>
      <w:r>
        <w:rPr>
          <w:rFonts w:ascii="Arial" w:eastAsia="Arial" w:hAnsi="Arial" w:cs="Arial"/>
          <w:color w:val="000000"/>
          <w:sz w:val="20"/>
        </w:rPr>
        <w:t xml:space="preserve"> Maj. Op. at 29-31. Suppose the judge rejects the request for a reader, accepts two draft opinions per month from the blind clerk, while requiring three from each of his sighted clerks, and reduces the blind clerk's pay by one-third. Under those circumstances, the failure to provide reasonable accommodation is "in regard to" employee compensation and would be actionable under the ADA.</w:t>
      </w:r>
    </w:p>
    <w:p w14:paraId="0DE94C43" w14:textId="77777777" w:rsidR="002B10A6" w:rsidRDefault="00000000">
      <w:pPr>
        <w:pStyle w:val="Normal23"/>
        <w:widowControl w:val="0"/>
        <w:spacing w:before="200" w:line="260" w:lineRule="atLeast"/>
        <w:jc w:val="both"/>
      </w:pPr>
      <w:bookmarkStart w:id="5368" w:name="Bookmark_para_193"/>
      <w:bookmarkStart w:id="5369" w:name="Bookmark_I722C9XCWCP0000671P0008K"/>
      <w:bookmarkStart w:id="5370" w:name="Bookmark_I61CDGK42SF8S90040000400"/>
      <w:bookmarkEnd w:id="5368"/>
      <w:bookmarkEnd w:id="5369"/>
      <w:bookmarkEnd w:id="5370"/>
      <w:r>
        <w:rPr>
          <w:rFonts w:ascii="Arial" w:eastAsia="Arial" w:hAnsi="Arial" w:cs="Arial"/>
          <w:color w:val="000000"/>
          <w:sz w:val="20"/>
        </w:rPr>
        <w:t xml:space="preserve">I would view the claim differently if there are no employment-related consequences of the blind law clerk's failure to meet the three-opinion requirement. If the judge does not provide a reasonable accommodation but also does not take any disciplinary action against the blind clerk, I would conclude that the judge's failure to provide a reasonable [**126]  accommodation was not in regard to the covered aspects of employment. </w:t>
      </w:r>
      <w:r>
        <w:rPr>
          <w:rFonts w:ascii="Arial" w:eastAsia="Arial" w:hAnsi="Arial" w:cs="Arial"/>
          <w:i/>
          <w:color w:val="000000"/>
          <w:sz w:val="20"/>
        </w:rPr>
        <w:t xml:space="preserve">Cf. </w:t>
      </w:r>
      <w:bookmarkStart w:id="5371" w:name="Bookmark_I61CDGK42SF8S90030000400"/>
      <w:bookmarkEnd w:id="5371"/>
      <w:r>
        <w:rPr>
          <w:rFonts w:ascii="Arial" w:eastAsia="Arial" w:hAnsi="Arial" w:cs="Arial"/>
          <w:i/>
          <w:color w:val="000000"/>
          <w:sz w:val="20"/>
        </w:rPr>
        <w:t>Sanchez</w:t>
      </w:r>
      <w:r>
        <w:rPr>
          <w:rFonts w:ascii="Arial" w:eastAsia="Arial" w:hAnsi="Arial" w:cs="Arial"/>
          <w:color w:val="000000"/>
          <w:sz w:val="20"/>
        </w:rPr>
        <w:t>, 164 F.3d at 532 (stating that while we "liberally define[] the phrase 'adverse employment action,'" we nevertheless "will not consider . . . an alteration of job responsibilities to be an adverse employment action" (internal quotation marks omitted)). Similarly, if the judge terminated the blind clerk for breaches of chambers confidentiality—completely unrelated to the failure to produce three opinions per month—the judge has similarly not failed to provide a reasonable accommodation in regard to the covered aspects.</w:t>
      </w:r>
    </w:p>
    <w:p w14:paraId="4A1F5685" w14:textId="77777777" w:rsidR="002B10A6" w:rsidRDefault="00000000">
      <w:pPr>
        <w:pStyle w:val="Normal23"/>
        <w:widowControl w:val="0"/>
        <w:spacing w:before="200" w:line="260" w:lineRule="atLeast"/>
        <w:jc w:val="both"/>
      </w:pPr>
      <w:bookmarkStart w:id="5372" w:name="Bookmark_para_194"/>
      <w:bookmarkEnd w:id="5372"/>
      <w:r>
        <w:rPr>
          <w:rFonts w:ascii="Arial" w:eastAsia="Arial" w:hAnsi="Arial" w:cs="Arial"/>
          <w:color w:val="000000"/>
          <w:sz w:val="20"/>
        </w:rPr>
        <w:t>To take the hypothetical one step further, I am convinced the blind clerk would have a claim under the ADA if the failure to accommodate constructively impacted her conditions of employment. Suppose the judge is content with the clerk's two opinions per month, but her co-clerks are not. In response, those clerks make abusive comments, interfere with the blind clerk's performance by rearranging the furniture, and generally subject her to a hostile work environment. Much like a claim under Title VII, if the failure to accommodate resulted in the disabled employee being subjected to pervasive harassment, I would conclude [**127]  that it is in regard to the conditions of employment.</w:t>
      </w:r>
    </w:p>
    <w:p w14:paraId="2F46FE4A" w14:textId="77777777" w:rsidR="002B10A6" w:rsidRDefault="00000000">
      <w:pPr>
        <w:pStyle w:val="Normal23"/>
        <w:widowControl w:val="0"/>
        <w:spacing w:before="200" w:line="260" w:lineRule="atLeast"/>
        <w:jc w:val="both"/>
      </w:pPr>
      <w:bookmarkStart w:id="5373" w:name="Bookmark_para_195"/>
      <w:bookmarkEnd w:id="5373"/>
      <w:r>
        <w:rPr>
          <w:rFonts w:ascii="Arial" w:eastAsia="Arial" w:hAnsi="Arial" w:cs="Arial"/>
          <w:color w:val="000000"/>
          <w:sz w:val="20"/>
        </w:rPr>
        <w:t>Thus, I am not persuaded by the amici's</w:t>
      </w:r>
      <w:r>
        <w:rPr>
          <w:rFonts w:ascii="Arial" w:eastAsia="Arial" w:hAnsi="Arial" w:cs="Arial"/>
          <w:vertAlign w:val="superscript"/>
        </w:rPr>
        <w:footnoteReference w:customMarkFollows="1" w:id="196"/>
        <w:t>8</w:t>
      </w:r>
      <w:r>
        <w:rPr>
          <w:rFonts w:ascii="Arial" w:eastAsia="Arial" w:hAnsi="Arial" w:cs="Arial"/>
          <w:color w:val="000000"/>
          <w:sz w:val="20"/>
        </w:rPr>
        <w:t xml:space="preserve"> concern that the panel majority's imposition of an adverse employment action requirement in failure to accommodate cases would prohibit claims by "a person with a condition affecting bladder control [] who soils herself because the employer  [*843]  refuses to grant her a workstation near the restroom," a "veteran with PTSD" who "need[s but is prohibited from bringing to work] an emotional support animal to deal with anxiety and panic attacks," and has "to endure anxiety and panic attacks throughout the workday," PELA Br. at 5-6, or an employee who is forced to work in significant pain when the employer denies a request for reasonable accommodations.</w:t>
      </w:r>
    </w:p>
    <w:p w14:paraId="51962BC8" w14:textId="77777777" w:rsidR="002B10A6" w:rsidRDefault="00000000">
      <w:pPr>
        <w:pStyle w:val="Normal23"/>
        <w:widowControl w:val="0"/>
        <w:spacing w:before="200" w:line="260" w:lineRule="atLeast"/>
        <w:jc w:val="both"/>
      </w:pPr>
      <w:bookmarkStart w:id="5375" w:name="Bookmark_para_196"/>
      <w:bookmarkStart w:id="5376" w:name="Bookmark_I722C9XD0520000671P0008M"/>
      <w:bookmarkStart w:id="5377" w:name="Bookmark_I61CDGK52N1RB30010000400"/>
      <w:bookmarkStart w:id="5378" w:name="Bookmark_I722C9XD2Y10000671P0008N"/>
      <w:bookmarkStart w:id="5379" w:name="Bookmark_I61CDGK52N1RB30030000400"/>
      <w:bookmarkEnd w:id="5375"/>
      <w:bookmarkEnd w:id="5376"/>
      <w:bookmarkEnd w:id="5377"/>
      <w:bookmarkEnd w:id="5378"/>
      <w:bookmarkEnd w:id="5379"/>
      <w:r>
        <w:rPr>
          <w:rFonts w:ascii="Arial" w:eastAsia="Arial" w:hAnsi="Arial" w:cs="Arial"/>
          <w:color w:val="000000"/>
          <w:sz w:val="20"/>
        </w:rPr>
        <w:t xml:space="preserve">Although the amici's concerns might be valid if evaluated under the narrow definition of adverse employment action I reject above, they do not carry the same weight when the interpretation of the in-regard-to clause is true to its statutory language and guidance from Title VII. Under my interpretation, these claims would be analyzed to determine whether the impact of the failure to provide reasonable accommodation is sufficiently severe or pervasive to alter [**128]  the terms or conditions of employment. </w:t>
      </w:r>
      <w:r>
        <w:rPr>
          <w:rFonts w:ascii="Arial" w:eastAsia="Arial" w:hAnsi="Arial" w:cs="Arial"/>
          <w:i/>
          <w:color w:val="000000"/>
          <w:sz w:val="20"/>
        </w:rPr>
        <w:t xml:space="preserve">Cf. </w:t>
      </w:r>
      <w:bookmarkStart w:id="5380" w:name="Bookmark_I61CDGK42SF8S90050000400"/>
      <w:bookmarkEnd w:id="5380"/>
      <w:r>
        <w:rPr>
          <w:rFonts w:ascii="Arial" w:eastAsia="Arial" w:hAnsi="Arial" w:cs="Arial"/>
          <w:i/>
          <w:color w:val="000000"/>
          <w:sz w:val="20"/>
        </w:rPr>
        <w:t>Vande Zande v. Wisc. Dep't of Admin.</w:t>
      </w:r>
      <w:r>
        <w:rPr>
          <w:rFonts w:ascii="Arial" w:eastAsia="Arial" w:hAnsi="Arial" w:cs="Arial"/>
          <w:color w:val="000000"/>
          <w:sz w:val="20"/>
        </w:rPr>
        <w:t xml:space="preserve">, 44 F.3d 538, 546 (7th Cir. 1995) ("The duty of reasonable accommodation is satisfied when the employer does what is necessary to enable the disabled worker to work in reasonable comfort."). Under this test, an employee required to work in significant pain, an employee forced to soil herself, or an employee who suffers anxiety and panic attacks could easily show the impact of the failure to accommodate altered the terms or conditions of employment, as these situations all clearly amount to more than "a mere inconvenience." </w:t>
      </w:r>
      <w:bookmarkStart w:id="5381" w:name="Bookmark_I61CDGK52N1RB30020000400"/>
      <w:bookmarkEnd w:id="5381"/>
      <w:r>
        <w:rPr>
          <w:rFonts w:ascii="Arial" w:eastAsia="Arial" w:hAnsi="Arial" w:cs="Arial"/>
          <w:i/>
          <w:color w:val="000000"/>
          <w:sz w:val="20"/>
        </w:rPr>
        <w:t>Sanchez</w:t>
      </w:r>
      <w:r>
        <w:rPr>
          <w:rFonts w:ascii="Arial" w:eastAsia="Arial" w:hAnsi="Arial" w:cs="Arial"/>
          <w:color w:val="000000"/>
          <w:sz w:val="20"/>
        </w:rPr>
        <w:t xml:space="preserve">, 164 F.3d at 532. </w:t>
      </w:r>
      <w:bookmarkStart w:id="5382" w:name="Bookmark_I722C9XD5PS0000671P0008P"/>
      <w:bookmarkStart w:id="5383" w:name="Bookmark_I722C9XDGJS0000671P0008T"/>
      <w:bookmarkStart w:id="5384" w:name="Bookmark_I61CDGK52N1RB30050000400"/>
      <w:bookmarkEnd w:id="5382"/>
      <w:bookmarkEnd w:id="5383"/>
      <w:bookmarkEnd w:id="5384"/>
      <w:r>
        <w:rPr>
          <w:rFonts w:ascii="Arial" w:eastAsia="Arial" w:hAnsi="Arial" w:cs="Arial"/>
          <w:color w:val="000000"/>
          <w:sz w:val="20"/>
        </w:rPr>
        <w:t>As the D.C. Circuit has reasoned,</w:t>
      </w:r>
    </w:p>
    <w:p w14:paraId="091A7BC4" w14:textId="77777777" w:rsidR="002B10A6" w:rsidRDefault="00000000">
      <w:pPr>
        <w:pStyle w:val="Normal23"/>
        <w:widowControl w:val="0"/>
        <w:spacing w:before="200" w:line="260" w:lineRule="atLeast"/>
        <w:ind w:left="400"/>
        <w:jc w:val="both"/>
      </w:pPr>
      <w:bookmarkStart w:id="5385" w:name="Bookmark_para_197"/>
      <w:bookmarkStart w:id="5386" w:name="Bookmark_I61CDGK52N1RB30050000400_2"/>
      <w:bookmarkEnd w:id="5385"/>
      <w:bookmarkEnd w:id="5386"/>
      <w:r>
        <w:rPr>
          <w:rFonts w:ascii="Arial" w:eastAsia="Arial" w:hAnsi="Arial" w:cs="Arial"/>
          <w:color w:val="000000"/>
          <w:sz w:val="20"/>
        </w:rPr>
        <w:t>if working conditions inflict pain or hardship on a disabled employee, the employer fails to modify the conditions upon the employee's demand, and the employee simply bears the conditions, this could amount to a denial of reasonable accommodation, despite there being no job loss, pay loss, transfer, demotion, denial of advancement, or other adverse personnel action.</w:t>
      </w:r>
    </w:p>
    <w:p w14:paraId="580AB517" w14:textId="77777777" w:rsidR="002B10A6" w:rsidRDefault="00000000">
      <w:pPr>
        <w:pStyle w:val="Normal23"/>
        <w:widowControl w:val="0"/>
        <w:spacing w:before="200" w:line="260" w:lineRule="atLeast"/>
        <w:jc w:val="both"/>
      </w:pPr>
      <w:bookmarkStart w:id="5387" w:name="Bookmark_I61CDGK52N1RB30050000400_3"/>
      <w:bookmarkStart w:id="5388" w:name="Bookmark_I61CDGK52N1RB30040000400"/>
      <w:bookmarkEnd w:id="5387"/>
      <w:bookmarkEnd w:id="5388"/>
      <w:r>
        <w:rPr>
          <w:rFonts w:ascii="Arial" w:eastAsia="Arial" w:hAnsi="Arial" w:cs="Arial"/>
          <w:i/>
          <w:color w:val="000000"/>
          <w:sz w:val="20"/>
        </w:rPr>
        <w:t>Marshall</w:t>
      </w:r>
      <w:r>
        <w:rPr>
          <w:rFonts w:ascii="Arial" w:eastAsia="Arial" w:hAnsi="Arial" w:cs="Arial"/>
          <w:color w:val="000000"/>
          <w:sz w:val="20"/>
        </w:rPr>
        <w:t xml:space="preserve">, 130 F.3d at 1099; </w:t>
      </w:r>
      <w:r>
        <w:rPr>
          <w:rFonts w:ascii="Arial" w:eastAsia="Arial" w:hAnsi="Arial" w:cs="Arial"/>
          <w:i/>
          <w:color w:val="000000"/>
          <w:sz w:val="20"/>
        </w:rPr>
        <w:t xml:space="preserve">see also </w:t>
      </w:r>
      <w:bookmarkStart w:id="5389" w:name="Bookmark_I61CDGK52D6N8W0010000400"/>
      <w:bookmarkEnd w:id="5389"/>
      <w:r>
        <w:rPr>
          <w:rFonts w:ascii="Arial" w:eastAsia="Arial" w:hAnsi="Arial" w:cs="Arial"/>
          <w:i/>
          <w:color w:val="000000"/>
          <w:sz w:val="20"/>
        </w:rPr>
        <w:t>Hill</w:t>
      </w:r>
      <w:r>
        <w:rPr>
          <w:rFonts w:ascii="Arial" w:eastAsia="Arial" w:hAnsi="Arial" w:cs="Arial"/>
          <w:color w:val="000000"/>
          <w:sz w:val="20"/>
        </w:rPr>
        <w:t>, 897 F.3d at 239 ("A reasonable jury could conclude that forcing [an employee] to work with pain when that pain could be alleviated by his requested accommodation violates the ADA.").</w:t>
      </w:r>
    </w:p>
    <w:p w14:paraId="2DD2179C" w14:textId="77777777" w:rsidR="002B10A6" w:rsidRDefault="00000000">
      <w:pPr>
        <w:pStyle w:val="Normal23"/>
        <w:widowControl w:val="0"/>
        <w:spacing w:before="200" w:line="260" w:lineRule="atLeast"/>
        <w:jc w:val="both"/>
      </w:pPr>
      <w:bookmarkStart w:id="5390" w:name="Bookmark_para_198"/>
      <w:bookmarkEnd w:id="5390"/>
      <w:r>
        <w:rPr>
          <w:rFonts w:ascii="Arial" w:eastAsia="Arial" w:hAnsi="Arial" w:cs="Arial"/>
          <w:color w:val="000000"/>
          <w:sz w:val="20"/>
        </w:rPr>
        <w:t>With this framework in mind, I turn to the jury instructions given in this case. [**129] </w:t>
      </w:r>
    </w:p>
    <w:p w14:paraId="6FE096DB" w14:textId="77777777" w:rsidR="002B10A6" w:rsidRDefault="00000000">
      <w:pPr>
        <w:pStyle w:val="Normal23"/>
        <w:widowControl w:val="0"/>
        <w:spacing w:before="240" w:line="260" w:lineRule="atLeast"/>
      </w:pPr>
      <w:r>
        <w:br/>
      </w:r>
      <w:r>
        <w:rPr>
          <w:rFonts w:ascii="Arial" w:eastAsia="Arial" w:hAnsi="Arial" w:cs="Arial"/>
          <w:b/>
          <w:color w:val="000000"/>
          <w:sz w:val="20"/>
        </w:rPr>
        <w:t>IV. JURY INSTRUCTIONS</w:t>
      </w:r>
    </w:p>
    <w:p w14:paraId="160851F0" w14:textId="77777777" w:rsidR="002B10A6" w:rsidRDefault="00000000">
      <w:pPr>
        <w:pStyle w:val="Normal23"/>
        <w:widowControl w:val="0"/>
        <w:spacing w:before="200" w:line="260" w:lineRule="atLeast"/>
        <w:jc w:val="both"/>
      </w:pPr>
      <w:bookmarkStart w:id="5391" w:name="Bookmark_para_199"/>
      <w:bookmarkEnd w:id="5391"/>
      <w:r>
        <w:rPr>
          <w:rFonts w:ascii="Arial" w:eastAsia="Arial" w:hAnsi="Arial" w:cs="Arial"/>
          <w:color w:val="000000"/>
          <w:sz w:val="20"/>
        </w:rPr>
        <w:t xml:space="preserve">The district court instructed the jury that Ms. Exby-Stolley must prove she "was discharged from employment or suffered another adverse employment action by [the County]." App. at 440. The jury instructions defined adverse employment action as "a significant change in employment status, such as hiring, firing, failing to promote, reassignment with significantly different responsibilities, or a decision causing a significant change in benefits." </w:t>
      </w:r>
      <w:r>
        <w:rPr>
          <w:rFonts w:ascii="Arial" w:eastAsia="Arial" w:hAnsi="Arial" w:cs="Arial"/>
          <w:i/>
          <w:color w:val="000000"/>
          <w:sz w:val="20"/>
        </w:rPr>
        <w:t>Id.</w:t>
      </w:r>
      <w:r>
        <w:rPr>
          <w:rFonts w:ascii="Arial" w:eastAsia="Arial" w:hAnsi="Arial" w:cs="Arial"/>
          <w:color w:val="000000"/>
          <w:sz w:val="20"/>
        </w:rPr>
        <w:t xml:space="preserve"> at 449. In other words, the district court instructed the jury that an adverse employment action is the equivalent of a tangible employment action under </w:t>
      </w:r>
      <w:r>
        <w:rPr>
          <w:rFonts w:ascii="Arial" w:eastAsia="Arial" w:hAnsi="Arial" w:cs="Arial"/>
          <w:i/>
          <w:color w:val="000000"/>
          <w:sz w:val="20"/>
        </w:rPr>
        <w:t>Ellerth</w:t>
      </w:r>
      <w:r>
        <w:rPr>
          <w:rFonts w:ascii="Arial" w:eastAsia="Arial" w:hAnsi="Arial" w:cs="Arial"/>
          <w:color w:val="000000"/>
          <w:sz w:val="20"/>
        </w:rPr>
        <w:t>.</w:t>
      </w:r>
    </w:p>
    <w:p w14:paraId="583C19C3" w14:textId="77777777" w:rsidR="002B10A6" w:rsidRDefault="00000000">
      <w:pPr>
        <w:pStyle w:val="Normal23"/>
        <w:widowControl w:val="0"/>
        <w:spacing w:before="200" w:line="260" w:lineRule="atLeast"/>
        <w:jc w:val="both"/>
      </w:pPr>
      <w:bookmarkStart w:id="5392" w:name="Bookmark_para_200"/>
      <w:bookmarkEnd w:id="5392"/>
      <w:r>
        <w:rPr>
          <w:rFonts w:ascii="Arial" w:eastAsia="Arial" w:hAnsi="Arial" w:cs="Arial"/>
          <w:color w:val="000000"/>
          <w:sz w:val="20"/>
        </w:rPr>
        <w:t>For the reasons discussed above, I believe this construction is too narrow. The ADA's in-regard-to clause covers a significantly greater swath of employment relationships than those reflected in tangible employment actions. But that does not mean the restrictive definition included in the jury instructions resulted in prejudicial error based on the in-regard-to aspects at issue in this case.</w:t>
      </w:r>
    </w:p>
    <w:p w14:paraId="14B522D0" w14:textId="77777777" w:rsidR="002B10A6" w:rsidRDefault="00000000">
      <w:pPr>
        <w:pStyle w:val="Normal23"/>
        <w:widowControl w:val="0"/>
        <w:spacing w:before="200" w:line="260" w:lineRule="atLeast"/>
        <w:jc w:val="both"/>
      </w:pPr>
      <w:bookmarkStart w:id="5393" w:name="Bookmark_para_201"/>
      <w:bookmarkEnd w:id="5393"/>
      <w:r>
        <w:rPr>
          <w:rFonts w:ascii="Arial" w:eastAsia="Arial" w:hAnsi="Arial" w:cs="Arial"/>
          <w:color w:val="000000"/>
          <w:sz w:val="20"/>
        </w:rPr>
        <w:t>The district court need not instruct the jury on every facet of the in-regard-to clause in every case. If, for example, a plaintiff alleges discrimination in regard to hiring, it would be unnecessarily [**130]  confusing to instruct the jury that the in-regard-to clause includes "[j]ob assignments, job classifications, organizational structures,  [*844]  position descriptions, lines of progression, . . . seniority lists" and "[f]ringe benefits available by virtue of employment," 29 C.F.R. § 1630.4(a)(1), because the plaintiff did not allege discrimination in regard to those aspects of the employment relationship. Requiring the court to instruct on every aspect of the in-regard-to clause in every case could result in a finding of liability for a discriminatory act not alleged or one that occurred outside the statute of limitations. Here, Ms. Exby-Stolley claimed she was terminated from employment based on her disability. The jury instructions, which included firing in the definition of adverse employment action, adequately covered this theory.</w:t>
      </w:r>
    </w:p>
    <w:p w14:paraId="0405384B" w14:textId="77777777" w:rsidR="002B10A6" w:rsidRDefault="00000000">
      <w:pPr>
        <w:pStyle w:val="Normal23"/>
        <w:widowControl w:val="0"/>
        <w:spacing w:before="200" w:line="260" w:lineRule="atLeast"/>
        <w:jc w:val="both"/>
      </w:pPr>
      <w:bookmarkStart w:id="5394" w:name="Bookmark_para_202"/>
      <w:bookmarkEnd w:id="5394"/>
      <w:r>
        <w:rPr>
          <w:rFonts w:ascii="Arial" w:eastAsia="Arial" w:hAnsi="Arial" w:cs="Arial"/>
          <w:color w:val="000000"/>
          <w:sz w:val="20"/>
        </w:rPr>
        <w:t>On appeal, Ms. Exby-Stolley makes two arguments challenging those instructions. First, she argues that a failure-to-accommodate claim does not require proving an adverse employment action. Although I would more broadly define "adverse employment action" to accurately reflect the standards imposed by the in-regard-to clause, I would hold that Ms. Exby-Stolley was required to satisfy that [**131]  clause to prove her failure-to-accommodate claim. That is, unlike the majority, I do not read the statute as providing that satisfaction of the discrimination clause is sufficient.</w:t>
      </w:r>
    </w:p>
    <w:p w14:paraId="574D4799" w14:textId="77777777" w:rsidR="002B10A6" w:rsidRDefault="00000000">
      <w:pPr>
        <w:pStyle w:val="Normal23"/>
        <w:widowControl w:val="0"/>
        <w:spacing w:before="200" w:line="260" w:lineRule="atLeast"/>
        <w:jc w:val="both"/>
      </w:pPr>
      <w:bookmarkStart w:id="5395" w:name="Bookmark_para_203"/>
      <w:bookmarkStart w:id="5396" w:name="Bookmark_I722C9XDT1N0000671P0008X"/>
      <w:bookmarkStart w:id="5397" w:name="Bookmark_I61CDGK52D6N8W0040000400"/>
      <w:bookmarkStart w:id="5398" w:name="Bookmark_I722C9XF35G0000671P00091"/>
      <w:bookmarkStart w:id="5399" w:name="Bookmark_I61CDGK52D6N8X0030000400"/>
      <w:bookmarkEnd w:id="5395"/>
      <w:bookmarkEnd w:id="5396"/>
      <w:bookmarkEnd w:id="5397"/>
      <w:bookmarkEnd w:id="5398"/>
      <w:bookmarkEnd w:id="5399"/>
      <w:r>
        <w:rPr>
          <w:rFonts w:ascii="Arial" w:eastAsia="Arial" w:hAnsi="Arial" w:cs="Arial"/>
          <w:color w:val="000000"/>
          <w:sz w:val="20"/>
        </w:rPr>
        <w:t>Second, Ms. Exby-Stolley argues that if an adverse employment action was required, the district court should have instructed the jury that constructive discharge is an adverse employment action.</w:t>
      </w:r>
      <w:r>
        <w:rPr>
          <w:rFonts w:ascii="Arial" w:eastAsia="Arial" w:hAnsi="Arial" w:cs="Arial"/>
          <w:vertAlign w:val="superscript"/>
        </w:rPr>
        <w:footnoteReference w:customMarkFollows="1" w:id="197"/>
        <w:t>9</w:t>
      </w:r>
      <w:r>
        <w:rPr>
          <w:rFonts w:ascii="Arial" w:eastAsia="Arial" w:hAnsi="Arial" w:cs="Arial"/>
          <w:color w:val="000000"/>
          <w:sz w:val="20"/>
        </w:rPr>
        <w:t xml:space="preserve"> Ms. Exby-Stolley is correct that constructive discharge satisfies the in-regard-to clause. </w:t>
      </w:r>
      <w:bookmarkStart w:id="5402" w:name="Bookmark_I722C9XDWVS0000671P0008Y"/>
      <w:bookmarkStart w:id="5403" w:name="Bookmark_I61CDGK52D6N8X0010000400"/>
      <w:bookmarkEnd w:id="5402"/>
      <w:bookmarkEnd w:id="5403"/>
      <w:r>
        <w:rPr>
          <w:rFonts w:ascii="Arial" w:eastAsia="Arial" w:hAnsi="Arial" w:cs="Arial"/>
          <w:i/>
          <w:color w:val="000000"/>
          <w:sz w:val="20"/>
        </w:rPr>
        <w:t xml:space="preserve">See </w:t>
      </w:r>
      <w:bookmarkStart w:id="5404" w:name="Bookmark_I61CDGK52D6N8W0030000400"/>
      <w:bookmarkEnd w:id="5404"/>
      <w:r>
        <w:rPr>
          <w:rFonts w:ascii="Arial" w:eastAsia="Arial" w:hAnsi="Arial" w:cs="Arial"/>
          <w:i/>
          <w:color w:val="000000"/>
          <w:sz w:val="20"/>
        </w:rPr>
        <w:t>Green v. Brennan</w:t>
      </w:r>
      <w:r>
        <w:rPr>
          <w:rFonts w:ascii="Arial" w:eastAsia="Arial" w:hAnsi="Arial" w:cs="Arial"/>
          <w:color w:val="000000"/>
          <w:sz w:val="20"/>
        </w:rPr>
        <w:t xml:space="preserve">, 136 S. Ct. 1769, 1776-77, 195 L. Ed. 2d 44 (2016). But I agree with the panel majority that Ms. Exby-Stolley failed to allege constructive discharge—either for disparate treatment or failure to accommodate—and therefore was not entitled to a jury instruction including that theory. </w:t>
      </w:r>
      <w:bookmarkStart w:id="5405" w:name="Bookmark_I61CDGK52D6N8X0010000400_2"/>
      <w:bookmarkEnd w:id="5405"/>
      <w:r>
        <w:rPr>
          <w:rFonts w:ascii="Arial" w:eastAsia="Arial" w:hAnsi="Arial" w:cs="Arial"/>
          <w:i/>
          <w:color w:val="000000"/>
          <w:sz w:val="20"/>
        </w:rPr>
        <w:t xml:space="preserve">See </w:t>
      </w:r>
      <w:bookmarkStart w:id="5406" w:name="Bookmark_I61CDGK52D6N8W0050000400"/>
      <w:bookmarkEnd w:id="5406"/>
      <w:r>
        <w:rPr>
          <w:rFonts w:ascii="Arial" w:eastAsia="Arial" w:hAnsi="Arial" w:cs="Arial"/>
          <w:i/>
          <w:color w:val="000000"/>
          <w:sz w:val="20"/>
        </w:rPr>
        <w:t>Exby-Stolley</w:t>
      </w:r>
      <w:r>
        <w:rPr>
          <w:rFonts w:ascii="Arial" w:eastAsia="Arial" w:hAnsi="Arial" w:cs="Arial"/>
          <w:color w:val="000000"/>
          <w:sz w:val="20"/>
        </w:rPr>
        <w:t>, 906 F.3d at 918-19. The jury was instructed that termination of employment is an adverse employment action, but it was not convinced that Ms. Exby-Stolley had been fired.</w:t>
      </w:r>
    </w:p>
    <w:p w14:paraId="4AC094D2" w14:textId="77777777" w:rsidR="002B10A6" w:rsidRDefault="00000000">
      <w:pPr>
        <w:pStyle w:val="Normal23"/>
        <w:widowControl w:val="0"/>
        <w:spacing w:before="200" w:line="260" w:lineRule="atLeast"/>
        <w:jc w:val="both"/>
      </w:pPr>
      <w:bookmarkStart w:id="5407" w:name="Bookmark_para_204"/>
      <w:bookmarkStart w:id="5408" w:name="Bookmark_I722C9XF5V00000671P00092"/>
      <w:bookmarkStart w:id="5409" w:name="Bookmark_I722C9XF8KC0000671P00093"/>
      <w:bookmarkStart w:id="5410" w:name="Bookmark_I61CDGK52D6N8X0050000400"/>
      <w:bookmarkEnd w:id="5407"/>
      <w:bookmarkEnd w:id="5408"/>
      <w:bookmarkEnd w:id="5409"/>
      <w:bookmarkEnd w:id="5410"/>
      <w:r>
        <w:rPr>
          <w:rFonts w:ascii="Arial" w:eastAsia="Arial" w:hAnsi="Arial" w:cs="Arial"/>
          <w:color w:val="000000"/>
          <w:sz w:val="20"/>
        </w:rPr>
        <w:t xml:space="preserve">For these reasons I would conclude that the jury instructions in this case, at least in relation to the allegations raised, "accurately informed the jury of the governing law," </w:t>
      </w:r>
      <w:bookmarkStart w:id="5411" w:name="Bookmark_I61CDGK52D6N8X0040000400"/>
      <w:bookmarkEnd w:id="5411"/>
      <w:r>
        <w:rPr>
          <w:rFonts w:ascii="Arial" w:eastAsia="Arial" w:hAnsi="Arial" w:cs="Arial"/>
          <w:i/>
          <w:color w:val="000000"/>
          <w:sz w:val="20"/>
        </w:rPr>
        <w:t>Sherouse v. Ratchner</w:t>
      </w:r>
      <w:r>
        <w:rPr>
          <w:rFonts w:ascii="Arial" w:eastAsia="Arial" w:hAnsi="Arial" w:cs="Arial"/>
          <w:color w:val="000000"/>
          <w:sz w:val="20"/>
        </w:rPr>
        <w:t xml:space="preserve">, 573 F.3d 1055, 1060 (10th Cir. 2009), and did not mislead the jury in any way, </w:t>
      </w:r>
      <w:bookmarkStart w:id="5412" w:name="Bookmark_I61CDGK628T3W60010000400"/>
      <w:bookmarkEnd w:id="5412"/>
      <w:r>
        <w:rPr>
          <w:rFonts w:ascii="Arial" w:eastAsia="Arial" w:hAnsi="Arial" w:cs="Arial"/>
          <w:i/>
          <w:color w:val="000000"/>
          <w:sz w:val="20"/>
        </w:rPr>
        <w:t>Nat'l Env't Serv. Co. v. Ronan Eng'g Co.</w:t>
      </w:r>
      <w:r>
        <w:rPr>
          <w:rFonts w:ascii="Arial" w:eastAsia="Arial" w:hAnsi="Arial" w:cs="Arial"/>
          <w:color w:val="000000"/>
          <w:sz w:val="20"/>
        </w:rPr>
        <w:t>, 256 F.3d 995, 1004 (10th Cir. 2001). And, as a result, I would affirm the jury's verdict.</w:t>
      </w:r>
    </w:p>
    <w:p w14:paraId="591A06C4" w14:textId="77777777" w:rsidR="002B10A6" w:rsidRDefault="00000000">
      <w:pPr>
        <w:pStyle w:val="Normal23"/>
        <w:widowControl w:val="0"/>
        <w:spacing w:before="240" w:line="260" w:lineRule="atLeast"/>
      </w:pPr>
      <w:r>
        <w:br/>
      </w:r>
      <w:r>
        <w:rPr>
          <w:rFonts w:ascii="Arial" w:eastAsia="Arial" w:hAnsi="Arial" w:cs="Arial"/>
          <w:b/>
          <w:color w:val="000000"/>
          <w:sz w:val="20"/>
        </w:rPr>
        <w:t>V. CONCLUSION</w:t>
      </w:r>
    </w:p>
    <w:p w14:paraId="56827C2C" w14:textId="77777777" w:rsidR="002B10A6" w:rsidRDefault="00000000">
      <w:pPr>
        <w:pStyle w:val="Normal23"/>
        <w:widowControl w:val="0"/>
        <w:spacing w:before="200" w:line="260" w:lineRule="atLeast"/>
        <w:jc w:val="both"/>
      </w:pPr>
      <w:bookmarkStart w:id="5413" w:name="Bookmark_para_205"/>
      <w:bookmarkEnd w:id="5413"/>
      <w:r>
        <w:rPr>
          <w:rFonts w:ascii="Arial" w:eastAsia="Arial" w:hAnsi="Arial" w:cs="Arial"/>
          <w:color w:val="000000"/>
          <w:sz w:val="20"/>
        </w:rPr>
        <w:t>Section § 12112(b) of the ADA identifies seven circumstances [**132]  that satisfy the discrimination clause in § 12112(a), one of two express requirements in Title I's general proscription of employment discrimination on the basis of disability. But the construction of § 12112(a), as dictated by its plain language, does not allow those enumerated examples of discrimination to displace the second express requirement—the in-regard-to clause. Because the majority fails to give effect to that independent requirement, I cannot join in its analysis. Instead, reviewing the jury instructions in light of the allegations advanced, I would uphold the jury's verdict. Accordingly, I respectfully dissent.</w:t>
      </w:r>
    </w:p>
    <w:p w14:paraId="66E27E32" w14:textId="77777777" w:rsidR="002B10A6" w:rsidRDefault="00000000">
      <w:pPr>
        <w:pStyle w:val="Normal23"/>
        <w:widowControl w:val="0"/>
        <w:spacing w:before="200" w:line="260" w:lineRule="atLeast"/>
        <w:jc w:val="both"/>
      </w:pPr>
      <w:bookmarkStart w:id="5414" w:name="Bookmark_para_206"/>
      <w:bookmarkEnd w:id="5414"/>
      <w:r>
        <w:rPr>
          <w:rFonts w:ascii="Arial" w:eastAsia="Arial" w:hAnsi="Arial" w:cs="Arial"/>
          <w:b/>
          <w:color w:val="000000"/>
          <w:sz w:val="20"/>
        </w:rPr>
        <w:t>HARTZ</w:t>
      </w:r>
      <w:r>
        <w:rPr>
          <w:rFonts w:ascii="Arial" w:eastAsia="Arial" w:hAnsi="Arial" w:cs="Arial"/>
          <w:color w:val="000000"/>
          <w:sz w:val="20"/>
        </w:rPr>
        <w:t xml:space="preserve">, J., Circuit Judge, joined by </w:t>
      </w:r>
      <w:r>
        <w:rPr>
          <w:rFonts w:ascii="Arial" w:eastAsia="Arial" w:hAnsi="Arial" w:cs="Arial"/>
          <w:b/>
          <w:color w:val="000000"/>
          <w:sz w:val="20"/>
        </w:rPr>
        <w:t>TYMKOVICH</w:t>
      </w:r>
      <w:r>
        <w:rPr>
          <w:rFonts w:ascii="Arial" w:eastAsia="Arial" w:hAnsi="Arial" w:cs="Arial"/>
          <w:color w:val="000000"/>
          <w:sz w:val="20"/>
        </w:rPr>
        <w:t>, C.J., dissenting.</w:t>
      </w:r>
    </w:p>
    <w:p w14:paraId="1A1038AE" w14:textId="77777777" w:rsidR="002B10A6" w:rsidRDefault="00000000">
      <w:pPr>
        <w:pStyle w:val="Normal23"/>
        <w:widowControl w:val="0"/>
        <w:spacing w:before="200" w:line="260" w:lineRule="atLeast"/>
        <w:jc w:val="both"/>
      </w:pPr>
      <w:bookmarkStart w:id="5415" w:name="Bookmark_para_207"/>
      <w:bookmarkEnd w:id="5415"/>
      <w:r>
        <w:rPr>
          <w:rFonts w:ascii="Arial" w:eastAsia="Arial" w:hAnsi="Arial" w:cs="Arial"/>
          <w:color w:val="000000"/>
          <w:sz w:val="20"/>
        </w:rPr>
        <w:t>I join almost all of Judge McHugh's dissent. I write separately only to note the  [*845]  minor difference in our views and to express a few other observations about the dispute before the en banc court. I will limit any repetition of what already appears in that dissent and in my panel opinion.</w:t>
      </w:r>
    </w:p>
    <w:p w14:paraId="7B5B2FFE" w14:textId="77777777" w:rsidR="002B10A6" w:rsidRDefault="00000000">
      <w:pPr>
        <w:pStyle w:val="Normal23"/>
        <w:widowControl w:val="0"/>
        <w:spacing w:before="200" w:line="260" w:lineRule="atLeast"/>
        <w:jc w:val="both"/>
      </w:pPr>
      <w:bookmarkStart w:id="5416" w:name="Bookmark_para_208"/>
      <w:bookmarkEnd w:id="5416"/>
      <w:r>
        <w:rPr>
          <w:rFonts w:ascii="Arial" w:eastAsia="Arial" w:hAnsi="Arial" w:cs="Arial"/>
          <w:color w:val="000000"/>
          <w:sz w:val="20"/>
        </w:rPr>
        <w:t>My sole discomfort with Judge McHugh's dissent concerns the discussion of the scope of the ADA provision restricting discrimination prohibited by the Act to discrimination "in regard to job application procedures, the hiring, advancement, [**133]  or discharge of employees, employee compensation, job training, and other terms, conditions, and privileges of employment." 42 U.S.C. § 12112(a). This provision is similar to provisions limiting liability under other antidiscrimination statutes, in particular Title VII, which restricts liability to discrimination "with respect to [an individual's] compensation, terms, conditions, or privileges of employment." 42 U.S.C. § 2000e-2(a). The Title VII language is often paraphrased as requiring proof of an adverse employment action. Following that tradition, I will refer to the above-quoted language of the ADA as the adverse-employment-action requirement.</w:t>
      </w:r>
    </w:p>
    <w:p w14:paraId="744D19BB" w14:textId="77777777" w:rsidR="002B10A6" w:rsidRDefault="00000000">
      <w:pPr>
        <w:pStyle w:val="Normal23"/>
        <w:widowControl w:val="0"/>
        <w:spacing w:before="200" w:line="260" w:lineRule="atLeast"/>
        <w:jc w:val="both"/>
      </w:pPr>
      <w:bookmarkStart w:id="5417" w:name="Bookmark_para_209"/>
      <w:bookmarkEnd w:id="5417"/>
      <w:r>
        <w:rPr>
          <w:rFonts w:ascii="Arial" w:eastAsia="Arial" w:hAnsi="Arial" w:cs="Arial"/>
          <w:color w:val="000000"/>
          <w:sz w:val="20"/>
        </w:rPr>
        <w:t xml:space="preserve">I have concerns that this court's prior caselaw has too narrowly circumscribed what constitutes an adverse employment action. Judge McHugh's dissent may well provide the proper correction to that caselaw. But I think we should refrain from opining on that issue in this case. To begin with, the issue was not raised before the panel or in the panel opinions. Appellant Exby-Stolley's argument was that there is no adverse-employment-action requirement for a failure-to-accommodate claim. She argued that there should have been no instruction whatsoever on the notion of an adverse employment [**134]  action, not that the instruction given was too restrictive. The gist of the opinion of the panel majority was quite simple and straightforward: First, the opinion looked for the source of the adverse-employment-action requirement in employment-discrimination claims and concluded that the requirement derives from the language in employment-discrimination statutes limiting liability to discrimination that is "with respect to" or "in regard to" the "terms, conditions, or privileges of employment." In other words, the term </w:t>
      </w:r>
      <w:r>
        <w:rPr>
          <w:rFonts w:ascii="Arial" w:eastAsia="Arial" w:hAnsi="Arial" w:cs="Arial"/>
          <w:i/>
          <w:color w:val="000000"/>
          <w:sz w:val="20"/>
        </w:rPr>
        <w:t>adverse employment action</w:t>
      </w:r>
      <w:r>
        <w:rPr>
          <w:rFonts w:ascii="Arial" w:eastAsia="Arial" w:hAnsi="Arial" w:cs="Arial"/>
          <w:color w:val="000000"/>
          <w:sz w:val="20"/>
        </w:rPr>
        <w:t xml:space="preserve"> is merely shorthand for expressing the terms-or-conditions statutory language. Second, the opinion looked at the text of § 12112 and concluded that the terms-or-conditions language of subsection (a) applied to all discrimination claims under that section, including failure-to-accommodate claims. Because this circuit has considerable precedent regarding the meaning of </w:t>
      </w:r>
      <w:r>
        <w:rPr>
          <w:rFonts w:ascii="Arial" w:eastAsia="Arial" w:hAnsi="Arial" w:cs="Arial"/>
          <w:i/>
          <w:color w:val="000000"/>
          <w:sz w:val="20"/>
        </w:rPr>
        <w:t>adverse employment action</w:t>
      </w:r>
      <w:r>
        <w:rPr>
          <w:rFonts w:ascii="Arial" w:eastAsia="Arial" w:hAnsi="Arial" w:cs="Arial"/>
          <w:color w:val="000000"/>
          <w:sz w:val="20"/>
        </w:rPr>
        <w:t>, and because Appellant did not argue that the meaning of the term should be modified for failure-to-accommodate cases, the panel proceeded, quite naturally in my view, to apply our caselaw to the case at hand.</w:t>
      </w:r>
    </w:p>
    <w:p w14:paraId="4CE121E1" w14:textId="77777777" w:rsidR="002B10A6" w:rsidRDefault="00000000">
      <w:pPr>
        <w:pStyle w:val="Normal23"/>
        <w:widowControl w:val="0"/>
        <w:spacing w:before="200" w:line="260" w:lineRule="atLeast"/>
        <w:jc w:val="both"/>
      </w:pPr>
      <w:bookmarkStart w:id="5418" w:name="Bookmark_para_210"/>
      <w:bookmarkEnd w:id="5418"/>
      <w:r>
        <w:rPr>
          <w:rFonts w:ascii="Arial" w:eastAsia="Arial" w:hAnsi="Arial" w:cs="Arial"/>
          <w:color w:val="000000"/>
          <w:sz w:val="20"/>
        </w:rPr>
        <w:t xml:space="preserve">Nor did this court's order granting en banc rehearing request briefing [**135]  on the meaning of </w:t>
      </w:r>
      <w:r>
        <w:rPr>
          <w:rFonts w:ascii="Arial" w:eastAsia="Arial" w:hAnsi="Arial" w:cs="Arial"/>
          <w:i/>
          <w:color w:val="000000"/>
          <w:sz w:val="20"/>
        </w:rPr>
        <w:t>adverse employment action</w:t>
      </w:r>
      <w:r>
        <w:rPr>
          <w:rFonts w:ascii="Arial" w:eastAsia="Arial" w:hAnsi="Arial" w:cs="Arial"/>
          <w:color w:val="000000"/>
          <w:sz w:val="20"/>
        </w:rPr>
        <w:t xml:space="preserve">. The only question that we requested the parties to address specifically in their supplemental briefing was "[w]hether an adverse employment action is a requisite element of a failure-to-accommodate claim under the [ADA]." Order at 2, Dec. 18, 2018. To be sure, the meaning of </w:t>
      </w:r>
      <w:r>
        <w:rPr>
          <w:rFonts w:ascii="Arial" w:eastAsia="Arial" w:hAnsi="Arial" w:cs="Arial"/>
          <w:i/>
          <w:color w:val="000000"/>
          <w:sz w:val="20"/>
        </w:rPr>
        <w:t>adverse employment action—</w:t>
      </w:r>
      <w:r>
        <w:rPr>
          <w:rFonts w:ascii="Arial" w:eastAsia="Arial" w:hAnsi="Arial" w:cs="Arial"/>
          <w:color w:val="000000"/>
          <w:sz w:val="20"/>
        </w:rPr>
        <w:t>that is, the meaning of the terms-or-conditions language in employment-discrimination statutes—has been raised during the en banc proceedings. But the only brief to raise the issue is the amicus brief submitted by the federal government. It criticizes not only the panel opinion's understanding of what constitutes an adverse employment action but also argues that this court has misinterpreted the statutory language in other contexts, including claims under Title VII.</w:t>
      </w:r>
    </w:p>
    <w:p w14:paraId="73DD93D2" w14:textId="77777777" w:rsidR="002B10A6" w:rsidRDefault="00000000">
      <w:pPr>
        <w:pStyle w:val="Normal23"/>
        <w:widowControl w:val="0"/>
        <w:spacing w:before="200" w:line="260" w:lineRule="atLeast"/>
        <w:jc w:val="both"/>
      </w:pPr>
      <w:bookmarkStart w:id="5419" w:name="Bookmark_para_211"/>
      <w:bookmarkEnd w:id="5419"/>
      <w:r>
        <w:rPr>
          <w:rFonts w:ascii="Arial" w:eastAsia="Arial" w:hAnsi="Arial" w:cs="Arial"/>
          <w:color w:val="000000"/>
          <w:sz w:val="20"/>
        </w:rPr>
        <w:t xml:space="preserve"> [*846]  Although the government's brief and oral argument make a good case that we have adopted a too-restrictive notion of adverse employment action, I think it would be unfortunate for this court to abandon long-standing precedent without receiving briefing from interested persons with other points of view. There are important issues that need to be explored. I recognize the temptation [**136]  to adopt a very broad interpretation of adverse employment action, because all discrimination (including the failure to make reasonable accommodations for a disabled person) is offensive. </w:t>
      </w:r>
      <w:bookmarkStart w:id="5420" w:name="Bookmark_I722C9XFCBG0000671P00094"/>
      <w:bookmarkStart w:id="5421" w:name="Bookmark_I61CDGK628T3W60040000400"/>
      <w:bookmarkEnd w:id="5420"/>
      <w:bookmarkEnd w:id="5421"/>
      <w:r>
        <w:rPr>
          <w:rFonts w:ascii="Arial" w:eastAsia="Arial" w:hAnsi="Arial" w:cs="Arial"/>
          <w:color w:val="000000"/>
          <w:sz w:val="20"/>
        </w:rPr>
        <w:t xml:space="preserve">But the employment-discrimination statutes were not intended to prohibit all offensive discriminatory conduct at the workplace. For example, not all bigoted statements by supervisors to their subordinates create a cause of action. Whether they create a prohibited hostile work environment depends on "the frequency of the discriminatory conduct; its severity; whether it is physically threatening or humiliating, or mere offensive utterance; and whether it unreasonably interferes with an employee's work performance." </w:t>
      </w:r>
      <w:bookmarkStart w:id="5422" w:name="Bookmark_I61CDGK628T3W60030000400"/>
      <w:bookmarkEnd w:id="5422"/>
      <w:r>
        <w:rPr>
          <w:rFonts w:ascii="Arial" w:eastAsia="Arial" w:hAnsi="Arial" w:cs="Arial"/>
          <w:i/>
          <w:color w:val="000000"/>
          <w:sz w:val="20"/>
        </w:rPr>
        <w:t>Harris v. Forklift Systems, Inc.</w:t>
      </w:r>
      <w:r>
        <w:rPr>
          <w:rFonts w:ascii="Arial" w:eastAsia="Arial" w:hAnsi="Arial" w:cs="Arial"/>
          <w:color w:val="000000"/>
          <w:sz w:val="20"/>
        </w:rPr>
        <w:t xml:space="preserve">, 510 U.S. 17, 23, 114 S. Ct. 367, 126 L. Ed. 2d 295 (1993) (internal quotation marks omitted). The ADA, perhaps more than any of the other employment-discrimination statutes, signals in the language used to create the adverse-employment-action requirement that it applies only to </w:t>
      </w:r>
      <w:r>
        <w:rPr>
          <w:rFonts w:ascii="Arial" w:eastAsia="Arial" w:hAnsi="Arial" w:cs="Arial"/>
          <w:i/>
          <w:color w:val="000000"/>
          <w:sz w:val="20"/>
        </w:rPr>
        <w:t>significant</w:t>
      </w:r>
      <w:r>
        <w:rPr>
          <w:rFonts w:ascii="Arial" w:eastAsia="Arial" w:hAnsi="Arial" w:cs="Arial"/>
          <w:color w:val="000000"/>
          <w:sz w:val="20"/>
        </w:rPr>
        <w:t xml:space="preserve"> employment discrimination. </w:t>
      </w:r>
      <w:bookmarkStart w:id="5423" w:name="Bookmark_I722C9XFG4G0000671P00095"/>
      <w:bookmarkStart w:id="5424" w:name="Bookmark_I61CDGKC2N1RC20010000400"/>
      <w:bookmarkEnd w:id="5423"/>
      <w:bookmarkEnd w:id="5424"/>
      <w:r>
        <w:rPr>
          <w:rFonts w:ascii="Arial" w:eastAsia="Arial" w:hAnsi="Arial" w:cs="Arial"/>
          <w:color w:val="000000"/>
          <w:sz w:val="20"/>
        </w:rPr>
        <w:t xml:space="preserve">It does not merely state that discrimination must be with respect to the "terms, conditions, or privileges of employment," which in itself could be interpreted quite broadly. It even goes beyond the Title VII language that discrimination [**137]  must be "with respect to . . . compensation, terms, conditions, or privileges of employment." The ADA requires that the discrimination be "in regard to job application procedures, the hiring, advancement, or discharge of employees, employee compensation, job training, and other terms, conditions, and privileges of employment." 42 U.S.C. § 12112(a). Under the ejusdem generis canon of statutory construction, the words "other terms, conditions, and privileges of employment" should be read to mean "terms, conditions, and privileges of employment" similar to "job application procedures, the hiring, advancement, or discharge of employees, employee compensation, [and] job training." </w:t>
      </w:r>
      <w:r>
        <w:rPr>
          <w:rFonts w:ascii="Arial" w:eastAsia="Arial" w:hAnsi="Arial" w:cs="Arial"/>
          <w:i/>
          <w:color w:val="000000"/>
          <w:sz w:val="20"/>
        </w:rPr>
        <w:t>See</w:t>
      </w:r>
      <w:r>
        <w:rPr>
          <w:rFonts w:ascii="Arial" w:eastAsia="Arial" w:hAnsi="Arial" w:cs="Arial"/>
          <w:color w:val="000000"/>
          <w:sz w:val="20"/>
        </w:rPr>
        <w:t xml:space="preserve">, e.g., </w:t>
      </w:r>
      <w:bookmarkStart w:id="5425" w:name="Bookmark_I61CDGK628T3W60050000400"/>
      <w:bookmarkEnd w:id="5425"/>
      <w:r>
        <w:rPr>
          <w:rFonts w:ascii="Arial" w:eastAsia="Arial" w:hAnsi="Arial" w:cs="Arial"/>
          <w:i/>
          <w:color w:val="000000"/>
          <w:sz w:val="20"/>
        </w:rPr>
        <w:t>Babb v. Wilkie</w:t>
      </w:r>
      <w:r>
        <w:rPr>
          <w:rFonts w:ascii="Arial" w:eastAsia="Arial" w:hAnsi="Arial" w:cs="Arial"/>
          <w:color w:val="000000"/>
          <w:sz w:val="20"/>
        </w:rPr>
        <w:t xml:space="preserve">, 140 S. Ct. 1168, 1176 n.4, 206 L. Ed. 2d 432 (2020) (in construing "to fail or refuse to hire or to discharge any individual or otherwise </w:t>
      </w:r>
      <w:r>
        <w:rPr>
          <w:rFonts w:ascii="Arial" w:eastAsia="Arial" w:hAnsi="Arial" w:cs="Arial"/>
          <w:i/>
          <w:color w:val="000000"/>
          <w:sz w:val="20"/>
        </w:rPr>
        <w:t>discriminate against any individual with respect to his compensation, terms, conditions, or privileges of employment</w:t>
      </w:r>
      <w:r>
        <w:rPr>
          <w:rFonts w:ascii="Arial" w:eastAsia="Arial" w:hAnsi="Arial" w:cs="Arial"/>
          <w:color w:val="000000"/>
          <w:sz w:val="20"/>
        </w:rPr>
        <w:t xml:space="preserve">," in the Age Discrimination in Employment Act, 29 U.S.C. § 623(a)(1), the italicized phrase, although it could independently be "read more broadly to encompass things that occur before a final decision is made," should, under the </w:t>
      </w:r>
      <w:r>
        <w:rPr>
          <w:rFonts w:ascii="Arial" w:eastAsia="Arial" w:hAnsi="Arial" w:cs="Arial"/>
          <w:i/>
          <w:color w:val="000000"/>
          <w:sz w:val="20"/>
        </w:rPr>
        <w:t>ejusdem generis</w:t>
      </w:r>
      <w:r>
        <w:rPr>
          <w:rFonts w:ascii="Arial" w:eastAsia="Arial" w:hAnsi="Arial" w:cs="Arial"/>
          <w:color w:val="000000"/>
          <w:sz w:val="20"/>
        </w:rPr>
        <w:t xml:space="preserve"> canon, be read "to refer—like the prior terms—to the final decision" (emphasis added)). The ADA [**138]  statutory language certainly encompasses a great deal of employer action, but it is all </w:t>
      </w:r>
      <w:r>
        <w:rPr>
          <w:rFonts w:ascii="Arial" w:eastAsia="Arial" w:hAnsi="Arial" w:cs="Arial"/>
          <w:i/>
          <w:color w:val="000000"/>
          <w:sz w:val="20"/>
        </w:rPr>
        <w:t>significant</w:t>
      </w:r>
      <w:r>
        <w:rPr>
          <w:rFonts w:ascii="Arial" w:eastAsia="Arial" w:hAnsi="Arial" w:cs="Arial"/>
          <w:color w:val="000000"/>
          <w:sz w:val="20"/>
        </w:rPr>
        <w:t xml:space="preserve"> action. And the list of those actions in the statute amounts to surplusage if the statute covers </w:t>
      </w:r>
      <w:r>
        <w:rPr>
          <w:rFonts w:ascii="Arial" w:eastAsia="Arial" w:hAnsi="Arial" w:cs="Arial"/>
          <w:i/>
          <w:color w:val="000000"/>
          <w:sz w:val="20"/>
        </w:rPr>
        <w:t>any</w:t>
      </w:r>
      <w:r>
        <w:rPr>
          <w:rFonts w:ascii="Arial" w:eastAsia="Arial" w:hAnsi="Arial" w:cs="Arial"/>
          <w:color w:val="000000"/>
          <w:sz w:val="20"/>
        </w:rPr>
        <w:t xml:space="preserve"> terms, conditions, or privileges of employment.</w:t>
      </w:r>
    </w:p>
    <w:p w14:paraId="167CCC63" w14:textId="77777777" w:rsidR="002B10A6" w:rsidRDefault="00000000">
      <w:pPr>
        <w:pStyle w:val="Normal23"/>
        <w:widowControl w:val="0"/>
        <w:spacing w:before="200" w:line="260" w:lineRule="atLeast"/>
        <w:jc w:val="both"/>
      </w:pPr>
      <w:bookmarkStart w:id="5426" w:name="Bookmark_para_212"/>
      <w:bookmarkStart w:id="5427" w:name="Bookmark_I722C9XFJY70000671P00096"/>
      <w:bookmarkStart w:id="5428" w:name="Bookmark_I722C9XFNWG0000671P00097"/>
      <w:bookmarkStart w:id="5429" w:name="Bookmark_I61CDGKC2N1RC20030000400"/>
      <w:bookmarkEnd w:id="5426"/>
      <w:bookmarkEnd w:id="5427"/>
      <w:bookmarkEnd w:id="5428"/>
      <w:bookmarkEnd w:id="5429"/>
      <w:r>
        <w:rPr>
          <w:rFonts w:ascii="Arial" w:eastAsia="Arial" w:hAnsi="Arial" w:cs="Arial"/>
          <w:color w:val="000000"/>
          <w:sz w:val="20"/>
        </w:rPr>
        <w:t xml:space="preserve">One might argue that there is no need for an adverse-employment-action instruction in failure-to-accommodate cases because every failure-to-accommodate claim necessarily concerns an adverse employment action. This may be true, for example, in jurisdictions where a request for accommodation must be for an accommodation that would enable the disabled employee to perform the essential functions of a job. </w:t>
      </w:r>
      <w:r>
        <w:rPr>
          <w:rFonts w:ascii="Arial" w:eastAsia="Arial" w:hAnsi="Arial" w:cs="Arial"/>
          <w:i/>
          <w:color w:val="000000"/>
          <w:sz w:val="20"/>
        </w:rPr>
        <w:t>See</w:t>
      </w:r>
      <w:r>
        <w:rPr>
          <w:rFonts w:ascii="Arial" w:eastAsia="Arial" w:hAnsi="Arial" w:cs="Arial"/>
          <w:color w:val="000000"/>
          <w:sz w:val="20"/>
        </w:rPr>
        <w:t xml:space="preserve">, e.g., </w:t>
      </w:r>
      <w:bookmarkStart w:id="5430" w:name="Bookmark_I61CDGKC2N1RC20020000400"/>
      <w:bookmarkEnd w:id="5430"/>
      <w:r>
        <w:rPr>
          <w:rFonts w:ascii="Arial" w:eastAsia="Arial" w:hAnsi="Arial" w:cs="Arial"/>
          <w:i/>
          <w:color w:val="000000"/>
          <w:sz w:val="20"/>
        </w:rPr>
        <w:t>Graves v. Finch Pruyn &amp; Co., Inc.</w:t>
      </w:r>
      <w:r>
        <w:rPr>
          <w:rFonts w:ascii="Arial" w:eastAsia="Arial" w:hAnsi="Arial" w:cs="Arial"/>
          <w:color w:val="000000"/>
          <w:sz w:val="20"/>
        </w:rPr>
        <w:t xml:space="preserve">, 457 F.3d 181, 184 (2d Cir. 2006) (in reasonable-accommodation case the plaintiff bears the burden of showing,  [*847]  among other things, "(3) with reasonable accommodation, plaintiff could perform the essential functions of the job at issue; and (4) the employer has refused to make such accommodations"); </w:t>
      </w:r>
      <w:bookmarkStart w:id="5431" w:name="Bookmark_I61CDGKC2N1RC20040000400"/>
      <w:bookmarkEnd w:id="5431"/>
      <w:r>
        <w:rPr>
          <w:rFonts w:ascii="Arial" w:eastAsia="Arial" w:hAnsi="Arial" w:cs="Arial"/>
          <w:i/>
          <w:color w:val="000000"/>
          <w:sz w:val="20"/>
        </w:rPr>
        <w:t>Skerski v. Time Warner Cable Co.</w:t>
      </w:r>
      <w:r>
        <w:rPr>
          <w:rFonts w:ascii="Arial" w:eastAsia="Arial" w:hAnsi="Arial" w:cs="Arial"/>
          <w:color w:val="000000"/>
          <w:sz w:val="20"/>
        </w:rPr>
        <w:t xml:space="preserve">, 257 F.3d 273, 284 (3d Cir. 2001) ("[A] disabled employee may establish a </w:t>
      </w:r>
      <w:r>
        <w:rPr>
          <w:rFonts w:ascii="Arial" w:eastAsia="Arial" w:hAnsi="Arial" w:cs="Arial"/>
          <w:i/>
          <w:color w:val="000000"/>
          <w:sz w:val="20"/>
        </w:rPr>
        <w:t>prima facie</w:t>
      </w:r>
      <w:r>
        <w:rPr>
          <w:rFonts w:ascii="Arial" w:eastAsia="Arial" w:hAnsi="Arial" w:cs="Arial"/>
          <w:color w:val="000000"/>
          <w:sz w:val="20"/>
        </w:rPr>
        <w:t xml:space="preserve"> case under the ADA if s/he shows that s/he can perform the essential functions of the job with reasonable accommodation and that the employer refused to make such an accommodation."); Manual of Model Civil Jury Instructions [**139]  for the District Courts of the Ninth Circuit, § 12.7 (plaintiff in reasonable-accommodation case must prove that "a reasonable accommodation is available that would have enabled the plaintiff to [apply or qualify for] [perform the essential functions of] the job" (brackets in original)).</w:t>
      </w:r>
      <w:r>
        <w:rPr>
          <w:rFonts w:ascii="Arial" w:eastAsia="Arial" w:hAnsi="Arial" w:cs="Arial"/>
          <w:vertAlign w:val="superscript"/>
        </w:rPr>
        <w:footnoteReference w:customMarkFollows="1" w:id="198"/>
        <w:t>1</w:t>
      </w:r>
      <w:r>
        <w:rPr>
          <w:rFonts w:ascii="Arial" w:eastAsia="Arial" w:hAnsi="Arial" w:cs="Arial"/>
          <w:color w:val="000000"/>
          <w:sz w:val="20"/>
        </w:rPr>
        <w:t xml:space="preserve"> But to say that an adverse-employment-action instruction is unnecessary is not to say that it is incorrect (as opposed to superfluous); and it may be useful in cases, such as this, where the absence of an adverse employment action frees the jury from having to determine whether the employer acted unreasonably in failing to make an accommodation. That is, if the jury determines that there has been no adverse employment action, it need not tackle the other elements of a discrimination claim.</w:t>
      </w:r>
    </w:p>
    <w:p w14:paraId="4CB9B76C" w14:textId="77777777" w:rsidR="002B10A6" w:rsidRDefault="00000000">
      <w:pPr>
        <w:pStyle w:val="Normal23"/>
        <w:widowControl w:val="0"/>
        <w:spacing w:before="200" w:line="260" w:lineRule="atLeast"/>
        <w:jc w:val="both"/>
      </w:pPr>
      <w:bookmarkStart w:id="5433" w:name="Bookmark_para_213"/>
      <w:bookmarkEnd w:id="5433"/>
      <w:r>
        <w:rPr>
          <w:rFonts w:ascii="Arial" w:eastAsia="Arial" w:hAnsi="Arial" w:cs="Arial"/>
          <w:color w:val="000000"/>
          <w:sz w:val="20"/>
        </w:rPr>
        <w:t>In my view, it is worth awaiting an appropriate case in which there is focused argument on the scope of the adverse-employment-action requirement of the ADA, even though we may ultimately resolve the issue in the way recommended by Judge McHugh's dissent. (On the other hand, if the Supreme Court decides to review this case, which could be very helpful to the lower courts, I am sure that it will be offered an ample supply [**140]  of briefs that would be useful in construing the terms-or-conditions language in the various employment-discrimination statutes.)</w:t>
      </w:r>
    </w:p>
    <w:p w14:paraId="0BBE92B0" w14:textId="77777777" w:rsidR="002B10A6" w:rsidRDefault="00000000">
      <w:pPr>
        <w:pStyle w:val="Normal23"/>
        <w:widowControl w:val="0"/>
        <w:spacing w:before="200" w:line="260" w:lineRule="atLeast"/>
        <w:jc w:val="both"/>
      </w:pPr>
      <w:bookmarkStart w:id="5434" w:name="Bookmark_para_214"/>
      <w:bookmarkEnd w:id="5434"/>
      <w:r>
        <w:rPr>
          <w:rFonts w:ascii="Arial" w:eastAsia="Arial" w:hAnsi="Arial" w:cs="Arial"/>
          <w:color w:val="000000"/>
          <w:sz w:val="20"/>
        </w:rPr>
        <w:t xml:space="preserve">I would also like to add some observations about the en banc opinion's use of judicial authority. None of the circuit cases cited in that opinion are binding on this en banc court on the issue of whether an adverse employment action is required to state a reasonable-accommodation claim. Their value to this court is in their persuasiveness. In that respect, they are sorely lacking. </w:t>
      </w:r>
      <w:bookmarkStart w:id="5435" w:name="Bookmark_I722C9XFSPK0000671P00098"/>
      <w:bookmarkStart w:id="5436" w:name="Bookmark_I61CDGKD2D6N9W0020000400"/>
      <w:bookmarkEnd w:id="5435"/>
      <w:bookmarkEnd w:id="5436"/>
      <w:r>
        <w:rPr>
          <w:rFonts w:ascii="Arial" w:eastAsia="Arial" w:hAnsi="Arial" w:cs="Arial"/>
          <w:color w:val="000000"/>
          <w:sz w:val="20"/>
        </w:rPr>
        <w:t>Not one of those cases explains why there is no adverse-action requirement. Not one addresses the textual argument made in Judge McHugh's dissent or the panel majority opinion. In only two or three was the issue raised by the parties, and in only one (</w:t>
      </w:r>
      <w:bookmarkStart w:id="5437" w:name="Bookmark_I61CDGKD2D6N9W0010000400"/>
      <w:bookmarkEnd w:id="5437"/>
      <w:r>
        <w:rPr>
          <w:rFonts w:ascii="Arial" w:eastAsia="Arial" w:hAnsi="Arial" w:cs="Arial"/>
          <w:i/>
          <w:color w:val="000000"/>
          <w:sz w:val="20"/>
        </w:rPr>
        <w:t>Garrison v. Dolgencorp, LLC</w:t>
      </w:r>
      <w:r>
        <w:rPr>
          <w:rFonts w:ascii="Arial" w:eastAsia="Arial" w:hAnsi="Arial" w:cs="Arial"/>
          <w:color w:val="000000"/>
          <w:sz w:val="20"/>
        </w:rPr>
        <w:t xml:space="preserve">, 939 F.3d 937, 942 n.1 (8th Cir. 2019)) was resolution of the issue apparently necessary to decide the appeal—indeed, in almost all of them there was an obvious adverse-employment-action, such as termination. The essential elements of persuasive authority are missing. </w:t>
      </w:r>
      <w:r>
        <w:rPr>
          <w:rFonts w:ascii="Arial" w:eastAsia="Arial" w:hAnsi="Arial" w:cs="Arial"/>
          <w:i/>
          <w:color w:val="000000"/>
          <w:sz w:val="20"/>
        </w:rPr>
        <w:t>See</w:t>
      </w:r>
      <w:r>
        <w:rPr>
          <w:rFonts w:ascii="Arial" w:eastAsia="Arial" w:hAnsi="Arial" w:cs="Arial"/>
          <w:color w:val="000000"/>
          <w:sz w:val="20"/>
        </w:rPr>
        <w:t xml:space="preserve"> Garner, </w:t>
      </w:r>
      <w:r>
        <w:rPr>
          <w:rFonts w:ascii="Arial" w:eastAsia="Arial" w:hAnsi="Arial" w:cs="Arial"/>
          <w:i/>
          <w:color w:val="000000"/>
          <w:sz w:val="20"/>
        </w:rPr>
        <w:t>et al.</w:t>
      </w:r>
      <w:r>
        <w:rPr>
          <w:rFonts w:ascii="Arial" w:eastAsia="Arial" w:hAnsi="Arial" w:cs="Arial"/>
          <w:color w:val="000000"/>
          <w:sz w:val="20"/>
        </w:rPr>
        <w:t>, The Law of Judicial Precedent § 16 (2016) ("When an earlier decision is cited not as a binding precedent but as persuasive authority, its value is enhanced by sound, acute, and logical reasoning; [**141]  by internal evidence that the case received the careful consideration of the court; and by the citation of pertinent authorities. Its value is diminished by the absence of any of these characteristics."). I do not share the optimism of the en banc opinion that the authors of these opinions must have thoughtfully considered whether an adverse employment action was required to state a reasonable-accommodation claim. Perhaps my view is based only on self- [*848]  examination, but I think it is asking quite a bit of judges to expect them to examine every nuance of the issues in the case, considering circumstances that not only are absent from the case before the judge but are rarely if ever present in litigation before the courts, and then to craft every sentence in their opinions so carefully that there can be no mistake about the limits of their statements of the law. It is not unusual for courts to use language that is too broad or imprecise. How often do appellate courts state when they review a grant of summary judgment that they will apply "the same standard as the district court"? Yet it would be foolish to apply the same standard as the district court when the district court applied the [**142]  wrong standard. Consider also how often we state that a statute is constitutional or a jury instruction was correct, when we really mean only that we are rejecting the specific challenges to the statute or jury instruction in that case. In short, we should be reluctant to treat opinions as persuasive on propositions for which there is no supporting analysis.</w:t>
      </w:r>
    </w:p>
    <w:p w14:paraId="290E255B" w14:textId="77777777" w:rsidR="002B10A6" w:rsidRDefault="00000000">
      <w:pPr>
        <w:pStyle w:val="Normal23"/>
        <w:widowControl w:val="0"/>
        <w:spacing w:before="200" w:line="260" w:lineRule="atLeast"/>
        <w:jc w:val="both"/>
      </w:pPr>
      <w:bookmarkStart w:id="5438" w:name="Bookmark_para_215"/>
      <w:bookmarkEnd w:id="5438"/>
      <w:r>
        <w:rPr>
          <w:rFonts w:ascii="Arial" w:eastAsia="Arial" w:hAnsi="Arial" w:cs="Arial"/>
          <w:color w:val="000000"/>
          <w:sz w:val="20"/>
        </w:rPr>
        <w:t xml:space="preserve">My skepticism about whether the cited authorities considered whether an adverse employment action (or at least something relating to the terms, conditions, or privileges of employment) is required for a failure-to-accommodate claim is enhanced by what happened in this case. The en banc opinion points out that the EEOC regulations and manual for the ADA discuss the reasonable-accommodation requirement without saying anything about an adverse-employment-action requirement, and it infers from this omission that the EEOC believes that there is no such requirement in failure-to-accommodate cases. I drew no inference from that omission, because the reasonable-accommodation regulations and manual are addressing only the law specifically stating the reasonable-accommodation requirement. There is no need to address global requirements in [**143]  each portion of the regulations or manual that concerns specific types of discrimination. And indeed, the amicus brief of the federal government shows that the en banc opinion's inference is incorrect. The amicus brief was in harmony with the panel majority, not the panel dissent, when it stated unequivocally that "to prevail on a failure-to-accommodate claim under Title I, a qualified individual must show that a denied accommodation pertains to her terms, conditions, or privileges of employment." Government Amicus Br. at 14. (What it criticized about the panel opinion was this court's interpretation—over the years and in claims under Title VII as well as the ADA—of the statutory language by, in the government's view, defining </w:t>
      </w:r>
      <w:r>
        <w:rPr>
          <w:rFonts w:ascii="Arial" w:eastAsia="Arial" w:hAnsi="Arial" w:cs="Arial"/>
          <w:i/>
          <w:color w:val="000000"/>
          <w:sz w:val="20"/>
        </w:rPr>
        <w:t>adverse employment action</w:t>
      </w:r>
      <w:r>
        <w:rPr>
          <w:rFonts w:ascii="Arial" w:eastAsia="Arial" w:hAnsi="Arial" w:cs="Arial"/>
          <w:color w:val="000000"/>
          <w:sz w:val="20"/>
        </w:rPr>
        <w:t xml:space="preserve"> too narrowly.) The government's responses at oral argument forcefully confirmed its position that, contrary to the en banc majority opinion, the statutory language requiring that discrimination be "in regard to job application procedures, the hiring, advancement, or discharge of employees, employee compensation, job training, and other terms, conditions, and privileges of employment", 42 U.S.C. § 12112(a), applies to failure-to-accommodate claims.</w:t>
      </w:r>
    </w:p>
    <w:p w14:paraId="1EBBEF79" w14:textId="77777777" w:rsidR="002B10A6" w:rsidRDefault="00000000">
      <w:pPr>
        <w:pStyle w:val="Normal23"/>
        <w:widowControl w:val="0"/>
        <w:spacing w:before="200" w:line="260" w:lineRule="atLeast"/>
        <w:jc w:val="both"/>
      </w:pPr>
      <w:bookmarkStart w:id="5439" w:name="Bookmark_para_216"/>
      <w:bookmarkEnd w:id="5439"/>
      <w:r>
        <w:rPr>
          <w:rFonts w:ascii="Arial" w:eastAsia="Arial" w:hAnsi="Arial" w:cs="Arial"/>
          <w:color w:val="000000"/>
          <w:sz w:val="20"/>
        </w:rPr>
        <w:t xml:space="preserve">Finally, [**144]  a few words about the implications of the en banc opinion. I am confident that it will not escape the attention of the employment-law bar that all of the opinion's textual argument against imposing an adverse-employment-action requirement applies to every employment-discrimination claim, whether under the ADA, Title VII, or otherwise. After all, the term </w:t>
      </w:r>
      <w:r>
        <w:rPr>
          <w:rFonts w:ascii="Arial" w:eastAsia="Arial" w:hAnsi="Arial" w:cs="Arial"/>
          <w:i/>
          <w:color w:val="000000"/>
          <w:sz w:val="20"/>
        </w:rPr>
        <w:t>adverse employment action</w:t>
      </w:r>
      <w:r>
        <w:rPr>
          <w:rFonts w:ascii="Arial" w:eastAsia="Arial" w:hAnsi="Arial" w:cs="Arial"/>
          <w:color w:val="000000"/>
          <w:sz w:val="20"/>
        </w:rPr>
        <w:t xml:space="preserve"> does not appear in any of those statutes and all of those statutes define discrimination as conduct we would find offensive, often abhorrent, regardless of the effect on a victim's employment. True,  [*849]  the en banc opinion also presents a policy reason for not imposing an adverse-employment-action requirement in failure-to-accommodate claims. But the argument strikes me as deeply flawed. In essence it states that Congress wanted to develop the full potential of every disabled employee and required employers to make all reasonable efforts to accomplish that, regardless of its impact on the disabled person's employment. That is certainly a worthy aspiration. But is it any worthier than prohibiting racial, gender, or religious discrimination against every employee, even if the discrimination is only the "inconvenience" [**145]  of a less-attractive office or more-distant parking space? It appears to me from the statutory language that Congress did not want to "make a federal case" of every incident of discrimination in the workplace—even failures to accommodate. But if we are to be consistent with the en banc opinion, this circuit will need to come up with some better justification for applying the adverse-employment-action requirement in typical employment-discrimination cases.</w:t>
      </w:r>
    </w:p>
    <w:p w14:paraId="2ADEBF83" w14:textId="77777777" w:rsidR="002B10A6" w:rsidRDefault="002B10A6">
      <w:pPr>
        <w:pStyle w:val="Normal23"/>
      </w:pPr>
    </w:p>
    <w:p w14:paraId="3E65D42A" w14:textId="74F692CD" w:rsidR="002B10A6" w:rsidRDefault="00000000">
      <w:pPr>
        <w:pStyle w:val="Normal23"/>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10464" behindDoc="0" locked="0" layoutInCell="1" allowOverlap="1" wp14:anchorId="586C8F7C" wp14:editId="016403E8">
                <wp:simplePos x="0" y="0"/>
                <wp:positionH relativeFrom="column">
                  <wp:posOffset>0</wp:posOffset>
                </wp:positionH>
                <wp:positionV relativeFrom="paragraph">
                  <wp:posOffset>127000</wp:posOffset>
                </wp:positionV>
                <wp:extent cx="6502400" cy="0"/>
                <wp:effectExtent l="9525" t="12700" r="12700" b="6350"/>
                <wp:wrapNone/>
                <wp:docPr id="1108158235"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50A140" id="Line 5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3892559" w14:textId="77777777" w:rsidR="002B10A6" w:rsidRDefault="002B10A6">
      <w:pPr>
        <w:pStyle w:val="Normal24"/>
        <w:sectPr w:rsidR="002B10A6">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gutter="0"/>
          <w:cols w:space="720"/>
          <w:titlePg/>
        </w:sectPr>
      </w:pPr>
    </w:p>
    <w:p w14:paraId="1F6ABC39" w14:textId="77777777" w:rsidR="002B10A6" w:rsidRDefault="002B10A6">
      <w:pPr>
        <w:pStyle w:val="Normal24"/>
      </w:pPr>
    </w:p>
    <w:p w14:paraId="5CC397F8" w14:textId="77777777" w:rsidR="002B10A6" w:rsidRDefault="00000000">
      <w:pPr>
        <w:pStyle w:val="Heading123"/>
        <w:keepNext w:val="0"/>
        <w:widowControl w:val="0"/>
        <w:spacing w:after="200" w:line="340" w:lineRule="atLeast"/>
        <w:jc w:val="center"/>
      </w:pPr>
      <w:r>
        <w:rPr>
          <w:rFonts w:eastAsia="Arial"/>
          <w:color w:val="000000"/>
          <w:sz w:val="28"/>
        </w:rPr>
        <w:t>Davis v. Columbus Consol. Gov't</w:t>
      </w:r>
    </w:p>
    <w:p w14:paraId="56A9E6F3" w14:textId="77777777" w:rsidR="002B10A6" w:rsidRDefault="00000000">
      <w:pPr>
        <w:pStyle w:val="Normal24"/>
        <w:widowControl w:val="0"/>
        <w:spacing w:before="120" w:line="260" w:lineRule="atLeast"/>
        <w:jc w:val="center"/>
      </w:pPr>
      <w:r>
        <w:rPr>
          <w:rFonts w:ascii="Arial" w:eastAsia="Arial" w:hAnsi="Arial" w:cs="Arial"/>
          <w:color w:val="000000"/>
          <w:sz w:val="20"/>
        </w:rPr>
        <w:t>United States Court of Appeals for the Eleventh Circuit</w:t>
      </w:r>
    </w:p>
    <w:p w14:paraId="4F0DDAA8" w14:textId="77777777" w:rsidR="002B10A6" w:rsidRDefault="00000000">
      <w:pPr>
        <w:pStyle w:val="Normal24"/>
        <w:widowControl w:val="0"/>
        <w:spacing w:before="120" w:line="260" w:lineRule="atLeast"/>
        <w:jc w:val="center"/>
      </w:pPr>
      <w:r>
        <w:rPr>
          <w:rFonts w:ascii="Arial" w:eastAsia="Arial" w:hAnsi="Arial" w:cs="Arial"/>
          <w:color w:val="000000"/>
          <w:sz w:val="20"/>
        </w:rPr>
        <w:t>September 28, 2020, Decided</w:t>
      </w:r>
    </w:p>
    <w:p w14:paraId="618A4BD3" w14:textId="77777777" w:rsidR="002B10A6" w:rsidRDefault="00000000">
      <w:pPr>
        <w:pStyle w:val="Normal24"/>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19-14601 Non-Argument Calendar</w:t>
      </w:r>
    </w:p>
    <w:p w14:paraId="118BD3F8" w14:textId="77777777" w:rsidR="002B10A6" w:rsidRDefault="002B10A6">
      <w:pPr>
        <w:pStyle w:val="Normal24"/>
        <w:widowControl w:val="0"/>
        <w:spacing w:line="240" w:lineRule="atLeast"/>
        <w:jc w:val="both"/>
      </w:pPr>
      <w:bookmarkStart w:id="5440" w:name="Bookmark_25"/>
      <w:bookmarkEnd w:id="5440"/>
    </w:p>
    <w:p w14:paraId="3C4F7D4D" w14:textId="77777777" w:rsidR="002B10A6" w:rsidRDefault="00000000">
      <w:pPr>
        <w:pStyle w:val="Normal24"/>
        <w:widowControl w:val="0"/>
        <w:spacing w:before="200" w:line="240" w:lineRule="atLeast"/>
      </w:pPr>
      <w:bookmarkStart w:id="5441" w:name="Reporter_23"/>
      <w:bookmarkEnd w:id="5441"/>
      <w:r>
        <w:rPr>
          <w:rFonts w:ascii="Arial" w:eastAsia="Arial" w:hAnsi="Arial" w:cs="Arial"/>
          <w:b/>
          <w:color w:val="000000"/>
          <w:sz w:val="18"/>
        </w:rPr>
        <w:t>Reporter</w:t>
      </w:r>
    </w:p>
    <w:p w14:paraId="5086D341" w14:textId="77777777" w:rsidR="002B10A6" w:rsidRDefault="00000000">
      <w:pPr>
        <w:pStyle w:val="Normal24"/>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826 Fed. Appx. 890 *; 2020 U.S. App. LEXIS 30775 **; 2020 WL 5758676</w:t>
      </w:r>
    </w:p>
    <w:p w14:paraId="5F634E1C" w14:textId="77777777" w:rsidR="002B10A6" w:rsidRDefault="00000000">
      <w:pPr>
        <w:pStyle w:val="Normal24"/>
        <w:widowControl w:val="0"/>
        <w:spacing w:before="120" w:line="260" w:lineRule="atLeast"/>
      </w:pPr>
      <w:r>
        <w:rPr>
          <w:rFonts w:ascii="Arial" w:eastAsia="Arial" w:hAnsi="Arial" w:cs="Arial"/>
          <w:color w:val="000000"/>
          <w:sz w:val="20"/>
        </w:rPr>
        <w:t>JAMES DAVIS, Plaintiff-Appellant, versus COLUMBUS CONSOLIDATED GOVERNMENT, Defendant-Appellee.</w:t>
      </w:r>
    </w:p>
    <w:p w14:paraId="7FB87EC8" w14:textId="77777777" w:rsidR="002B10A6" w:rsidRDefault="00000000">
      <w:pPr>
        <w:pStyle w:val="Normal24"/>
        <w:widowControl w:val="0"/>
        <w:spacing w:before="240" w:line="260" w:lineRule="atLeast"/>
        <w:jc w:val="both"/>
      </w:pPr>
      <w:bookmarkStart w:id="5442" w:name="Notice_7"/>
      <w:bookmarkEnd w:id="5442"/>
      <w:r>
        <w:rPr>
          <w:rFonts w:ascii="Arial" w:eastAsia="Arial" w:hAnsi="Arial" w:cs="Arial"/>
          <w:b/>
          <w:color w:val="000000"/>
          <w:sz w:val="20"/>
        </w:rPr>
        <w:t>Notice:</w:t>
      </w:r>
      <w:r>
        <w:rPr>
          <w:rFonts w:ascii="Arial" w:eastAsia="Arial" w:hAnsi="Arial" w:cs="Arial"/>
          <w:color w:val="000000"/>
          <w:sz w:val="20"/>
        </w:rPr>
        <w:t> </w:t>
      </w:r>
      <w:bookmarkStart w:id="5443" w:name="Bookmark_para_1_23"/>
      <w:bookmarkEnd w:id="5443"/>
      <w:r>
        <w:rPr>
          <w:rFonts w:ascii="Arial" w:eastAsia="Arial" w:hAnsi="Arial" w:cs="Arial"/>
          <w:color w:val="000000"/>
          <w:sz w:val="20"/>
        </w:rPr>
        <w:t>PLEASE REFER TO FEDERAL RULES OF APPELLATE PROCEDURE RULE 32.1 GOVERNING THE CITATION TO UNPUBLISHED OPINIONS.</w:t>
      </w:r>
    </w:p>
    <w:p w14:paraId="63E4AD19" w14:textId="77777777" w:rsidR="002B10A6" w:rsidRDefault="00000000">
      <w:pPr>
        <w:pStyle w:val="Normal24"/>
        <w:widowControl w:val="0"/>
        <w:spacing w:before="240" w:line="260" w:lineRule="atLeast"/>
        <w:jc w:val="both"/>
      </w:pPr>
      <w:bookmarkStart w:id="5444" w:name="Prior_History_23"/>
      <w:bookmarkEnd w:id="5444"/>
      <w:r>
        <w:rPr>
          <w:rFonts w:ascii="Arial" w:eastAsia="Arial" w:hAnsi="Arial" w:cs="Arial"/>
          <w:b/>
          <w:color w:val="000000"/>
          <w:sz w:val="20"/>
        </w:rPr>
        <w:t>Prior History:</w:t>
      </w:r>
      <w:r>
        <w:rPr>
          <w:rFonts w:ascii="Arial" w:eastAsia="Arial" w:hAnsi="Arial" w:cs="Arial"/>
          <w:color w:val="000000"/>
          <w:sz w:val="20"/>
        </w:rPr>
        <w:t> </w:t>
      </w:r>
      <w:bookmarkStart w:id="5445" w:name="Bookmark_para_2_23"/>
      <w:bookmarkEnd w:id="5445"/>
      <w:r>
        <w:rPr>
          <w:rFonts w:ascii="Arial" w:eastAsia="Arial" w:hAnsi="Arial" w:cs="Arial"/>
          <w:color w:val="000000"/>
          <w:sz w:val="20"/>
        </w:rPr>
        <w:t> [**1] Appeal from the United States District Court for the Middle District of Georgia. D.C. Docket No. 4:18-cv-00152-CDL.</w:t>
      </w:r>
    </w:p>
    <w:p w14:paraId="56D18E65" w14:textId="77777777" w:rsidR="002B10A6" w:rsidRDefault="00000000">
      <w:pPr>
        <w:pStyle w:val="Normal24"/>
        <w:widowControl w:val="0"/>
        <w:spacing w:before="240" w:line="260" w:lineRule="atLeast"/>
        <w:jc w:val="both"/>
      </w:pPr>
      <w:bookmarkStart w:id="5446" w:name="Disposition_9"/>
      <w:bookmarkEnd w:id="5446"/>
      <w:r>
        <w:rPr>
          <w:rFonts w:ascii="Arial" w:eastAsia="Arial" w:hAnsi="Arial" w:cs="Arial"/>
          <w:b/>
          <w:color w:val="000000"/>
          <w:sz w:val="20"/>
        </w:rPr>
        <w:t>Disposition:</w:t>
      </w:r>
      <w:r>
        <w:rPr>
          <w:rFonts w:ascii="Arial" w:eastAsia="Arial" w:hAnsi="Arial" w:cs="Arial"/>
          <w:color w:val="000000"/>
          <w:sz w:val="20"/>
        </w:rPr>
        <w:t> </w:t>
      </w:r>
      <w:bookmarkStart w:id="5447" w:name="Bookmark_clspara_4_8"/>
      <w:bookmarkEnd w:id="5447"/>
      <w:r>
        <w:rPr>
          <w:rFonts w:ascii="Arial" w:eastAsia="Arial" w:hAnsi="Arial" w:cs="Arial"/>
          <w:color w:val="000000"/>
          <w:sz w:val="20"/>
        </w:rPr>
        <w:t>AFFIRMED.</w:t>
      </w:r>
    </w:p>
    <w:p w14:paraId="40508B43" w14:textId="77777777" w:rsidR="002B10A6" w:rsidRDefault="00000000">
      <w:pPr>
        <w:pStyle w:val="Normal24"/>
        <w:widowControl w:val="0"/>
        <w:spacing w:before="240" w:line="260" w:lineRule="atLeast"/>
      </w:pPr>
      <w:bookmarkStart w:id="5448" w:name="Counsel_23"/>
      <w:bookmarkEnd w:id="5448"/>
      <w:r>
        <w:rPr>
          <w:rFonts w:ascii="Arial" w:eastAsia="Arial" w:hAnsi="Arial" w:cs="Arial"/>
          <w:b/>
          <w:color w:val="000000"/>
          <w:sz w:val="20"/>
        </w:rPr>
        <w:t>Counsel:</w:t>
      </w:r>
      <w:r>
        <w:rPr>
          <w:rFonts w:ascii="Arial" w:eastAsia="Arial" w:hAnsi="Arial" w:cs="Arial"/>
          <w:color w:val="000000"/>
          <w:sz w:val="20"/>
        </w:rPr>
        <w:t> For JAMES DAVIS, Plaintiff - Appellant: Kirby Smith, Rachel Becker Canfield, The Kirby G. Smith Law Firm, LLC, ATLANTA, GA; Alexander Carr Kelly, Law Office of Atty. Alexander Carr Kelly, CHARLOTTE, NC.</w:t>
      </w:r>
    </w:p>
    <w:p w14:paraId="6CFB699F" w14:textId="77777777" w:rsidR="002B10A6" w:rsidRDefault="00000000">
      <w:pPr>
        <w:pStyle w:val="Normal24"/>
        <w:widowControl w:val="0"/>
        <w:spacing w:before="120" w:line="260" w:lineRule="atLeast"/>
      </w:pPr>
      <w:r>
        <w:rPr>
          <w:rFonts w:ascii="Arial" w:eastAsia="Arial" w:hAnsi="Arial" w:cs="Arial"/>
          <w:color w:val="000000"/>
          <w:sz w:val="20"/>
        </w:rPr>
        <w:t>For COLUMBUS CONSOLIDATED GOVERNMENT, Defendant - Appellee: Carter Page Schondelmayer, James Clinton Clark, Jr., Thomas Frederick Gristina, Julie Dorchak Johnson, Page Scrantom Sprouse Tucker &amp; Ford, PC, COLUMBUS, GA.</w:t>
      </w:r>
    </w:p>
    <w:p w14:paraId="040FE244" w14:textId="77777777" w:rsidR="002B10A6" w:rsidRDefault="00000000">
      <w:pPr>
        <w:pStyle w:val="Normal24"/>
        <w:widowControl w:val="0"/>
        <w:spacing w:before="240" w:line="260" w:lineRule="atLeast"/>
      </w:pPr>
      <w:bookmarkStart w:id="5449" w:name="Judges_23"/>
      <w:bookmarkEnd w:id="5449"/>
      <w:r>
        <w:rPr>
          <w:rFonts w:ascii="Arial" w:eastAsia="Arial" w:hAnsi="Arial" w:cs="Arial"/>
          <w:b/>
          <w:color w:val="000000"/>
          <w:sz w:val="20"/>
        </w:rPr>
        <w:t>Judges:</w:t>
      </w:r>
      <w:r>
        <w:rPr>
          <w:rFonts w:ascii="Arial" w:eastAsia="Arial" w:hAnsi="Arial" w:cs="Arial"/>
          <w:color w:val="000000"/>
          <w:sz w:val="20"/>
        </w:rPr>
        <w:t> Before MARTIN, GRANT, and LUCK, Circuit Judges.</w:t>
      </w:r>
    </w:p>
    <w:p w14:paraId="7067F496" w14:textId="77777777" w:rsidR="002B10A6" w:rsidRDefault="00000000">
      <w:pPr>
        <w:pStyle w:val="Normal24"/>
        <w:keepNext/>
        <w:widowControl w:val="0"/>
        <w:spacing w:before="240" w:line="340" w:lineRule="atLeast"/>
      </w:pPr>
      <w:bookmarkStart w:id="5450" w:name="Opinion_23"/>
      <w:bookmarkEnd w:id="5450"/>
      <w:r>
        <w:rPr>
          <w:rFonts w:ascii="Arial" w:eastAsia="Arial" w:hAnsi="Arial" w:cs="Arial"/>
          <w:b/>
          <w:color w:val="000000"/>
          <w:sz w:val="28"/>
        </w:rPr>
        <w:t>Opinion</w:t>
      </w:r>
    </w:p>
    <w:p w14:paraId="5F1F0CEF" w14:textId="705EB0F4" w:rsidR="002B10A6" w:rsidRDefault="002D6974">
      <w:pPr>
        <w:pStyle w:val="Normal24"/>
        <w:spacing w:line="60" w:lineRule="exact"/>
      </w:pPr>
      <w:r>
        <w:rPr>
          <w:noProof/>
        </w:rPr>
        <mc:AlternateContent>
          <mc:Choice Requires="wps">
            <w:drawing>
              <wp:anchor distT="0" distB="0" distL="114300" distR="114300" simplePos="0" relativeHeight="251711488" behindDoc="0" locked="0" layoutInCell="1" allowOverlap="1" wp14:anchorId="57C965DB" wp14:editId="73571F75">
                <wp:simplePos x="0" y="0"/>
                <wp:positionH relativeFrom="column">
                  <wp:posOffset>0</wp:posOffset>
                </wp:positionH>
                <wp:positionV relativeFrom="paragraph">
                  <wp:posOffset>25400</wp:posOffset>
                </wp:positionV>
                <wp:extent cx="3187700" cy="0"/>
                <wp:effectExtent l="19050" t="15875" r="12700" b="12700"/>
                <wp:wrapTopAndBottom/>
                <wp:docPr id="137239269"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410A2" id="Line 53"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5402323" w14:textId="77777777" w:rsidR="002B10A6" w:rsidRDefault="002B10A6">
      <w:pPr>
        <w:pStyle w:val="Normal24"/>
      </w:pPr>
    </w:p>
    <w:p w14:paraId="4890C849" w14:textId="77777777" w:rsidR="002B10A6" w:rsidRDefault="00000000">
      <w:pPr>
        <w:pStyle w:val="Normal24"/>
        <w:widowControl w:val="0"/>
        <w:spacing w:before="200" w:line="260" w:lineRule="atLeast"/>
        <w:jc w:val="both"/>
      </w:pPr>
      <w:bookmarkStart w:id="5451" w:name="Bookmark_para_3_23"/>
      <w:bookmarkEnd w:id="5451"/>
      <w:r>
        <w:rPr>
          <w:rFonts w:ascii="Arial" w:eastAsia="Arial" w:hAnsi="Arial" w:cs="Arial"/>
          <w:color w:val="000000"/>
          <w:sz w:val="20"/>
        </w:rPr>
        <w:t> [*890]  PER CURIAM:</w:t>
      </w:r>
    </w:p>
    <w:p w14:paraId="756078CD" w14:textId="77777777" w:rsidR="002B10A6" w:rsidRDefault="00000000">
      <w:pPr>
        <w:pStyle w:val="Normal24"/>
        <w:widowControl w:val="0"/>
        <w:spacing w:before="200" w:line="260" w:lineRule="atLeast"/>
        <w:jc w:val="both"/>
      </w:pPr>
      <w:bookmarkStart w:id="5452" w:name="Bookmark_para_4_23"/>
      <w:bookmarkEnd w:id="5452"/>
      <w:r>
        <w:rPr>
          <w:rFonts w:ascii="Arial" w:eastAsia="Arial" w:hAnsi="Arial" w:cs="Arial"/>
          <w:color w:val="000000"/>
          <w:sz w:val="20"/>
        </w:rPr>
        <w:t>James Davis, a former employee of Columbus Consolidated Government, appeals the district court's grant of summary judgment for Columbus in his civil suit alleging that the city unlawfully discriminated against him in violation of the Americans With Disabilities Act, 42 U.S.C. § 12112. He argues that the district court erred in granting Columbus's motion for summary judgment because Columbus failed to present specific and particularized evidence that his request for a nine-week leave of absence to recover from surgery would cause an undue hardship. After a careful review of the record and the parties' briefs, we [**2]  affirm.</w:t>
      </w:r>
    </w:p>
    <w:p w14:paraId="110739FA" w14:textId="77777777" w:rsidR="002B10A6" w:rsidRDefault="00000000">
      <w:pPr>
        <w:pStyle w:val="Normal24"/>
        <w:widowControl w:val="0"/>
        <w:spacing w:before="240" w:line="260" w:lineRule="atLeast"/>
      </w:pPr>
      <w:r>
        <w:br/>
      </w:r>
      <w:r>
        <w:rPr>
          <w:rFonts w:ascii="Arial" w:eastAsia="Arial" w:hAnsi="Arial" w:cs="Arial"/>
          <w:color w:val="000000"/>
          <w:sz w:val="20"/>
        </w:rPr>
        <w:t> [*891]  I.</w:t>
      </w:r>
    </w:p>
    <w:p w14:paraId="5D47D5B4" w14:textId="77777777" w:rsidR="002B10A6" w:rsidRDefault="00000000">
      <w:pPr>
        <w:pStyle w:val="Normal24"/>
        <w:widowControl w:val="0"/>
        <w:spacing w:before="200" w:line="260" w:lineRule="atLeast"/>
        <w:jc w:val="both"/>
      </w:pPr>
      <w:bookmarkStart w:id="5453" w:name="Bookmark_para_5_23"/>
      <w:bookmarkEnd w:id="5453"/>
      <w:r>
        <w:rPr>
          <w:rFonts w:ascii="Arial" w:eastAsia="Arial" w:hAnsi="Arial" w:cs="Arial"/>
          <w:color w:val="000000"/>
          <w:sz w:val="20"/>
        </w:rPr>
        <w:t>Davis worked as a bus operator for Columbus's public transportation service from 2004 to December 2015. The job description for a bus operator showed that the position required, among other things, frequent bending, squatting, climbing, lifting up to 25 pounds, and pushing occupied standard wheelchairs.</w:t>
      </w:r>
    </w:p>
    <w:p w14:paraId="27DE48D6" w14:textId="77777777" w:rsidR="002B10A6" w:rsidRDefault="00000000">
      <w:pPr>
        <w:pStyle w:val="Normal24"/>
        <w:widowControl w:val="0"/>
        <w:spacing w:before="200" w:line="260" w:lineRule="atLeast"/>
        <w:jc w:val="both"/>
      </w:pPr>
      <w:bookmarkStart w:id="5454" w:name="Bookmark_para_6_23"/>
      <w:bookmarkEnd w:id="5454"/>
      <w:r>
        <w:rPr>
          <w:rFonts w:ascii="Arial" w:eastAsia="Arial" w:hAnsi="Arial" w:cs="Arial"/>
          <w:color w:val="000000"/>
          <w:sz w:val="20"/>
        </w:rPr>
        <w:t>In late 2015, Davis began missing work due to neck pain related to spinal stenosis. He soon exhausted his regular leave and in November 2015, Davis's 12 weeks of leave under the Family and Medical Leave Act expired as well. Davis's doctor advised that Davis needed cervical spine surgery, which had been scheduled to take place on December 18, 2015. His doctor provided a certification stating that Davis could not safely operate a bus or "push, pull, lift, carry, reach," or engage in "over head activities," though he could work in a "clerical position/light duty" until his surgery date, and that he would require an additional six weeks off after the surgery to recover.</w:t>
      </w:r>
    </w:p>
    <w:p w14:paraId="159D098B" w14:textId="77777777" w:rsidR="002B10A6" w:rsidRDefault="00000000">
      <w:pPr>
        <w:pStyle w:val="Normal24"/>
        <w:widowControl w:val="0"/>
        <w:spacing w:before="200" w:line="260" w:lineRule="atLeast"/>
        <w:jc w:val="both"/>
      </w:pPr>
      <w:bookmarkStart w:id="5455" w:name="Bookmark_para_7_23"/>
      <w:bookmarkEnd w:id="5455"/>
      <w:r>
        <w:rPr>
          <w:rFonts w:ascii="Arial" w:eastAsia="Arial" w:hAnsi="Arial" w:cs="Arial"/>
          <w:color w:val="000000"/>
          <w:sz w:val="20"/>
        </w:rPr>
        <w:t>Davis wrote to Columbus and requested light duty and an additional nine-week unpaid leave of absence after the expiration of his FMLA leave so that he could undergo and recover from surgery. Columbus denied Davis's [**3]  requests, explaining that clerical light duty work was not available for bus operators, and that an extension of his leave of absence would "create an undue hardship" on the transportation department and "limit its ability to provide service to citizens." Columbus terminated Davis's employment in December 2015 but encouraged him to apply for vacant positions with the city once his doctor cleared him to return to full duty.</w:t>
      </w:r>
    </w:p>
    <w:p w14:paraId="4483DE21" w14:textId="77777777" w:rsidR="002B10A6" w:rsidRDefault="00000000">
      <w:pPr>
        <w:pStyle w:val="Normal24"/>
        <w:widowControl w:val="0"/>
        <w:spacing w:before="200" w:line="260" w:lineRule="atLeast"/>
        <w:jc w:val="both"/>
      </w:pPr>
      <w:bookmarkStart w:id="5456" w:name="Bookmark_para_8_23"/>
      <w:bookmarkEnd w:id="5456"/>
      <w:r>
        <w:rPr>
          <w:rFonts w:ascii="Arial" w:eastAsia="Arial" w:hAnsi="Arial" w:cs="Arial"/>
          <w:color w:val="000000"/>
          <w:sz w:val="20"/>
        </w:rPr>
        <w:t>Davis filed a complaint against Columbus asserting that it had discriminated against him by refusing to provide him with a reasonable accommodation for his disability, in violation of the ADA. Columbus moved for summary judgment, arguing that Davis could not establish a prima facie case of discrimination under the ADA because his requested accommodations were unreasonable, and that, in any event, his requested nine-week leave of absence would have caused an undue hardship for the city.</w:t>
      </w:r>
    </w:p>
    <w:p w14:paraId="11ED8084" w14:textId="77777777" w:rsidR="002B10A6" w:rsidRDefault="00000000">
      <w:pPr>
        <w:pStyle w:val="Normal24"/>
        <w:widowControl w:val="0"/>
        <w:spacing w:before="200" w:line="260" w:lineRule="atLeast"/>
        <w:jc w:val="both"/>
      </w:pPr>
      <w:bookmarkStart w:id="5457" w:name="Bookmark_para_9_23"/>
      <w:bookmarkEnd w:id="5457"/>
      <w:r>
        <w:rPr>
          <w:rFonts w:ascii="Arial" w:eastAsia="Arial" w:hAnsi="Arial" w:cs="Arial"/>
          <w:color w:val="000000"/>
          <w:sz w:val="20"/>
        </w:rPr>
        <w:t>In support of its motion, Columbus submitted an affidavit from the director of its human resources department, Reather Hollowell, testifying that Columbus denied Davis's request for light duty because he was not physically able to perform the light duty of cleaning buses that was occasionally [**4]  available for bus operators, and he was not qualified to work in a clerical or administrative position. Hollowell further testified by deposition that Davis's request for an extended leave of absence would have caused undue hardship for the city because it could not fill Davis's position while he remained on leave, the department had no part-time personnel to help with his routes, and it would not have been feasible to hire a temporary driver to replace him during the leave period, given the time required to hire and train a new bus operator.</w:t>
      </w:r>
    </w:p>
    <w:p w14:paraId="5F680A57" w14:textId="77777777" w:rsidR="002B10A6" w:rsidRDefault="00000000">
      <w:pPr>
        <w:pStyle w:val="Normal24"/>
        <w:widowControl w:val="0"/>
        <w:spacing w:before="200" w:line="260" w:lineRule="atLeast"/>
        <w:jc w:val="both"/>
      </w:pPr>
      <w:bookmarkStart w:id="5458" w:name="Bookmark_para_10_23"/>
      <w:bookmarkEnd w:id="5458"/>
      <w:r>
        <w:rPr>
          <w:rFonts w:ascii="Arial" w:eastAsia="Arial" w:hAnsi="Arial" w:cs="Arial"/>
          <w:color w:val="000000"/>
          <w:sz w:val="20"/>
        </w:rPr>
        <w:t>Columbus also submitted testimony from Rosa Evans, the director of its department of transportation, stating that in the fall of 2015, the department had 41 budgeted bus operator positions to run nine bus routes from 4:30 a.m. to 8:30 p.m., six days per week. Every bus had to be manned, so when a bus operator position was vacant or a bus operator was absent, the department had to force other bus operators to fill in during their free time, incurring significant overtime costs in the process. As an example, if the department had four bus operator vacancies, Columbus would have to spend approximately $112,000 per year in additional overtime,  [*892]  which [**5]  amount would increase with the number of vacancies. Forced overtime also led to a loss of personnel and additional vacancies when employees quit due to overburdened schedules.</w:t>
      </w:r>
    </w:p>
    <w:p w14:paraId="356182E6" w14:textId="77777777" w:rsidR="002B10A6" w:rsidRDefault="00000000">
      <w:pPr>
        <w:pStyle w:val="Normal24"/>
        <w:widowControl w:val="0"/>
        <w:spacing w:before="200" w:line="260" w:lineRule="atLeast"/>
        <w:jc w:val="both"/>
      </w:pPr>
      <w:bookmarkStart w:id="5459" w:name="Bookmark_para_11_20"/>
      <w:bookmarkEnd w:id="5459"/>
      <w:r>
        <w:rPr>
          <w:rFonts w:ascii="Arial" w:eastAsia="Arial" w:hAnsi="Arial" w:cs="Arial"/>
          <w:color w:val="000000"/>
          <w:sz w:val="20"/>
        </w:rPr>
        <w:t>Evans further testified that the recruitment and training of bus operators to fill vacant positions took "some time," and the time that a bus operator position remained vacant cost Columbus "significant time in rescheduling with limited resources" to manage the bus routes. Evans further testified that the department did not "have the luxury to allow a person to hold a budgeted position for an extended leave," and that she would not have approved Davis's request for extended leave because of overtime costs, the precedent it would set for other bus operators, and "the confusion resulting to the bus-assignment and route system."</w:t>
      </w:r>
    </w:p>
    <w:p w14:paraId="78E77C7B" w14:textId="77777777" w:rsidR="002B10A6" w:rsidRDefault="00000000">
      <w:pPr>
        <w:pStyle w:val="Normal24"/>
        <w:widowControl w:val="0"/>
        <w:spacing w:before="200" w:line="260" w:lineRule="atLeast"/>
        <w:jc w:val="both"/>
      </w:pPr>
      <w:bookmarkStart w:id="5460" w:name="Bookmark_para_12_19"/>
      <w:bookmarkEnd w:id="5460"/>
      <w:r>
        <w:rPr>
          <w:rFonts w:ascii="Arial" w:eastAsia="Arial" w:hAnsi="Arial" w:cs="Arial"/>
          <w:color w:val="000000"/>
          <w:sz w:val="20"/>
        </w:rPr>
        <w:t>In response to Columbus's motion for summary judgment, Davis argued that his requested leave of absence was a reasonable accommodation because it was not open-ended—he provided a firm date when he could return to work without restrictions. Davis submitted the testimony of his doctor, who stated that when he recommended cervical spine surgery for Davis, he expected that Davis would be unable [**6]  to perform his work as a bus operator for six weeks after the surgery, but that he did not have any concerns that Davis would need additional recovery time after the six-week period. He further testified that Davis appeared to have recovered from his surgery as expected.</w:t>
      </w:r>
    </w:p>
    <w:p w14:paraId="639F6D19" w14:textId="77777777" w:rsidR="002B10A6" w:rsidRDefault="00000000">
      <w:pPr>
        <w:pStyle w:val="Normal24"/>
        <w:widowControl w:val="0"/>
        <w:spacing w:before="200" w:line="260" w:lineRule="atLeast"/>
        <w:jc w:val="both"/>
      </w:pPr>
      <w:bookmarkStart w:id="5461" w:name="Bookmark_para_13_19"/>
      <w:bookmarkEnd w:id="5461"/>
      <w:r>
        <w:rPr>
          <w:rFonts w:ascii="Arial" w:eastAsia="Arial" w:hAnsi="Arial" w:cs="Arial"/>
          <w:color w:val="000000"/>
          <w:sz w:val="20"/>
        </w:rPr>
        <w:t>Regarding Columbus's claim of undue hardship, Davis did not contest the city's statement of undisputed facts or the testimony of Hollowell and Evans regarding the impact of absent bus operators on the department of transportation, but asserted that Columbus had not provided evidence that he was terminated because of any specific budgetary concerns. Along the same lines, he argued that although Hollowell testified that a shortage of bus drivers would cause undue hardship, her testimony did not show specifically that Davis's absence for nine weeks would cause such hardship.</w:t>
      </w:r>
    </w:p>
    <w:p w14:paraId="76294001" w14:textId="77777777" w:rsidR="002B10A6" w:rsidRDefault="00000000">
      <w:pPr>
        <w:pStyle w:val="Normal24"/>
        <w:widowControl w:val="0"/>
        <w:spacing w:before="200" w:line="260" w:lineRule="atLeast"/>
        <w:jc w:val="both"/>
      </w:pPr>
      <w:bookmarkStart w:id="5462" w:name="Bookmark_para_14_19"/>
      <w:bookmarkEnd w:id="5462"/>
      <w:r>
        <w:rPr>
          <w:rFonts w:ascii="Arial" w:eastAsia="Arial" w:hAnsi="Arial" w:cs="Arial"/>
          <w:color w:val="000000"/>
          <w:sz w:val="20"/>
        </w:rPr>
        <w:t>The district court concluded that the undisputed evidence demonstrated that Davis's requested nine-week leave would cause increased overtime expenses, overburdened operators, and increased recruiting and training costs, thereby imposing an undue hardship on Columbus. The court therefore granted Columbus's motion for summary judgment. Davis now appeals. [**7] </w:t>
      </w:r>
    </w:p>
    <w:p w14:paraId="27896418" w14:textId="77777777" w:rsidR="002B10A6" w:rsidRDefault="00000000">
      <w:pPr>
        <w:pStyle w:val="Normal24"/>
        <w:widowControl w:val="0"/>
        <w:spacing w:before="120" w:line="260" w:lineRule="atLeast"/>
      </w:pPr>
      <w:r>
        <w:rPr>
          <w:rFonts w:ascii="Arial" w:eastAsia="Arial" w:hAnsi="Arial" w:cs="Arial"/>
          <w:color w:val="000000"/>
          <w:sz w:val="20"/>
        </w:rPr>
        <w:t>II.</w:t>
      </w:r>
    </w:p>
    <w:p w14:paraId="5CD1BEC4" w14:textId="77777777" w:rsidR="002B10A6" w:rsidRDefault="00000000">
      <w:pPr>
        <w:pStyle w:val="Normal24"/>
        <w:widowControl w:val="0"/>
        <w:spacing w:before="200" w:line="260" w:lineRule="atLeast"/>
        <w:jc w:val="both"/>
      </w:pPr>
      <w:bookmarkStart w:id="5463" w:name="Bookmark_para_15_19"/>
      <w:bookmarkStart w:id="5464" w:name="Bookmark_I61GV4632HM6WN0020000400"/>
      <w:bookmarkStart w:id="5465" w:name="Bookmark_I61GV4632HM6WN0040000400"/>
      <w:bookmarkStart w:id="5466" w:name="Bookmark_LNHNREFclscc1_20"/>
      <w:bookmarkEnd w:id="5463"/>
      <w:bookmarkEnd w:id="5464"/>
      <w:bookmarkEnd w:id="5465"/>
      <w:bookmarkEnd w:id="5466"/>
      <w:r>
        <w:rPr>
          <w:rFonts w:ascii="Arial" w:eastAsia="Arial" w:hAnsi="Arial" w:cs="Arial"/>
          <w:color w:val="000000"/>
          <w:sz w:val="20"/>
        </w:rPr>
        <w:t xml:space="preserve">"We review a district court's grant of summary judgment </w:t>
      </w:r>
      <w:r>
        <w:rPr>
          <w:rFonts w:ascii="Arial" w:eastAsia="Arial" w:hAnsi="Arial" w:cs="Arial"/>
          <w:i/>
          <w:color w:val="000000"/>
          <w:sz w:val="20"/>
        </w:rPr>
        <w:t>de novo</w:t>
      </w:r>
      <w:r>
        <w:rPr>
          <w:rFonts w:ascii="Arial" w:eastAsia="Arial" w:hAnsi="Arial" w:cs="Arial"/>
          <w:color w:val="000000"/>
          <w:sz w:val="20"/>
        </w:rPr>
        <w:t xml:space="preserve">, viewing all the evidence, and drawing all reasonable factual inferences, in favor of the nonmoving party." </w:t>
      </w:r>
      <w:bookmarkStart w:id="5467" w:name="Bookmark_I61GV4632HM6WN0010000400"/>
      <w:bookmarkEnd w:id="5467"/>
      <w:r>
        <w:rPr>
          <w:rFonts w:ascii="Arial" w:eastAsia="Arial" w:hAnsi="Arial" w:cs="Arial"/>
          <w:i/>
          <w:color w:val="000000"/>
          <w:sz w:val="20"/>
        </w:rPr>
        <w:t>Boyle v. City of Pell City</w:t>
      </w:r>
      <w:r>
        <w:rPr>
          <w:rFonts w:ascii="Arial" w:eastAsia="Arial" w:hAnsi="Arial" w:cs="Arial"/>
          <w:color w:val="000000"/>
          <w:sz w:val="20"/>
        </w:rPr>
        <w:t xml:space="preserve">, 866 F.3d 1280, 1288 (11th Cir. 2017). Summary judgment is appropriate "if the movant shows that there is no genuine dispute as to any material fact and the movant is entitled to judgment as a matter of law." Fed. R. Civ. P. 56(a). "A genuine issue of material fact does not exist unless there is sufficient evidence favoring the nonmoving party for a reasonable jury to return a verdict in its favor." </w:t>
      </w:r>
      <w:bookmarkStart w:id="5468" w:name="Bookmark_I61GV4632HM6WN0030000400"/>
      <w:bookmarkEnd w:id="5468"/>
      <w:r>
        <w:rPr>
          <w:rFonts w:ascii="Arial" w:eastAsia="Arial" w:hAnsi="Arial" w:cs="Arial"/>
          <w:i/>
          <w:color w:val="000000"/>
          <w:sz w:val="20"/>
        </w:rPr>
        <w:t>Chapman v. AI Transp.</w:t>
      </w:r>
      <w:r>
        <w:rPr>
          <w:rFonts w:ascii="Arial" w:eastAsia="Arial" w:hAnsi="Arial" w:cs="Arial"/>
          <w:color w:val="000000"/>
          <w:sz w:val="20"/>
        </w:rPr>
        <w:t xml:space="preserve">, 229 F.3d 1012, 1023 (11th Cir. 2000) (en banc) (quoting </w:t>
      </w:r>
      <w:bookmarkStart w:id="5469" w:name="Bookmark_I61GV4632HM6WN0050000400"/>
      <w:bookmarkEnd w:id="5469"/>
      <w:r>
        <w:rPr>
          <w:rFonts w:ascii="Arial" w:eastAsia="Arial" w:hAnsi="Arial" w:cs="Arial"/>
          <w:i/>
          <w:color w:val="000000"/>
          <w:sz w:val="20"/>
        </w:rPr>
        <w:t>Haves v. City of Miami</w:t>
      </w:r>
      <w:r>
        <w:rPr>
          <w:rFonts w:ascii="Arial" w:eastAsia="Arial" w:hAnsi="Arial" w:cs="Arial"/>
          <w:color w:val="000000"/>
          <w:sz w:val="20"/>
        </w:rPr>
        <w:t>, 52 F.3d 918, 921 (11th Cir. 1995)).</w:t>
      </w:r>
    </w:p>
    <w:p w14:paraId="75903B11" w14:textId="77777777" w:rsidR="002B10A6" w:rsidRDefault="00000000">
      <w:pPr>
        <w:pStyle w:val="Normal24"/>
        <w:widowControl w:val="0"/>
        <w:spacing w:before="200" w:line="260" w:lineRule="atLeast"/>
        <w:jc w:val="both"/>
      </w:pPr>
      <w:bookmarkStart w:id="5470" w:name="Bookmark_para_16_17"/>
      <w:bookmarkStart w:id="5471" w:name="Bookmark_I61GV4652SF7K60030000400"/>
      <w:bookmarkStart w:id="5472" w:name="Bookmark_LNHNREFclscc2_20"/>
      <w:bookmarkEnd w:id="5470"/>
      <w:bookmarkEnd w:id="5471"/>
      <w:bookmarkEnd w:id="5472"/>
      <w:r>
        <w:rPr>
          <w:rFonts w:ascii="Arial" w:eastAsia="Arial" w:hAnsi="Arial" w:cs="Arial"/>
          <w:color w:val="000000"/>
          <w:sz w:val="20"/>
        </w:rPr>
        <w:t xml:space="preserve">The ADA prohibits employment discrimination against a qualified individual on the basis of disability. 42 U.S.C. § 12112(a). To make out a prima facie case of discrimination in violation of the ADA, a plaintiff must show that "(1) he has a disability; (2) he is a qualified individual; and (3) he was subjected to unlawful discrimination because of his disability." </w:t>
      </w:r>
      <w:bookmarkStart w:id="5473" w:name="Bookmark_I61GV4652SF7K60020000400"/>
      <w:bookmarkEnd w:id="5473"/>
      <w:r>
        <w:rPr>
          <w:rFonts w:ascii="Arial" w:eastAsia="Arial" w:hAnsi="Arial" w:cs="Arial"/>
          <w:i/>
          <w:color w:val="000000"/>
          <w:sz w:val="20"/>
        </w:rPr>
        <w:t>Davis v. Fla. Power  [*893]  &amp; Light Co.</w:t>
      </w:r>
      <w:r>
        <w:rPr>
          <w:rFonts w:ascii="Arial" w:eastAsia="Arial" w:hAnsi="Arial" w:cs="Arial"/>
          <w:color w:val="000000"/>
          <w:sz w:val="20"/>
        </w:rPr>
        <w:t xml:space="preserve">, 205 F.3d 1301, 1305 (11th Cir. 2000). The ADA defines a "qualified individual" in the employment context as "an individual who, with or without reasonable accommodation, can perform the essential functions" of the relevant position. 42 U.S.C. § 12111(8). An employer unlawfully discriminates against a qualified individual on the basis of disability when the employer fails [**8]  to make "reasonable accommodations" for a disabled individual—unless the employer "can demonstrate that the accommodation would impose an undue hardship on the operation" of its business. </w:t>
      </w:r>
      <w:r>
        <w:rPr>
          <w:rFonts w:ascii="Arial" w:eastAsia="Arial" w:hAnsi="Arial" w:cs="Arial"/>
          <w:i/>
          <w:color w:val="000000"/>
          <w:sz w:val="20"/>
        </w:rPr>
        <w:t>Id.</w:t>
      </w:r>
      <w:r>
        <w:rPr>
          <w:rFonts w:ascii="Arial" w:eastAsia="Arial" w:hAnsi="Arial" w:cs="Arial"/>
          <w:color w:val="000000"/>
          <w:sz w:val="20"/>
        </w:rPr>
        <w:t xml:space="preserve"> § 12112(b)(5)(A).</w:t>
      </w:r>
    </w:p>
    <w:p w14:paraId="39370186" w14:textId="77777777" w:rsidR="002B10A6" w:rsidRDefault="00000000">
      <w:pPr>
        <w:pStyle w:val="Normal24"/>
        <w:widowControl w:val="0"/>
        <w:spacing w:before="200" w:line="260" w:lineRule="atLeast"/>
        <w:jc w:val="both"/>
      </w:pPr>
      <w:bookmarkStart w:id="5474" w:name="Bookmark_para_17_17"/>
      <w:bookmarkStart w:id="5475" w:name="Bookmark_I61GV4652SF7K60050000400"/>
      <w:bookmarkStart w:id="5476" w:name="Bookmark_LNHNREFclscc3_20"/>
      <w:bookmarkEnd w:id="5474"/>
      <w:bookmarkEnd w:id="5475"/>
      <w:bookmarkEnd w:id="5476"/>
      <w:r>
        <w:rPr>
          <w:rFonts w:ascii="Arial" w:eastAsia="Arial" w:hAnsi="Arial" w:cs="Arial"/>
          <w:color w:val="000000"/>
          <w:sz w:val="20"/>
        </w:rPr>
        <w:t xml:space="preserve">The employee bears the burden of identifying an accommodation and showing that it is reasonable. </w:t>
      </w:r>
      <w:bookmarkStart w:id="5477" w:name="Bookmark_I61GV4662HM6WV0020000400"/>
      <w:bookmarkStart w:id="5478" w:name="Bookmark_I61GV4652SF7K60040000400"/>
      <w:bookmarkEnd w:id="5477"/>
      <w:bookmarkEnd w:id="5478"/>
      <w:r>
        <w:rPr>
          <w:rFonts w:ascii="Arial" w:eastAsia="Arial" w:hAnsi="Arial" w:cs="Arial"/>
          <w:i/>
          <w:color w:val="000000"/>
          <w:sz w:val="20"/>
        </w:rPr>
        <w:t>Frazier-White v. Gee</w:t>
      </w:r>
      <w:r>
        <w:rPr>
          <w:rFonts w:ascii="Arial" w:eastAsia="Arial" w:hAnsi="Arial" w:cs="Arial"/>
          <w:color w:val="000000"/>
          <w:sz w:val="20"/>
        </w:rPr>
        <w:t xml:space="preserve">, 818 F.3d 1249, 1255 (11th Cir. 2016). </w:t>
      </w:r>
      <w:bookmarkStart w:id="5479" w:name="Bookmark_I2D92S9DVFK0000142R00009"/>
      <w:bookmarkStart w:id="5480" w:name="Bookmark_I61GV4662HM6WV0040000400"/>
      <w:bookmarkEnd w:id="5479"/>
      <w:bookmarkEnd w:id="5480"/>
      <w:r>
        <w:rPr>
          <w:rFonts w:ascii="Arial" w:eastAsia="Arial" w:hAnsi="Arial" w:cs="Arial"/>
          <w:color w:val="000000"/>
          <w:sz w:val="20"/>
        </w:rPr>
        <w:t xml:space="preserve">Once the plaintiff identifies a reasonable accommodation, however, the employer has the burden of persuasion regarding whether the accommodation would impose an undue hardship. </w:t>
      </w:r>
      <w:bookmarkStart w:id="5481" w:name="Bookmark_I61GV4662HM6WV0040000400_2"/>
      <w:bookmarkStart w:id="5482" w:name="Bookmark_I61GV4662HM6WV0020000400_2"/>
      <w:bookmarkStart w:id="5483" w:name="Bookmark_I61GV4662SF7K80010000400"/>
      <w:bookmarkStart w:id="5484" w:name="Bookmark_I61GV4662HM6WV0010000400"/>
      <w:bookmarkEnd w:id="5481"/>
      <w:bookmarkEnd w:id="5482"/>
      <w:bookmarkEnd w:id="5483"/>
      <w:bookmarkEnd w:id="5484"/>
      <w:r>
        <w:rPr>
          <w:rFonts w:ascii="Arial" w:eastAsia="Arial" w:hAnsi="Arial" w:cs="Arial"/>
          <w:i/>
          <w:color w:val="000000"/>
          <w:sz w:val="20"/>
        </w:rPr>
        <w:t>Holbrook v. City of Alpharetta</w:t>
      </w:r>
      <w:r>
        <w:rPr>
          <w:rFonts w:ascii="Arial" w:eastAsia="Arial" w:hAnsi="Arial" w:cs="Arial"/>
          <w:color w:val="000000"/>
          <w:sz w:val="20"/>
        </w:rPr>
        <w:t xml:space="preserve">, 112 F.3d 1522, 1526 (11th Cir. 1997). </w:t>
      </w:r>
      <w:bookmarkStart w:id="5485" w:name="Bookmark_I61GV4662SF7K80010000400_2"/>
      <w:bookmarkEnd w:id="5485"/>
      <w:r>
        <w:rPr>
          <w:rFonts w:ascii="Arial" w:eastAsia="Arial" w:hAnsi="Arial" w:cs="Arial"/>
          <w:color w:val="000000"/>
          <w:sz w:val="20"/>
        </w:rPr>
        <w:t xml:space="preserve">To meet its burden of proof, the employer "must show special (typically case-specific) circumstances that demonstrate undue hardship in the particular circumstances." </w:t>
      </w:r>
      <w:bookmarkStart w:id="5486" w:name="Bookmark_I61GV4662HM6WV0030000400"/>
      <w:bookmarkEnd w:id="5486"/>
      <w:r>
        <w:rPr>
          <w:rFonts w:ascii="Arial" w:eastAsia="Arial" w:hAnsi="Arial" w:cs="Arial"/>
          <w:i/>
          <w:color w:val="000000"/>
          <w:sz w:val="20"/>
        </w:rPr>
        <w:t>US Airways, Inc. v. Barnett</w:t>
      </w:r>
      <w:r>
        <w:rPr>
          <w:rFonts w:ascii="Arial" w:eastAsia="Arial" w:hAnsi="Arial" w:cs="Arial"/>
          <w:color w:val="000000"/>
          <w:sz w:val="20"/>
        </w:rPr>
        <w:t xml:space="preserve">, 535 U.S. 391, 402, 122 S. Ct. 1516, 152 L. Ed. 2d 589 (2002). </w:t>
      </w:r>
      <w:bookmarkStart w:id="5487" w:name="Bookmark_I61GV4662SF7K80010000400_3"/>
      <w:bookmarkEnd w:id="5487"/>
      <w:r>
        <w:rPr>
          <w:rFonts w:ascii="Arial" w:eastAsia="Arial" w:hAnsi="Arial" w:cs="Arial"/>
          <w:color w:val="000000"/>
          <w:sz w:val="20"/>
        </w:rPr>
        <w:t xml:space="preserve">Undue hardship "is a complete defense to ADA liability." </w:t>
      </w:r>
      <w:bookmarkStart w:id="5488" w:name="Bookmark_I61GV4662HM6WV0050000400"/>
      <w:bookmarkEnd w:id="5488"/>
      <w:r>
        <w:rPr>
          <w:rFonts w:ascii="Arial" w:eastAsia="Arial" w:hAnsi="Arial" w:cs="Arial"/>
          <w:i/>
          <w:color w:val="000000"/>
          <w:sz w:val="20"/>
        </w:rPr>
        <w:t>EEOC v. St. Joseph's Hosp. Inc.</w:t>
      </w:r>
      <w:r>
        <w:rPr>
          <w:rFonts w:ascii="Arial" w:eastAsia="Arial" w:hAnsi="Arial" w:cs="Arial"/>
          <w:color w:val="000000"/>
          <w:sz w:val="20"/>
        </w:rPr>
        <w:t>, 842 F.3d 1333, 1349 (11th Cir. 2016).</w:t>
      </w:r>
    </w:p>
    <w:p w14:paraId="0E423F62" w14:textId="77777777" w:rsidR="002B10A6" w:rsidRDefault="00000000">
      <w:pPr>
        <w:pStyle w:val="Normal24"/>
        <w:widowControl w:val="0"/>
        <w:spacing w:before="200" w:line="260" w:lineRule="atLeast"/>
        <w:jc w:val="both"/>
      </w:pPr>
      <w:bookmarkStart w:id="5489" w:name="Bookmark_para_18_17"/>
      <w:bookmarkStart w:id="5490" w:name="Bookmark_LNHNREFclscc4_20"/>
      <w:bookmarkEnd w:id="5489"/>
      <w:bookmarkEnd w:id="5490"/>
      <w:r>
        <w:rPr>
          <w:rFonts w:ascii="Arial" w:eastAsia="Arial" w:hAnsi="Arial" w:cs="Arial"/>
          <w:color w:val="000000"/>
          <w:sz w:val="20"/>
        </w:rPr>
        <w:t>The ADA defines "undue hardship" as "an action requiring significant difficulty or expense" when considered along with the following factors: (1) the nature and cost of the reasonable accommodation; (2) the overall financial resources and number of employees of the affected facility, and the effect that the reasonable accommodation would have on the facility's expenses and resources or other impacts on the operation of such facilities; (3) the employer's overall financial resources, number and type [**9]  of facilities, and number of employees; and (4) the type of operation run by the employer, "including the composition, structure, and functions of the workforce" as well as "the geographic separateness, administrative, or fiscal relationship of the facility or facilities in question" to the employer. 42 U.S.C. § 12111(10)(A)-(B).</w:t>
      </w:r>
    </w:p>
    <w:p w14:paraId="1E8653F1" w14:textId="77777777" w:rsidR="002B10A6" w:rsidRDefault="00000000">
      <w:pPr>
        <w:pStyle w:val="Normal24"/>
        <w:widowControl w:val="0"/>
        <w:spacing w:before="200" w:line="260" w:lineRule="atLeast"/>
        <w:jc w:val="both"/>
      </w:pPr>
      <w:bookmarkStart w:id="5491" w:name="Bookmark_para_19_16"/>
      <w:bookmarkEnd w:id="5491"/>
      <w:r>
        <w:rPr>
          <w:rFonts w:ascii="Arial" w:eastAsia="Arial" w:hAnsi="Arial" w:cs="Arial"/>
          <w:color w:val="000000"/>
          <w:sz w:val="20"/>
        </w:rPr>
        <w:t xml:space="preserve">Here, we find no error in the district court's conclusion that Columbus met its burden of showing that Davis's requested nine-week leave of absence would cause "significant difficulty or expense," given the undisputed evidence regarding the size of the relevant workforce and the number of bus routes, the negative impact of Davis's absence on the city's other bus operators, the difficulty of scheduling operators to cover its bus routes while holding open Davis's position, the cost of overtime pay, and the expected loss of trained and experienced personnel as a result of forced overtime. Davis has never contested any of this evidence, but argues that the district court should have required Columbus to provide additional "particularized facts" showing the actual, rather than projected, costs of his requested nine-week leave. As an example, Davis argues that Columbus could have provided a [**10]  "roster evidencing employees they were forced to train and hire" during Davis's 12-week FMLA leave. </w:t>
      </w:r>
      <w:bookmarkStart w:id="5492" w:name="Bookmark_LNHNREFclscc5_20"/>
      <w:bookmarkEnd w:id="5492"/>
      <w:r>
        <w:rPr>
          <w:rFonts w:ascii="Arial" w:eastAsia="Arial" w:hAnsi="Arial" w:cs="Arial"/>
          <w:color w:val="000000"/>
          <w:sz w:val="20"/>
        </w:rPr>
        <w:t>But the law does not require employers to gauge the potential impact of a requested accommodation on its operations with that level of specificity or certainty.</w:t>
      </w:r>
    </w:p>
    <w:p w14:paraId="224F0704" w14:textId="77777777" w:rsidR="002B10A6" w:rsidRDefault="00000000">
      <w:pPr>
        <w:pStyle w:val="Normal24"/>
        <w:widowControl w:val="0"/>
        <w:spacing w:before="200" w:line="260" w:lineRule="atLeast"/>
        <w:jc w:val="both"/>
      </w:pPr>
      <w:bookmarkStart w:id="5493" w:name="Bookmark_para_20_16"/>
      <w:bookmarkStart w:id="5494" w:name="Bookmark_I61GV4662SF7K80030000400"/>
      <w:bookmarkStart w:id="5495" w:name="Bookmark_LNHNREFclscc6_18"/>
      <w:bookmarkEnd w:id="5493"/>
      <w:bookmarkEnd w:id="5494"/>
      <w:bookmarkEnd w:id="5495"/>
      <w:r>
        <w:rPr>
          <w:rFonts w:ascii="Arial" w:eastAsia="Arial" w:hAnsi="Arial" w:cs="Arial"/>
          <w:color w:val="000000"/>
          <w:sz w:val="20"/>
        </w:rPr>
        <w:t xml:space="preserve">While the "undue hardship" inquiry is more particularized than the question of whether a proposed accommodation is reasonable, this means only that the impact of the employee's proposed accommodation must be assessed "in the context of the particular [employer's] operations." </w:t>
      </w:r>
      <w:bookmarkStart w:id="5496" w:name="Bookmark_I61GV4662SF7K80020000400"/>
      <w:bookmarkEnd w:id="5496"/>
      <w:r>
        <w:rPr>
          <w:rFonts w:ascii="Arial" w:eastAsia="Arial" w:hAnsi="Arial" w:cs="Arial"/>
          <w:i/>
          <w:color w:val="000000"/>
          <w:sz w:val="20"/>
        </w:rPr>
        <w:t>Willis v. Conopco, Inc.</w:t>
      </w:r>
      <w:r>
        <w:rPr>
          <w:rFonts w:ascii="Arial" w:eastAsia="Arial" w:hAnsi="Arial" w:cs="Arial"/>
          <w:color w:val="000000"/>
          <w:sz w:val="20"/>
        </w:rPr>
        <w:t xml:space="preserve">, 108 F.3d 282, 286 n.2  [*894]  (11th Cir. 1997) (quoting </w:t>
      </w:r>
      <w:bookmarkStart w:id="5497" w:name="Bookmark_I61GV4662SF7K80040000400"/>
      <w:bookmarkEnd w:id="5497"/>
      <w:r>
        <w:rPr>
          <w:rFonts w:ascii="Arial" w:eastAsia="Arial" w:hAnsi="Arial" w:cs="Arial"/>
          <w:i/>
          <w:color w:val="000000"/>
          <w:sz w:val="20"/>
        </w:rPr>
        <w:t>Barth v. Gelb</w:t>
      </w:r>
      <w:r>
        <w:rPr>
          <w:rFonts w:ascii="Arial" w:eastAsia="Arial" w:hAnsi="Arial" w:cs="Arial"/>
          <w:color w:val="000000"/>
          <w:sz w:val="20"/>
        </w:rPr>
        <w:t>, 2 F.3d 1180, 1187, 303 U.S. App. D.C. 211 (D.C. Cir. 1993)). Demonstrating that a proposed accommodation "would impose an undue hardship," 42 U.S.C.A. § 12112(b)(5)(A), necessarily entails a projection of the potential costs and other impacts of a hypothetical change to the employer's operations; such an exercise usually does not permit the level of precision that Davis advocates. Columbus presented uncontested evidence showing that the extended absence of one of its bus drivers would cause "significant difficulty or expense" in the operation of its public transportation service. 42 U.S.C. § 12111(10)(A). The ADA does not require more. Accordingly, we affirm the entry of summary judgment in Columbus's favor.</w:t>
      </w:r>
    </w:p>
    <w:p w14:paraId="4CCCDC59" w14:textId="77777777" w:rsidR="002B10A6" w:rsidRDefault="00000000">
      <w:pPr>
        <w:pStyle w:val="Normal24"/>
        <w:widowControl w:val="0"/>
        <w:spacing w:before="200" w:line="260" w:lineRule="atLeast"/>
        <w:jc w:val="both"/>
      </w:pPr>
      <w:bookmarkStart w:id="5498" w:name="Bookmark_para_21_16"/>
      <w:bookmarkEnd w:id="5498"/>
      <w:r>
        <w:rPr>
          <w:rFonts w:ascii="Arial" w:eastAsia="Arial" w:hAnsi="Arial" w:cs="Arial"/>
          <w:b/>
          <w:color w:val="000000"/>
          <w:sz w:val="20"/>
        </w:rPr>
        <w:t>AFFIRMED</w:t>
      </w:r>
      <w:r>
        <w:rPr>
          <w:rFonts w:ascii="Arial" w:eastAsia="Arial" w:hAnsi="Arial" w:cs="Arial"/>
          <w:color w:val="000000"/>
          <w:sz w:val="20"/>
        </w:rPr>
        <w:t>.</w:t>
      </w:r>
    </w:p>
    <w:p w14:paraId="6A2E2F80" w14:textId="77777777" w:rsidR="002B10A6" w:rsidRDefault="002B10A6">
      <w:pPr>
        <w:pStyle w:val="Normal24"/>
      </w:pPr>
    </w:p>
    <w:p w14:paraId="08E1344B" w14:textId="735F9A1D" w:rsidR="002B10A6" w:rsidRDefault="00000000">
      <w:pPr>
        <w:pStyle w:val="Normal24"/>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12512" behindDoc="0" locked="0" layoutInCell="1" allowOverlap="1" wp14:anchorId="64556C48" wp14:editId="6F8F9BF9">
                <wp:simplePos x="0" y="0"/>
                <wp:positionH relativeFrom="column">
                  <wp:posOffset>0</wp:posOffset>
                </wp:positionH>
                <wp:positionV relativeFrom="paragraph">
                  <wp:posOffset>127000</wp:posOffset>
                </wp:positionV>
                <wp:extent cx="6502400" cy="0"/>
                <wp:effectExtent l="9525" t="12700" r="12700" b="6350"/>
                <wp:wrapNone/>
                <wp:docPr id="1779991267"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AA884" id="Line 54"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29FDF36" w14:textId="77777777" w:rsidR="002B10A6" w:rsidRDefault="002B10A6">
      <w:pPr>
        <w:pStyle w:val="Normal25"/>
        <w:sectPr w:rsidR="002B10A6">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gutter="0"/>
          <w:cols w:space="720"/>
          <w:titlePg/>
        </w:sectPr>
      </w:pPr>
    </w:p>
    <w:p w14:paraId="0A42FCC7" w14:textId="77777777" w:rsidR="002B10A6" w:rsidRDefault="002B10A6">
      <w:pPr>
        <w:pStyle w:val="Normal25"/>
      </w:pPr>
    </w:p>
    <w:p w14:paraId="46E80FD2" w14:textId="77777777" w:rsidR="002B10A6" w:rsidRDefault="00000000">
      <w:pPr>
        <w:pStyle w:val="Heading124"/>
        <w:keepNext w:val="0"/>
        <w:widowControl w:val="0"/>
        <w:spacing w:after="200" w:line="340" w:lineRule="atLeast"/>
        <w:jc w:val="center"/>
      </w:pPr>
      <w:r>
        <w:rPr>
          <w:rFonts w:eastAsia="Arial"/>
          <w:color w:val="000000"/>
          <w:sz w:val="28"/>
        </w:rPr>
        <w:t>Aubrey v. Koppes</w:t>
      </w:r>
    </w:p>
    <w:p w14:paraId="4FB3C79A" w14:textId="77777777" w:rsidR="002B10A6" w:rsidRDefault="00000000">
      <w:pPr>
        <w:pStyle w:val="Normal25"/>
        <w:widowControl w:val="0"/>
        <w:spacing w:before="120" w:line="260" w:lineRule="atLeast"/>
        <w:jc w:val="center"/>
      </w:pPr>
      <w:r>
        <w:rPr>
          <w:rFonts w:ascii="Arial" w:eastAsia="Arial" w:hAnsi="Arial" w:cs="Arial"/>
          <w:color w:val="000000"/>
          <w:sz w:val="20"/>
        </w:rPr>
        <w:t>United States Court of Appeals for the Tenth Circuit</w:t>
      </w:r>
    </w:p>
    <w:p w14:paraId="3EFD3065" w14:textId="77777777" w:rsidR="002B10A6" w:rsidRDefault="00000000">
      <w:pPr>
        <w:pStyle w:val="Normal25"/>
        <w:widowControl w:val="0"/>
        <w:spacing w:before="120" w:line="260" w:lineRule="atLeast"/>
        <w:jc w:val="center"/>
      </w:pPr>
      <w:r>
        <w:rPr>
          <w:rFonts w:ascii="Arial" w:eastAsia="Arial" w:hAnsi="Arial" w:cs="Arial"/>
          <w:color w:val="000000"/>
          <w:sz w:val="20"/>
        </w:rPr>
        <w:t>September 18, 2020, Filed</w:t>
      </w:r>
    </w:p>
    <w:p w14:paraId="1236572E" w14:textId="77777777" w:rsidR="002B10A6" w:rsidRDefault="00000000">
      <w:pPr>
        <w:pStyle w:val="Normal25"/>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19-1153</w:t>
      </w:r>
    </w:p>
    <w:p w14:paraId="49BB33F0" w14:textId="77777777" w:rsidR="002B10A6" w:rsidRDefault="002B10A6">
      <w:pPr>
        <w:pStyle w:val="Normal25"/>
        <w:widowControl w:val="0"/>
        <w:spacing w:line="240" w:lineRule="atLeast"/>
        <w:jc w:val="both"/>
      </w:pPr>
      <w:bookmarkStart w:id="5499" w:name="Bookmark_26"/>
      <w:bookmarkEnd w:id="5499"/>
    </w:p>
    <w:p w14:paraId="2DC448D1" w14:textId="77777777" w:rsidR="002B10A6" w:rsidRDefault="00000000">
      <w:pPr>
        <w:pStyle w:val="Normal25"/>
        <w:widowControl w:val="0"/>
        <w:spacing w:before="200" w:line="240" w:lineRule="atLeast"/>
      </w:pPr>
      <w:bookmarkStart w:id="5500" w:name="Reporter_24"/>
      <w:bookmarkEnd w:id="5500"/>
      <w:r>
        <w:rPr>
          <w:rFonts w:ascii="Arial" w:eastAsia="Arial" w:hAnsi="Arial" w:cs="Arial"/>
          <w:b/>
          <w:color w:val="000000"/>
          <w:sz w:val="18"/>
        </w:rPr>
        <w:t>Reporter</w:t>
      </w:r>
    </w:p>
    <w:p w14:paraId="5E2A5077" w14:textId="77777777" w:rsidR="002B10A6" w:rsidRDefault="00000000">
      <w:pPr>
        <w:pStyle w:val="Normal25"/>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975 F.3d 995 *; 2020 U.S. App. LEXIS 29891 **; 19 Accom. Disabilities Dec. (CCH) P19-106; 2020 WL 5583649</w:t>
      </w:r>
    </w:p>
    <w:p w14:paraId="185DDD91" w14:textId="77777777" w:rsidR="002B10A6" w:rsidRDefault="00000000">
      <w:pPr>
        <w:pStyle w:val="Normal25"/>
        <w:widowControl w:val="0"/>
        <w:spacing w:before="120" w:line="260" w:lineRule="atLeast"/>
      </w:pPr>
      <w:r>
        <w:rPr>
          <w:rFonts w:ascii="Arial" w:eastAsia="Arial" w:hAnsi="Arial" w:cs="Arial"/>
          <w:color w:val="000000"/>
          <w:sz w:val="20"/>
        </w:rPr>
        <w:t>KIMBERLY AUBREY, Plaintiff - Appellant, v. CARLY KOPPES, as Weld County Clerk and Recorder; WELD COUNTY BOARD OF COUNTY COMMISSIONERS, Defendants - Appellees.</w:t>
      </w:r>
    </w:p>
    <w:p w14:paraId="6409D293" w14:textId="77777777" w:rsidR="002B10A6" w:rsidRDefault="00000000">
      <w:pPr>
        <w:pStyle w:val="Normal25"/>
        <w:widowControl w:val="0"/>
        <w:spacing w:before="240" w:line="260" w:lineRule="atLeast"/>
        <w:jc w:val="both"/>
      </w:pPr>
      <w:bookmarkStart w:id="5501" w:name="Prior_History_24"/>
      <w:bookmarkEnd w:id="5501"/>
      <w:r>
        <w:rPr>
          <w:rFonts w:ascii="Arial" w:eastAsia="Arial" w:hAnsi="Arial" w:cs="Arial"/>
          <w:b/>
          <w:color w:val="000000"/>
          <w:sz w:val="20"/>
        </w:rPr>
        <w:t>Prior History:</w:t>
      </w:r>
      <w:r>
        <w:rPr>
          <w:rFonts w:ascii="Arial" w:eastAsia="Arial" w:hAnsi="Arial" w:cs="Arial"/>
          <w:color w:val="000000"/>
          <w:sz w:val="20"/>
        </w:rPr>
        <w:t> </w:t>
      </w:r>
      <w:bookmarkStart w:id="5502" w:name="Bookmark_para_1_24"/>
      <w:bookmarkEnd w:id="5502"/>
      <w:r>
        <w:rPr>
          <w:rFonts w:ascii="Arial" w:eastAsia="Arial" w:hAnsi="Arial" w:cs="Arial"/>
          <w:color w:val="000000"/>
          <w:sz w:val="20"/>
        </w:rPr>
        <w:t> [**1] Appeal from the United States District Court for the District of Colorado. (D.C. No. 1:17-CV-01501-RM-SKC).</w:t>
      </w:r>
    </w:p>
    <w:p w14:paraId="67E03581" w14:textId="77777777" w:rsidR="002B10A6" w:rsidRDefault="00000000">
      <w:pPr>
        <w:pStyle w:val="Normal25"/>
        <w:widowControl w:val="0"/>
        <w:spacing w:before="120" w:line="260" w:lineRule="atLeast"/>
      </w:pPr>
      <w:r>
        <w:rPr>
          <w:rFonts w:ascii="Arial" w:eastAsia="Arial" w:hAnsi="Arial" w:cs="Arial"/>
          <w:color w:val="000000"/>
          <w:sz w:val="20"/>
        </w:rPr>
        <w:t>Aubrey v. Koppes, 383 F. Supp. 3d 1203, 2019 U.S. Dist. LEXIS 66096, 2019 WL 1651843 (D. Colo., Apr. 17, 2019)</w:t>
      </w:r>
    </w:p>
    <w:p w14:paraId="1F71897B" w14:textId="77777777" w:rsidR="002B10A6" w:rsidRDefault="00000000">
      <w:pPr>
        <w:pStyle w:val="Normal25"/>
        <w:widowControl w:val="0"/>
        <w:spacing w:before="240" w:line="260" w:lineRule="atLeast"/>
      </w:pPr>
      <w:bookmarkStart w:id="5503" w:name="Counsel_24"/>
      <w:bookmarkEnd w:id="5503"/>
      <w:r>
        <w:rPr>
          <w:rFonts w:ascii="Arial" w:eastAsia="Arial" w:hAnsi="Arial" w:cs="Arial"/>
          <w:b/>
          <w:color w:val="000000"/>
          <w:sz w:val="20"/>
        </w:rPr>
        <w:t>Counsel:</w:t>
      </w:r>
      <w:r>
        <w:rPr>
          <w:rFonts w:ascii="Arial" w:eastAsia="Arial" w:hAnsi="Arial" w:cs="Arial"/>
          <w:color w:val="000000"/>
          <w:sz w:val="20"/>
        </w:rPr>
        <w:t> Jennifer Robinson, Robinson and Associates Law Office, LLC, Denver, Colorado, for Plaintiff-Appellant.</w:t>
      </w:r>
    </w:p>
    <w:p w14:paraId="61B3F193" w14:textId="77777777" w:rsidR="002B10A6" w:rsidRDefault="00000000">
      <w:pPr>
        <w:pStyle w:val="Normal25"/>
        <w:widowControl w:val="0"/>
        <w:spacing w:before="120" w:line="260" w:lineRule="atLeast"/>
      </w:pPr>
      <w:r>
        <w:rPr>
          <w:rFonts w:ascii="Arial" w:eastAsia="Arial" w:hAnsi="Arial" w:cs="Arial"/>
          <w:color w:val="000000"/>
          <w:sz w:val="20"/>
        </w:rPr>
        <w:t>Alan Epstein (Mark S. Ratner and Kendra K. Smith, with him on the brief), Hall &amp; Evans, L.L.C., Denver, Colorado for Defendants-Appellees.</w:t>
      </w:r>
    </w:p>
    <w:p w14:paraId="4F476F97" w14:textId="77777777" w:rsidR="002B10A6" w:rsidRDefault="00000000">
      <w:pPr>
        <w:pStyle w:val="Normal25"/>
        <w:widowControl w:val="0"/>
        <w:spacing w:before="240" w:line="260" w:lineRule="atLeast"/>
      </w:pPr>
      <w:bookmarkStart w:id="5504" w:name="Judges_24"/>
      <w:bookmarkEnd w:id="5504"/>
      <w:r>
        <w:rPr>
          <w:rFonts w:ascii="Arial" w:eastAsia="Arial" w:hAnsi="Arial" w:cs="Arial"/>
          <w:b/>
          <w:color w:val="000000"/>
          <w:sz w:val="20"/>
        </w:rPr>
        <w:t>Judges:</w:t>
      </w:r>
      <w:r>
        <w:rPr>
          <w:rFonts w:ascii="Arial" w:eastAsia="Arial" w:hAnsi="Arial" w:cs="Arial"/>
          <w:color w:val="000000"/>
          <w:sz w:val="20"/>
        </w:rPr>
        <w:t> Before CARSON, BALDOCK, and EBEL, Circuit Judges.</w:t>
      </w:r>
    </w:p>
    <w:p w14:paraId="0290CFDF" w14:textId="77777777" w:rsidR="002B10A6" w:rsidRDefault="00000000">
      <w:pPr>
        <w:pStyle w:val="Normal25"/>
        <w:widowControl w:val="0"/>
        <w:spacing w:before="240" w:line="260" w:lineRule="atLeast"/>
      </w:pPr>
      <w:bookmarkStart w:id="5505" w:name="Opinion_by_18"/>
      <w:bookmarkEnd w:id="5505"/>
      <w:r>
        <w:rPr>
          <w:rFonts w:ascii="Arial" w:eastAsia="Arial" w:hAnsi="Arial" w:cs="Arial"/>
          <w:b/>
          <w:color w:val="000000"/>
          <w:sz w:val="20"/>
        </w:rPr>
        <w:t>Opinion by:</w:t>
      </w:r>
      <w:r>
        <w:rPr>
          <w:rFonts w:ascii="Arial" w:eastAsia="Arial" w:hAnsi="Arial" w:cs="Arial"/>
          <w:color w:val="000000"/>
          <w:sz w:val="20"/>
        </w:rPr>
        <w:t> EBEL</w:t>
      </w:r>
    </w:p>
    <w:p w14:paraId="08835397" w14:textId="77777777" w:rsidR="002B10A6" w:rsidRDefault="00000000">
      <w:pPr>
        <w:pStyle w:val="Normal25"/>
        <w:keepNext/>
        <w:widowControl w:val="0"/>
        <w:spacing w:before="240" w:line="340" w:lineRule="atLeast"/>
      </w:pPr>
      <w:bookmarkStart w:id="5506" w:name="Opinion_24"/>
      <w:bookmarkEnd w:id="5506"/>
      <w:r>
        <w:rPr>
          <w:rFonts w:ascii="Arial" w:eastAsia="Arial" w:hAnsi="Arial" w:cs="Arial"/>
          <w:b/>
          <w:color w:val="000000"/>
          <w:sz w:val="28"/>
        </w:rPr>
        <w:t>Opinion</w:t>
      </w:r>
    </w:p>
    <w:p w14:paraId="312A7677" w14:textId="285A79B1" w:rsidR="002B10A6" w:rsidRDefault="002D6974">
      <w:pPr>
        <w:pStyle w:val="Normal25"/>
        <w:spacing w:line="60" w:lineRule="exact"/>
      </w:pPr>
      <w:r>
        <w:rPr>
          <w:noProof/>
        </w:rPr>
        <mc:AlternateContent>
          <mc:Choice Requires="wps">
            <w:drawing>
              <wp:anchor distT="0" distB="0" distL="114300" distR="114300" simplePos="0" relativeHeight="251713536" behindDoc="0" locked="0" layoutInCell="1" allowOverlap="1" wp14:anchorId="3C27EB4F" wp14:editId="6F0B8782">
                <wp:simplePos x="0" y="0"/>
                <wp:positionH relativeFrom="column">
                  <wp:posOffset>0</wp:posOffset>
                </wp:positionH>
                <wp:positionV relativeFrom="paragraph">
                  <wp:posOffset>25400</wp:posOffset>
                </wp:positionV>
                <wp:extent cx="3187700" cy="0"/>
                <wp:effectExtent l="19050" t="15875" r="12700" b="12700"/>
                <wp:wrapTopAndBottom/>
                <wp:docPr id="1739300907"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2C88C" id="Line 55"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50F7CF3" w14:textId="77777777" w:rsidR="002B10A6" w:rsidRDefault="002B10A6">
      <w:pPr>
        <w:pStyle w:val="Normal25"/>
      </w:pPr>
    </w:p>
    <w:p w14:paraId="7E395D0A" w14:textId="77777777" w:rsidR="002B10A6" w:rsidRDefault="00000000">
      <w:pPr>
        <w:pStyle w:val="Normal25"/>
        <w:widowControl w:val="0"/>
        <w:spacing w:before="200" w:line="260" w:lineRule="atLeast"/>
        <w:jc w:val="both"/>
      </w:pPr>
      <w:bookmarkStart w:id="5507" w:name="Bookmark_para_2_24"/>
      <w:bookmarkEnd w:id="5507"/>
      <w:r>
        <w:rPr>
          <w:rFonts w:ascii="Arial" w:eastAsia="Arial" w:hAnsi="Arial" w:cs="Arial"/>
          <w:color w:val="000000"/>
          <w:sz w:val="20"/>
        </w:rPr>
        <w:t xml:space="preserve"> [*1000]  </w:t>
      </w:r>
      <w:r>
        <w:rPr>
          <w:rFonts w:ascii="Arial" w:eastAsia="Arial" w:hAnsi="Arial" w:cs="Arial"/>
          <w:b/>
          <w:color w:val="000000"/>
          <w:sz w:val="20"/>
        </w:rPr>
        <w:t>EBEL</w:t>
      </w:r>
      <w:r>
        <w:rPr>
          <w:rFonts w:ascii="Arial" w:eastAsia="Arial" w:hAnsi="Arial" w:cs="Arial"/>
          <w:color w:val="000000"/>
          <w:sz w:val="20"/>
        </w:rPr>
        <w:t>, Circuit Judge.</w:t>
      </w:r>
    </w:p>
    <w:p w14:paraId="79B33A39" w14:textId="77777777" w:rsidR="002B10A6" w:rsidRDefault="00000000">
      <w:pPr>
        <w:pStyle w:val="Normal25"/>
        <w:widowControl w:val="0"/>
        <w:spacing w:before="200" w:line="260" w:lineRule="atLeast"/>
        <w:jc w:val="both"/>
      </w:pPr>
      <w:bookmarkStart w:id="5508" w:name="Bookmark_para_3_24"/>
      <w:bookmarkEnd w:id="5508"/>
      <w:r>
        <w:rPr>
          <w:rFonts w:ascii="Arial" w:eastAsia="Arial" w:hAnsi="Arial" w:cs="Arial"/>
          <w:color w:val="000000"/>
          <w:sz w:val="20"/>
        </w:rPr>
        <w:t xml:space="preserve">Plaintiff Kimberly Aubrey was, by all accounts, an exemplary employee for the Weld County, Colorado, Clerk and Recorder's office. She became unable to work for a time due to posterior reversible encephalopathy syndrome ("PRES"), a rare condition characterized by fluctuating blood pressure that causes swelling in the brain, coma and sometimes death. Eventually Aubrey's PRES resolved and she began to recover. The County allowed her to take several months off but eventually terminated her employment. By that time, Aubrey contends, she had recovered sufficiently to be able to return to her job, with reasonable accommodation for her disability. </w:t>
      </w:r>
      <w:bookmarkStart w:id="5509" w:name="Bookmark_4JT45787TP00001C2M00001"/>
      <w:bookmarkEnd w:id="5509"/>
      <w:r>
        <w:rPr>
          <w:rFonts w:ascii="Arial" w:eastAsia="Arial" w:hAnsi="Arial" w:cs="Arial"/>
          <w:color w:val="000000"/>
          <w:sz w:val="20"/>
        </w:rPr>
        <w:t>Aubrey sued the County under the Americans with Disabilities Act ("ADA"), and several related statutes. The district court granted the [**2]  County summary judgment on all claims. Having jurisdiction under 28 U.S.C. § 1291, we REVERSE in part. Aubrey presented sufficient evidence that a jury could find that the County failed to engage in the collaborative interactive process that the ADA calls for between an employer and an employee in order to determine whether there is a reasonable accommodation that would have permitted Aubrey to perform the essential functions of her job. In light of that evidence, Aubrey's failure-to-accommodate and disability discrimination claims were sufficient to survive summary judgment. We, therefore, REVERSE summary judgment for the County on those claims and REMAND them to the district court for a trial. But we AFFIRM summary judgment for the County on Aubrey's retaliation claims because she failed to present sufficient evidence for a reasonable jury to find that the County terminated her employment in retaliation for her asking for an accommodation.</w:t>
      </w:r>
    </w:p>
    <w:p w14:paraId="6BCD84A1" w14:textId="77777777" w:rsidR="002B10A6" w:rsidRDefault="00000000">
      <w:pPr>
        <w:pStyle w:val="Normal25"/>
        <w:widowControl w:val="0"/>
        <w:spacing w:before="240" w:line="260" w:lineRule="atLeast"/>
      </w:pPr>
      <w:r>
        <w:br/>
      </w:r>
      <w:r>
        <w:rPr>
          <w:rFonts w:ascii="Arial" w:eastAsia="Arial" w:hAnsi="Arial" w:cs="Arial"/>
          <w:b/>
          <w:color w:val="000000"/>
          <w:sz w:val="20"/>
        </w:rPr>
        <w:t>I. BACKGROUND</w:t>
      </w:r>
    </w:p>
    <w:p w14:paraId="4666124B" w14:textId="77777777" w:rsidR="002B10A6" w:rsidRDefault="00000000">
      <w:pPr>
        <w:pStyle w:val="Normal25"/>
        <w:widowControl w:val="0"/>
        <w:spacing w:before="200" w:line="260" w:lineRule="atLeast"/>
        <w:jc w:val="both"/>
      </w:pPr>
      <w:bookmarkStart w:id="5510" w:name="Bookmark_para_4_24"/>
      <w:bookmarkStart w:id="5511" w:name="Bookmark_I61HP1PT2SF7S40020000400"/>
      <w:bookmarkStart w:id="5512" w:name="Bookmark_LNHNREFclscc1_21"/>
      <w:bookmarkEnd w:id="5510"/>
      <w:bookmarkEnd w:id="5511"/>
      <w:bookmarkEnd w:id="5512"/>
      <w:r>
        <w:rPr>
          <w:rFonts w:ascii="Arial" w:eastAsia="Arial" w:hAnsi="Arial" w:cs="Arial"/>
          <w:color w:val="000000"/>
          <w:sz w:val="20"/>
        </w:rPr>
        <w:t xml:space="preserve">We view the evidence in the light most favorable to Aubrey and draw all reasonable inferences from those facts in her favor. </w:t>
      </w:r>
      <w:r>
        <w:rPr>
          <w:rFonts w:ascii="Arial" w:eastAsia="Arial" w:hAnsi="Arial" w:cs="Arial"/>
          <w:color w:val="000000"/>
          <w:sz w:val="20"/>
          <w:u w:val="single"/>
        </w:rPr>
        <w:t xml:space="preserve">See </w:t>
      </w:r>
      <w:bookmarkStart w:id="5513" w:name="Bookmark_I61HP1PT2SF7S40010000400"/>
      <w:bookmarkEnd w:id="5513"/>
      <w:r>
        <w:rPr>
          <w:rFonts w:ascii="Arial" w:eastAsia="Arial" w:hAnsi="Arial" w:cs="Arial"/>
          <w:color w:val="000000"/>
          <w:sz w:val="20"/>
          <w:u w:val="single"/>
        </w:rPr>
        <w:t>Doe v. Univ. of Denver</w:t>
      </w:r>
      <w:r>
        <w:rPr>
          <w:rFonts w:ascii="Arial" w:eastAsia="Arial" w:hAnsi="Arial" w:cs="Arial"/>
          <w:color w:val="000000"/>
          <w:sz w:val="20"/>
        </w:rPr>
        <w:t>, 952 F.3d 1182, 1189 (10th Cir. 2020). The Clerk and Recorder's office has three divisions: motor vehicles, recordings, and elections. The motor vehicles division, [**3]  in particular, is fast-paced and involves high stress because of the number of customers that division sees daily.</w:t>
      </w:r>
    </w:p>
    <w:p w14:paraId="54D8A02F" w14:textId="77777777" w:rsidR="002B10A6" w:rsidRDefault="00000000">
      <w:pPr>
        <w:pStyle w:val="Normal25"/>
        <w:widowControl w:val="0"/>
        <w:spacing w:before="200" w:line="260" w:lineRule="atLeast"/>
        <w:jc w:val="both"/>
      </w:pPr>
      <w:bookmarkStart w:id="5514" w:name="Bookmark_para_5_24"/>
      <w:bookmarkEnd w:id="5514"/>
      <w:r>
        <w:rPr>
          <w:rFonts w:ascii="Arial" w:eastAsia="Arial" w:hAnsi="Arial" w:cs="Arial"/>
          <w:color w:val="000000"/>
          <w:sz w:val="20"/>
        </w:rPr>
        <w:t> [*1001]  In June 2012, Weld County hired Aubrey for an Office Tech II position in the motor vehicles division and six months later promoted her to Office Tech III. Aubrey later applied and was selected for a position in the recordings department, where her duties included examining and analyzing legal documents for land record recordings, assessing and collecting fees, issuing marriage licenses and civil union certificates, and assisting the public over the telephone and computer and in writing. Aubrey was then temporarily assigned to the elections division for almost a year. Her work performance in these various positions was, by all accounts, exemplary.</w:t>
      </w:r>
    </w:p>
    <w:p w14:paraId="15861C38" w14:textId="77777777" w:rsidR="002B10A6" w:rsidRDefault="00000000">
      <w:pPr>
        <w:pStyle w:val="Normal25"/>
        <w:widowControl w:val="0"/>
        <w:spacing w:before="200" w:line="260" w:lineRule="atLeast"/>
        <w:jc w:val="both"/>
      </w:pPr>
      <w:bookmarkStart w:id="5515" w:name="Bookmark_para_6_24"/>
      <w:bookmarkEnd w:id="5515"/>
      <w:r>
        <w:rPr>
          <w:rFonts w:ascii="Arial" w:eastAsia="Arial" w:hAnsi="Arial" w:cs="Arial"/>
          <w:color w:val="000000"/>
          <w:sz w:val="20"/>
        </w:rPr>
        <w:t>As Aubrey was completing her temporary assignment in the elections division, she became unable to work in December 2014 because of PRES. Aubrey suffered severe tremors, seizures, and fell into a coma. Her functional capacity became severely limited. As her condition worsened, Aubrey was hospitalized for two weeks, beginning January 10, 2015, and then she was transferred to a long-term rehabilitation hospital where she stayed from [**4]  January 29 until mid-February 2015. Eventually her PRES resolved and Aubrey began to recover. She underwent speech and occupational therapy, and continued to see several doctors.</w:t>
      </w:r>
    </w:p>
    <w:p w14:paraId="54F54E75" w14:textId="77777777" w:rsidR="002B10A6" w:rsidRDefault="00000000">
      <w:pPr>
        <w:pStyle w:val="Normal25"/>
        <w:widowControl w:val="0"/>
        <w:spacing w:before="200" w:line="260" w:lineRule="atLeast"/>
        <w:jc w:val="both"/>
      </w:pPr>
      <w:bookmarkStart w:id="5516" w:name="Bookmark_para_7_24"/>
      <w:bookmarkEnd w:id="5516"/>
      <w:r>
        <w:rPr>
          <w:rFonts w:ascii="Arial" w:eastAsia="Arial" w:hAnsi="Arial" w:cs="Arial"/>
          <w:color w:val="000000"/>
          <w:sz w:val="20"/>
        </w:rPr>
        <w:t>During January, February and early March 2015, several of Aubrey's doctors indicated that she would not be able to return to work for approximately six months, until July 31 or August 1, 2015. One doctor explained that, in January 2015, she estimated that Aubrey would be able to return to work by August 1 because "most people get better in six months." (Aplt. App. 275.) But as the spring progressed, Aubrey recovered faster than expected.</w:t>
      </w:r>
    </w:p>
    <w:p w14:paraId="61CFCE98" w14:textId="77777777" w:rsidR="002B10A6" w:rsidRDefault="00000000">
      <w:pPr>
        <w:pStyle w:val="Normal25"/>
        <w:widowControl w:val="0"/>
        <w:spacing w:before="200" w:line="260" w:lineRule="atLeast"/>
        <w:jc w:val="both"/>
      </w:pPr>
      <w:bookmarkStart w:id="5517" w:name="Bookmark_para_8_24"/>
      <w:bookmarkEnd w:id="5517"/>
      <w:r>
        <w:rPr>
          <w:rFonts w:ascii="Arial" w:eastAsia="Arial" w:hAnsi="Arial" w:cs="Arial"/>
          <w:color w:val="000000"/>
          <w:sz w:val="20"/>
        </w:rPr>
        <w:t>When Aubrey first became unable to work, in December 2014, she applied for leave under the Family Medical Leave Act ("FMLA"), which was approved by the County's third-party administrator, FMLASource. Aubrey was notified that, in order to return to work, she had to have a physician certify that she was fit for duty. Aubrey exhausted her twelve weeks of FMLA leave by February 22, 2015. But the County continued to hold her position open for her without pay for several more months while placing another employee into that position temporarily. County policy permitted up to six months [**5]  total leave (paid and unpaid combined). In addition, Aubrey's supervisor, Clerk and Recorder Carly Koppes, had discretion to authorize additional leave. Koppes exercised her discretion to extend Aubrey's leave indefinitely.</w:t>
      </w:r>
    </w:p>
    <w:p w14:paraId="7C35933A" w14:textId="77777777" w:rsidR="002B10A6" w:rsidRDefault="00000000">
      <w:pPr>
        <w:pStyle w:val="Normal25"/>
        <w:widowControl w:val="0"/>
        <w:spacing w:before="200" w:line="260" w:lineRule="atLeast"/>
        <w:jc w:val="both"/>
      </w:pPr>
      <w:bookmarkStart w:id="5518" w:name="Bookmark_para_9_24"/>
      <w:bookmarkEnd w:id="5518"/>
      <w:r>
        <w:rPr>
          <w:rFonts w:ascii="Arial" w:eastAsia="Arial" w:hAnsi="Arial" w:cs="Arial"/>
          <w:color w:val="000000"/>
          <w:sz w:val="20"/>
        </w:rPr>
        <w:t>As requested, Aubrey kept the County's administrator, FMLASource, informed about her condition. She also contacted Jewell Vaughn in the County's Human Resources Department on February 17, 2015, telling Vaughn that she had been released from the rehabilitation hospital the previous week. Although Vaughn forgot to ask Aubrey to update her work status, Vaughn reported to Human Resources Director Patricia Russell that Aubrey said it would be "months" before she could return to work as she was having memory problems and could not see very well, but that her condition was reversible.</w:t>
      </w:r>
    </w:p>
    <w:p w14:paraId="2E5E1B7F" w14:textId="77777777" w:rsidR="002B10A6" w:rsidRDefault="00000000">
      <w:pPr>
        <w:pStyle w:val="Normal25"/>
        <w:widowControl w:val="0"/>
        <w:spacing w:before="200" w:line="260" w:lineRule="atLeast"/>
        <w:jc w:val="both"/>
      </w:pPr>
      <w:bookmarkStart w:id="5519" w:name="Bookmark_para_10_24"/>
      <w:bookmarkEnd w:id="5519"/>
      <w:r>
        <w:rPr>
          <w:rFonts w:ascii="Arial" w:eastAsia="Arial" w:hAnsi="Arial" w:cs="Arial"/>
          <w:color w:val="000000"/>
          <w:sz w:val="20"/>
        </w:rPr>
        <w:t>The next time Aubrey heard from the County was on April 15, 2015, when Deputy Clerk and Recorder Rodolfo Santos hand delivered a notice to Aubrey informing her that she had to attend a pre-termination hearing the next morning at 10:30 a.m. The notice was signed by Clerk and Recorder Koppes and stated that the County had scheduled the pre-termination notice because it could not accommodate Aubrey's [**6]  restrictions from her medical problems. At her deposition, however,  [*1002]  Koppes testified that this was a standard form letter drafted by the County Human Resources Department and that Koppes, in fact, did not have any information about Aubrey's medical problems or how long they might last.</w:t>
      </w:r>
    </w:p>
    <w:p w14:paraId="6B51A1B0" w14:textId="77777777" w:rsidR="002B10A6" w:rsidRDefault="00000000">
      <w:pPr>
        <w:pStyle w:val="Normal25"/>
        <w:widowControl w:val="0"/>
        <w:spacing w:before="200" w:line="260" w:lineRule="atLeast"/>
        <w:jc w:val="both"/>
      </w:pPr>
      <w:bookmarkStart w:id="5520" w:name="Bookmark_para_11_21"/>
      <w:bookmarkEnd w:id="5520"/>
      <w:r>
        <w:rPr>
          <w:rFonts w:ascii="Arial" w:eastAsia="Arial" w:hAnsi="Arial" w:cs="Arial"/>
          <w:color w:val="000000"/>
          <w:sz w:val="20"/>
        </w:rPr>
        <w:t>The April 15 letter informed Aubrey that</w:t>
      </w:r>
    </w:p>
    <w:p w14:paraId="35B4D2E0" w14:textId="77777777" w:rsidR="002B10A6" w:rsidRDefault="00000000">
      <w:pPr>
        <w:pStyle w:val="Normal25"/>
        <w:widowControl w:val="0"/>
        <w:spacing w:line="260" w:lineRule="atLeast"/>
        <w:ind w:left="400"/>
        <w:jc w:val="both"/>
      </w:pPr>
      <w:bookmarkStart w:id="5521" w:name="Bookmark_para_12_20"/>
      <w:bookmarkEnd w:id="5521"/>
      <w:r>
        <w:rPr>
          <w:rFonts w:ascii="Arial" w:eastAsia="Arial" w:hAnsi="Arial" w:cs="Arial"/>
          <w:color w:val="000000"/>
          <w:sz w:val="20"/>
        </w:rPr>
        <w:t>[d]uring this hearing, you have the right to present any updated information regarding your medical condition as it relates to your ability to perform the essential functions of the Office Technician position. If you have any medical updates from your doctor, please bring that information with you to the scheduled hearing. This hearing is your opportunity to present any relevant information which would have bearing on your employment status.</w:t>
      </w:r>
    </w:p>
    <w:p w14:paraId="750AB19D" w14:textId="77777777" w:rsidR="002B10A6" w:rsidRDefault="00000000">
      <w:pPr>
        <w:pStyle w:val="Normal25"/>
        <w:widowControl w:val="0"/>
        <w:spacing w:before="200" w:line="260" w:lineRule="atLeast"/>
        <w:jc w:val="both"/>
      </w:pPr>
      <w:r>
        <w:rPr>
          <w:rFonts w:ascii="Arial" w:eastAsia="Arial" w:hAnsi="Arial" w:cs="Arial"/>
          <w:color w:val="000000"/>
          <w:sz w:val="20"/>
        </w:rPr>
        <w:t>(</w:t>
      </w:r>
      <w:r>
        <w:rPr>
          <w:rFonts w:ascii="Arial" w:eastAsia="Arial" w:hAnsi="Arial" w:cs="Arial"/>
          <w:color w:val="000000"/>
          <w:sz w:val="20"/>
          <w:u w:val="single"/>
        </w:rPr>
        <w:t>Id.</w:t>
      </w:r>
      <w:r>
        <w:rPr>
          <w:rFonts w:ascii="Arial" w:eastAsia="Arial" w:hAnsi="Arial" w:cs="Arial"/>
          <w:color w:val="000000"/>
          <w:sz w:val="20"/>
        </w:rPr>
        <w:t xml:space="preserve"> at 244.) With less than twenty-four hours' notice, however, Aubrey was unable to obtain any updated medical information from her doctors.</w:t>
      </w:r>
    </w:p>
    <w:p w14:paraId="364CD6DC" w14:textId="77777777" w:rsidR="002B10A6" w:rsidRDefault="00000000">
      <w:pPr>
        <w:pStyle w:val="Normal25"/>
        <w:widowControl w:val="0"/>
        <w:spacing w:before="200" w:line="260" w:lineRule="atLeast"/>
        <w:jc w:val="both"/>
      </w:pPr>
      <w:bookmarkStart w:id="5522" w:name="Bookmark_para_13_20"/>
      <w:bookmarkEnd w:id="5522"/>
      <w:r>
        <w:rPr>
          <w:rFonts w:ascii="Arial" w:eastAsia="Arial" w:hAnsi="Arial" w:cs="Arial"/>
          <w:color w:val="000000"/>
          <w:sz w:val="20"/>
        </w:rPr>
        <w:t>The April 16 pre-termination meeting between Koppes, Human Resources Director Russell, and Aubrey was transcribed. A reasonable jury could find from the overall tenor of that meeting that the County officials were not interested in gaining information about Aubrey's limitations and exploring whether [**7]  she could return to her job, but instead had already decided to terminate her employment.</w:t>
      </w:r>
    </w:p>
    <w:p w14:paraId="3CDB9575" w14:textId="77777777" w:rsidR="002B10A6" w:rsidRDefault="00000000">
      <w:pPr>
        <w:pStyle w:val="Normal25"/>
        <w:widowControl w:val="0"/>
        <w:spacing w:before="200" w:line="260" w:lineRule="atLeast"/>
        <w:jc w:val="both"/>
      </w:pPr>
      <w:bookmarkStart w:id="5523" w:name="Bookmark_para_14_20"/>
      <w:bookmarkEnd w:id="5523"/>
      <w:r>
        <w:rPr>
          <w:rFonts w:ascii="Arial" w:eastAsia="Arial" w:hAnsi="Arial" w:cs="Arial"/>
          <w:color w:val="000000"/>
          <w:sz w:val="20"/>
        </w:rPr>
        <w:t>The meeting started with Russell and Koppes explaining that "it has nothing to do with [Aubrey's] job performance." (</w:t>
      </w:r>
      <w:r>
        <w:rPr>
          <w:rFonts w:ascii="Arial" w:eastAsia="Arial" w:hAnsi="Arial" w:cs="Arial"/>
          <w:color w:val="000000"/>
          <w:sz w:val="20"/>
          <w:u w:val="single"/>
        </w:rPr>
        <w:t>Id.</w:t>
      </w:r>
      <w:r>
        <w:rPr>
          <w:rFonts w:ascii="Arial" w:eastAsia="Arial" w:hAnsi="Arial" w:cs="Arial"/>
          <w:color w:val="000000"/>
          <w:sz w:val="20"/>
        </w:rPr>
        <w:t xml:space="preserve"> at 246.) Aubrey asked if this meant that she was "automatically dismissed." (</w:t>
      </w:r>
      <w:r>
        <w:rPr>
          <w:rFonts w:ascii="Arial" w:eastAsia="Arial" w:hAnsi="Arial" w:cs="Arial"/>
          <w:color w:val="000000"/>
          <w:sz w:val="20"/>
          <w:u w:val="single"/>
        </w:rPr>
        <w:t>Id.</w:t>
      </w:r>
      <w:r>
        <w:rPr>
          <w:rFonts w:ascii="Arial" w:eastAsia="Arial" w:hAnsi="Arial" w:cs="Arial"/>
          <w:color w:val="000000"/>
          <w:sz w:val="20"/>
        </w:rPr>
        <w:t xml:space="preserve"> at 247.) Russell explained that this was Aubrey's "opportunity to tell us why we shouldn't dismiss you," and then asked Aubrey if she "could []come back to work within the next couple weeks . . . to do your full position." (</w:t>
      </w:r>
      <w:r>
        <w:rPr>
          <w:rFonts w:ascii="Arial" w:eastAsia="Arial" w:hAnsi="Arial" w:cs="Arial"/>
          <w:color w:val="000000"/>
          <w:sz w:val="20"/>
          <w:u w:val="single"/>
        </w:rPr>
        <w:t>Id.</w:t>
      </w:r>
      <w:r>
        <w:rPr>
          <w:rFonts w:ascii="Arial" w:eastAsia="Arial" w:hAnsi="Arial" w:cs="Arial"/>
          <w:color w:val="000000"/>
          <w:sz w:val="20"/>
        </w:rPr>
        <w:t>) Aubrey answered: "Actually, if you ask me to, I could come back next week. But I would not be able to do the things you asked me to. I mean, I could not go to Motor" vehicles, the most stressful of the three Clerk and Recorder divisions. (</w:t>
      </w:r>
      <w:r>
        <w:rPr>
          <w:rFonts w:ascii="Arial" w:eastAsia="Arial" w:hAnsi="Arial" w:cs="Arial"/>
          <w:color w:val="000000"/>
          <w:sz w:val="20"/>
          <w:u w:val="single"/>
        </w:rPr>
        <w:t>Id.</w:t>
      </w:r>
      <w:r>
        <w:rPr>
          <w:rFonts w:ascii="Arial" w:eastAsia="Arial" w:hAnsi="Arial" w:cs="Arial"/>
          <w:color w:val="000000"/>
          <w:sz w:val="20"/>
        </w:rPr>
        <w:t>) "I would probably have to be somewhat retrained. I am finally remembering some of the things I did in election." (</w:t>
      </w:r>
      <w:r>
        <w:rPr>
          <w:rFonts w:ascii="Arial" w:eastAsia="Arial" w:hAnsi="Arial" w:cs="Arial"/>
          <w:color w:val="000000"/>
          <w:sz w:val="20"/>
          <w:u w:val="single"/>
        </w:rPr>
        <w:t>Id.</w:t>
      </w:r>
      <w:r>
        <w:rPr>
          <w:rFonts w:ascii="Arial" w:eastAsia="Arial" w:hAnsi="Arial" w:cs="Arial"/>
          <w:color w:val="000000"/>
          <w:sz w:val="20"/>
        </w:rPr>
        <w:t>) Aubrey further explained that she was "still going to therapy" and had "worked very hard to be where I am. I just don't feel confident yet that I could do what I was. With a little bit of prompting and things like that, yes." (</w:t>
      </w:r>
      <w:r>
        <w:rPr>
          <w:rFonts w:ascii="Arial" w:eastAsia="Arial" w:hAnsi="Arial" w:cs="Arial"/>
          <w:color w:val="000000"/>
          <w:sz w:val="20"/>
          <w:u w:val="single"/>
        </w:rPr>
        <w:t>Id.</w:t>
      </w:r>
      <w:r>
        <w:rPr>
          <w:rFonts w:ascii="Arial" w:eastAsia="Arial" w:hAnsi="Arial" w:cs="Arial"/>
          <w:color w:val="000000"/>
          <w:sz w:val="20"/>
        </w:rPr>
        <w:t xml:space="preserve"> at 248.)</w:t>
      </w:r>
    </w:p>
    <w:p w14:paraId="4F0173AF" w14:textId="77777777" w:rsidR="002B10A6" w:rsidRDefault="00000000">
      <w:pPr>
        <w:pStyle w:val="Normal25"/>
        <w:widowControl w:val="0"/>
        <w:spacing w:before="200" w:line="260" w:lineRule="atLeast"/>
        <w:jc w:val="both"/>
      </w:pPr>
      <w:bookmarkStart w:id="5524" w:name="Bookmark_para_15_20"/>
      <w:bookmarkEnd w:id="5524"/>
      <w:r>
        <w:rPr>
          <w:rFonts w:ascii="Arial" w:eastAsia="Arial" w:hAnsi="Arial" w:cs="Arial"/>
          <w:color w:val="000000"/>
          <w:sz w:val="20"/>
        </w:rPr>
        <w:t>She stated that she could not drive yet but "I am able to do my own insurance stuff now. I can write my own [**8]  checks. I type. It's hard because of my vision, but it's all getting better. And I'm very thankful for that, because I could be dead, and I'm up and walking." (</w:t>
      </w:r>
      <w:r>
        <w:rPr>
          <w:rFonts w:ascii="Arial" w:eastAsia="Arial" w:hAnsi="Arial" w:cs="Arial"/>
          <w:color w:val="000000"/>
          <w:sz w:val="20"/>
          <w:u w:val="single"/>
        </w:rPr>
        <w:t>Id.</w:t>
      </w:r>
      <w:r>
        <w:rPr>
          <w:rFonts w:ascii="Arial" w:eastAsia="Arial" w:hAnsi="Arial" w:cs="Arial"/>
          <w:color w:val="000000"/>
          <w:sz w:val="20"/>
        </w:rPr>
        <w:t xml:space="preserve"> at 249.) She also stated that she had typed something "for long-term disability. . . . So if there's errors. It took me forever, but that was a couple of weeks ago. I'm working hard on the computer." (</w:t>
      </w:r>
      <w:r>
        <w:rPr>
          <w:rFonts w:ascii="Arial" w:eastAsia="Arial" w:hAnsi="Arial" w:cs="Arial"/>
          <w:color w:val="000000"/>
          <w:sz w:val="20"/>
          <w:u w:val="single"/>
        </w:rPr>
        <w:t>Id.</w:t>
      </w:r>
      <w:r>
        <w:rPr>
          <w:rFonts w:ascii="Arial" w:eastAsia="Arial" w:hAnsi="Arial" w:cs="Arial"/>
          <w:color w:val="000000"/>
          <w:sz w:val="20"/>
        </w:rPr>
        <w:t xml:space="preserve"> at 258.) Aubrey indicated that her recovery was going better than her health care providers had expected; "I was supposed to be [in the rehabilitation hospital] the minimum six weeks. I was out in two." (</w:t>
      </w:r>
      <w:r>
        <w:rPr>
          <w:rFonts w:ascii="Arial" w:eastAsia="Arial" w:hAnsi="Arial" w:cs="Arial"/>
          <w:color w:val="000000"/>
          <w:sz w:val="20"/>
          <w:u w:val="single"/>
        </w:rPr>
        <w:t>Id.</w:t>
      </w:r>
      <w:r>
        <w:rPr>
          <w:rFonts w:ascii="Arial" w:eastAsia="Arial" w:hAnsi="Arial" w:cs="Arial"/>
          <w:color w:val="000000"/>
          <w:sz w:val="20"/>
        </w:rPr>
        <w:t xml:space="preserve"> at 250.)</w:t>
      </w:r>
    </w:p>
    <w:p w14:paraId="05BFD3AC" w14:textId="77777777" w:rsidR="002B10A6" w:rsidRDefault="00000000">
      <w:pPr>
        <w:pStyle w:val="Normal25"/>
        <w:widowControl w:val="0"/>
        <w:spacing w:before="200" w:line="260" w:lineRule="atLeast"/>
        <w:jc w:val="both"/>
      </w:pPr>
      <w:bookmarkStart w:id="5525" w:name="Bookmark_para_16_18"/>
      <w:bookmarkEnd w:id="5525"/>
      <w:r>
        <w:rPr>
          <w:rFonts w:ascii="Arial" w:eastAsia="Arial" w:hAnsi="Arial" w:cs="Arial"/>
          <w:color w:val="000000"/>
          <w:sz w:val="20"/>
        </w:rPr>
        <w:t>Aubrey also asked for some additional time to gather her medical information and explained that no one had previously notified her that she needed a return-to-work certification from her doctor at that time. Aubrey could not get in to see a neurologist until May 22, 2015, and a neuro ophthalmologist "on the 30th."</w:t>
      </w:r>
      <w:r>
        <w:rPr>
          <w:rFonts w:ascii="Arial" w:eastAsia="Arial" w:hAnsi="Arial" w:cs="Arial"/>
          <w:vertAlign w:val="superscript"/>
        </w:rPr>
        <w:footnoteReference w:customMarkFollows="1" w:id="199"/>
        <w:t>1</w:t>
      </w:r>
      <w:r>
        <w:rPr>
          <w:rFonts w:ascii="Arial" w:eastAsia="Arial" w:hAnsi="Arial" w:cs="Arial"/>
          <w:color w:val="000000"/>
          <w:sz w:val="20"/>
        </w:rPr>
        <w:t xml:space="preserve"> (</w:t>
      </w:r>
      <w:r>
        <w:rPr>
          <w:rFonts w:ascii="Arial" w:eastAsia="Arial" w:hAnsi="Arial" w:cs="Arial"/>
          <w:color w:val="000000"/>
          <w:sz w:val="20"/>
          <w:u w:val="single"/>
        </w:rPr>
        <w:t>Id.</w:t>
      </w:r>
      <w:r>
        <w:rPr>
          <w:rFonts w:ascii="Arial" w:eastAsia="Arial" w:hAnsi="Arial" w:cs="Arial"/>
          <w:color w:val="000000"/>
          <w:sz w:val="20"/>
        </w:rPr>
        <w:t xml:space="preserve"> at 248.)</w:t>
      </w:r>
    </w:p>
    <w:p w14:paraId="2B2831D2" w14:textId="77777777" w:rsidR="002B10A6" w:rsidRDefault="00000000">
      <w:pPr>
        <w:pStyle w:val="Normal25"/>
        <w:widowControl w:val="0"/>
        <w:spacing w:before="200" w:line="260" w:lineRule="atLeast"/>
        <w:jc w:val="both"/>
      </w:pPr>
      <w:bookmarkStart w:id="5527" w:name="Bookmark_para_17_18"/>
      <w:bookmarkEnd w:id="5527"/>
      <w:r>
        <w:rPr>
          <w:rFonts w:ascii="Arial" w:eastAsia="Arial" w:hAnsi="Arial" w:cs="Arial"/>
          <w:color w:val="000000"/>
          <w:sz w:val="20"/>
        </w:rPr>
        <w:t> [*1003]  Human Resources Director Russell responded by informing Aubrey that her FMLA leave had expired; if Koppes decided she could no longer hold a position open for Aubrey and another job opened up later in the Clerk and Recorder's office, "I'm pretty sure that [Koppes] would so totally consider you" and, if Aubrey applied for some [**9]  other County job, the Clerk and Recorder's office would give her a "very good reference." (</w:t>
      </w:r>
      <w:r>
        <w:rPr>
          <w:rFonts w:ascii="Arial" w:eastAsia="Arial" w:hAnsi="Arial" w:cs="Arial"/>
          <w:color w:val="000000"/>
          <w:sz w:val="20"/>
          <w:u w:val="single"/>
        </w:rPr>
        <w:t>Id.</w:t>
      </w:r>
      <w:r>
        <w:rPr>
          <w:rFonts w:ascii="Arial" w:eastAsia="Arial" w:hAnsi="Arial" w:cs="Arial"/>
          <w:color w:val="000000"/>
          <w:sz w:val="20"/>
        </w:rPr>
        <w:t xml:space="preserve"> at 252.) Aubrey expressed her fear that no one would hire her after her medical problems, fearing her PRES might recur, even though that was very unlikely. Russell assured Aubrey that the Clerk and Recorder's office would not "hold that against you." (</w:t>
      </w:r>
      <w:r>
        <w:rPr>
          <w:rFonts w:ascii="Arial" w:eastAsia="Arial" w:hAnsi="Arial" w:cs="Arial"/>
          <w:color w:val="000000"/>
          <w:sz w:val="20"/>
          <w:u w:val="single"/>
        </w:rPr>
        <w:t>Id.</w:t>
      </w:r>
      <w:r>
        <w:rPr>
          <w:rFonts w:ascii="Arial" w:eastAsia="Arial" w:hAnsi="Arial" w:cs="Arial"/>
          <w:color w:val="000000"/>
          <w:sz w:val="20"/>
        </w:rPr>
        <w:t>)</w:t>
      </w:r>
    </w:p>
    <w:p w14:paraId="400C11F1" w14:textId="77777777" w:rsidR="002B10A6" w:rsidRDefault="00000000">
      <w:pPr>
        <w:pStyle w:val="Normal25"/>
        <w:widowControl w:val="0"/>
        <w:spacing w:before="200" w:line="260" w:lineRule="atLeast"/>
        <w:jc w:val="both"/>
      </w:pPr>
      <w:bookmarkStart w:id="5528" w:name="Bookmark_para_18_18"/>
      <w:bookmarkEnd w:id="5528"/>
      <w:r>
        <w:rPr>
          <w:rFonts w:ascii="Arial" w:eastAsia="Arial" w:hAnsi="Arial" w:cs="Arial"/>
          <w:color w:val="000000"/>
          <w:sz w:val="20"/>
        </w:rPr>
        <w:t>Aware there was an open Office Tech II position in elections, Aubrey then offered to take a demotion to an Office Tech II position, and she also asked for "some time to get all my doctors in order and say I can come back." (</w:t>
      </w:r>
      <w:r>
        <w:rPr>
          <w:rFonts w:ascii="Arial" w:eastAsia="Arial" w:hAnsi="Arial" w:cs="Arial"/>
          <w:color w:val="000000"/>
          <w:sz w:val="20"/>
          <w:u w:val="single"/>
        </w:rPr>
        <w:t>Id.</w:t>
      </w:r>
      <w:r>
        <w:rPr>
          <w:rFonts w:ascii="Arial" w:eastAsia="Arial" w:hAnsi="Arial" w:cs="Arial"/>
          <w:color w:val="000000"/>
          <w:sz w:val="20"/>
        </w:rPr>
        <w:t xml:space="preserve"> at 253.) Koppes and Russell did not respond to these requests, except to offer Aubrey a Kleenex because she was crying. Ordinarily, the County gives employees seeking an accommodation for a disability a County form to be completed by their doctor, and employees are given fifteen days, sometimes longer, to obtain that information from their physician. Aubrey was not given this form until after she was terminated. In her deposition, Human Resources Director Russell testified that Aubrey was not qualified for any position at the time of the hearing because she had not produced a fitness-for-duty certification from her doctor. But Aubrey [**10]  was not notified before the pre-termination meeting that she needed to bring a fitness-for-duty certification, nor was she given any time after the meeting to try to obtain that certification.</w:t>
      </w:r>
    </w:p>
    <w:p w14:paraId="2A191D6C" w14:textId="77777777" w:rsidR="002B10A6" w:rsidRDefault="00000000">
      <w:pPr>
        <w:pStyle w:val="Normal25"/>
        <w:widowControl w:val="0"/>
        <w:spacing w:before="200" w:line="260" w:lineRule="atLeast"/>
        <w:jc w:val="both"/>
      </w:pPr>
      <w:bookmarkStart w:id="5529" w:name="Bookmark_para_19_17"/>
      <w:bookmarkEnd w:id="5529"/>
      <w:r>
        <w:rPr>
          <w:rFonts w:ascii="Arial" w:eastAsia="Arial" w:hAnsi="Arial" w:cs="Arial"/>
          <w:color w:val="000000"/>
          <w:sz w:val="20"/>
        </w:rPr>
        <w:t>Several days after the April 16, 2015, pre-termination meeting, and without giving Aubrey any more time to gather information from her doctors about her remaining limitations and when she could return to work, Koppes terminated Aubrey's employment, effective April 20, 2015. The termination letter inaccurately indicated that Aubrey had stated during the April 16 meeting that she was unable to return to work until July 31, 2015. Aubrey never said that. Further, both Koppes and her deputy testified in their depositions that the County could not accommodate Aubrey's inability to see. But according to Aubrey, while she had some vision problems at the time of the hearing, she had no restrictions regarding her sight. Koppes further testified that the County could not accommodate Aubrey's inability to use the computer or telephones. But Aubrey stated during the pre-termination meeting that she had been using a computer and working to improve her computer skills. She never indicated that she could not [**11]  use a telephone.</w:t>
      </w:r>
    </w:p>
    <w:p w14:paraId="208A8E08" w14:textId="77777777" w:rsidR="002B10A6" w:rsidRDefault="00000000">
      <w:pPr>
        <w:pStyle w:val="Normal25"/>
        <w:widowControl w:val="0"/>
        <w:spacing w:before="200" w:line="260" w:lineRule="atLeast"/>
        <w:jc w:val="both"/>
      </w:pPr>
      <w:bookmarkStart w:id="5530" w:name="Bookmark_para_20_17"/>
      <w:bookmarkEnd w:id="5530"/>
      <w:r>
        <w:rPr>
          <w:rFonts w:ascii="Arial" w:eastAsia="Arial" w:hAnsi="Arial" w:cs="Arial"/>
          <w:color w:val="000000"/>
          <w:sz w:val="20"/>
        </w:rPr>
        <w:t>At her May 22 appointment, Aubrey's neurologist indicated that her PRES had resolved as long as her blood pressure remained controlled. On June 4, the neurologist cleared Aubrey to return to work. The employee who had been assigned temporarily to Aubrey's position was not transferred permanently to that position until June 19, 2015. Thirty days later, that employee vacated the job and transferred to another position.</w:t>
      </w:r>
    </w:p>
    <w:p w14:paraId="7E777B8E" w14:textId="77777777" w:rsidR="002B10A6" w:rsidRDefault="00000000">
      <w:pPr>
        <w:pStyle w:val="Normal25"/>
        <w:widowControl w:val="0"/>
        <w:spacing w:before="200" w:line="260" w:lineRule="atLeast"/>
        <w:jc w:val="both"/>
      </w:pPr>
      <w:bookmarkStart w:id="5531" w:name="Bookmark_para_21_17"/>
      <w:bookmarkEnd w:id="5531"/>
      <w:r>
        <w:rPr>
          <w:rFonts w:ascii="Arial" w:eastAsia="Arial" w:hAnsi="Arial" w:cs="Arial"/>
          <w:color w:val="000000"/>
          <w:sz w:val="20"/>
        </w:rPr>
        <w:t>In the April 2015 termination letter, the County encouraged Aubrey to apply for short- or long-term disability benefits. Aubrey did so, applying for long-term disability benefits the day the County terminated her employment, on April 20, 2015. Aubrey eventually received first short- and then long-term disability payments through July 31, 2015. Her long-term disability benefits were based on the insurer's determination that Aubrey could not perform the substantial and material duties of her  [*1004]  occupation, without taking into account "any tasks, functions, skills or responsibilities that could be reasonably modified or omitted." (</w:t>
      </w:r>
      <w:r>
        <w:rPr>
          <w:rFonts w:ascii="Arial" w:eastAsia="Arial" w:hAnsi="Arial" w:cs="Arial"/>
          <w:color w:val="000000"/>
          <w:sz w:val="20"/>
          <w:u w:val="single"/>
        </w:rPr>
        <w:t>Id.</w:t>
      </w:r>
      <w:r>
        <w:rPr>
          <w:rFonts w:ascii="Arial" w:eastAsia="Arial" w:hAnsi="Arial" w:cs="Arial"/>
          <w:color w:val="000000"/>
          <w:sz w:val="20"/>
        </w:rPr>
        <w:t xml:space="preserve"> at 325.) Aubrey's disability insurer also requested that she apply for Social Security disability benefits. When she did, Social Security [**12]  denied her claim because she was not disabled from doing her past work as a waitress.</w:t>
      </w:r>
    </w:p>
    <w:p w14:paraId="48CBEEB2" w14:textId="77777777" w:rsidR="002B10A6" w:rsidRDefault="00000000">
      <w:pPr>
        <w:pStyle w:val="Normal25"/>
        <w:widowControl w:val="0"/>
        <w:spacing w:before="200" w:line="260" w:lineRule="atLeast"/>
        <w:jc w:val="both"/>
      </w:pPr>
      <w:bookmarkStart w:id="5532" w:name="Bookmark_para_22_16"/>
      <w:bookmarkStart w:id="5533" w:name="Bookmark_I61HP1PT2SF7S40040000400"/>
      <w:bookmarkEnd w:id="5532"/>
      <w:bookmarkEnd w:id="5533"/>
      <w:r>
        <w:rPr>
          <w:rFonts w:ascii="Arial" w:eastAsia="Arial" w:hAnsi="Arial" w:cs="Arial"/>
          <w:color w:val="000000"/>
          <w:sz w:val="20"/>
        </w:rPr>
        <w:t>After obtaining a right-to-sue letter, Aubrey sued Koppes, the Weld County Clerk and Recorder, in her official capacity, and the Weld County Board of County Commissioners (collectively the "County") under the Americans with Disabilities Act ("ADA"), 42 U.S.C. §§ 12101-12213, as amended by the ADA Amendments Act of 2008 ("ADAAA").</w:t>
      </w:r>
      <w:r>
        <w:rPr>
          <w:rFonts w:ascii="Arial" w:eastAsia="Arial" w:hAnsi="Arial" w:cs="Arial"/>
          <w:vertAlign w:val="superscript"/>
        </w:rPr>
        <w:footnoteReference w:customMarkFollows="1" w:id="200"/>
        <w:t>2</w:t>
      </w:r>
      <w:r>
        <w:rPr>
          <w:rFonts w:ascii="Arial" w:eastAsia="Arial" w:hAnsi="Arial" w:cs="Arial"/>
          <w:color w:val="000000"/>
          <w:sz w:val="20"/>
        </w:rPr>
        <w:t xml:space="preserve"> Aubrey asserted three ADA claims, alleging the County 1) failed to accommodate Aubrey's disability, 2) discriminated against Aubrey because she was disabled, and 3) fired her in retaliation for asking for an accommodation for her disability. Aubrey also asserted the same claims under the Rehabilitation Act, 29 U.S.C. §§ 701-796</w:t>
      </w:r>
      <w:r>
        <w:rPr>
          <w:rFonts w:ascii="Arial" w:eastAsia="Arial" w:hAnsi="Arial" w:cs="Arial"/>
          <w:i/>
          <w:color w:val="000000"/>
          <w:sz w:val="20"/>
        </w:rPr>
        <w:t>l</w:t>
      </w:r>
      <w:r>
        <w:rPr>
          <w:rFonts w:ascii="Arial" w:eastAsia="Arial" w:hAnsi="Arial" w:cs="Arial"/>
          <w:color w:val="000000"/>
          <w:sz w:val="20"/>
        </w:rPr>
        <w:t>, and Colorado's Anti-Discrimination Act ("CADA"), §§ 24-34-401 through 23-34-406. The district court granted the County summary judgment on all claims.</w:t>
      </w:r>
      <w:r>
        <w:rPr>
          <w:rFonts w:ascii="Arial" w:eastAsia="Arial" w:hAnsi="Arial" w:cs="Arial"/>
          <w:vertAlign w:val="superscript"/>
        </w:rPr>
        <w:footnoteReference w:customMarkFollows="1" w:id="201"/>
        <w:t>3</w:t>
      </w:r>
    </w:p>
    <w:p w14:paraId="52910319" w14:textId="77777777" w:rsidR="002B10A6" w:rsidRDefault="00000000">
      <w:pPr>
        <w:pStyle w:val="Normal25"/>
        <w:widowControl w:val="0"/>
        <w:spacing w:before="240" w:line="260" w:lineRule="atLeast"/>
      </w:pPr>
      <w:r>
        <w:br/>
      </w:r>
      <w:r>
        <w:rPr>
          <w:rFonts w:ascii="Arial" w:eastAsia="Arial" w:hAnsi="Arial" w:cs="Arial"/>
          <w:b/>
          <w:color w:val="000000"/>
          <w:sz w:val="20"/>
        </w:rPr>
        <w:t>II. STANDARD OF REVIEW</w:t>
      </w:r>
    </w:p>
    <w:p w14:paraId="2030A728" w14:textId="77777777" w:rsidR="002B10A6" w:rsidRDefault="00000000">
      <w:pPr>
        <w:pStyle w:val="Normal25"/>
        <w:widowControl w:val="0"/>
        <w:spacing w:before="200" w:line="260" w:lineRule="atLeast"/>
        <w:jc w:val="both"/>
      </w:pPr>
      <w:bookmarkStart w:id="5537" w:name="Bookmark_para_23_16"/>
      <w:bookmarkStart w:id="5538" w:name="Bookmark_I61HP1PW2N1PXB0010000400"/>
      <w:bookmarkStart w:id="5539" w:name="Bookmark_LNHNREFclscc2_21"/>
      <w:bookmarkEnd w:id="5537"/>
      <w:bookmarkEnd w:id="5538"/>
      <w:bookmarkEnd w:id="5539"/>
      <w:r>
        <w:rPr>
          <w:rFonts w:ascii="Arial" w:eastAsia="Arial" w:hAnsi="Arial" w:cs="Arial"/>
          <w:color w:val="000000"/>
          <w:sz w:val="20"/>
        </w:rPr>
        <w:t xml:space="preserve">We review the district court's summary judgment decision de novo. </w:t>
      </w:r>
      <w:r>
        <w:rPr>
          <w:rFonts w:ascii="Arial" w:eastAsia="Arial" w:hAnsi="Arial" w:cs="Arial"/>
          <w:color w:val="000000"/>
          <w:sz w:val="20"/>
          <w:u w:val="single"/>
        </w:rPr>
        <w:t xml:space="preserve">See </w:t>
      </w:r>
      <w:bookmarkStart w:id="5540" w:name="Bookmark_I61HP1PT2SF7S40050000400"/>
      <w:bookmarkEnd w:id="5540"/>
      <w:r>
        <w:rPr>
          <w:rFonts w:ascii="Arial" w:eastAsia="Arial" w:hAnsi="Arial" w:cs="Arial"/>
          <w:color w:val="000000"/>
          <w:sz w:val="20"/>
          <w:u w:val="single"/>
        </w:rPr>
        <w:t>Rocky Mountain Prestress, LLC v. Liberty Mut. Fire Ins. Co.</w:t>
      </w:r>
      <w:r>
        <w:rPr>
          <w:rFonts w:ascii="Arial" w:eastAsia="Arial" w:hAnsi="Arial" w:cs="Arial"/>
          <w:color w:val="000000"/>
          <w:sz w:val="20"/>
        </w:rPr>
        <w:t>, 960 F.3d 1255, 1259 (10th Cir. 2020). A "court shall grant summary judgment if the movant shows that there is no genuine dispute as to any material fact and the movant is entitled to judgment as a matter of law." Fed. R. Civ. P. 56(a).</w:t>
      </w:r>
    </w:p>
    <w:p w14:paraId="0589718B" w14:textId="77777777" w:rsidR="002B10A6" w:rsidRDefault="00000000">
      <w:pPr>
        <w:pStyle w:val="Normal25"/>
        <w:widowControl w:val="0"/>
        <w:spacing w:before="200" w:line="260" w:lineRule="atLeast"/>
        <w:ind w:left="400"/>
        <w:jc w:val="both"/>
      </w:pPr>
      <w:bookmarkStart w:id="5541" w:name="Bookmark_para_24_16"/>
      <w:bookmarkStart w:id="5542" w:name="Bookmark_I61HP1PW2N1PXB0010000400_2"/>
      <w:bookmarkStart w:id="5543" w:name="Bookmark_I61HP1PW2N1PXB0030000400"/>
      <w:bookmarkEnd w:id="5541"/>
      <w:bookmarkEnd w:id="5542"/>
      <w:bookmarkEnd w:id="5543"/>
      <w:r>
        <w:rPr>
          <w:rFonts w:ascii="Arial" w:eastAsia="Arial" w:hAnsi="Arial" w:cs="Arial"/>
          <w:color w:val="000000"/>
          <w:sz w:val="20"/>
        </w:rPr>
        <w:t xml:space="preserve">In applying this test, we consider the evidence in the light most favorable to the non-moving party. </w:t>
      </w:r>
      <w:bookmarkStart w:id="5544" w:name="Bookmark_I61HP1PW2N1PXB0030000400_2"/>
      <w:bookmarkEnd w:id="5544"/>
      <w:r>
        <w:rPr>
          <w:rFonts w:ascii="Arial" w:eastAsia="Arial" w:hAnsi="Arial" w:cs="Arial"/>
          <w:color w:val="000000"/>
          <w:sz w:val="20"/>
        </w:rPr>
        <w:t>For [**13]  there to be a "genuine" dispute of fact, there must be more than a mere scintilla of evidence; to avoid summary judgment, the evidence must be such that a reasonable jury could return a verdict for the nonmoving party.</w:t>
      </w:r>
    </w:p>
    <w:p w14:paraId="04D583F8" w14:textId="77777777" w:rsidR="002B10A6" w:rsidRDefault="00000000">
      <w:pPr>
        <w:pStyle w:val="Normal25"/>
        <w:widowControl w:val="0"/>
        <w:spacing w:before="200" w:line="260" w:lineRule="atLeast"/>
        <w:jc w:val="both"/>
      </w:pPr>
      <w:bookmarkStart w:id="5545" w:name="Bookmark_I61HP1PW2N1PXB0030000400_3"/>
      <w:bookmarkStart w:id="5546" w:name="Bookmark_I61HP1PW2N1PXB0020000400"/>
      <w:bookmarkEnd w:id="5545"/>
      <w:bookmarkEnd w:id="5546"/>
      <w:r>
        <w:rPr>
          <w:rFonts w:ascii="Arial" w:eastAsia="Arial" w:hAnsi="Arial" w:cs="Arial"/>
          <w:color w:val="000000"/>
          <w:sz w:val="20"/>
          <w:u w:val="single"/>
        </w:rPr>
        <w:t>Rocky Mountain Prestress</w:t>
      </w:r>
      <w:r>
        <w:rPr>
          <w:rFonts w:ascii="Arial" w:eastAsia="Arial" w:hAnsi="Arial" w:cs="Arial"/>
          <w:color w:val="000000"/>
          <w:sz w:val="20"/>
        </w:rPr>
        <w:t>, 960 F.3d at 1259 (citation, internal quotation marks, alteration omitted).</w:t>
      </w:r>
    </w:p>
    <w:p w14:paraId="0E34637D" w14:textId="77777777" w:rsidR="002B10A6" w:rsidRDefault="00000000">
      <w:pPr>
        <w:pStyle w:val="Normal25"/>
        <w:widowControl w:val="0"/>
        <w:spacing w:before="240" w:line="260" w:lineRule="atLeast"/>
      </w:pPr>
      <w:r>
        <w:br/>
      </w:r>
      <w:r>
        <w:rPr>
          <w:rFonts w:ascii="Arial" w:eastAsia="Arial" w:hAnsi="Arial" w:cs="Arial"/>
          <w:b/>
          <w:color w:val="000000"/>
          <w:sz w:val="20"/>
        </w:rPr>
        <w:t>III. DISCUSSION</w:t>
      </w:r>
    </w:p>
    <w:p w14:paraId="0AD97433" w14:textId="77777777" w:rsidR="002B10A6" w:rsidRDefault="00000000">
      <w:pPr>
        <w:pStyle w:val="Normal25"/>
        <w:widowControl w:val="0"/>
        <w:spacing w:before="200" w:line="260" w:lineRule="atLeast"/>
        <w:jc w:val="both"/>
      </w:pPr>
      <w:bookmarkStart w:id="5547" w:name="Bookmark_para_25_16"/>
      <w:bookmarkStart w:id="5548" w:name="Bookmark_I61HP1PW2N1PXB0050000400"/>
      <w:bookmarkEnd w:id="5547"/>
      <w:bookmarkEnd w:id="5548"/>
      <w:r>
        <w:rPr>
          <w:rFonts w:ascii="Arial" w:eastAsia="Arial" w:hAnsi="Arial" w:cs="Arial"/>
          <w:color w:val="000000"/>
          <w:sz w:val="20"/>
        </w:rPr>
        <w:t>Our analysis of Aubrey's ADA claims also applies to her claims asserted under the Rehabilitation Act and CADA.</w:t>
      </w:r>
      <w:r>
        <w:rPr>
          <w:rFonts w:ascii="Arial" w:eastAsia="Arial" w:hAnsi="Arial" w:cs="Arial"/>
          <w:vertAlign w:val="superscript"/>
        </w:rPr>
        <w:footnoteReference w:customMarkFollows="1" w:id="202"/>
        <w:t>4</w:t>
      </w:r>
      <w:r>
        <w:rPr>
          <w:rFonts w:ascii="Arial" w:eastAsia="Arial" w:hAnsi="Arial" w:cs="Arial"/>
          <w:color w:val="000000"/>
          <w:sz w:val="20"/>
        </w:rPr>
        <w:t xml:space="preserve"> We,  [*1005]  therefore, focus on Aubrey's three ADA claims, alleging that the County 1) failed to accommodate her disability, 2) discriminated against her because of her disability, and 3) retaliated against her for requesting an accommodation.</w:t>
      </w:r>
    </w:p>
    <w:p w14:paraId="534B8E6F" w14:textId="77777777" w:rsidR="002B10A6" w:rsidRDefault="00000000">
      <w:pPr>
        <w:pStyle w:val="Normal25"/>
        <w:widowControl w:val="0"/>
        <w:spacing w:before="240" w:line="260" w:lineRule="atLeast"/>
      </w:pPr>
      <w:r>
        <w:br/>
      </w:r>
      <w:r>
        <w:rPr>
          <w:rFonts w:ascii="Arial" w:eastAsia="Arial" w:hAnsi="Arial" w:cs="Arial"/>
          <w:b/>
          <w:color w:val="000000"/>
          <w:sz w:val="20"/>
        </w:rPr>
        <w:t>A. Failure to accommodate Aubrey's disability</w:t>
      </w:r>
    </w:p>
    <w:p w14:paraId="14A42439" w14:textId="77777777" w:rsidR="002B10A6" w:rsidRDefault="00000000">
      <w:pPr>
        <w:pStyle w:val="Normal25"/>
        <w:widowControl w:val="0"/>
        <w:spacing w:before="200" w:line="260" w:lineRule="atLeast"/>
        <w:jc w:val="both"/>
      </w:pPr>
      <w:bookmarkStart w:id="5553" w:name="Bookmark_para_26_16"/>
      <w:bookmarkEnd w:id="5553"/>
      <w:r>
        <w:rPr>
          <w:rFonts w:ascii="Arial" w:eastAsia="Arial" w:hAnsi="Arial" w:cs="Arial"/>
          <w:color w:val="000000"/>
          <w:sz w:val="20"/>
        </w:rPr>
        <w:t xml:space="preserve">Aubrey alleged that the County discriminated against her on the basis of disability by not making a reasonable accommodation for her known disability and, instead, terminated her. </w:t>
      </w:r>
      <w:bookmarkStart w:id="5554" w:name="Bookmark_LNHNREFclscc3_21"/>
      <w:bookmarkEnd w:id="5554"/>
      <w:r>
        <w:rPr>
          <w:rFonts w:ascii="Arial" w:eastAsia="Arial" w:hAnsi="Arial" w:cs="Arial"/>
          <w:color w:val="000000"/>
          <w:sz w:val="20"/>
        </w:rPr>
        <w:t xml:space="preserve">The ADA prohibits a "covered entity" from discriminating "against a qualified individual on the basis of disability in regard to job application procedures, the hiring, advancement, or discharge of employees, employee compensation, job training, and other terms, conditions, and privileges [**14]  of employment." 42 U.S.C.A. § 12112(a). The ADA defines "discriminate against a qualified individual on the basis of disability" to include "not making reasonable accommodations to the known physical or mental limitations of an otherwise qualified individual with a disability. . . unless [the employer] can demonstrate that the accommodation would impose an undue hardship on the operation of the business of [the employer]." </w:t>
      </w:r>
      <w:r>
        <w:rPr>
          <w:rFonts w:ascii="Arial" w:eastAsia="Arial" w:hAnsi="Arial" w:cs="Arial"/>
          <w:color w:val="000000"/>
          <w:sz w:val="20"/>
          <w:u w:val="single"/>
        </w:rPr>
        <w:t>Id.</w:t>
      </w:r>
      <w:r>
        <w:rPr>
          <w:rFonts w:ascii="Arial" w:eastAsia="Arial" w:hAnsi="Arial" w:cs="Arial"/>
          <w:color w:val="000000"/>
          <w:sz w:val="20"/>
        </w:rPr>
        <w:t xml:space="preserve"> § 12112(b)(5)(A).</w:t>
      </w:r>
    </w:p>
    <w:p w14:paraId="780E67C2" w14:textId="77777777" w:rsidR="002B10A6" w:rsidRDefault="00000000">
      <w:pPr>
        <w:pStyle w:val="Normal25"/>
        <w:widowControl w:val="0"/>
        <w:spacing w:before="200" w:line="260" w:lineRule="atLeast"/>
        <w:jc w:val="both"/>
      </w:pPr>
      <w:bookmarkStart w:id="5555" w:name="Bookmark_para_27_16"/>
      <w:bookmarkStart w:id="5556" w:name="Bookmark_I61HP1PX2D6N5S0010000400"/>
      <w:bookmarkStart w:id="5557" w:name="Bookmark_I61HP1PX28T3YG0020000400"/>
      <w:bookmarkStart w:id="5558" w:name="Bookmark_LNHNREFclscc4_21"/>
      <w:bookmarkEnd w:id="5555"/>
      <w:bookmarkEnd w:id="5556"/>
      <w:bookmarkEnd w:id="5557"/>
      <w:bookmarkEnd w:id="5558"/>
      <w:r>
        <w:rPr>
          <w:rFonts w:ascii="Arial" w:eastAsia="Arial" w:hAnsi="Arial" w:cs="Arial"/>
          <w:color w:val="000000"/>
          <w:sz w:val="20"/>
        </w:rPr>
        <w:t xml:space="preserve">Based on the language of the statute, then, there are generally four elements Aubrey had to show to establish a prima facie failure-to-accommodate claim: 1) she was disabled, 2) she was otherwise qualified, 3) she requested a plausibly reasonable accommodation, and 4) the County refused to accommodate her disability. </w:t>
      </w:r>
      <w:bookmarkStart w:id="5559" w:name="Bookmark_I61HP1PX28T3YG0040000400"/>
      <w:bookmarkEnd w:id="5559"/>
      <w:r>
        <w:rPr>
          <w:rFonts w:ascii="Arial" w:eastAsia="Arial" w:hAnsi="Arial" w:cs="Arial"/>
          <w:color w:val="000000"/>
          <w:sz w:val="20"/>
          <w:u w:val="single"/>
        </w:rPr>
        <w:t xml:space="preserve">See </w:t>
      </w:r>
      <w:bookmarkStart w:id="5560" w:name="Bookmark_I61HP1PW2SF7S90050000400"/>
      <w:bookmarkEnd w:id="5560"/>
      <w:r>
        <w:rPr>
          <w:rFonts w:ascii="Arial" w:eastAsia="Arial" w:hAnsi="Arial" w:cs="Arial"/>
          <w:color w:val="000000"/>
          <w:sz w:val="20"/>
          <w:u w:val="single"/>
        </w:rPr>
        <w:t>Lincoln v. BNSF Ry.</w:t>
      </w:r>
      <w:r>
        <w:rPr>
          <w:rFonts w:ascii="Arial" w:eastAsia="Arial" w:hAnsi="Arial" w:cs="Arial"/>
          <w:color w:val="000000"/>
          <w:sz w:val="20"/>
        </w:rPr>
        <w:t xml:space="preserve">, 900 F.3d 1166, 1204 (10th Cir. 2018); </w:t>
      </w:r>
      <w:bookmarkStart w:id="5561" w:name="Bookmark_I61HP1PX2D6N5S0020000400"/>
      <w:bookmarkEnd w:id="5561"/>
      <w:r>
        <w:rPr>
          <w:rFonts w:ascii="Arial" w:eastAsia="Arial" w:hAnsi="Arial" w:cs="Arial"/>
          <w:color w:val="000000"/>
          <w:sz w:val="20"/>
          <w:u w:val="single"/>
        </w:rPr>
        <w:t>McFarland v. City &amp; Cty. of Denver</w:t>
      </w:r>
      <w:r>
        <w:rPr>
          <w:rFonts w:ascii="Arial" w:eastAsia="Arial" w:hAnsi="Arial" w:cs="Arial"/>
          <w:color w:val="000000"/>
          <w:sz w:val="20"/>
        </w:rPr>
        <w:t xml:space="preserve">, 744 F. App'x 583, 586 (10th Cir. 2018) (unpublished); </w:t>
      </w:r>
      <w:bookmarkStart w:id="5562" w:name="Bookmark_I61HP1PX2D6N5S0040000400"/>
      <w:bookmarkEnd w:id="5562"/>
      <w:r>
        <w:rPr>
          <w:rFonts w:ascii="Arial" w:eastAsia="Arial" w:hAnsi="Arial" w:cs="Arial"/>
          <w:color w:val="000000"/>
          <w:sz w:val="20"/>
          <w:u w:val="single"/>
        </w:rPr>
        <w:t>Spielman v. Blue Cross Blue Shield of Kan., Inc.</w:t>
      </w:r>
      <w:r>
        <w:rPr>
          <w:rFonts w:ascii="Arial" w:eastAsia="Arial" w:hAnsi="Arial" w:cs="Arial"/>
          <w:color w:val="000000"/>
          <w:sz w:val="20"/>
        </w:rPr>
        <w:t>, 33 F. App'x 439, 443 (10th Cir. 2002) (unpublished).</w:t>
      </w:r>
      <w:r>
        <w:rPr>
          <w:rFonts w:ascii="Arial" w:eastAsia="Arial" w:hAnsi="Arial" w:cs="Arial"/>
          <w:vertAlign w:val="superscript"/>
        </w:rPr>
        <w:footnoteReference w:customMarkFollows="1" w:id="203"/>
        <w:t>5</w:t>
      </w:r>
      <w:r>
        <w:rPr>
          <w:rFonts w:ascii="Arial" w:eastAsia="Arial" w:hAnsi="Arial" w:cs="Arial"/>
          <w:vertAlign w:val="superscript"/>
        </w:rPr>
        <w:footnoteReference w:customMarkFollows="1" w:id="204"/>
        <w:t>6</w:t>
      </w:r>
      <w:r>
        <w:rPr>
          <w:rFonts w:ascii="Arial" w:eastAsia="Arial" w:hAnsi="Arial" w:cs="Arial"/>
          <w:color w:val="000000"/>
          <w:sz w:val="20"/>
        </w:rPr>
        <w:t xml:space="preserve"> Establishing a prima facie claim is not onerous. </w:t>
      </w:r>
      <w:r>
        <w:rPr>
          <w:rFonts w:ascii="Arial" w:eastAsia="Arial" w:hAnsi="Arial" w:cs="Arial"/>
          <w:color w:val="000000"/>
          <w:sz w:val="20"/>
          <w:u w:val="single"/>
        </w:rPr>
        <w:t xml:space="preserve">See </w:t>
      </w:r>
      <w:bookmarkStart w:id="5573" w:name="Bookmark_I61HP1PX28T3YG0010000400"/>
      <w:bookmarkEnd w:id="5573"/>
      <w:r>
        <w:rPr>
          <w:rFonts w:ascii="Arial" w:eastAsia="Arial" w:hAnsi="Arial" w:cs="Arial"/>
          <w:color w:val="000000"/>
          <w:sz w:val="20"/>
          <w:u w:val="single"/>
        </w:rPr>
        <w:t>Osborne v. Baxter Healthcare Corp.</w:t>
      </w:r>
      <w:r>
        <w:rPr>
          <w:rFonts w:ascii="Arial" w:eastAsia="Arial" w:hAnsi="Arial" w:cs="Arial"/>
          <w:color w:val="000000"/>
          <w:sz w:val="20"/>
        </w:rPr>
        <w:t xml:space="preserve">, 798 F.3d 1260, 1266 (10th Cir. 2015). </w:t>
      </w:r>
      <w:bookmarkStart w:id="5574" w:name="Bookmark_I61HP1PX28T3YG0040000400_2"/>
      <w:bookmarkStart w:id="5575" w:name="Bookmark_I61HP1PY2D6N5X0010000400"/>
      <w:bookmarkEnd w:id="5574"/>
      <w:bookmarkEnd w:id="5575"/>
      <w:r>
        <w:rPr>
          <w:rFonts w:ascii="Arial" w:eastAsia="Arial" w:hAnsi="Arial" w:cs="Arial"/>
          <w:color w:val="000000"/>
          <w:sz w:val="20"/>
        </w:rPr>
        <w:t xml:space="preserve">If Aubrey established a prima facie claim—as we conclude she did—the burden then shifted to the County "to present evidence either (1) conclusively rebutting one or more elements of plaintiff's prima facie case or (2) establishing an affirmative defense, such as undue hardship or one of the other affirmative defenses available to the employer." </w:t>
      </w:r>
      <w:bookmarkStart w:id="5576" w:name="Bookmark_I61HP1PX28T3YG0030000400"/>
      <w:bookmarkEnd w:id="5576"/>
      <w:r>
        <w:rPr>
          <w:rFonts w:ascii="Arial" w:eastAsia="Arial" w:hAnsi="Arial" w:cs="Arial"/>
          <w:color w:val="000000"/>
          <w:sz w:val="20"/>
          <w:u w:val="single"/>
        </w:rPr>
        <w:t>Lincoln</w:t>
      </w:r>
      <w:r>
        <w:rPr>
          <w:rFonts w:ascii="Arial" w:eastAsia="Arial" w:hAnsi="Arial" w:cs="Arial"/>
          <w:color w:val="000000"/>
          <w:sz w:val="20"/>
        </w:rPr>
        <w:t>, 900 F.3d at 1204 (internal quotation marks omitted). [**15] </w:t>
      </w:r>
    </w:p>
    <w:p w14:paraId="5BAF8180" w14:textId="77777777" w:rsidR="002B10A6" w:rsidRDefault="00000000">
      <w:pPr>
        <w:pStyle w:val="Normal25"/>
        <w:widowControl w:val="0"/>
        <w:spacing w:before="200" w:line="260" w:lineRule="atLeast"/>
        <w:ind w:left="400"/>
        <w:jc w:val="both"/>
      </w:pPr>
      <w:bookmarkStart w:id="5577" w:name="Bookmark_para_28_16"/>
      <w:bookmarkStart w:id="5578" w:name="Bookmark_I61HP1PY2D6N5X0010000400_2"/>
      <w:bookmarkEnd w:id="5577"/>
      <w:bookmarkEnd w:id="5578"/>
      <w:r>
        <w:rPr>
          <w:rFonts w:ascii="Arial" w:eastAsia="Arial" w:hAnsi="Arial" w:cs="Arial"/>
          <w:color w:val="000000"/>
          <w:sz w:val="20"/>
        </w:rPr>
        <w:t>"If the employer does either of the above, summary judgment will be appropriate for the employer unless the employee then presents evidence establishing a genuine dispute regarding the affirmative defenses and/or rehabilitates  [*1006]  any challenged elements of . . . her prima face case sufficiently to establish at least a genuine dispute of material fact as to such challenged elements."</w:t>
      </w:r>
    </w:p>
    <w:p w14:paraId="7707E76F" w14:textId="77777777" w:rsidR="002B10A6" w:rsidRDefault="00000000">
      <w:pPr>
        <w:pStyle w:val="Normal25"/>
        <w:widowControl w:val="0"/>
        <w:spacing w:before="200" w:line="260" w:lineRule="atLeast"/>
        <w:jc w:val="both"/>
      </w:pPr>
      <w:bookmarkStart w:id="5579" w:name="Bookmark_I61HP1PY2D6N5X0010000400_3"/>
      <w:bookmarkStart w:id="5580" w:name="Bookmark_I61HP1PX28T3YG0050000400"/>
      <w:bookmarkEnd w:id="5579"/>
      <w:bookmarkEnd w:id="5580"/>
      <w:r>
        <w:rPr>
          <w:rFonts w:ascii="Arial" w:eastAsia="Arial" w:hAnsi="Arial" w:cs="Arial"/>
          <w:color w:val="000000"/>
          <w:sz w:val="20"/>
          <w:u w:val="single"/>
        </w:rPr>
        <w:t>Punt v. Kelly Servs.</w:t>
      </w:r>
      <w:r>
        <w:rPr>
          <w:rFonts w:ascii="Arial" w:eastAsia="Arial" w:hAnsi="Arial" w:cs="Arial"/>
          <w:color w:val="000000"/>
          <w:sz w:val="20"/>
        </w:rPr>
        <w:t xml:space="preserve">, 862 F.3d 1040, 1050 (10th Cir. 2017) (quoting </w:t>
      </w:r>
      <w:bookmarkStart w:id="5581" w:name="Bookmark_I61HP1PY2D6N5X0020000400"/>
      <w:bookmarkEnd w:id="5581"/>
      <w:r>
        <w:rPr>
          <w:rFonts w:ascii="Arial" w:eastAsia="Arial" w:hAnsi="Arial" w:cs="Arial"/>
          <w:color w:val="000000"/>
          <w:sz w:val="20"/>
          <w:u w:val="single"/>
        </w:rPr>
        <w:t>Smith v. Midland Brake, Inc.</w:t>
      </w:r>
      <w:r>
        <w:rPr>
          <w:rFonts w:ascii="Arial" w:eastAsia="Arial" w:hAnsi="Arial" w:cs="Arial"/>
          <w:color w:val="000000"/>
          <w:sz w:val="20"/>
        </w:rPr>
        <w:t>, 180 F.3d 1154, 1179 (10th Cir. 1999) (en banc)).</w:t>
      </w:r>
    </w:p>
    <w:p w14:paraId="054688A9" w14:textId="77777777" w:rsidR="002B10A6" w:rsidRDefault="00000000">
      <w:pPr>
        <w:pStyle w:val="Normal25"/>
        <w:widowControl w:val="0"/>
        <w:spacing w:before="200" w:line="260" w:lineRule="atLeast"/>
        <w:jc w:val="both"/>
      </w:pPr>
      <w:bookmarkStart w:id="5582" w:name="Bookmark_para_29_16"/>
      <w:bookmarkStart w:id="5583" w:name="Bookmark_I61HP1PY2N1PXM0010000400"/>
      <w:bookmarkEnd w:id="5582"/>
      <w:bookmarkEnd w:id="5583"/>
      <w:r>
        <w:rPr>
          <w:rFonts w:ascii="Arial" w:eastAsia="Arial" w:hAnsi="Arial" w:cs="Arial"/>
          <w:color w:val="000000"/>
          <w:sz w:val="20"/>
        </w:rPr>
        <w:t xml:space="preserve">This general analytical framework is useful in the context of a failure-to-accommodate claim, "not to probe the subjective intent of the employer," which is not at issue, but instead to "determine whether the various parties have advanced sufficient evidence to meet their respective traditional burdens to prove or disprove the reasonableness of the accommodations offered or not offered." </w:t>
      </w:r>
      <w:bookmarkStart w:id="5584" w:name="Bookmark_I61HP1PY28T3YM0050000400"/>
      <w:bookmarkEnd w:id="5584"/>
      <w:r>
        <w:rPr>
          <w:rFonts w:ascii="Arial" w:eastAsia="Arial" w:hAnsi="Arial" w:cs="Arial"/>
          <w:color w:val="000000"/>
          <w:sz w:val="20"/>
          <w:u w:val="single"/>
        </w:rPr>
        <w:t>Smith</w:t>
      </w:r>
      <w:r>
        <w:rPr>
          <w:rFonts w:ascii="Arial" w:eastAsia="Arial" w:hAnsi="Arial" w:cs="Arial"/>
          <w:color w:val="000000"/>
          <w:sz w:val="20"/>
        </w:rPr>
        <w:t xml:space="preserve">, 180 F.3d at 1179 n. 2; </w:t>
      </w:r>
      <w:r>
        <w:rPr>
          <w:rFonts w:ascii="Arial" w:eastAsia="Arial" w:hAnsi="Arial" w:cs="Arial"/>
          <w:color w:val="000000"/>
          <w:sz w:val="20"/>
          <w:u w:val="single"/>
        </w:rPr>
        <w:t xml:space="preserve">see also </w:t>
      </w:r>
      <w:bookmarkStart w:id="5585" w:name="Bookmark_I61HP1PY2N1PXM0020000400"/>
      <w:bookmarkEnd w:id="5585"/>
      <w:r>
        <w:rPr>
          <w:rFonts w:ascii="Arial" w:eastAsia="Arial" w:hAnsi="Arial" w:cs="Arial"/>
          <w:color w:val="000000"/>
          <w:sz w:val="20"/>
          <w:u w:val="single"/>
        </w:rPr>
        <w:t>Punt</w:t>
      </w:r>
      <w:r>
        <w:rPr>
          <w:rFonts w:ascii="Arial" w:eastAsia="Arial" w:hAnsi="Arial" w:cs="Arial"/>
          <w:color w:val="000000"/>
          <w:sz w:val="20"/>
        </w:rPr>
        <w:t>, 862 F.3d at 1050.</w:t>
      </w:r>
    </w:p>
    <w:p w14:paraId="7DF56E44" w14:textId="77777777" w:rsidR="002B10A6" w:rsidRDefault="00000000">
      <w:pPr>
        <w:pStyle w:val="Normal25"/>
        <w:widowControl w:val="0"/>
        <w:spacing w:before="240" w:line="260" w:lineRule="atLeast"/>
      </w:pPr>
      <w:r>
        <w:br/>
      </w:r>
      <w:r>
        <w:rPr>
          <w:rFonts w:ascii="Arial" w:eastAsia="Arial" w:hAnsi="Arial" w:cs="Arial"/>
          <w:b/>
          <w:color w:val="000000"/>
          <w:sz w:val="20"/>
        </w:rPr>
        <w:t>1. Aubrey's prima facie claim</w:t>
      </w:r>
    </w:p>
    <w:p w14:paraId="4B9433B8" w14:textId="77777777" w:rsidR="002B10A6" w:rsidRDefault="00000000">
      <w:pPr>
        <w:pStyle w:val="Normal25"/>
        <w:widowControl w:val="0"/>
        <w:spacing w:before="200" w:line="260" w:lineRule="atLeast"/>
        <w:jc w:val="both"/>
      </w:pPr>
      <w:bookmarkStart w:id="5586" w:name="Bookmark_para_30_15"/>
      <w:bookmarkStart w:id="5587" w:name="Bookmark_I7C9TG19G9Y0000678T0001P"/>
      <w:bookmarkStart w:id="5588" w:name="Bookmark_I7C9TG19K2B0000678T0001R"/>
      <w:bookmarkStart w:id="5589" w:name="Bookmark_I7C9TG19MVD0000678T0001S"/>
      <w:bookmarkStart w:id="5590" w:name="Bookmark_I61HP1PY2N1PXM0050000400"/>
      <w:bookmarkStart w:id="5591" w:name="Bookmark_LNHNREFclscc5_21"/>
      <w:bookmarkEnd w:id="5586"/>
      <w:bookmarkEnd w:id="5587"/>
      <w:bookmarkEnd w:id="5588"/>
      <w:bookmarkEnd w:id="5589"/>
      <w:bookmarkEnd w:id="5590"/>
      <w:bookmarkEnd w:id="5591"/>
      <w:r>
        <w:rPr>
          <w:rFonts w:ascii="Arial" w:eastAsia="Arial" w:hAnsi="Arial" w:cs="Arial"/>
          <w:color w:val="000000"/>
          <w:sz w:val="20"/>
        </w:rPr>
        <w:t xml:space="preserve">Reiterating, to establish a prima facie failure-to-accommodate claim, Aubrey had to show 1) she was disabled, 2) she was otherwise qualified, 3) she requested a plausibly reasonable accommodation, and 4) the County refused to accommodate her disability. </w:t>
      </w:r>
      <w:r>
        <w:rPr>
          <w:rFonts w:ascii="Arial" w:eastAsia="Arial" w:hAnsi="Arial" w:cs="Arial"/>
          <w:color w:val="000000"/>
          <w:sz w:val="20"/>
          <w:u w:val="single"/>
        </w:rPr>
        <w:t xml:space="preserve">See </w:t>
      </w:r>
      <w:bookmarkStart w:id="5592" w:name="Bookmark_I61HP1PY2N1PXM0040000400"/>
      <w:bookmarkEnd w:id="5592"/>
      <w:r>
        <w:rPr>
          <w:rFonts w:ascii="Arial" w:eastAsia="Arial" w:hAnsi="Arial" w:cs="Arial"/>
          <w:color w:val="000000"/>
          <w:sz w:val="20"/>
          <w:u w:val="single"/>
        </w:rPr>
        <w:t>Lincoln</w:t>
      </w:r>
      <w:r>
        <w:rPr>
          <w:rFonts w:ascii="Arial" w:eastAsia="Arial" w:hAnsi="Arial" w:cs="Arial"/>
          <w:color w:val="000000"/>
          <w:sz w:val="20"/>
        </w:rPr>
        <w:t xml:space="preserve">, 900 F.3d at 1204; </w:t>
      </w:r>
      <w:bookmarkStart w:id="5593" w:name="Bookmark_I61HP1PY2SF7SJ0010000400"/>
      <w:bookmarkEnd w:id="5593"/>
      <w:r>
        <w:rPr>
          <w:rFonts w:ascii="Arial" w:eastAsia="Arial" w:hAnsi="Arial" w:cs="Arial"/>
          <w:color w:val="000000"/>
          <w:sz w:val="20"/>
          <w:u w:val="single"/>
        </w:rPr>
        <w:t>McFarland</w:t>
      </w:r>
      <w:r>
        <w:rPr>
          <w:rFonts w:ascii="Arial" w:eastAsia="Arial" w:hAnsi="Arial" w:cs="Arial"/>
          <w:color w:val="000000"/>
          <w:sz w:val="20"/>
        </w:rPr>
        <w:t xml:space="preserve">, 744 F. App'x at 586; </w:t>
      </w:r>
      <w:bookmarkStart w:id="5594" w:name="Bookmark_I61HP1PY2SF7SJ0030000400"/>
      <w:bookmarkEnd w:id="5594"/>
      <w:r>
        <w:rPr>
          <w:rFonts w:ascii="Arial" w:eastAsia="Arial" w:hAnsi="Arial" w:cs="Arial"/>
          <w:color w:val="000000"/>
          <w:sz w:val="20"/>
          <w:u w:val="single"/>
        </w:rPr>
        <w:t>Spielman</w:t>
      </w:r>
      <w:r>
        <w:rPr>
          <w:rFonts w:ascii="Arial" w:eastAsia="Arial" w:hAnsi="Arial" w:cs="Arial"/>
          <w:color w:val="000000"/>
          <w:sz w:val="20"/>
        </w:rPr>
        <w:t>, 33 F. App'x at 443. As explained, she succeeded in making that showing. [**16] </w:t>
      </w:r>
    </w:p>
    <w:p w14:paraId="0F90EDFE" w14:textId="77777777" w:rsidR="002B10A6" w:rsidRDefault="00000000">
      <w:pPr>
        <w:pStyle w:val="Normal25"/>
        <w:widowControl w:val="0"/>
        <w:spacing w:before="240" w:line="260" w:lineRule="atLeast"/>
      </w:pPr>
      <w:r>
        <w:br/>
      </w:r>
      <w:r>
        <w:rPr>
          <w:rFonts w:ascii="Arial" w:eastAsia="Arial" w:hAnsi="Arial" w:cs="Arial"/>
          <w:b/>
          <w:color w:val="000000"/>
          <w:sz w:val="20"/>
        </w:rPr>
        <w:t>a. Aubrey was disabled for ADA purposes</w:t>
      </w:r>
    </w:p>
    <w:p w14:paraId="4606DC13" w14:textId="77777777" w:rsidR="002B10A6" w:rsidRDefault="00000000">
      <w:pPr>
        <w:pStyle w:val="Normal25"/>
        <w:widowControl w:val="0"/>
        <w:spacing w:before="200" w:line="260" w:lineRule="atLeast"/>
        <w:jc w:val="both"/>
      </w:pPr>
      <w:bookmarkStart w:id="5595" w:name="Bookmark_para_31_15"/>
      <w:bookmarkStart w:id="5596" w:name="Bookmark_LNHNREFclscc6_19"/>
      <w:bookmarkEnd w:id="5595"/>
      <w:bookmarkEnd w:id="5596"/>
      <w:r>
        <w:rPr>
          <w:rFonts w:ascii="Arial" w:eastAsia="Arial" w:hAnsi="Arial" w:cs="Arial"/>
          <w:color w:val="000000"/>
          <w:sz w:val="20"/>
        </w:rPr>
        <w:t xml:space="preserve">As a starting point, disability, for purposes of the ADA, includes "a physical or mental impairment that substantially limits one or more major life activities." 42 U.S.C. § 12102(1)(A). "An impairment that is episodic or in remission is a disability if it would substantially limit a major life activity when active." </w:t>
      </w:r>
      <w:r>
        <w:rPr>
          <w:rFonts w:ascii="Arial" w:eastAsia="Arial" w:hAnsi="Arial" w:cs="Arial"/>
          <w:color w:val="000000"/>
          <w:sz w:val="20"/>
          <w:u w:val="single"/>
        </w:rPr>
        <w:t>Id.</w:t>
      </w:r>
      <w:r>
        <w:rPr>
          <w:rFonts w:ascii="Arial" w:eastAsia="Arial" w:hAnsi="Arial" w:cs="Arial"/>
          <w:color w:val="000000"/>
          <w:sz w:val="20"/>
        </w:rPr>
        <w:t xml:space="preserve"> § 12102(4)(D). Aubrey asserted that PRES, when active, affects major life activities such as concentrating, interacting with others, seeing, thinking, and taking care of one's self. The County conceded, for purposes of its summary judgment motion, that Aubrey was thus disabled for purposes of the ADA.</w:t>
      </w:r>
    </w:p>
    <w:p w14:paraId="1035A497" w14:textId="77777777" w:rsidR="002B10A6" w:rsidRDefault="00000000">
      <w:pPr>
        <w:pStyle w:val="Normal25"/>
        <w:widowControl w:val="0"/>
        <w:spacing w:before="240" w:line="260" w:lineRule="atLeast"/>
      </w:pPr>
      <w:r>
        <w:br/>
      </w:r>
      <w:r>
        <w:rPr>
          <w:rFonts w:ascii="Arial" w:eastAsia="Arial" w:hAnsi="Arial" w:cs="Arial"/>
          <w:b/>
          <w:color w:val="000000"/>
          <w:sz w:val="20"/>
        </w:rPr>
        <w:t>b. Aubrey is otherwise qualified</w:t>
      </w:r>
    </w:p>
    <w:p w14:paraId="74F7E69B" w14:textId="77777777" w:rsidR="002B10A6" w:rsidRDefault="00000000">
      <w:pPr>
        <w:pStyle w:val="Normal25"/>
        <w:widowControl w:val="0"/>
        <w:spacing w:before="200" w:line="260" w:lineRule="atLeast"/>
        <w:jc w:val="both"/>
      </w:pPr>
      <w:bookmarkStart w:id="5597" w:name="Bookmark_para_32_15"/>
      <w:bookmarkStart w:id="5598" w:name="Bookmark_LNHNREFclscc7_18"/>
      <w:bookmarkEnd w:id="5597"/>
      <w:bookmarkEnd w:id="5598"/>
      <w:r>
        <w:rPr>
          <w:rFonts w:ascii="Arial" w:eastAsia="Arial" w:hAnsi="Arial" w:cs="Arial"/>
          <w:color w:val="000000"/>
          <w:sz w:val="20"/>
        </w:rPr>
        <w:t xml:space="preserve">Regarding the second element of Aubrey's prima facie claims, the ADA prohibits a "covered entity" from "discriminat[ing] against a </w:t>
      </w:r>
      <w:r>
        <w:rPr>
          <w:rFonts w:ascii="Arial" w:eastAsia="Arial" w:hAnsi="Arial" w:cs="Arial"/>
          <w:color w:val="000000"/>
          <w:sz w:val="20"/>
          <w:u w:val="single"/>
        </w:rPr>
        <w:t>qualified individual</w:t>
      </w:r>
      <w:r>
        <w:rPr>
          <w:rFonts w:ascii="Arial" w:eastAsia="Arial" w:hAnsi="Arial" w:cs="Arial"/>
          <w:color w:val="000000"/>
          <w:sz w:val="20"/>
        </w:rPr>
        <w:t xml:space="preserve"> on the basis of disability." 42 U.S.C. § 12112(a) (emphasis added). "The term 'qualified individual' means an individual who, with or without reasonable accommodation, can perform the essential functions of the employment position that such individual holds or desires." </w:t>
      </w:r>
      <w:r>
        <w:rPr>
          <w:rFonts w:ascii="Arial" w:eastAsia="Arial" w:hAnsi="Arial" w:cs="Arial"/>
          <w:color w:val="000000"/>
          <w:sz w:val="20"/>
          <w:u w:val="single"/>
        </w:rPr>
        <w:t>Id.</w:t>
      </w:r>
      <w:r>
        <w:rPr>
          <w:rFonts w:ascii="Arial" w:eastAsia="Arial" w:hAnsi="Arial" w:cs="Arial"/>
          <w:color w:val="000000"/>
          <w:sz w:val="20"/>
        </w:rPr>
        <w:t xml:space="preserve"> § 12111(8).</w:t>
      </w:r>
    </w:p>
    <w:p w14:paraId="6556B986" w14:textId="77777777" w:rsidR="002B10A6" w:rsidRDefault="00000000">
      <w:pPr>
        <w:pStyle w:val="Normal25"/>
        <w:widowControl w:val="0"/>
        <w:spacing w:before="200" w:line="260" w:lineRule="atLeast"/>
        <w:jc w:val="both"/>
      </w:pPr>
      <w:bookmarkStart w:id="5599" w:name="Bookmark_para_33_14"/>
      <w:bookmarkStart w:id="5600" w:name="Bookmark_I61HP1PY2SF7SK0010000400"/>
      <w:bookmarkEnd w:id="5599"/>
      <w:bookmarkEnd w:id="5600"/>
      <w:r>
        <w:rPr>
          <w:rFonts w:ascii="Arial" w:eastAsia="Arial" w:hAnsi="Arial" w:cs="Arial"/>
          <w:color w:val="000000"/>
          <w:sz w:val="20"/>
        </w:rPr>
        <w:t xml:space="preserve">No one disputes that Aubrey was qualified for her position </w:t>
      </w:r>
      <w:r>
        <w:rPr>
          <w:rFonts w:ascii="Arial" w:eastAsia="Arial" w:hAnsi="Arial" w:cs="Arial"/>
          <w:color w:val="000000"/>
          <w:sz w:val="20"/>
          <w:u w:val="single"/>
        </w:rPr>
        <w:t>before</w:t>
      </w:r>
      <w:r>
        <w:rPr>
          <w:rFonts w:ascii="Arial" w:eastAsia="Arial" w:hAnsi="Arial" w:cs="Arial"/>
          <w:color w:val="000000"/>
          <w:sz w:val="20"/>
        </w:rPr>
        <w:t xml:space="preserve"> she began suffering from PRES. Nor does Aubrey assert that she could [**17]  have returned to her job in April 2015 without an accommodation. </w:t>
      </w:r>
      <w:bookmarkStart w:id="5601" w:name="Bookmark_LNHNREFclscc8_17"/>
      <w:bookmarkEnd w:id="5601"/>
      <w:r>
        <w:rPr>
          <w:rFonts w:ascii="Arial" w:eastAsia="Arial" w:hAnsi="Arial" w:cs="Arial"/>
          <w:color w:val="000000"/>
          <w:sz w:val="20"/>
        </w:rPr>
        <w:t xml:space="preserve">Therefore, to meet the second element of her failure-to-accommodate claim, she had to show that there was a reasonable accommodation that would have enabled her to perform the essential functions of her job, at the time she was terminated or soon thereafter. </w:t>
      </w:r>
      <w:r>
        <w:rPr>
          <w:rFonts w:ascii="Arial" w:eastAsia="Arial" w:hAnsi="Arial" w:cs="Arial"/>
          <w:color w:val="000000"/>
          <w:sz w:val="20"/>
          <w:u w:val="single"/>
        </w:rPr>
        <w:t xml:space="preserve">See </w:t>
      </w:r>
      <w:bookmarkStart w:id="5602" w:name="Bookmark_I61HP1PY2SF7SJ0050000400"/>
      <w:bookmarkEnd w:id="5602"/>
      <w:r>
        <w:rPr>
          <w:rFonts w:ascii="Arial" w:eastAsia="Arial" w:hAnsi="Arial" w:cs="Arial"/>
          <w:color w:val="000000"/>
          <w:sz w:val="20"/>
          <w:u w:val="single"/>
        </w:rPr>
        <w:t>Lincoln</w:t>
      </w:r>
      <w:r>
        <w:rPr>
          <w:rFonts w:ascii="Arial" w:eastAsia="Arial" w:hAnsi="Arial" w:cs="Arial"/>
          <w:color w:val="000000"/>
          <w:sz w:val="20"/>
        </w:rPr>
        <w:t>, 900 F.3d at 1205. As explained in the next section of this opinion, Aubrey succeeded in asserting several such reasonable accommodations. A reasonable jury, therefore, could find that she was otherwise qualified.</w:t>
      </w:r>
    </w:p>
    <w:p w14:paraId="4B183534" w14:textId="77777777" w:rsidR="002B10A6" w:rsidRDefault="00000000">
      <w:pPr>
        <w:pStyle w:val="Normal25"/>
        <w:widowControl w:val="0"/>
        <w:spacing w:before="240" w:line="260" w:lineRule="atLeast"/>
      </w:pPr>
      <w:r>
        <w:br/>
      </w:r>
      <w:r>
        <w:rPr>
          <w:rFonts w:ascii="Arial" w:eastAsia="Arial" w:hAnsi="Arial" w:cs="Arial"/>
          <w:b/>
          <w:color w:val="000000"/>
          <w:sz w:val="20"/>
        </w:rPr>
        <w:t>c. Aubrey requested a plausibly reasonable accommodation</w:t>
      </w:r>
    </w:p>
    <w:p w14:paraId="7ABDD877" w14:textId="77777777" w:rsidR="002B10A6" w:rsidRDefault="00000000">
      <w:pPr>
        <w:pStyle w:val="Normal25"/>
        <w:widowControl w:val="0"/>
        <w:spacing w:before="200" w:line="260" w:lineRule="atLeast"/>
        <w:jc w:val="both"/>
      </w:pPr>
      <w:bookmarkStart w:id="5603" w:name="Bookmark_para_34_13"/>
      <w:bookmarkStart w:id="5604" w:name="Bookmark_I61HP1PY2SF7SK0030000400"/>
      <w:bookmarkStart w:id="5605" w:name="Bookmark_LNHNREFclscc9_16"/>
      <w:bookmarkEnd w:id="5603"/>
      <w:bookmarkEnd w:id="5604"/>
      <w:bookmarkEnd w:id="5605"/>
      <w:r>
        <w:rPr>
          <w:rFonts w:ascii="Arial" w:eastAsia="Arial" w:hAnsi="Arial" w:cs="Arial"/>
          <w:color w:val="000000"/>
          <w:sz w:val="20"/>
        </w:rPr>
        <w:t xml:space="preserve">To meet the third element of her prima facie failure-to-accommodate claim, Aubrey had to establish that she requested a plausibly reasonable accommodation. An employer cannot be liable for failing to accommodate a disability if it is unaware of the need for an accommodation. </w:t>
      </w:r>
      <w:r>
        <w:rPr>
          <w:rFonts w:ascii="Arial" w:eastAsia="Arial" w:hAnsi="Arial" w:cs="Arial"/>
          <w:color w:val="000000"/>
          <w:sz w:val="20"/>
          <w:u w:val="single"/>
        </w:rPr>
        <w:t xml:space="preserve">See </w:t>
      </w:r>
      <w:bookmarkStart w:id="5606" w:name="Bookmark_I61HP1PY2SF7SK0020000400"/>
      <w:bookmarkEnd w:id="5606"/>
      <w:r>
        <w:rPr>
          <w:rFonts w:ascii="Arial" w:eastAsia="Arial" w:hAnsi="Arial" w:cs="Arial"/>
          <w:color w:val="000000"/>
          <w:sz w:val="20"/>
          <w:u w:val="single"/>
        </w:rPr>
        <w:t>Punt</w:t>
      </w:r>
      <w:r>
        <w:rPr>
          <w:rFonts w:ascii="Arial" w:eastAsia="Arial" w:hAnsi="Arial" w:cs="Arial"/>
          <w:color w:val="000000"/>
          <w:sz w:val="20"/>
        </w:rPr>
        <w:t xml:space="preserve">, 862 F.3d at 1048 (citing </w:t>
      </w:r>
      <w:bookmarkStart w:id="5607" w:name="Bookmark_I61HP1PY2SF7SK0040000400"/>
      <w:bookmarkEnd w:id="5607"/>
      <w:r>
        <w:rPr>
          <w:rFonts w:ascii="Arial" w:eastAsia="Arial" w:hAnsi="Arial" w:cs="Arial"/>
          <w:color w:val="000000"/>
          <w:sz w:val="20"/>
          <w:u w:val="single"/>
        </w:rPr>
        <w:t>Smith</w:t>
      </w:r>
      <w:r>
        <w:rPr>
          <w:rFonts w:ascii="Arial" w:eastAsia="Arial" w:hAnsi="Arial" w:cs="Arial"/>
          <w:color w:val="000000"/>
          <w:sz w:val="20"/>
        </w:rPr>
        <w:t xml:space="preserve">, 180 F.3d at  [*1007]  1171-72); </w:t>
      </w:r>
      <w:bookmarkStart w:id="5608" w:name="Bookmark_I61HP1PY28T3YN0010000400"/>
      <w:bookmarkEnd w:id="5608"/>
      <w:r>
        <w:rPr>
          <w:rFonts w:ascii="Arial" w:eastAsia="Arial" w:hAnsi="Arial" w:cs="Arial"/>
          <w:color w:val="000000"/>
          <w:sz w:val="20"/>
          <w:u w:val="single"/>
        </w:rPr>
        <w:t>EEOC v. C.R. England, Inc.</w:t>
      </w:r>
      <w:r>
        <w:rPr>
          <w:rFonts w:ascii="Arial" w:eastAsia="Arial" w:hAnsi="Arial" w:cs="Arial"/>
          <w:color w:val="000000"/>
          <w:sz w:val="20"/>
        </w:rPr>
        <w:t>, 644 F.3d 1028, 1049 (10th Cir. 2011).</w:t>
      </w:r>
    </w:p>
    <w:p w14:paraId="60263F7F" w14:textId="77777777" w:rsidR="002B10A6" w:rsidRDefault="00000000">
      <w:pPr>
        <w:pStyle w:val="Normal25"/>
        <w:widowControl w:val="0"/>
        <w:spacing w:before="200" w:line="260" w:lineRule="atLeast"/>
        <w:jc w:val="both"/>
      </w:pPr>
      <w:bookmarkStart w:id="5609" w:name="Bookmark_para_35_13"/>
      <w:bookmarkStart w:id="5610" w:name="Bookmark_I61HP1PY28T3YN0040000400"/>
      <w:bookmarkStart w:id="5611" w:name="Bookmark_LNHNREFclscc10_15"/>
      <w:bookmarkEnd w:id="5609"/>
      <w:bookmarkEnd w:id="5610"/>
      <w:bookmarkEnd w:id="5611"/>
      <w:r>
        <w:rPr>
          <w:rFonts w:ascii="Arial" w:eastAsia="Arial" w:hAnsi="Arial" w:cs="Arial"/>
          <w:color w:val="000000"/>
          <w:sz w:val="20"/>
        </w:rPr>
        <w:t xml:space="preserve">"[T]he term 'reasonable accommodation' refers to those accommodations which presently, or in the near future, enable the employee to perform the essential functions of his job." </w:t>
      </w:r>
      <w:bookmarkStart w:id="5612" w:name="Bookmark_I61HP1PY28T3YN0030000400"/>
      <w:bookmarkEnd w:id="5612"/>
      <w:r>
        <w:rPr>
          <w:rFonts w:ascii="Arial" w:eastAsia="Arial" w:hAnsi="Arial" w:cs="Arial"/>
          <w:color w:val="000000"/>
          <w:sz w:val="20"/>
          <w:u w:val="single"/>
        </w:rPr>
        <w:t>Lincoln</w:t>
      </w:r>
      <w:r>
        <w:rPr>
          <w:rFonts w:ascii="Arial" w:eastAsia="Arial" w:hAnsi="Arial" w:cs="Arial"/>
          <w:color w:val="000000"/>
          <w:sz w:val="20"/>
        </w:rPr>
        <w:t>, 900 F.3d at 1205 (internal quotation marks omitted). The ADA provides that a "reasonable accommodation" may include—</w:t>
      </w:r>
    </w:p>
    <w:p w14:paraId="365EC520" w14:textId="77777777" w:rsidR="002B10A6" w:rsidRDefault="00000000">
      <w:pPr>
        <w:pStyle w:val="Normal25"/>
        <w:widowControl w:val="0"/>
        <w:spacing w:before="200" w:line="260" w:lineRule="atLeast"/>
        <w:ind w:left="400"/>
        <w:jc w:val="both"/>
      </w:pPr>
      <w:bookmarkStart w:id="5613" w:name="Bookmark_para_36_13"/>
      <w:bookmarkStart w:id="5614" w:name="Bookmark_I61HP1PY28T3YN0040000400_2"/>
      <w:bookmarkEnd w:id="5613"/>
      <w:bookmarkEnd w:id="5614"/>
      <w:r>
        <w:rPr>
          <w:rFonts w:ascii="Arial" w:eastAsia="Arial" w:hAnsi="Arial" w:cs="Arial"/>
          <w:b/>
          <w:color w:val="000000"/>
          <w:sz w:val="20"/>
        </w:rPr>
        <w:t>(A)</w:t>
      </w:r>
      <w:r>
        <w:rPr>
          <w:rFonts w:ascii="Arial" w:eastAsia="Arial" w:hAnsi="Arial" w:cs="Arial"/>
          <w:color w:val="000000"/>
          <w:sz w:val="20"/>
        </w:rPr>
        <w:t xml:space="preserve"> making existing facilities used by employees [**18]  readily accessible to and usable by individuals with disabilities; and</w:t>
      </w:r>
    </w:p>
    <w:p w14:paraId="6CBD3C3B" w14:textId="77777777" w:rsidR="002B10A6" w:rsidRDefault="00000000">
      <w:pPr>
        <w:pStyle w:val="Normal25"/>
        <w:widowControl w:val="0"/>
        <w:spacing w:before="200" w:line="260" w:lineRule="atLeast"/>
        <w:ind w:left="400"/>
        <w:jc w:val="both"/>
      </w:pPr>
      <w:bookmarkStart w:id="5615" w:name="Bookmark_para_37_12"/>
      <w:bookmarkStart w:id="5616" w:name="Bookmark_I61HP1R02HM5TG0010000400"/>
      <w:bookmarkEnd w:id="5615"/>
      <w:bookmarkEnd w:id="5616"/>
      <w:r>
        <w:rPr>
          <w:rFonts w:ascii="Arial" w:eastAsia="Arial" w:hAnsi="Arial" w:cs="Arial"/>
          <w:b/>
          <w:color w:val="000000"/>
          <w:sz w:val="20"/>
        </w:rPr>
        <w:t>(B)</w:t>
      </w:r>
      <w:r>
        <w:rPr>
          <w:rFonts w:ascii="Arial" w:eastAsia="Arial" w:hAnsi="Arial" w:cs="Arial"/>
          <w:color w:val="000000"/>
          <w:sz w:val="20"/>
        </w:rPr>
        <w:t xml:space="preserve"> job restructuring, part-time or modified work schedules, reassignment to a vacant position, acquisition or modification of equipment or devices, appropriate adjustment or modifications of examinations, training materials or policies, the provision of qualified readers or interpreters, and other similar accommodations for individuals with disabilities.</w:t>
      </w:r>
    </w:p>
    <w:p w14:paraId="32BC9AF2" w14:textId="77777777" w:rsidR="002B10A6" w:rsidRDefault="00000000">
      <w:pPr>
        <w:pStyle w:val="Normal25"/>
        <w:widowControl w:val="0"/>
        <w:spacing w:before="200" w:line="260" w:lineRule="atLeast"/>
        <w:jc w:val="both"/>
      </w:pPr>
      <w:bookmarkStart w:id="5617" w:name="Bookmark_I61HP1R02HM5TG0010000400_2"/>
      <w:bookmarkEnd w:id="5617"/>
      <w:r>
        <w:rPr>
          <w:rFonts w:ascii="Arial" w:eastAsia="Arial" w:hAnsi="Arial" w:cs="Arial"/>
          <w:color w:val="000000"/>
          <w:sz w:val="20"/>
        </w:rPr>
        <w:t xml:space="preserve">42 U.S.C. § 12111(9). "The determination of whether a requested accommodation is reasonable must be made on the facts of each case taking into consideration the particular individual's disability and employment position." </w:t>
      </w:r>
      <w:bookmarkStart w:id="5618" w:name="Bookmark_I61HP1PY28T3YN0050000400"/>
      <w:bookmarkEnd w:id="5618"/>
      <w:r>
        <w:rPr>
          <w:rFonts w:ascii="Arial" w:eastAsia="Arial" w:hAnsi="Arial" w:cs="Arial"/>
          <w:color w:val="000000"/>
          <w:sz w:val="20"/>
          <w:u w:val="single"/>
        </w:rPr>
        <w:t>Punt</w:t>
      </w:r>
      <w:r>
        <w:rPr>
          <w:rFonts w:ascii="Arial" w:eastAsia="Arial" w:hAnsi="Arial" w:cs="Arial"/>
          <w:color w:val="000000"/>
          <w:sz w:val="20"/>
        </w:rPr>
        <w:t>, 862 F.3d at 1050 (internal quotation marks omitted).</w:t>
      </w:r>
    </w:p>
    <w:p w14:paraId="089104F8" w14:textId="77777777" w:rsidR="002B10A6" w:rsidRDefault="00000000">
      <w:pPr>
        <w:pStyle w:val="Normal25"/>
        <w:widowControl w:val="0"/>
        <w:spacing w:before="240" w:line="260" w:lineRule="atLeast"/>
      </w:pPr>
      <w:r>
        <w:br/>
      </w:r>
      <w:r>
        <w:rPr>
          <w:rFonts w:ascii="Arial" w:eastAsia="Arial" w:hAnsi="Arial" w:cs="Arial"/>
          <w:b/>
          <w:color w:val="000000"/>
          <w:sz w:val="20"/>
        </w:rPr>
        <w:t>i. A jury could find that the County failed to engage in an interactive process with Aubrey to determine if there was a reasonable accommodation that would have enabled her to perform the essential functions of her job</w:t>
      </w:r>
    </w:p>
    <w:p w14:paraId="3E784369" w14:textId="77777777" w:rsidR="002B10A6" w:rsidRDefault="00000000">
      <w:pPr>
        <w:pStyle w:val="Normal25"/>
        <w:widowControl w:val="0"/>
        <w:spacing w:before="200" w:line="260" w:lineRule="atLeast"/>
        <w:jc w:val="both"/>
      </w:pPr>
      <w:bookmarkStart w:id="5619" w:name="Bookmark_para_38_11"/>
      <w:bookmarkStart w:id="5620" w:name="Bookmark_I61HP1R02HM5TG0030000400"/>
      <w:bookmarkStart w:id="5621" w:name="Bookmark_I61HP1R02D6N620020000400"/>
      <w:bookmarkEnd w:id="5619"/>
      <w:bookmarkEnd w:id="5620"/>
      <w:bookmarkEnd w:id="5621"/>
      <w:r>
        <w:rPr>
          <w:rFonts w:ascii="Arial" w:eastAsia="Arial" w:hAnsi="Arial" w:cs="Arial"/>
          <w:color w:val="000000"/>
          <w:sz w:val="20"/>
        </w:rPr>
        <w:t xml:space="preserve">The district court determined that during the pre-termination meeting, Aubrey suggested three accommodations: (1) more time to obtain her neurologist's certification that she could return to work, (2) retraining, and (3) reassignment to the Office Tech II position. Those requests triggered the County's duty to engage [**19]  in good faith with Aubrey in an interactive process to determine her limitations and consider whether the accommodations she requested, or perhaps others that might come to light during this interactive process, would enable Aubrey to return to work. </w:t>
      </w:r>
      <w:r>
        <w:rPr>
          <w:rFonts w:ascii="Arial" w:eastAsia="Arial" w:hAnsi="Arial" w:cs="Arial"/>
          <w:color w:val="000000"/>
          <w:sz w:val="20"/>
          <w:u w:val="single"/>
        </w:rPr>
        <w:t xml:space="preserve">See </w:t>
      </w:r>
      <w:bookmarkStart w:id="5622" w:name="Bookmark_I61HP1R02HM5TG0020000400"/>
      <w:bookmarkEnd w:id="5622"/>
      <w:r>
        <w:rPr>
          <w:rFonts w:ascii="Arial" w:eastAsia="Arial" w:hAnsi="Arial" w:cs="Arial"/>
          <w:color w:val="000000"/>
          <w:sz w:val="20"/>
          <w:u w:val="single"/>
        </w:rPr>
        <w:t>DeWitt</w:t>
      </w:r>
      <w:r>
        <w:rPr>
          <w:rFonts w:ascii="Arial" w:eastAsia="Arial" w:hAnsi="Arial" w:cs="Arial"/>
          <w:color w:val="000000"/>
          <w:sz w:val="20"/>
        </w:rPr>
        <w:t xml:space="preserve">, 845 F.3d at 1315-16; </w:t>
      </w:r>
      <w:r>
        <w:rPr>
          <w:rFonts w:ascii="Arial" w:eastAsia="Arial" w:hAnsi="Arial" w:cs="Arial"/>
          <w:color w:val="000000"/>
          <w:sz w:val="20"/>
          <w:u w:val="single"/>
        </w:rPr>
        <w:t xml:space="preserve">see also </w:t>
      </w:r>
      <w:bookmarkStart w:id="5623" w:name="Bookmark_I61HP1R02HM5TG0040000400"/>
      <w:bookmarkEnd w:id="5623"/>
      <w:r>
        <w:rPr>
          <w:rFonts w:ascii="Arial" w:eastAsia="Arial" w:hAnsi="Arial" w:cs="Arial"/>
          <w:color w:val="000000"/>
          <w:sz w:val="20"/>
          <w:u w:val="single"/>
        </w:rPr>
        <w:t>Smith</w:t>
      </w:r>
      <w:r>
        <w:rPr>
          <w:rFonts w:ascii="Arial" w:eastAsia="Arial" w:hAnsi="Arial" w:cs="Arial"/>
          <w:color w:val="000000"/>
          <w:sz w:val="20"/>
        </w:rPr>
        <w:t xml:space="preserve">, 180 F.3d at 1172 ("The interactive process is typically an essential component of the process by which a reasonable accommodation can be determined."). </w:t>
      </w:r>
      <w:r>
        <w:rPr>
          <w:rFonts w:ascii="Arial" w:eastAsia="Arial" w:hAnsi="Arial" w:cs="Arial"/>
          <w:color w:val="000000"/>
          <w:sz w:val="20"/>
          <w:u w:val="single"/>
        </w:rPr>
        <w:t xml:space="preserve">See generally </w:t>
      </w:r>
      <w:bookmarkStart w:id="5624" w:name="Bookmark_I61HP1R02D6N620010000400"/>
      <w:bookmarkEnd w:id="5624"/>
      <w:r>
        <w:rPr>
          <w:rFonts w:ascii="Arial" w:eastAsia="Arial" w:hAnsi="Arial" w:cs="Arial"/>
          <w:color w:val="000000"/>
          <w:sz w:val="20"/>
          <w:u w:val="single"/>
        </w:rPr>
        <w:t>Smith</w:t>
      </w:r>
      <w:r>
        <w:rPr>
          <w:rFonts w:ascii="Arial" w:eastAsia="Arial" w:hAnsi="Arial" w:cs="Arial"/>
          <w:color w:val="000000"/>
          <w:sz w:val="20"/>
        </w:rPr>
        <w:t>, 180 F.3d at 1171-74 (discussing this interactive process to determine whether there is a reasonable accommodation that would allow a disabled employee to return to work).</w:t>
      </w:r>
    </w:p>
    <w:p w14:paraId="26BED828" w14:textId="77777777" w:rsidR="002B10A6" w:rsidRDefault="00000000">
      <w:pPr>
        <w:pStyle w:val="Normal25"/>
        <w:widowControl w:val="0"/>
        <w:spacing w:before="200" w:line="260" w:lineRule="atLeast"/>
        <w:jc w:val="both"/>
      </w:pPr>
      <w:bookmarkStart w:id="5625" w:name="Bookmark_para_39_11"/>
      <w:bookmarkStart w:id="5626" w:name="Bookmark_I61HP1R02D6N620040000400"/>
      <w:bookmarkStart w:id="5627" w:name="Bookmark_LNHNREFclscc11_15"/>
      <w:bookmarkEnd w:id="5625"/>
      <w:bookmarkEnd w:id="5626"/>
      <w:bookmarkEnd w:id="5627"/>
      <w:r>
        <w:rPr>
          <w:rFonts w:ascii="Arial" w:eastAsia="Arial" w:hAnsi="Arial" w:cs="Arial"/>
          <w:color w:val="000000"/>
          <w:sz w:val="20"/>
        </w:rPr>
        <w:t xml:space="preserve">The obligation to participate in this interactive process is inherent in the statutory requirement that the employer offer a disabled, but otherwise qualified employee a reasonable accommodation. </w:t>
      </w:r>
      <w:bookmarkStart w:id="5628" w:name="Bookmark_I61HP1R02N1PXP0030000400"/>
      <w:bookmarkEnd w:id="5628"/>
      <w:r>
        <w:rPr>
          <w:rFonts w:ascii="Arial" w:eastAsia="Arial" w:hAnsi="Arial" w:cs="Arial"/>
          <w:color w:val="000000"/>
          <w:sz w:val="20"/>
          <w:u w:val="single"/>
        </w:rPr>
        <w:t xml:space="preserve">See </w:t>
      </w:r>
      <w:bookmarkStart w:id="5629" w:name="Bookmark_I61HP1R02D6N620030000400"/>
      <w:bookmarkEnd w:id="5629"/>
      <w:r>
        <w:rPr>
          <w:rFonts w:ascii="Arial" w:eastAsia="Arial" w:hAnsi="Arial" w:cs="Arial"/>
          <w:color w:val="000000"/>
          <w:sz w:val="20"/>
          <w:u w:val="single"/>
        </w:rPr>
        <w:t>Smith</w:t>
      </w:r>
      <w:r>
        <w:rPr>
          <w:rFonts w:ascii="Arial" w:eastAsia="Arial" w:hAnsi="Arial" w:cs="Arial"/>
          <w:color w:val="000000"/>
          <w:sz w:val="20"/>
        </w:rPr>
        <w:t xml:space="preserve">, 180 F.3d at 1172; </w:t>
      </w:r>
      <w:r>
        <w:rPr>
          <w:rFonts w:ascii="Arial" w:eastAsia="Arial" w:hAnsi="Arial" w:cs="Arial"/>
          <w:color w:val="000000"/>
          <w:sz w:val="20"/>
          <w:u w:val="single"/>
        </w:rPr>
        <w:t xml:space="preserve">see also </w:t>
      </w:r>
      <w:bookmarkStart w:id="5630" w:name="Bookmark_I61HP1R02D6N620050000400"/>
      <w:bookmarkEnd w:id="5630"/>
      <w:r>
        <w:rPr>
          <w:rFonts w:ascii="Arial" w:eastAsia="Arial" w:hAnsi="Arial" w:cs="Arial"/>
          <w:color w:val="000000"/>
          <w:sz w:val="20"/>
          <w:u w:val="single"/>
        </w:rPr>
        <w:t>Wilkerson v. Shinseki</w:t>
      </w:r>
      <w:r>
        <w:rPr>
          <w:rFonts w:ascii="Arial" w:eastAsia="Arial" w:hAnsi="Arial" w:cs="Arial"/>
          <w:color w:val="000000"/>
          <w:sz w:val="20"/>
        </w:rPr>
        <w:t xml:space="preserve">, 606 F.3d 1256, 1266 (10th Cir. 2010) (Rehabilitation Act claim). </w:t>
      </w:r>
      <w:bookmarkStart w:id="5631" w:name="Bookmark_I61HP1R028T3YS0020000400"/>
      <w:bookmarkEnd w:id="5631"/>
      <w:r>
        <w:rPr>
          <w:rFonts w:ascii="Arial" w:eastAsia="Arial" w:hAnsi="Arial" w:cs="Arial"/>
          <w:color w:val="000000"/>
          <w:sz w:val="20"/>
        </w:rPr>
        <w:t xml:space="preserve">The interactive process requires the good faith participation of </w:t>
      </w:r>
      <w:r>
        <w:rPr>
          <w:rFonts w:ascii="Arial" w:eastAsia="Arial" w:hAnsi="Arial" w:cs="Arial"/>
          <w:color w:val="000000"/>
          <w:sz w:val="20"/>
          <w:u w:val="single"/>
        </w:rPr>
        <w:t>both</w:t>
      </w:r>
      <w:r>
        <w:rPr>
          <w:rFonts w:ascii="Arial" w:eastAsia="Arial" w:hAnsi="Arial" w:cs="Arial"/>
          <w:color w:val="000000"/>
          <w:sz w:val="20"/>
        </w:rPr>
        <w:t xml:space="preserve"> the employer and employee. </w:t>
      </w:r>
      <w:bookmarkStart w:id="5632" w:name="Bookmark_I61HP1R028T3YS0020000400_2"/>
      <w:bookmarkStart w:id="5633" w:name="Bookmark_I61HP1R02N1PXP0030000400_2"/>
      <w:bookmarkEnd w:id="5632"/>
      <w:bookmarkEnd w:id="5633"/>
      <w:r>
        <w:rPr>
          <w:rFonts w:ascii="Arial" w:eastAsia="Arial" w:hAnsi="Arial" w:cs="Arial"/>
          <w:color w:val="000000"/>
          <w:sz w:val="20"/>
          <w:u w:val="single"/>
        </w:rPr>
        <w:t xml:space="preserve">See </w:t>
      </w:r>
      <w:bookmarkStart w:id="5634" w:name="Bookmark_I61HP1R02N1PXP0020000400"/>
      <w:bookmarkEnd w:id="5634"/>
      <w:r>
        <w:rPr>
          <w:rFonts w:ascii="Arial" w:eastAsia="Arial" w:hAnsi="Arial" w:cs="Arial"/>
          <w:color w:val="000000"/>
          <w:sz w:val="20"/>
          <w:u w:val="single"/>
        </w:rPr>
        <w:t>Smith</w:t>
      </w:r>
      <w:r>
        <w:rPr>
          <w:rFonts w:ascii="Arial" w:eastAsia="Arial" w:hAnsi="Arial" w:cs="Arial"/>
          <w:color w:val="000000"/>
          <w:sz w:val="20"/>
        </w:rPr>
        <w:t xml:space="preserve">, 180 F.3d at 1172; </w:t>
      </w:r>
      <w:r>
        <w:rPr>
          <w:rFonts w:ascii="Arial" w:eastAsia="Arial" w:hAnsi="Arial" w:cs="Arial"/>
          <w:color w:val="000000"/>
          <w:sz w:val="20"/>
          <w:u w:val="single"/>
        </w:rPr>
        <w:t xml:space="preserve">see also </w:t>
      </w:r>
      <w:bookmarkStart w:id="5635" w:name="Bookmark_I61HP1R02N1PXP0040000400"/>
      <w:bookmarkEnd w:id="5635"/>
      <w:r>
        <w:rPr>
          <w:rFonts w:ascii="Arial" w:eastAsia="Arial" w:hAnsi="Arial" w:cs="Arial"/>
          <w:color w:val="000000"/>
          <w:sz w:val="20"/>
          <w:u w:val="single"/>
        </w:rPr>
        <w:t>Wilkerson</w:t>
      </w:r>
      <w:r>
        <w:rPr>
          <w:rFonts w:ascii="Arial" w:eastAsia="Arial" w:hAnsi="Arial" w:cs="Arial"/>
          <w:color w:val="000000"/>
          <w:sz w:val="20"/>
        </w:rPr>
        <w:t xml:space="preserve">, 606 F.3d at 1266. "While '[t]he exact shape of this interactive dialogue will necessarily vary from situation to situation and no rules of universal application can be articulated[,]' '[t]he interactive process [necessarily] includes good-faith communications between the employer and employee.'" [**20]  </w:t>
      </w:r>
      <w:bookmarkStart w:id="5636" w:name="Bookmark_I61HP1R028T3YS0010000400"/>
      <w:bookmarkEnd w:id="5636"/>
      <w:r>
        <w:rPr>
          <w:rFonts w:ascii="Arial" w:eastAsia="Arial" w:hAnsi="Arial" w:cs="Arial"/>
          <w:color w:val="000000"/>
          <w:sz w:val="20"/>
          <w:u w:val="single"/>
        </w:rPr>
        <w:t>Bartee v. Michelin N. Am., Inc.</w:t>
      </w:r>
      <w:r>
        <w:rPr>
          <w:rFonts w:ascii="Arial" w:eastAsia="Arial" w:hAnsi="Arial" w:cs="Arial"/>
          <w:color w:val="000000"/>
          <w:sz w:val="20"/>
        </w:rPr>
        <w:t xml:space="preserve">, 374 F.3d 906, 916 (10th Cir. 2004) (quoting </w:t>
      </w:r>
      <w:bookmarkStart w:id="5637" w:name="Bookmark_I61HP1R028T3YS0030000400"/>
      <w:bookmarkEnd w:id="5637"/>
      <w:r>
        <w:rPr>
          <w:rFonts w:ascii="Arial" w:eastAsia="Arial" w:hAnsi="Arial" w:cs="Arial"/>
          <w:color w:val="000000"/>
          <w:sz w:val="20"/>
          <w:u w:val="single"/>
        </w:rPr>
        <w:t>Smith</w:t>
      </w:r>
      <w:r>
        <w:rPr>
          <w:rFonts w:ascii="Arial" w:eastAsia="Arial" w:hAnsi="Arial" w:cs="Arial"/>
          <w:color w:val="000000"/>
          <w:sz w:val="20"/>
        </w:rPr>
        <w:t>, 180 F.3d at 1172-73). This is imperative because each side will possess different information, all of which is critical to determining whether there is a reasonable accommodation that might permit the disabled employee to perform the essential functions of her job.</w:t>
      </w:r>
    </w:p>
    <w:p w14:paraId="0277352D" w14:textId="77777777" w:rsidR="002B10A6" w:rsidRDefault="00000000">
      <w:pPr>
        <w:pStyle w:val="Normal25"/>
        <w:widowControl w:val="0"/>
        <w:spacing w:before="200" w:line="260" w:lineRule="atLeast"/>
        <w:jc w:val="both"/>
      </w:pPr>
      <w:bookmarkStart w:id="5638" w:name="Bookmark_para_40_11"/>
      <w:bookmarkEnd w:id="5638"/>
      <w:r>
        <w:rPr>
          <w:rFonts w:ascii="Arial" w:eastAsia="Arial" w:hAnsi="Arial" w:cs="Arial"/>
          <w:color w:val="000000"/>
          <w:sz w:val="20"/>
        </w:rPr>
        <w:t xml:space="preserve">Ultimately, the problem in this case was that the County did not engage in this interactive process, or at least there is  [*1008]  certainly evidence from which a reasonable jury could find that to be the case. </w:t>
      </w:r>
      <w:r>
        <w:rPr>
          <w:rFonts w:ascii="Arial" w:eastAsia="Arial" w:hAnsi="Arial" w:cs="Arial"/>
          <w:color w:val="000000"/>
          <w:sz w:val="20"/>
          <w:u w:val="single"/>
        </w:rPr>
        <w:t>See id.</w:t>
      </w:r>
      <w:r>
        <w:rPr>
          <w:rFonts w:ascii="Arial" w:eastAsia="Arial" w:hAnsi="Arial" w:cs="Arial"/>
          <w:color w:val="000000"/>
          <w:sz w:val="20"/>
        </w:rPr>
        <w:t xml:space="preserve"> The County contends it did engage in an interactive process with Aubrey during the pre-termination hearing. But, from the transcript of that hearing and the circumstances surrounding it, a jury could find that County officials made no effort to discover exactly what Aubrey's limitations were at that time, nor in exploring with Aubrey whether there were any accommodations that would have enable her to return to work at that time, or in the near future, even with her limitations.</w:t>
      </w:r>
    </w:p>
    <w:p w14:paraId="323FAD21" w14:textId="77777777" w:rsidR="002B10A6" w:rsidRDefault="00000000">
      <w:pPr>
        <w:pStyle w:val="Normal25"/>
        <w:widowControl w:val="0"/>
        <w:spacing w:before="200" w:line="260" w:lineRule="atLeast"/>
        <w:jc w:val="both"/>
      </w:pPr>
      <w:bookmarkStart w:id="5639" w:name="Bookmark_para_41_11"/>
      <w:bookmarkEnd w:id="5639"/>
      <w:r>
        <w:rPr>
          <w:rFonts w:ascii="Arial" w:eastAsia="Arial" w:hAnsi="Arial" w:cs="Arial"/>
          <w:color w:val="000000"/>
          <w:sz w:val="20"/>
        </w:rPr>
        <w:t xml:space="preserve">For example, although Aubrey knew that, in order to return to work, she had to have a physician certify that she was fit for duty, the County had not previously notified Aubrey that she would have to have that certification by April 16. Instead, the County [**21]  extended her leave without pay indefinitely, knowing Aubrey's doctors, during the early stages of her illness, had indicated that she would not be able to return to work for six months. </w:t>
      </w:r>
      <w:bookmarkStart w:id="5640" w:name="Bookmark_I61HP1R02HM5TJ0010000400"/>
      <w:bookmarkEnd w:id="5640"/>
      <w:r>
        <w:rPr>
          <w:rFonts w:ascii="Arial" w:eastAsia="Arial" w:hAnsi="Arial" w:cs="Arial"/>
          <w:color w:val="000000"/>
          <w:sz w:val="20"/>
        </w:rPr>
        <w:t xml:space="preserve">A reasonable jury could find that Aubrey reasonably believed that the County had approved unpaid leave until July 31 or August 1, well after the date of her termination. Moreover, a reasonable jury could find that the County foreclosed the possibility that Aubrey could obtain a doctor's fitness-for-duty certification on April 16 by giving her less the twenty-four-hours' notice of the pre-termination meeting and not giving her any additional time after that meeting to attempt to obtain the needed information from her treating health care providers. </w:t>
      </w:r>
      <w:r>
        <w:rPr>
          <w:rFonts w:ascii="Arial" w:eastAsia="Arial" w:hAnsi="Arial" w:cs="Arial"/>
          <w:color w:val="000000"/>
          <w:sz w:val="20"/>
          <w:u w:val="single"/>
        </w:rPr>
        <w:t xml:space="preserve">Cf. </w:t>
      </w:r>
      <w:bookmarkStart w:id="5641" w:name="Bookmark_I61HP1R028T3YS0050000400"/>
      <w:bookmarkEnd w:id="5641"/>
      <w:r>
        <w:rPr>
          <w:rFonts w:ascii="Arial" w:eastAsia="Arial" w:hAnsi="Arial" w:cs="Arial"/>
          <w:color w:val="000000"/>
          <w:sz w:val="20"/>
          <w:u w:val="single"/>
        </w:rPr>
        <w:t>Wells v. Shalala</w:t>
      </w:r>
      <w:r>
        <w:rPr>
          <w:rFonts w:ascii="Arial" w:eastAsia="Arial" w:hAnsi="Arial" w:cs="Arial"/>
          <w:color w:val="000000"/>
          <w:sz w:val="20"/>
        </w:rPr>
        <w:t xml:space="preserve">, 228 F.3d 1137, 1143, 1145-46 (10th Cir. 2000) (holding, under Rehabilitation Act, that employer was not liable for failing to accommodate employee's disability where </w:t>
      </w:r>
      <w:r>
        <w:rPr>
          <w:rFonts w:ascii="Arial" w:eastAsia="Arial" w:hAnsi="Arial" w:cs="Arial"/>
          <w:color w:val="000000"/>
          <w:sz w:val="20"/>
          <w:u w:val="single"/>
        </w:rPr>
        <w:t>employee</w:t>
      </w:r>
      <w:r>
        <w:rPr>
          <w:rFonts w:ascii="Arial" w:eastAsia="Arial" w:hAnsi="Arial" w:cs="Arial"/>
          <w:color w:val="000000"/>
          <w:sz w:val="20"/>
        </w:rPr>
        <w:t xml:space="preserve"> failed to participate in interactive process because, "despite </w:t>
      </w:r>
      <w:r>
        <w:rPr>
          <w:rFonts w:ascii="Arial" w:eastAsia="Arial" w:hAnsi="Arial" w:cs="Arial"/>
          <w:color w:val="000000"/>
          <w:sz w:val="20"/>
          <w:u w:val="single"/>
        </w:rPr>
        <w:t>ample</w:t>
      </w:r>
      <w:r>
        <w:rPr>
          <w:rFonts w:ascii="Arial" w:eastAsia="Arial" w:hAnsi="Arial" w:cs="Arial"/>
          <w:color w:val="000000"/>
          <w:sz w:val="20"/>
        </w:rPr>
        <w:t xml:space="preserve"> time to do so," he failed to provide employer "with any medical documentation to support" his requested accommodation (emphasis added)).</w:t>
      </w:r>
    </w:p>
    <w:p w14:paraId="4FE1A428" w14:textId="77777777" w:rsidR="002B10A6" w:rsidRDefault="00000000">
      <w:pPr>
        <w:pStyle w:val="Normal25"/>
        <w:widowControl w:val="0"/>
        <w:spacing w:before="200" w:line="260" w:lineRule="atLeast"/>
        <w:jc w:val="both"/>
      </w:pPr>
      <w:bookmarkStart w:id="5642" w:name="Bookmark_para_42_11"/>
      <w:bookmarkEnd w:id="5642"/>
      <w:r>
        <w:rPr>
          <w:rFonts w:ascii="Arial" w:eastAsia="Arial" w:hAnsi="Arial" w:cs="Arial"/>
          <w:color w:val="000000"/>
          <w:sz w:val="20"/>
        </w:rPr>
        <w:t xml:space="preserve">Furthermore, the County's refusal to give Aubrey any additional time to obtain updated information from her doctors was contrary [**22]  to the County's usual procedure when an employee sought an accommodation for a disability. Ordinarily, the County would provide that employee a County form to take to the employee's doctor to find out what accommodations are needed and then give the employee approximately fifteen days, perhaps more if necessary, to get the form completed. No one gave Aubrey such a form prior to the pre-termination meeting, nor was she afforded </w:t>
      </w:r>
      <w:r>
        <w:rPr>
          <w:rFonts w:ascii="Arial" w:eastAsia="Arial" w:hAnsi="Arial" w:cs="Arial"/>
          <w:color w:val="000000"/>
          <w:sz w:val="20"/>
          <w:u w:val="single"/>
        </w:rPr>
        <w:t>any</w:t>
      </w:r>
      <w:r>
        <w:rPr>
          <w:rFonts w:ascii="Arial" w:eastAsia="Arial" w:hAnsi="Arial" w:cs="Arial"/>
          <w:color w:val="000000"/>
          <w:sz w:val="20"/>
        </w:rPr>
        <w:t xml:space="preserve"> time to gather that updated medical information. Clerk and Recorder Koppes then incongruously complained during her deposition that Aubrey had not provided her with any medical documentation of Aubrey's limitations.</w:t>
      </w:r>
    </w:p>
    <w:p w14:paraId="1E6362DB" w14:textId="77777777" w:rsidR="002B10A6" w:rsidRDefault="00000000">
      <w:pPr>
        <w:pStyle w:val="Normal25"/>
        <w:widowControl w:val="0"/>
        <w:spacing w:before="200" w:line="260" w:lineRule="atLeast"/>
        <w:jc w:val="both"/>
      </w:pPr>
      <w:bookmarkStart w:id="5643" w:name="Bookmark_para_43_10"/>
      <w:bookmarkStart w:id="5644" w:name="Bookmark_I61HP1R02HM5TJ0030000400"/>
      <w:bookmarkEnd w:id="5643"/>
      <w:bookmarkEnd w:id="5644"/>
      <w:r>
        <w:rPr>
          <w:rFonts w:ascii="Arial" w:eastAsia="Arial" w:hAnsi="Arial" w:cs="Arial"/>
          <w:color w:val="000000"/>
          <w:sz w:val="20"/>
        </w:rPr>
        <w:t xml:space="preserve">Further, Koppes testified at her deposition that, before the meeting (and contrary to what was asserted in the pre-termination notice letter), Koppes did not know anything about Aubrey's medical problems. Nor did County officials ask Aubrey during the meeting about her limitations resulting from her disability. </w:t>
      </w:r>
      <w:r>
        <w:rPr>
          <w:rFonts w:ascii="Arial" w:eastAsia="Arial" w:hAnsi="Arial" w:cs="Arial"/>
          <w:color w:val="000000"/>
          <w:sz w:val="20"/>
          <w:u w:val="single"/>
        </w:rPr>
        <w:t xml:space="preserve">See </w:t>
      </w:r>
      <w:bookmarkStart w:id="5645" w:name="Bookmark_I61HP1R02HM5TJ0020000400"/>
      <w:bookmarkEnd w:id="5645"/>
      <w:r>
        <w:rPr>
          <w:rFonts w:ascii="Arial" w:eastAsia="Arial" w:hAnsi="Arial" w:cs="Arial"/>
          <w:color w:val="000000"/>
          <w:sz w:val="20"/>
          <w:u w:val="single"/>
        </w:rPr>
        <w:t>Bartee</w:t>
      </w:r>
      <w:r>
        <w:rPr>
          <w:rFonts w:ascii="Arial" w:eastAsia="Arial" w:hAnsi="Arial" w:cs="Arial"/>
          <w:color w:val="000000"/>
          <w:sz w:val="20"/>
        </w:rPr>
        <w:t xml:space="preserve">, 374 F.3d at 916 (considering fact that employer did not inquire about disabled employee's restrictions as evidence that employer failed to participate in interactive process). </w:t>
      </w:r>
      <w:bookmarkStart w:id="5646" w:name="Bookmark_I61HP1R02HM5TJ0050000400"/>
      <w:bookmarkEnd w:id="5646"/>
      <w:r>
        <w:rPr>
          <w:rFonts w:ascii="Arial" w:eastAsia="Arial" w:hAnsi="Arial" w:cs="Arial"/>
          <w:color w:val="000000"/>
          <w:sz w:val="20"/>
        </w:rPr>
        <w:t xml:space="preserve">Nor did these officials explore what retraining Aubrey might need, once [**23]  she raised that possibility during the meeting. </w:t>
      </w:r>
      <w:r>
        <w:rPr>
          <w:rFonts w:ascii="Arial" w:eastAsia="Arial" w:hAnsi="Arial" w:cs="Arial"/>
          <w:color w:val="000000"/>
          <w:sz w:val="20"/>
          <w:u w:val="single"/>
        </w:rPr>
        <w:t>See id.</w:t>
      </w:r>
      <w:r>
        <w:rPr>
          <w:rFonts w:ascii="Arial" w:eastAsia="Arial" w:hAnsi="Arial" w:cs="Arial"/>
          <w:color w:val="000000"/>
          <w:sz w:val="20"/>
        </w:rPr>
        <w:t xml:space="preserve"> (considering fact that employer did not inquire as to what accommodations disabled employee needed as evidence that employer failed to participate in interactive process). </w:t>
      </w:r>
      <w:bookmarkStart w:id="5647" w:name="Bookmark_LNHNREFclscc12_14"/>
      <w:bookmarkEnd w:id="5647"/>
      <w:r>
        <w:rPr>
          <w:rFonts w:ascii="Arial" w:eastAsia="Arial" w:hAnsi="Arial" w:cs="Arial"/>
          <w:color w:val="000000"/>
          <w:sz w:val="20"/>
        </w:rPr>
        <w:t xml:space="preserve">"Neither party may create or destroy liability by causing a breakdown of the interactive process." </w:t>
      </w:r>
      <w:bookmarkStart w:id="5648" w:name="Bookmark_I61HP1R02HM5TJ0040000400"/>
      <w:bookmarkEnd w:id="5648"/>
      <w:r>
        <w:rPr>
          <w:rFonts w:ascii="Arial" w:eastAsia="Arial" w:hAnsi="Arial" w:cs="Arial"/>
          <w:color w:val="000000"/>
          <w:sz w:val="20"/>
          <w:u w:val="single"/>
        </w:rPr>
        <w:t>Albert  [*1009]  v. Smith's Food &amp; Drug Ctrs., Inc.</w:t>
      </w:r>
      <w:r>
        <w:rPr>
          <w:rFonts w:ascii="Arial" w:eastAsia="Arial" w:hAnsi="Arial" w:cs="Arial"/>
          <w:color w:val="000000"/>
          <w:sz w:val="20"/>
        </w:rPr>
        <w:t>, 356 F.3d 1242, 1253 (10th Cir. 2004).</w:t>
      </w:r>
    </w:p>
    <w:p w14:paraId="65D43A9B" w14:textId="77777777" w:rsidR="002B10A6" w:rsidRDefault="00000000">
      <w:pPr>
        <w:pStyle w:val="Normal25"/>
        <w:widowControl w:val="0"/>
        <w:spacing w:before="200" w:line="260" w:lineRule="atLeast"/>
        <w:jc w:val="both"/>
      </w:pPr>
      <w:bookmarkStart w:id="5649" w:name="Bookmark_para_44_10"/>
      <w:bookmarkEnd w:id="5649"/>
      <w:r>
        <w:rPr>
          <w:rFonts w:ascii="Arial" w:eastAsia="Arial" w:hAnsi="Arial" w:cs="Arial"/>
          <w:color w:val="000000"/>
          <w:sz w:val="20"/>
        </w:rPr>
        <w:t xml:space="preserve">This evidence further calls into question Koppes's deposition testimony that, before terminating Aubrey, Koppes and her deputy considered whether Aubrey could perform </w:t>
      </w:r>
      <w:r>
        <w:rPr>
          <w:rFonts w:ascii="Arial" w:eastAsia="Arial" w:hAnsi="Arial" w:cs="Arial"/>
          <w:color w:val="000000"/>
          <w:sz w:val="20"/>
          <w:u w:val="single"/>
        </w:rPr>
        <w:t>any</w:t>
      </w:r>
      <w:r>
        <w:rPr>
          <w:rFonts w:ascii="Arial" w:eastAsia="Arial" w:hAnsi="Arial" w:cs="Arial"/>
          <w:color w:val="000000"/>
          <w:sz w:val="20"/>
        </w:rPr>
        <w:t xml:space="preserve"> job existing in the Clerk and Recorder's Office, but concluded that, with her limitations, she could not. But a jury could find that Koppes did not know what Aubrey's limitations were. Koppes testified that she did not know what Aubrey's medical problems were before the meeting, did not ask Aubrey during the hearing whether she could perform the essential functions of her position, did not give Aubrey a chance to obtain updated medical documentation of her limitations, and misstated Aubrey's limitations in the termination letter and during Koppes's deposition.</w:t>
      </w:r>
    </w:p>
    <w:p w14:paraId="19D93E5A" w14:textId="77777777" w:rsidR="002B10A6" w:rsidRDefault="00000000">
      <w:pPr>
        <w:pStyle w:val="Normal25"/>
        <w:widowControl w:val="0"/>
        <w:spacing w:before="200" w:line="260" w:lineRule="atLeast"/>
        <w:jc w:val="both"/>
      </w:pPr>
      <w:bookmarkStart w:id="5650" w:name="Bookmark_para_45_10"/>
      <w:bookmarkEnd w:id="5650"/>
      <w:r>
        <w:rPr>
          <w:rFonts w:ascii="Arial" w:eastAsia="Arial" w:hAnsi="Arial" w:cs="Arial"/>
          <w:color w:val="000000"/>
          <w:sz w:val="20"/>
        </w:rPr>
        <w:t xml:space="preserve">In light of this record, then, a reasonable jury could find that the County failed to meet its obligation of engaging with Aubrey in good [**24]  faith in an interactive process to identify her precise limitations and to explore whether there was any accommodation that could enable Aubrey to return to work and perform the essential functions of her job. </w:t>
      </w:r>
      <w:r>
        <w:rPr>
          <w:rFonts w:ascii="Arial" w:eastAsia="Arial" w:hAnsi="Arial" w:cs="Arial"/>
          <w:color w:val="000000"/>
          <w:sz w:val="20"/>
          <w:u w:val="single"/>
        </w:rPr>
        <w:t>See id.</w:t>
      </w:r>
      <w:r>
        <w:rPr>
          <w:rFonts w:ascii="Arial" w:eastAsia="Arial" w:hAnsi="Arial" w:cs="Arial"/>
          <w:color w:val="000000"/>
          <w:sz w:val="20"/>
        </w:rPr>
        <w:t xml:space="preserve"> In fact, a reasonable jury could find that the County affirmatively acted to avoid having to consider possible accommodations by cutting off Aubrey's opportunity to obtain the needed return-to-work certification or other medical information regarding her limitations and essentially ignoring any possible accommodation Aubrey suggested during the pre-termination meeting.</w:t>
      </w:r>
    </w:p>
    <w:p w14:paraId="3E39C7B4" w14:textId="77777777" w:rsidR="002B10A6" w:rsidRDefault="00000000">
      <w:pPr>
        <w:pStyle w:val="Normal25"/>
        <w:widowControl w:val="0"/>
        <w:spacing w:before="200" w:line="260" w:lineRule="atLeast"/>
        <w:jc w:val="both"/>
      </w:pPr>
      <w:bookmarkStart w:id="5651" w:name="Bookmark_para_46_9"/>
      <w:bookmarkStart w:id="5652" w:name="Bookmark_I61HP1R128T3YV0020000400"/>
      <w:bookmarkEnd w:id="5651"/>
      <w:bookmarkEnd w:id="5652"/>
      <w:r>
        <w:rPr>
          <w:rFonts w:ascii="Arial" w:eastAsia="Arial" w:hAnsi="Arial" w:cs="Arial"/>
          <w:color w:val="000000"/>
          <w:sz w:val="20"/>
        </w:rPr>
        <w:t xml:space="preserve">It may be that the County confused the standard for a </w:t>
      </w:r>
      <w:r>
        <w:rPr>
          <w:rFonts w:ascii="Arial" w:eastAsia="Arial" w:hAnsi="Arial" w:cs="Arial"/>
          <w:color w:val="000000"/>
          <w:sz w:val="20"/>
          <w:u w:val="single"/>
        </w:rPr>
        <w:t>reasonable accommodation dialogue</w:t>
      </w:r>
      <w:r>
        <w:rPr>
          <w:rFonts w:ascii="Arial" w:eastAsia="Arial" w:hAnsi="Arial" w:cs="Arial"/>
          <w:color w:val="000000"/>
          <w:sz w:val="20"/>
        </w:rPr>
        <w:t xml:space="preserve"> under the ADA, the Rehab Act, and CADA, with the quite different </w:t>
      </w:r>
      <w:r>
        <w:rPr>
          <w:rFonts w:ascii="Arial" w:eastAsia="Arial" w:hAnsi="Arial" w:cs="Arial"/>
          <w:color w:val="000000"/>
          <w:sz w:val="20"/>
          <w:u w:val="single"/>
        </w:rPr>
        <w:t>due process</w:t>
      </w:r>
      <w:r>
        <w:rPr>
          <w:rFonts w:ascii="Arial" w:eastAsia="Arial" w:hAnsi="Arial" w:cs="Arial"/>
          <w:color w:val="000000"/>
          <w:sz w:val="20"/>
        </w:rPr>
        <w:t xml:space="preserve"> requirement of simply providing an employee notice and an opportunity to be heard before terminating that employee. </w:t>
      </w:r>
      <w:r>
        <w:rPr>
          <w:rFonts w:ascii="Arial" w:eastAsia="Arial" w:hAnsi="Arial" w:cs="Arial"/>
          <w:color w:val="000000"/>
          <w:sz w:val="20"/>
          <w:u w:val="single"/>
        </w:rPr>
        <w:t xml:space="preserve">See </w:t>
      </w:r>
      <w:bookmarkStart w:id="5653" w:name="Bookmark_I61HP1R128T3YV0010000400"/>
      <w:bookmarkEnd w:id="5653"/>
      <w:r>
        <w:rPr>
          <w:rFonts w:ascii="Arial" w:eastAsia="Arial" w:hAnsi="Arial" w:cs="Arial"/>
          <w:color w:val="000000"/>
          <w:sz w:val="20"/>
          <w:u w:val="single"/>
        </w:rPr>
        <w:t>LaChance v. Erickson</w:t>
      </w:r>
      <w:r>
        <w:rPr>
          <w:rFonts w:ascii="Arial" w:eastAsia="Arial" w:hAnsi="Arial" w:cs="Arial"/>
          <w:color w:val="000000"/>
          <w:sz w:val="20"/>
        </w:rPr>
        <w:t xml:space="preserve">, 522 U.S. 262, 266, 118 S. Ct. 753, 139 L. Ed. 2d 695 (1998). The evidence could support a jury conclusion that it was only a due process hearing that the County offered Aubrey at its April 16 pre-termination meeting. However, that does not satisfy the County's obligations under the ADA, the Rehabilitation Act, and the CADA to engage in an interactive dialogue with Aubrey to try to determine [**25]  whether a reasonable accommodation is possible. Human Resources Director Russell opened that hearing by explaining to Aubrey that this was her "opportunity to tell us why we shouldn't dismiss you." (Aplt. </w:t>
      </w:r>
      <w:bookmarkStart w:id="5654" w:name="Bookmark_I61HP1R128T3YV0040000400"/>
      <w:bookmarkEnd w:id="5654"/>
      <w:r>
        <w:rPr>
          <w:rFonts w:ascii="Arial" w:eastAsia="Arial" w:hAnsi="Arial" w:cs="Arial"/>
          <w:color w:val="000000"/>
          <w:sz w:val="20"/>
        </w:rPr>
        <w:t xml:space="preserve">App. 247.) </w:t>
      </w:r>
      <w:bookmarkStart w:id="5655" w:name="Bookmark_I61HP1R12HM5TN0030000400"/>
      <w:bookmarkStart w:id="5656" w:name="Bookmark_LNHNREFclscc13_12"/>
      <w:bookmarkEnd w:id="5655"/>
      <w:bookmarkEnd w:id="5656"/>
      <w:r>
        <w:rPr>
          <w:rFonts w:ascii="Arial" w:eastAsia="Arial" w:hAnsi="Arial" w:cs="Arial"/>
          <w:color w:val="000000"/>
          <w:sz w:val="20"/>
        </w:rPr>
        <w:t xml:space="preserve">Different than a due-process hearing, however, the ADA contemplates a much more collaborative interactive process when a disabled employee seeks an accommodation that will enable the employee to continue performing the essential functions of her job. The ADA contemplates an affirmative obligation to undertake a good faith back-and-forth process between the employer and the employee, with the goal of identifying the employee's precise limitations and attempting to find a reasonable accommodation for those limitations. </w:t>
      </w:r>
      <w:r>
        <w:rPr>
          <w:rFonts w:ascii="Arial" w:eastAsia="Arial" w:hAnsi="Arial" w:cs="Arial"/>
          <w:color w:val="000000"/>
          <w:sz w:val="20"/>
          <w:u w:val="single"/>
        </w:rPr>
        <w:t xml:space="preserve">See </w:t>
      </w:r>
      <w:bookmarkStart w:id="5657" w:name="Bookmark_I61HP1R128T3YV0030000400"/>
      <w:bookmarkEnd w:id="5657"/>
      <w:r>
        <w:rPr>
          <w:rFonts w:ascii="Arial" w:eastAsia="Arial" w:hAnsi="Arial" w:cs="Arial"/>
          <w:color w:val="000000"/>
          <w:sz w:val="20"/>
          <w:u w:val="single"/>
        </w:rPr>
        <w:t>Smith</w:t>
      </w:r>
      <w:r>
        <w:rPr>
          <w:rFonts w:ascii="Arial" w:eastAsia="Arial" w:hAnsi="Arial" w:cs="Arial"/>
          <w:color w:val="000000"/>
          <w:sz w:val="20"/>
        </w:rPr>
        <w:t xml:space="preserve">, 180 F.3d at 1171-74; </w:t>
      </w:r>
      <w:r>
        <w:rPr>
          <w:rFonts w:ascii="Arial" w:eastAsia="Arial" w:hAnsi="Arial" w:cs="Arial"/>
          <w:color w:val="000000"/>
          <w:sz w:val="20"/>
          <w:u w:val="single"/>
        </w:rPr>
        <w:t xml:space="preserve">see also </w:t>
      </w:r>
      <w:bookmarkStart w:id="5658" w:name="Bookmark_I61HP1R128T3YV0050000400"/>
      <w:bookmarkEnd w:id="5658"/>
      <w:r>
        <w:rPr>
          <w:rFonts w:ascii="Arial" w:eastAsia="Arial" w:hAnsi="Arial" w:cs="Arial"/>
          <w:color w:val="000000"/>
          <w:sz w:val="20"/>
          <w:u w:val="single"/>
        </w:rPr>
        <w:t>Albert</w:t>
      </w:r>
      <w:r>
        <w:rPr>
          <w:rFonts w:ascii="Arial" w:eastAsia="Arial" w:hAnsi="Arial" w:cs="Arial"/>
          <w:color w:val="000000"/>
          <w:sz w:val="20"/>
        </w:rPr>
        <w:t xml:space="preserve">, 356 F.3d at 1253. </w:t>
      </w:r>
      <w:bookmarkStart w:id="5659" w:name="Bookmark_I61HP1R12HM5TN0030000400_2"/>
      <w:bookmarkEnd w:id="5659"/>
      <w:r>
        <w:rPr>
          <w:rFonts w:ascii="Arial" w:eastAsia="Arial" w:hAnsi="Arial" w:cs="Arial"/>
          <w:color w:val="000000"/>
          <w:sz w:val="20"/>
        </w:rPr>
        <w:t xml:space="preserve">There may not always be a workable accommodation, but the ADA mandates that the employer work with the employee to try to find one. </w:t>
      </w:r>
      <w:r>
        <w:rPr>
          <w:rFonts w:ascii="Arial" w:eastAsia="Arial" w:hAnsi="Arial" w:cs="Arial"/>
          <w:color w:val="000000"/>
          <w:sz w:val="20"/>
          <w:u w:val="single"/>
        </w:rPr>
        <w:t xml:space="preserve">See </w:t>
      </w:r>
      <w:bookmarkStart w:id="5660" w:name="Bookmark_I61HP1R12HM5TN0020000400"/>
      <w:bookmarkEnd w:id="5660"/>
      <w:r>
        <w:rPr>
          <w:rFonts w:ascii="Arial" w:eastAsia="Arial" w:hAnsi="Arial" w:cs="Arial"/>
          <w:color w:val="000000"/>
          <w:sz w:val="20"/>
          <w:u w:val="single"/>
        </w:rPr>
        <w:t>Albert</w:t>
      </w:r>
      <w:r>
        <w:rPr>
          <w:rFonts w:ascii="Arial" w:eastAsia="Arial" w:hAnsi="Arial" w:cs="Arial"/>
          <w:color w:val="000000"/>
          <w:sz w:val="20"/>
        </w:rPr>
        <w:t>, 356 F.3d at 1253. A jury could certainly find that that did not happen here.</w:t>
      </w:r>
    </w:p>
    <w:p w14:paraId="49AF2965" w14:textId="77777777" w:rsidR="002B10A6" w:rsidRDefault="00000000">
      <w:pPr>
        <w:pStyle w:val="Normal25"/>
        <w:widowControl w:val="0"/>
        <w:spacing w:before="240" w:line="260" w:lineRule="atLeast"/>
      </w:pPr>
      <w:r>
        <w:br/>
      </w:r>
      <w:r>
        <w:rPr>
          <w:rFonts w:ascii="Arial" w:eastAsia="Arial" w:hAnsi="Arial" w:cs="Arial"/>
          <w:b/>
          <w:color w:val="000000"/>
          <w:sz w:val="20"/>
        </w:rPr>
        <w:t>ii. Aubrey's requested accommodations</w:t>
      </w:r>
    </w:p>
    <w:p w14:paraId="5FD3DBD6" w14:textId="77777777" w:rsidR="002B10A6" w:rsidRDefault="00000000">
      <w:pPr>
        <w:pStyle w:val="Normal25"/>
        <w:widowControl w:val="0"/>
        <w:spacing w:before="200" w:line="260" w:lineRule="atLeast"/>
        <w:jc w:val="both"/>
      </w:pPr>
      <w:bookmarkStart w:id="5661" w:name="Bookmark_para_47_9"/>
      <w:bookmarkStart w:id="5662" w:name="Bookmark_I61HP1R12HM5TN0050000400"/>
      <w:bookmarkStart w:id="5663" w:name="Bookmark_I7C9TG19PVN0000678T0001T"/>
      <w:bookmarkStart w:id="5664" w:name="Bookmark_I61HP1R128T3YW0050000400"/>
      <w:bookmarkEnd w:id="5661"/>
      <w:bookmarkEnd w:id="5662"/>
      <w:bookmarkEnd w:id="5663"/>
      <w:bookmarkEnd w:id="5664"/>
      <w:r>
        <w:rPr>
          <w:rFonts w:ascii="Arial" w:eastAsia="Arial" w:hAnsi="Arial" w:cs="Arial"/>
          <w:color w:val="000000"/>
          <w:sz w:val="20"/>
        </w:rPr>
        <w:t xml:space="preserve">Notwithstanding this strong evidence that the County failed to meet its obligation to participate with Aubrey in the interactive process to determine if she could return to work, Aubrey still had to establish that [**26]  there was, in fact, a reasonable accommodation that would have enabled  [*1010]  her to perform the essential functions of her job, or another job to which the County could have re-assigned her. </w:t>
      </w:r>
      <w:r>
        <w:rPr>
          <w:rFonts w:ascii="Arial" w:eastAsia="Arial" w:hAnsi="Arial" w:cs="Arial"/>
          <w:color w:val="000000"/>
          <w:sz w:val="20"/>
          <w:u w:val="single"/>
        </w:rPr>
        <w:t xml:space="preserve">See </w:t>
      </w:r>
      <w:bookmarkStart w:id="5665" w:name="Bookmark_I61HP1R12HM5TN0040000400"/>
      <w:bookmarkEnd w:id="5665"/>
      <w:r>
        <w:rPr>
          <w:rFonts w:ascii="Arial" w:eastAsia="Arial" w:hAnsi="Arial" w:cs="Arial"/>
          <w:color w:val="000000"/>
          <w:sz w:val="20"/>
          <w:u w:val="single"/>
        </w:rPr>
        <w:t>Smith</w:t>
      </w:r>
      <w:r>
        <w:rPr>
          <w:rFonts w:ascii="Arial" w:eastAsia="Arial" w:hAnsi="Arial" w:cs="Arial"/>
          <w:color w:val="000000"/>
          <w:sz w:val="20"/>
        </w:rPr>
        <w:t xml:space="preserve">, 180 F.3d at 1174 ("Even if [the employer] failed to fulfill its interactive obligations to help secure a reassignment position, Smith will not be entitled to recovery unless he can also show that a reasonable accommodation was possible and [in that case] would have led to a reassignment position."); </w:t>
      </w:r>
      <w:r>
        <w:rPr>
          <w:rFonts w:ascii="Arial" w:eastAsia="Arial" w:hAnsi="Arial" w:cs="Arial"/>
          <w:color w:val="000000"/>
          <w:sz w:val="20"/>
          <w:u w:val="single"/>
        </w:rPr>
        <w:t xml:space="preserve">see also </w:t>
      </w:r>
      <w:bookmarkStart w:id="5666" w:name="Bookmark_I61HP1R12N1PXW0010000400"/>
      <w:bookmarkEnd w:id="5666"/>
      <w:r>
        <w:rPr>
          <w:rFonts w:ascii="Arial" w:eastAsia="Arial" w:hAnsi="Arial" w:cs="Arial"/>
          <w:color w:val="000000"/>
          <w:sz w:val="20"/>
          <w:u w:val="single"/>
        </w:rPr>
        <w:t>Lincoln</w:t>
      </w:r>
      <w:r>
        <w:rPr>
          <w:rFonts w:ascii="Arial" w:eastAsia="Arial" w:hAnsi="Arial" w:cs="Arial"/>
          <w:color w:val="000000"/>
          <w:sz w:val="20"/>
        </w:rPr>
        <w:t xml:space="preserve">, 900 F.3d at 1207 n.29; </w:t>
      </w:r>
      <w:bookmarkStart w:id="5667" w:name="Bookmark_I61HP1R12N1PXW0030000400"/>
      <w:bookmarkEnd w:id="5667"/>
      <w:r>
        <w:rPr>
          <w:rFonts w:ascii="Arial" w:eastAsia="Arial" w:hAnsi="Arial" w:cs="Arial"/>
          <w:color w:val="000000"/>
          <w:sz w:val="20"/>
          <w:u w:val="single"/>
        </w:rPr>
        <w:t>Hennagir v. Utah Dep't of Corr.</w:t>
      </w:r>
      <w:r>
        <w:rPr>
          <w:rFonts w:ascii="Arial" w:eastAsia="Arial" w:hAnsi="Arial" w:cs="Arial"/>
          <w:color w:val="000000"/>
          <w:sz w:val="20"/>
        </w:rPr>
        <w:t xml:space="preserve">, 587 F.3d 1255, 1265 (10th Cir. 2009); </w:t>
      </w:r>
      <w:bookmarkStart w:id="5668" w:name="Bookmark_I61HP1R12N1PXW0050000400"/>
      <w:bookmarkEnd w:id="5668"/>
      <w:r>
        <w:rPr>
          <w:rFonts w:ascii="Arial" w:eastAsia="Arial" w:hAnsi="Arial" w:cs="Arial"/>
          <w:color w:val="000000"/>
          <w:sz w:val="20"/>
          <w:u w:val="single"/>
        </w:rPr>
        <w:t>Frazier v. Simmons</w:t>
      </w:r>
      <w:r>
        <w:rPr>
          <w:rFonts w:ascii="Arial" w:eastAsia="Arial" w:hAnsi="Arial" w:cs="Arial"/>
          <w:color w:val="000000"/>
          <w:sz w:val="20"/>
        </w:rPr>
        <w:t xml:space="preserve">, 254 F.3d 1247, 1261-61 (10th Cir. 2001); </w:t>
      </w:r>
      <w:bookmarkStart w:id="5669" w:name="Bookmark_I61HP1R128T3YW0020000400"/>
      <w:bookmarkEnd w:id="5669"/>
      <w:r>
        <w:rPr>
          <w:rFonts w:ascii="Arial" w:eastAsia="Arial" w:hAnsi="Arial" w:cs="Arial"/>
          <w:color w:val="000000"/>
          <w:sz w:val="20"/>
          <w:u w:val="single"/>
        </w:rPr>
        <w:t>Boykin v. ATC/VanCom of Colo., L.P.</w:t>
      </w:r>
      <w:r>
        <w:rPr>
          <w:rFonts w:ascii="Arial" w:eastAsia="Arial" w:hAnsi="Arial" w:cs="Arial"/>
          <w:color w:val="000000"/>
          <w:sz w:val="20"/>
        </w:rPr>
        <w:t xml:space="preserve">, 247 F.3d 1061, 1065 (10th Cir. 2001). </w:t>
      </w:r>
      <w:bookmarkStart w:id="5670" w:name="Bookmark_LNHNREFclscc14_12"/>
      <w:bookmarkEnd w:id="5670"/>
      <w:r>
        <w:rPr>
          <w:rFonts w:ascii="Arial" w:eastAsia="Arial" w:hAnsi="Arial" w:cs="Arial"/>
          <w:color w:val="000000"/>
          <w:sz w:val="20"/>
        </w:rPr>
        <w:t xml:space="preserve">We note, however, that "an employer's failure to engage in the interactive process will often make it difficult to resolve a case for the employer on summary judgment" on this ground. </w:t>
      </w:r>
      <w:bookmarkStart w:id="5671" w:name="Bookmark_I61HP1R128T3YW0040000400"/>
      <w:bookmarkEnd w:id="5671"/>
      <w:r>
        <w:rPr>
          <w:rFonts w:ascii="Arial" w:eastAsia="Arial" w:hAnsi="Arial" w:cs="Arial"/>
          <w:color w:val="000000"/>
          <w:sz w:val="20"/>
          <w:u w:val="single"/>
        </w:rPr>
        <w:t>Valdez v. McGill</w:t>
      </w:r>
      <w:r>
        <w:rPr>
          <w:rFonts w:ascii="Arial" w:eastAsia="Arial" w:hAnsi="Arial" w:cs="Arial"/>
          <w:color w:val="000000"/>
          <w:sz w:val="20"/>
        </w:rPr>
        <w:t>, 462 F. App'x 814, 819 n.5 (10th Cir. 2012) (unpublished).</w:t>
      </w:r>
      <w:r>
        <w:rPr>
          <w:rFonts w:ascii="Arial" w:eastAsia="Arial" w:hAnsi="Arial" w:cs="Arial"/>
          <w:vertAlign w:val="superscript"/>
        </w:rPr>
        <w:footnoteReference w:customMarkFollows="1" w:id="205"/>
        <w:t>7</w:t>
      </w:r>
      <w:r>
        <w:rPr>
          <w:rFonts w:ascii="Arial" w:eastAsia="Arial" w:hAnsi="Arial" w:cs="Arial"/>
          <w:color w:val="000000"/>
          <w:sz w:val="20"/>
        </w:rPr>
        <w:t xml:space="preserve"> That is because, "when the employer fails to engage in the interactive process, 'it is not likely that an employer will be able to establish on summary judgment the absence of a disputed fact as to the existence of a reasonable accommodation.'" </w:t>
      </w:r>
      <w:r>
        <w:rPr>
          <w:rFonts w:ascii="Arial" w:eastAsia="Arial" w:hAnsi="Arial" w:cs="Arial"/>
          <w:color w:val="000000"/>
          <w:sz w:val="20"/>
          <w:u w:val="single"/>
        </w:rPr>
        <w:t>Id.</w:t>
      </w:r>
      <w:r>
        <w:rPr>
          <w:rFonts w:ascii="Arial" w:eastAsia="Arial" w:hAnsi="Arial" w:cs="Arial"/>
          <w:color w:val="000000"/>
          <w:sz w:val="20"/>
        </w:rPr>
        <w:t xml:space="preserve"> (quoting </w:t>
      </w:r>
      <w:bookmarkStart w:id="5673" w:name="Bookmark_I61HP1R228T4010010000400"/>
      <w:bookmarkEnd w:id="5673"/>
      <w:r>
        <w:rPr>
          <w:rFonts w:ascii="Arial" w:eastAsia="Arial" w:hAnsi="Arial" w:cs="Arial"/>
          <w:color w:val="000000"/>
          <w:sz w:val="20"/>
          <w:u w:val="single"/>
        </w:rPr>
        <w:t>Morton v. United Parcel Serv., Inc.</w:t>
      </w:r>
      <w:r>
        <w:rPr>
          <w:rFonts w:ascii="Arial" w:eastAsia="Arial" w:hAnsi="Arial" w:cs="Arial"/>
          <w:color w:val="000000"/>
          <w:sz w:val="20"/>
        </w:rPr>
        <w:t xml:space="preserve">, 272 F.3d 1249, 1256 n.7 (9th Cir. 2001), </w:t>
      </w:r>
      <w:r>
        <w:rPr>
          <w:rFonts w:ascii="Arial" w:eastAsia="Arial" w:hAnsi="Arial" w:cs="Arial"/>
          <w:color w:val="000000"/>
          <w:sz w:val="20"/>
          <w:u w:val="single"/>
        </w:rPr>
        <w:t xml:space="preserve">overruled on other grounds by </w:t>
      </w:r>
      <w:bookmarkStart w:id="5674" w:name="Bookmark_I61HP1R228T4010030000400"/>
      <w:bookmarkEnd w:id="5674"/>
      <w:r>
        <w:rPr>
          <w:rFonts w:ascii="Arial" w:eastAsia="Arial" w:hAnsi="Arial" w:cs="Arial"/>
          <w:color w:val="000000"/>
          <w:sz w:val="20"/>
          <w:u w:val="single"/>
        </w:rPr>
        <w:t>Bates v. United Parcel Serv., Inc.</w:t>
      </w:r>
      <w:r>
        <w:rPr>
          <w:rFonts w:ascii="Arial" w:eastAsia="Arial" w:hAnsi="Arial" w:cs="Arial"/>
          <w:color w:val="000000"/>
          <w:sz w:val="20"/>
        </w:rPr>
        <w:t>, 511 F.3d 974, 995-96, 998 (9th Cir. 2007) (en banc)).</w:t>
      </w:r>
    </w:p>
    <w:p w14:paraId="5DA579E8" w14:textId="77777777" w:rsidR="002B10A6" w:rsidRDefault="00000000">
      <w:pPr>
        <w:pStyle w:val="Normal25"/>
        <w:widowControl w:val="0"/>
        <w:spacing w:before="200" w:line="260" w:lineRule="atLeast"/>
        <w:jc w:val="both"/>
      </w:pPr>
      <w:bookmarkStart w:id="5675" w:name="Bookmark_para_48_9"/>
      <w:bookmarkStart w:id="5676" w:name="Bookmark_I61HP1R22D6N6D0010000400"/>
      <w:bookmarkEnd w:id="5675"/>
      <w:bookmarkEnd w:id="5676"/>
      <w:r>
        <w:rPr>
          <w:rFonts w:ascii="Arial" w:eastAsia="Arial" w:hAnsi="Arial" w:cs="Arial"/>
          <w:color w:val="000000"/>
          <w:sz w:val="20"/>
        </w:rPr>
        <w:t xml:space="preserve">We consider, then, whether there was a reasonable accommodation that would have enabled Aubrey to perform the essential functions of her job in April 2015, or soon thereafter. </w:t>
      </w:r>
      <w:bookmarkStart w:id="5677" w:name="Bookmark_I61HP1R22D6N6D0030000400"/>
      <w:bookmarkStart w:id="5678" w:name="Bookmark_LNHNREFclscc15_10"/>
      <w:bookmarkEnd w:id="5677"/>
      <w:bookmarkEnd w:id="5678"/>
      <w:r>
        <w:rPr>
          <w:rFonts w:ascii="Arial" w:eastAsia="Arial" w:hAnsi="Arial" w:cs="Arial"/>
          <w:color w:val="000000"/>
          <w:sz w:val="20"/>
        </w:rPr>
        <w:t xml:space="preserve">Whether an accommodation [**27]  is reasonable is a mixed question of law and fact. </w:t>
      </w:r>
      <w:r>
        <w:rPr>
          <w:rFonts w:ascii="Arial" w:eastAsia="Arial" w:hAnsi="Arial" w:cs="Arial"/>
          <w:color w:val="000000"/>
          <w:sz w:val="20"/>
          <w:u w:val="single"/>
        </w:rPr>
        <w:t xml:space="preserve">See </w:t>
      </w:r>
      <w:bookmarkStart w:id="5679" w:name="Bookmark_I61HP1R228T4010050000400"/>
      <w:bookmarkEnd w:id="5679"/>
      <w:r>
        <w:rPr>
          <w:rFonts w:ascii="Arial" w:eastAsia="Arial" w:hAnsi="Arial" w:cs="Arial"/>
          <w:color w:val="000000"/>
          <w:sz w:val="20"/>
          <w:u w:val="single"/>
        </w:rPr>
        <w:t>Osborne</w:t>
      </w:r>
      <w:r>
        <w:rPr>
          <w:rFonts w:ascii="Arial" w:eastAsia="Arial" w:hAnsi="Arial" w:cs="Arial"/>
          <w:color w:val="000000"/>
          <w:sz w:val="20"/>
        </w:rPr>
        <w:t xml:space="preserve">, 798 F.3d at 1267. </w:t>
      </w:r>
      <w:bookmarkStart w:id="5680" w:name="Bookmark_I61HP1R22D6N6F0020000400"/>
      <w:bookmarkEnd w:id="5680"/>
      <w:r>
        <w:rPr>
          <w:rFonts w:ascii="Arial" w:eastAsia="Arial" w:hAnsi="Arial" w:cs="Arial"/>
          <w:color w:val="000000"/>
          <w:sz w:val="20"/>
        </w:rPr>
        <w:t xml:space="preserve">To determine whether an accommodation is reasonable, the Tenth Circuit prescribes another burden-shifting formula. </w:t>
      </w:r>
      <w:bookmarkStart w:id="5681" w:name="Bookmark_I61HP1R22D6N6F0020000400_2"/>
      <w:bookmarkStart w:id="5682" w:name="Bookmark_I61HP1R22D6N6D0030000400_2"/>
      <w:bookmarkEnd w:id="5681"/>
      <w:bookmarkEnd w:id="5682"/>
      <w:r>
        <w:rPr>
          <w:rFonts w:ascii="Arial" w:eastAsia="Arial" w:hAnsi="Arial" w:cs="Arial"/>
          <w:color w:val="000000"/>
          <w:sz w:val="20"/>
          <w:u w:val="single"/>
        </w:rPr>
        <w:t xml:space="preserve">See </w:t>
      </w:r>
      <w:bookmarkStart w:id="5683" w:name="Bookmark_I61HP1R22D6N6D0020000400"/>
      <w:bookmarkEnd w:id="5683"/>
      <w:r>
        <w:rPr>
          <w:rFonts w:ascii="Arial" w:eastAsia="Arial" w:hAnsi="Arial" w:cs="Arial"/>
          <w:color w:val="000000"/>
          <w:sz w:val="20"/>
          <w:u w:val="single"/>
        </w:rPr>
        <w:t>id.</w:t>
      </w:r>
      <w:r>
        <w:rPr>
          <w:rFonts w:ascii="Arial" w:eastAsia="Arial" w:hAnsi="Arial" w:cs="Arial"/>
          <w:color w:val="000000"/>
          <w:sz w:val="20"/>
        </w:rPr>
        <w:t xml:space="preserve"> at 1267-68 (citing </w:t>
      </w:r>
      <w:bookmarkStart w:id="5684" w:name="Bookmark_I61HP1R22D6N6D0040000400"/>
      <w:bookmarkEnd w:id="5684"/>
      <w:r>
        <w:rPr>
          <w:rFonts w:ascii="Arial" w:eastAsia="Arial" w:hAnsi="Arial" w:cs="Arial"/>
          <w:color w:val="000000"/>
          <w:sz w:val="20"/>
          <w:u w:val="single"/>
        </w:rPr>
        <w:t>White v. York Int'l Corp.</w:t>
      </w:r>
      <w:r>
        <w:rPr>
          <w:rFonts w:ascii="Arial" w:eastAsia="Arial" w:hAnsi="Arial" w:cs="Arial"/>
          <w:color w:val="000000"/>
          <w:sz w:val="20"/>
        </w:rPr>
        <w:t xml:space="preserve">, 45 F.3d 357, 361 (10th Cir. 1995)). "First, the employee 'need only show that an "accommodation" seems reasonable on its face, </w:t>
      </w:r>
      <w:r>
        <w:rPr>
          <w:rFonts w:ascii="Arial" w:eastAsia="Arial" w:hAnsi="Arial" w:cs="Arial"/>
          <w:color w:val="000000"/>
          <w:sz w:val="20"/>
          <w:u w:val="single"/>
        </w:rPr>
        <w:t>i.e.</w:t>
      </w:r>
      <w:r>
        <w:rPr>
          <w:rFonts w:ascii="Arial" w:eastAsia="Arial" w:hAnsi="Arial" w:cs="Arial"/>
          <w:color w:val="000000"/>
          <w:sz w:val="20"/>
        </w:rPr>
        <w:t xml:space="preserve">, ordinarily or in the run of cases.'" </w:t>
      </w:r>
      <w:bookmarkStart w:id="5685" w:name="Bookmark_I61HP1R22D6N6F0010000400"/>
      <w:bookmarkEnd w:id="5685"/>
      <w:r>
        <w:rPr>
          <w:rFonts w:ascii="Arial" w:eastAsia="Arial" w:hAnsi="Arial" w:cs="Arial"/>
          <w:color w:val="000000"/>
          <w:sz w:val="20"/>
          <w:u w:val="single"/>
        </w:rPr>
        <w:t>Id.</w:t>
      </w:r>
      <w:r>
        <w:rPr>
          <w:rFonts w:ascii="Arial" w:eastAsia="Arial" w:hAnsi="Arial" w:cs="Arial"/>
          <w:color w:val="000000"/>
          <w:sz w:val="20"/>
        </w:rPr>
        <w:t xml:space="preserve"> at 1267 (quoting </w:t>
      </w:r>
      <w:bookmarkStart w:id="5686" w:name="Bookmark_I61HP1R22D6N6F0030000400"/>
      <w:bookmarkEnd w:id="5686"/>
      <w:r>
        <w:rPr>
          <w:rFonts w:ascii="Arial" w:eastAsia="Arial" w:hAnsi="Arial" w:cs="Arial"/>
          <w:color w:val="000000"/>
          <w:sz w:val="20"/>
          <w:u w:val="single"/>
        </w:rPr>
        <w:t>US Airways, Inc. v. Barnett</w:t>
      </w:r>
      <w:r>
        <w:rPr>
          <w:rFonts w:ascii="Arial" w:eastAsia="Arial" w:hAnsi="Arial" w:cs="Arial"/>
          <w:color w:val="000000"/>
          <w:sz w:val="20"/>
        </w:rPr>
        <w:t xml:space="preserve">, 535 U.S. 391, 401, 122 S. Ct. 1516, 152 L. Ed. 2d 589 (2002)). "A proposed accommodation is not reasonable on its face if it would not enable the employee to perform the essential function at issue." </w:t>
      </w:r>
      <w:r>
        <w:rPr>
          <w:rFonts w:ascii="Arial" w:eastAsia="Arial" w:hAnsi="Arial" w:cs="Arial"/>
          <w:color w:val="000000"/>
          <w:sz w:val="20"/>
          <w:u w:val="single"/>
        </w:rPr>
        <w:t>Id.</w:t>
      </w:r>
      <w:r>
        <w:rPr>
          <w:rFonts w:ascii="Arial" w:eastAsia="Arial" w:hAnsi="Arial" w:cs="Arial"/>
          <w:color w:val="000000"/>
          <w:sz w:val="20"/>
        </w:rPr>
        <w:t xml:space="preserve"> (citing 29 C.F.R. § 1630.2(</w:t>
      </w:r>
      <w:r>
        <w:rPr>
          <w:rFonts w:ascii="Arial" w:eastAsia="Arial" w:hAnsi="Arial" w:cs="Arial"/>
          <w:i/>
          <w:color w:val="000000"/>
          <w:sz w:val="20"/>
        </w:rPr>
        <w:t>o</w:t>
      </w:r>
      <w:r>
        <w:rPr>
          <w:rFonts w:ascii="Arial" w:eastAsia="Arial" w:hAnsi="Arial" w:cs="Arial"/>
          <w:color w:val="000000"/>
          <w:sz w:val="20"/>
        </w:rPr>
        <w:t>)(1)(ii)).</w:t>
      </w:r>
    </w:p>
    <w:p w14:paraId="304298F7" w14:textId="77777777" w:rsidR="002B10A6" w:rsidRDefault="00000000">
      <w:pPr>
        <w:pStyle w:val="Normal25"/>
        <w:widowControl w:val="0"/>
        <w:spacing w:before="200" w:line="260" w:lineRule="atLeast"/>
        <w:jc w:val="both"/>
      </w:pPr>
      <w:bookmarkStart w:id="5687" w:name="Bookmark_para_49_8"/>
      <w:bookmarkStart w:id="5688" w:name="Bookmark_I61HP1R32N1PY50010000400"/>
      <w:bookmarkStart w:id="5689" w:name="Bookmark_LNHNREFclscc16_8"/>
      <w:bookmarkEnd w:id="5687"/>
      <w:bookmarkEnd w:id="5688"/>
      <w:bookmarkEnd w:id="5689"/>
      <w:r>
        <w:rPr>
          <w:rFonts w:ascii="Arial" w:eastAsia="Arial" w:hAnsi="Arial" w:cs="Arial"/>
          <w:color w:val="000000"/>
          <w:sz w:val="20"/>
        </w:rPr>
        <w:t xml:space="preserve">"Second, if the employee presents a facially reasonable accommodation, the burden of production then shifts to the employer to present evidence of its inability to accommodate. The employer 'must show special (typically case-specific) circumstances that demonstrate undue hardship in the particular circumstances.'" </w:t>
      </w:r>
      <w:r>
        <w:rPr>
          <w:rFonts w:ascii="Arial" w:eastAsia="Arial" w:hAnsi="Arial" w:cs="Arial"/>
          <w:color w:val="000000"/>
          <w:sz w:val="20"/>
          <w:u w:val="single"/>
        </w:rPr>
        <w:t>Id.</w:t>
      </w:r>
      <w:r>
        <w:rPr>
          <w:rFonts w:ascii="Arial" w:eastAsia="Arial" w:hAnsi="Arial" w:cs="Arial"/>
          <w:color w:val="000000"/>
          <w:sz w:val="20"/>
        </w:rPr>
        <w:t xml:space="preserve"> (quoting </w:t>
      </w:r>
      <w:bookmarkStart w:id="5690" w:name="Bookmark_I61HP1R22D6N6F0050000400"/>
      <w:bookmarkEnd w:id="5690"/>
      <w:r>
        <w:rPr>
          <w:rFonts w:ascii="Arial" w:eastAsia="Arial" w:hAnsi="Arial" w:cs="Arial"/>
          <w:color w:val="000000"/>
          <w:sz w:val="20"/>
          <w:u w:val="single"/>
        </w:rPr>
        <w:t>Barnett</w:t>
      </w:r>
      <w:r>
        <w:rPr>
          <w:rFonts w:ascii="Arial" w:eastAsia="Arial" w:hAnsi="Arial" w:cs="Arial"/>
          <w:color w:val="000000"/>
          <w:sz w:val="20"/>
        </w:rPr>
        <w:t>, 535 U.S. at 402) (citation, further internal quotation marks, alteration omitted).</w:t>
      </w:r>
    </w:p>
    <w:p w14:paraId="05F313DA" w14:textId="77777777" w:rsidR="002B10A6" w:rsidRDefault="00000000">
      <w:pPr>
        <w:pStyle w:val="Normal25"/>
        <w:widowControl w:val="0"/>
        <w:spacing w:before="200" w:line="260" w:lineRule="atLeast"/>
        <w:jc w:val="both"/>
      </w:pPr>
      <w:bookmarkStart w:id="5691" w:name="Bookmark_para_50_7"/>
      <w:bookmarkStart w:id="5692" w:name="Bookmark_I61HP1R32N1PY50030000400"/>
      <w:bookmarkStart w:id="5693" w:name="Bookmark_LNHNREFclscc17_7"/>
      <w:bookmarkEnd w:id="5691"/>
      <w:bookmarkEnd w:id="5692"/>
      <w:bookmarkEnd w:id="5693"/>
      <w:r>
        <w:rPr>
          <w:rFonts w:ascii="Arial" w:eastAsia="Arial" w:hAnsi="Arial" w:cs="Arial"/>
          <w:color w:val="000000"/>
          <w:sz w:val="20"/>
        </w:rPr>
        <w:t xml:space="preserve">"Third, if the employer presents such evidence, the employee has the burden of coming forward with evidence concerning her individual capabilities and suggestions for possible accommodations to rebut the employer's evidence." </w:t>
      </w:r>
      <w:bookmarkStart w:id="5694" w:name="Bookmark_I61HP1R32N1PY50020000400"/>
      <w:bookmarkEnd w:id="5694"/>
      <w:r>
        <w:rPr>
          <w:rFonts w:ascii="Arial" w:eastAsia="Arial" w:hAnsi="Arial" w:cs="Arial"/>
          <w:color w:val="000000"/>
          <w:sz w:val="20"/>
          <w:u w:val="single"/>
        </w:rPr>
        <w:t>Id.</w:t>
      </w:r>
      <w:r>
        <w:rPr>
          <w:rFonts w:ascii="Arial" w:eastAsia="Arial" w:hAnsi="Arial" w:cs="Arial"/>
          <w:color w:val="000000"/>
          <w:sz w:val="20"/>
        </w:rPr>
        <w:t xml:space="preserve"> at 1268 (internal quotation marks, alteration omitted).</w:t>
      </w:r>
    </w:p>
    <w:p w14:paraId="594D36AF" w14:textId="77777777" w:rsidR="002B10A6" w:rsidRDefault="00000000">
      <w:pPr>
        <w:pStyle w:val="Normal25"/>
        <w:widowControl w:val="0"/>
        <w:spacing w:before="200" w:line="260" w:lineRule="atLeast"/>
        <w:jc w:val="both"/>
      </w:pPr>
      <w:bookmarkStart w:id="5695" w:name="Bookmark_para_51_7"/>
      <w:bookmarkEnd w:id="5695"/>
      <w:r>
        <w:rPr>
          <w:rFonts w:ascii="Arial" w:eastAsia="Arial" w:hAnsi="Arial" w:cs="Arial"/>
          <w:color w:val="000000"/>
          <w:sz w:val="20"/>
        </w:rPr>
        <w:t>With these principles in mind, we address [**28]  each of the three accommodations Aubrey suggested during the pre-termination hearing.</w:t>
      </w:r>
    </w:p>
    <w:p w14:paraId="0237C307" w14:textId="77777777" w:rsidR="002B10A6" w:rsidRDefault="00000000">
      <w:pPr>
        <w:pStyle w:val="Normal25"/>
        <w:widowControl w:val="0"/>
        <w:spacing w:before="240" w:line="260" w:lineRule="atLeast"/>
      </w:pPr>
      <w:r>
        <w:br/>
      </w:r>
      <w:r>
        <w:rPr>
          <w:rFonts w:ascii="Arial" w:eastAsia="Arial" w:hAnsi="Arial" w:cs="Arial"/>
          <w:b/>
          <w:i/>
          <w:color w:val="000000"/>
          <w:sz w:val="20"/>
        </w:rPr>
        <w:t>a</w:t>
      </w:r>
      <w:r>
        <w:rPr>
          <w:rFonts w:ascii="Arial" w:eastAsia="Arial" w:hAnsi="Arial" w:cs="Arial"/>
          <w:b/>
          <w:color w:val="000000"/>
          <w:sz w:val="20"/>
        </w:rPr>
        <w:t>. Additional time to consult with her neurologist</w:t>
      </w:r>
    </w:p>
    <w:p w14:paraId="304182CA" w14:textId="77777777" w:rsidR="002B10A6" w:rsidRDefault="00000000">
      <w:pPr>
        <w:pStyle w:val="Normal25"/>
        <w:widowControl w:val="0"/>
        <w:spacing w:before="200" w:line="260" w:lineRule="atLeast"/>
        <w:jc w:val="both"/>
      </w:pPr>
      <w:bookmarkStart w:id="5696" w:name="Bookmark_para_52_7"/>
      <w:bookmarkStart w:id="5697" w:name="Bookmark_I61HP1R32N1PY50050000400"/>
      <w:bookmarkStart w:id="5698" w:name="Bookmark_I61HP1R328T4050040000400"/>
      <w:bookmarkEnd w:id="5696"/>
      <w:bookmarkEnd w:id="5697"/>
      <w:bookmarkEnd w:id="5698"/>
      <w:r>
        <w:rPr>
          <w:rFonts w:ascii="Arial" w:eastAsia="Arial" w:hAnsi="Arial" w:cs="Arial"/>
          <w:color w:val="000000"/>
          <w:sz w:val="20"/>
        </w:rPr>
        <w:t xml:space="preserve">Aubrey requested additional time—until May 22—to see her neurologist. </w:t>
      </w:r>
      <w:bookmarkStart w:id="5699" w:name="Bookmark_LNHNREFclscc18_4"/>
      <w:bookmarkEnd w:id="5699"/>
      <w:r>
        <w:rPr>
          <w:rFonts w:ascii="Arial" w:eastAsia="Arial" w:hAnsi="Arial" w:cs="Arial"/>
          <w:color w:val="000000"/>
          <w:sz w:val="20"/>
        </w:rPr>
        <w:t xml:space="preserve">"It is well-settled that a request for leave may lead to a 'reasonable' accommodation." </w:t>
      </w:r>
      <w:bookmarkStart w:id="5700" w:name="Bookmark_I61HP1R32N1PY50040000400"/>
      <w:bookmarkEnd w:id="5700"/>
      <w:r>
        <w:rPr>
          <w:rFonts w:ascii="Arial" w:eastAsia="Arial" w:hAnsi="Arial" w:cs="Arial"/>
          <w:color w:val="000000"/>
          <w:sz w:val="20"/>
          <w:u w:val="single"/>
        </w:rPr>
        <w:t>Punt</w:t>
      </w:r>
      <w:r>
        <w:rPr>
          <w:rFonts w:ascii="Arial" w:eastAsia="Arial" w:hAnsi="Arial" w:cs="Arial"/>
          <w:color w:val="000000"/>
          <w:sz w:val="20"/>
        </w:rPr>
        <w:t xml:space="preserve">, 862 F.3d at 1051; </w:t>
      </w:r>
      <w:r>
        <w:rPr>
          <w:rFonts w:ascii="Arial" w:eastAsia="Arial" w:hAnsi="Arial" w:cs="Arial"/>
          <w:color w:val="000000"/>
          <w:sz w:val="20"/>
          <w:u w:val="single"/>
        </w:rPr>
        <w:t xml:space="preserve">see also </w:t>
      </w:r>
      <w:r>
        <w:rPr>
          <w:rFonts w:ascii="Arial" w:eastAsia="Arial" w:hAnsi="Arial" w:cs="Arial"/>
          <w:color w:val="000000"/>
          <w:sz w:val="20"/>
        </w:rPr>
        <w:t xml:space="preserve"> [*1011]  </w:t>
      </w:r>
      <w:bookmarkStart w:id="5701" w:name="Bookmark_I61HP1R328T4050010000400"/>
      <w:bookmarkEnd w:id="5701"/>
      <w:r>
        <w:rPr>
          <w:rFonts w:ascii="Arial" w:eastAsia="Arial" w:hAnsi="Arial" w:cs="Arial"/>
          <w:color w:val="000000"/>
          <w:sz w:val="20"/>
          <w:u w:val="single"/>
        </w:rPr>
        <w:t>C.R. England</w:t>
      </w:r>
      <w:r>
        <w:rPr>
          <w:rFonts w:ascii="Arial" w:eastAsia="Arial" w:hAnsi="Arial" w:cs="Arial"/>
          <w:color w:val="000000"/>
          <w:sz w:val="20"/>
        </w:rPr>
        <w:t xml:space="preserve">, 644 F.3d at 1048-49. On the other hand, "employers are not obligated to retain a disabled employee on unpaid leave indefinitely or for an excessive amount of time." </w:t>
      </w:r>
      <w:bookmarkStart w:id="5702" w:name="Bookmark_I61HP1R328T4050030000400"/>
      <w:bookmarkEnd w:id="5702"/>
      <w:r>
        <w:rPr>
          <w:rFonts w:ascii="Arial" w:eastAsia="Arial" w:hAnsi="Arial" w:cs="Arial"/>
          <w:color w:val="000000"/>
          <w:sz w:val="20"/>
          <w:u w:val="single"/>
        </w:rPr>
        <w:t>Boykin</w:t>
      </w:r>
      <w:r>
        <w:rPr>
          <w:rFonts w:ascii="Arial" w:eastAsia="Arial" w:hAnsi="Arial" w:cs="Arial"/>
          <w:color w:val="000000"/>
          <w:sz w:val="20"/>
        </w:rPr>
        <w:t xml:space="preserve">, 247 F.3d at 1065; </w:t>
      </w:r>
      <w:r>
        <w:rPr>
          <w:rFonts w:ascii="Arial" w:eastAsia="Arial" w:hAnsi="Arial" w:cs="Arial"/>
          <w:color w:val="000000"/>
          <w:sz w:val="20"/>
          <w:u w:val="single"/>
        </w:rPr>
        <w:t xml:space="preserve">see also </w:t>
      </w:r>
      <w:bookmarkStart w:id="5703" w:name="Bookmark_I61HP1R328T4050050000400"/>
      <w:bookmarkEnd w:id="5703"/>
      <w:r>
        <w:rPr>
          <w:rFonts w:ascii="Arial" w:eastAsia="Arial" w:hAnsi="Arial" w:cs="Arial"/>
          <w:color w:val="000000"/>
          <w:sz w:val="20"/>
          <w:u w:val="single"/>
        </w:rPr>
        <w:t>Punt</w:t>
      </w:r>
      <w:r>
        <w:rPr>
          <w:rFonts w:ascii="Arial" w:eastAsia="Arial" w:hAnsi="Arial" w:cs="Arial"/>
          <w:color w:val="000000"/>
          <w:sz w:val="20"/>
        </w:rPr>
        <w:t xml:space="preserve">, 862 F.3d at 1051 ("Without an expected duration of an impairment, an employer cannot determine whether an employee will be able to perform the essential functions of the job </w:t>
      </w:r>
      <w:r>
        <w:rPr>
          <w:rFonts w:ascii="Arial" w:eastAsia="Arial" w:hAnsi="Arial" w:cs="Arial"/>
          <w:color w:val="000000"/>
          <w:sz w:val="20"/>
          <w:u w:val="single"/>
        </w:rPr>
        <w:t>in the near future</w:t>
      </w:r>
      <w:r>
        <w:rPr>
          <w:rFonts w:ascii="Arial" w:eastAsia="Arial" w:hAnsi="Arial" w:cs="Arial"/>
          <w:color w:val="000000"/>
          <w:sz w:val="20"/>
        </w:rPr>
        <w:t xml:space="preserve"> and therefore whether the leave request is a 'reasonable' accommodation." (internal quotation marks omitted)).</w:t>
      </w:r>
    </w:p>
    <w:p w14:paraId="5C434F68" w14:textId="77777777" w:rsidR="002B10A6" w:rsidRDefault="00000000">
      <w:pPr>
        <w:pStyle w:val="Normal25"/>
        <w:widowControl w:val="0"/>
        <w:spacing w:before="200" w:line="260" w:lineRule="atLeast"/>
        <w:jc w:val="both"/>
      </w:pPr>
      <w:bookmarkStart w:id="5704" w:name="Bookmark_para_53_7"/>
      <w:bookmarkEnd w:id="5704"/>
      <w:r>
        <w:rPr>
          <w:rFonts w:ascii="Arial" w:eastAsia="Arial" w:hAnsi="Arial" w:cs="Arial"/>
          <w:color w:val="000000"/>
          <w:sz w:val="20"/>
        </w:rPr>
        <w:t>In concluding Aubrey's request for additional time was not reasonable, the district court deemed Aubrey to be requesting an indefinite amount of time off, noting that even if the County waited for Aubrey to see her neurologist, there was no telling what he would say about her continuing limitations. But Aubrey was not asking for an indefinite amount of time off. Early in her recovery from PRES—in January, February and early March—Aubrey's medical providers [**29]  had already indicated that Aubrey would be able to return to work in approximately six months, on July 31 or August 1, 2015. So her request in April for additional time to see her neurologist was not open-ended.</w:t>
      </w:r>
    </w:p>
    <w:p w14:paraId="1D4A3953" w14:textId="77777777" w:rsidR="002B10A6" w:rsidRDefault="00000000">
      <w:pPr>
        <w:pStyle w:val="Normal25"/>
        <w:widowControl w:val="0"/>
        <w:spacing w:before="200" w:line="260" w:lineRule="atLeast"/>
        <w:jc w:val="both"/>
      </w:pPr>
      <w:bookmarkStart w:id="5705" w:name="Bookmark_para_54_7"/>
      <w:bookmarkStart w:id="5706" w:name="Bookmark_I7C9TG19T900000678T0001V"/>
      <w:bookmarkStart w:id="5707" w:name="Bookmark_I61HP1R32D6N6H0030000400"/>
      <w:bookmarkStart w:id="5708" w:name="Bookmark_I7C9TG19W000000678T0001W"/>
      <w:bookmarkStart w:id="5709" w:name="Bookmark_I7C9TG19XMC0000678T0001X"/>
      <w:bookmarkStart w:id="5710" w:name="Bookmark_I61HP1R32SF7T60020000400"/>
      <w:bookmarkEnd w:id="5705"/>
      <w:bookmarkEnd w:id="5706"/>
      <w:bookmarkEnd w:id="5707"/>
      <w:bookmarkEnd w:id="5708"/>
      <w:bookmarkEnd w:id="5709"/>
      <w:bookmarkEnd w:id="5710"/>
      <w:r>
        <w:rPr>
          <w:rFonts w:ascii="Arial" w:eastAsia="Arial" w:hAnsi="Arial" w:cs="Arial"/>
          <w:color w:val="000000"/>
          <w:sz w:val="20"/>
        </w:rPr>
        <w:t>This distinguishes the situation presented here from the cases on which the district court relied—</w:t>
      </w:r>
      <w:r>
        <w:rPr>
          <w:rFonts w:ascii="Arial" w:eastAsia="Arial" w:hAnsi="Arial" w:cs="Arial"/>
          <w:color w:val="000000"/>
          <w:sz w:val="20"/>
          <w:u w:val="single"/>
        </w:rPr>
        <w:t>Cisneros, Hudson</w:t>
      </w:r>
      <w:r>
        <w:rPr>
          <w:rFonts w:ascii="Arial" w:eastAsia="Arial" w:hAnsi="Arial" w:cs="Arial"/>
          <w:color w:val="000000"/>
          <w:sz w:val="20"/>
        </w:rPr>
        <w:t xml:space="preserve">, and </w:t>
      </w:r>
      <w:r>
        <w:rPr>
          <w:rFonts w:ascii="Arial" w:eastAsia="Arial" w:hAnsi="Arial" w:cs="Arial"/>
          <w:color w:val="000000"/>
          <w:sz w:val="20"/>
          <w:u w:val="single"/>
        </w:rPr>
        <w:t>Brockman</w:t>
      </w:r>
      <w:r>
        <w:rPr>
          <w:rFonts w:ascii="Arial" w:eastAsia="Arial" w:hAnsi="Arial" w:cs="Arial"/>
          <w:color w:val="000000"/>
          <w:sz w:val="20"/>
        </w:rPr>
        <w:t xml:space="preserve">. In </w:t>
      </w:r>
      <w:r>
        <w:rPr>
          <w:rFonts w:ascii="Arial" w:eastAsia="Arial" w:hAnsi="Arial" w:cs="Arial"/>
          <w:color w:val="000000"/>
          <w:sz w:val="20"/>
          <w:u w:val="single"/>
        </w:rPr>
        <w:t>Cisneros v. Wilson</w:t>
      </w:r>
      <w:r>
        <w:rPr>
          <w:rFonts w:ascii="Arial" w:eastAsia="Arial" w:hAnsi="Arial" w:cs="Arial"/>
          <w:color w:val="000000"/>
          <w:sz w:val="20"/>
        </w:rPr>
        <w:t xml:space="preserve">, the employee's doctors indicated that the duration of her impairment was unknown. </w:t>
      </w:r>
      <w:bookmarkStart w:id="5711" w:name="Bookmark_I61HP1R32D6N6H0020000400"/>
      <w:bookmarkEnd w:id="5711"/>
      <w:r>
        <w:rPr>
          <w:rFonts w:ascii="Arial" w:eastAsia="Arial" w:hAnsi="Arial" w:cs="Arial"/>
          <w:color w:val="000000"/>
          <w:sz w:val="20"/>
        </w:rPr>
        <w:t xml:space="preserve">226 F.3d 1113, 1129 (10th Cir. 2000), </w:t>
      </w:r>
      <w:r>
        <w:rPr>
          <w:rFonts w:ascii="Arial" w:eastAsia="Arial" w:hAnsi="Arial" w:cs="Arial"/>
          <w:color w:val="000000"/>
          <w:sz w:val="20"/>
          <w:u w:val="single"/>
        </w:rPr>
        <w:t xml:space="preserve">overruled on other grounds by </w:t>
      </w:r>
      <w:bookmarkStart w:id="5712" w:name="Bookmark_I61HP1R32D6N6H0040000400"/>
      <w:bookmarkEnd w:id="5712"/>
      <w:r>
        <w:rPr>
          <w:rFonts w:ascii="Arial" w:eastAsia="Arial" w:hAnsi="Arial" w:cs="Arial"/>
          <w:color w:val="000000"/>
          <w:sz w:val="20"/>
          <w:u w:val="single"/>
        </w:rPr>
        <w:t>Bd. of Trustees of Univ. of Ala. v. Garrett</w:t>
      </w:r>
      <w:r>
        <w:rPr>
          <w:rFonts w:ascii="Arial" w:eastAsia="Arial" w:hAnsi="Arial" w:cs="Arial"/>
          <w:color w:val="000000"/>
          <w:sz w:val="20"/>
        </w:rPr>
        <w:t xml:space="preserve">, 531 U.S. 356, 121 S. Ct. 955, 148 L. Ed. 2d 866 (2001). In </w:t>
      </w:r>
      <w:r>
        <w:rPr>
          <w:rFonts w:ascii="Arial" w:eastAsia="Arial" w:hAnsi="Arial" w:cs="Arial"/>
          <w:color w:val="000000"/>
          <w:sz w:val="20"/>
          <w:u w:val="single"/>
        </w:rPr>
        <w:t>Hudson v. MCI Telecommunications Corp.</w:t>
      </w:r>
      <w:r>
        <w:rPr>
          <w:rFonts w:ascii="Arial" w:eastAsia="Arial" w:hAnsi="Arial" w:cs="Arial"/>
          <w:color w:val="000000"/>
          <w:sz w:val="20"/>
        </w:rPr>
        <w:t xml:space="preserve">, the employee similarly "failed to present any evidence of the expected duration of her impairment as of the date of her termination." </w:t>
      </w:r>
      <w:bookmarkStart w:id="5713" w:name="Bookmark_I61HP1R32SF7T60010000400"/>
      <w:bookmarkEnd w:id="5713"/>
      <w:r>
        <w:rPr>
          <w:rFonts w:ascii="Arial" w:eastAsia="Arial" w:hAnsi="Arial" w:cs="Arial"/>
          <w:color w:val="000000"/>
          <w:sz w:val="20"/>
        </w:rPr>
        <w:t xml:space="preserve">87 F.3d 1167, 1169 (10th Cir. 1996); </w:t>
      </w:r>
      <w:r>
        <w:rPr>
          <w:rFonts w:ascii="Arial" w:eastAsia="Arial" w:hAnsi="Arial" w:cs="Arial"/>
          <w:color w:val="000000"/>
          <w:sz w:val="20"/>
          <w:u w:val="single"/>
        </w:rPr>
        <w:t xml:space="preserve">see also </w:t>
      </w:r>
      <w:bookmarkStart w:id="5714" w:name="Bookmark_I61HP1R32SF7T60030000400"/>
      <w:bookmarkEnd w:id="5714"/>
      <w:r>
        <w:rPr>
          <w:rFonts w:ascii="Arial" w:eastAsia="Arial" w:hAnsi="Arial" w:cs="Arial"/>
          <w:color w:val="000000"/>
          <w:sz w:val="20"/>
          <w:u w:val="single"/>
        </w:rPr>
        <w:t>Brockman v. Wyo. Dep't of Family Servs.</w:t>
      </w:r>
      <w:r>
        <w:rPr>
          <w:rFonts w:ascii="Arial" w:eastAsia="Arial" w:hAnsi="Arial" w:cs="Arial"/>
          <w:color w:val="000000"/>
          <w:sz w:val="20"/>
        </w:rPr>
        <w:t>, 342 F.3d 1159, 1168 (10th Cir. 2003) (stating that "employer is not required to wait indefinitely for an employee to recover," in case where employer "had good reason to believe at the point that it terminated [employee] that she might never return to work" (internal quotation marks omitted)).</w:t>
      </w:r>
    </w:p>
    <w:p w14:paraId="4385F83F" w14:textId="77777777" w:rsidR="002B10A6" w:rsidRDefault="00000000">
      <w:pPr>
        <w:pStyle w:val="Normal25"/>
        <w:widowControl w:val="0"/>
        <w:spacing w:before="200" w:line="260" w:lineRule="atLeast"/>
        <w:jc w:val="both"/>
      </w:pPr>
      <w:bookmarkStart w:id="5715" w:name="Bookmark_para_55_6"/>
      <w:bookmarkEnd w:id="5715"/>
      <w:r>
        <w:rPr>
          <w:rFonts w:ascii="Arial" w:eastAsia="Arial" w:hAnsi="Arial" w:cs="Arial"/>
          <w:color w:val="000000"/>
          <w:sz w:val="20"/>
        </w:rPr>
        <w:t>Furthermore, during the pre-termination meeting in mid-April, Aubrey told the County that she was recovering at a quicker rate than her medical providers had originally expected. In light of that, Aubrey's request in mid-April for some additional time to gather updated medical [**30]  information as to when her doctors would release her to return to work was a plausibly reasonable accommodation.</w:t>
      </w:r>
    </w:p>
    <w:p w14:paraId="05917397" w14:textId="77777777" w:rsidR="002B10A6" w:rsidRDefault="00000000">
      <w:pPr>
        <w:pStyle w:val="Normal25"/>
        <w:widowControl w:val="0"/>
        <w:spacing w:before="200" w:line="260" w:lineRule="atLeast"/>
        <w:jc w:val="both"/>
      </w:pPr>
      <w:bookmarkStart w:id="5716" w:name="Bookmark_para_56_6"/>
      <w:bookmarkEnd w:id="5716"/>
      <w:r>
        <w:rPr>
          <w:rFonts w:ascii="Arial" w:eastAsia="Arial" w:hAnsi="Arial" w:cs="Arial"/>
          <w:color w:val="000000"/>
          <w:sz w:val="20"/>
        </w:rPr>
        <w:t>The County contends that it was unable to grant Aubrey any additional time off because the Clerk and Recorder's office could no longer function with Aubrey's position unfilled. But the County employee who had been temporarily assigned to Aubrey's position remained there through most of June. Aubrey was, in fact, able to get clearance to return to work from one of her doctors on June 4. From this evidence, a jury could find that Aubrey, in mid-April, requested a plausibly reasonable accommodation; at that time, this accommodation would have permitted her to return, in the near future, to performing the essential functions of her job; and the accommodation did not present an undue hardship to the County. That evidence is sufficient for Aubrey's failure-to-accommodate claim to survive summary judgment and let a jury decide these issues.</w:t>
      </w:r>
      <w:r>
        <w:rPr>
          <w:rFonts w:ascii="Arial" w:eastAsia="Arial" w:hAnsi="Arial" w:cs="Arial"/>
          <w:vertAlign w:val="superscript"/>
        </w:rPr>
        <w:footnoteReference w:customMarkFollows="1" w:id="206"/>
        <w:t>8</w:t>
      </w:r>
    </w:p>
    <w:p w14:paraId="380C0E25" w14:textId="77777777" w:rsidR="002B10A6" w:rsidRDefault="00000000">
      <w:pPr>
        <w:pStyle w:val="Normal25"/>
        <w:widowControl w:val="0"/>
        <w:spacing w:before="240" w:line="260" w:lineRule="atLeast"/>
      </w:pPr>
      <w:r>
        <w:br/>
      </w:r>
      <w:r>
        <w:rPr>
          <w:rFonts w:ascii="Arial" w:eastAsia="Arial" w:hAnsi="Arial" w:cs="Arial"/>
          <w:color w:val="000000"/>
          <w:sz w:val="20"/>
        </w:rPr>
        <w:t xml:space="preserve"> [*1012]  </w:t>
      </w:r>
      <w:r>
        <w:rPr>
          <w:rFonts w:ascii="Arial" w:eastAsia="Arial" w:hAnsi="Arial" w:cs="Arial"/>
          <w:b/>
          <w:i/>
          <w:color w:val="000000"/>
          <w:sz w:val="20"/>
        </w:rPr>
        <w:t>b</w:t>
      </w:r>
      <w:r>
        <w:rPr>
          <w:rFonts w:ascii="Arial" w:eastAsia="Arial" w:hAnsi="Arial" w:cs="Arial"/>
          <w:b/>
          <w:color w:val="000000"/>
          <w:sz w:val="20"/>
        </w:rPr>
        <w:t>. Retraining</w:t>
      </w:r>
    </w:p>
    <w:p w14:paraId="41877450" w14:textId="77777777" w:rsidR="002B10A6" w:rsidRDefault="00000000">
      <w:pPr>
        <w:pStyle w:val="Normal25"/>
        <w:widowControl w:val="0"/>
        <w:spacing w:before="200" w:line="260" w:lineRule="atLeast"/>
        <w:jc w:val="both"/>
      </w:pPr>
      <w:bookmarkStart w:id="5718" w:name="Bookmark_para_57_5"/>
      <w:bookmarkStart w:id="5719" w:name="Bookmark_I61HP1R42HM5V50010000400"/>
      <w:bookmarkEnd w:id="5718"/>
      <w:bookmarkEnd w:id="5719"/>
      <w:r>
        <w:rPr>
          <w:rFonts w:ascii="Arial" w:eastAsia="Arial" w:hAnsi="Arial" w:cs="Arial"/>
          <w:color w:val="000000"/>
          <w:sz w:val="20"/>
        </w:rPr>
        <w:t xml:space="preserve">Aubrey also suggested during the pre-termination meeting that she would be able to return to her job if the County provided retraining. </w:t>
      </w:r>
      <w:bookmarkStart w:id="5720" w:name="Bookmark_LNHNREFclscc19_4"/>
      <w:bookmarkEnd w:id="5720"/>
      <w:r>
        <w:rPr>
          <w:rFonts w:ascii="Arial" w:eastAsia="Arial" w:hAnsi="Arial" w:cs="Arial"/>
          <w:color w:val="000000"/>
          <w:sz w:val="20"/>
        </w:rPr>
        <w:t xml:space="preserve">Retraining is generally a plausibly reasonable accommodation. </w:t>
      </w:r>
      <w:r>
        <w:rPr>
          <w:rFonts w:ascii="Arial" w:eastAsia="Arial" w:hAnsi="Arial" w:cs="Arial"/>
          <w:color w:val="000000"/>
          <w:sz w:val="20"/>
          <w:u w:val="single"/>
        </w:rPr>
        <w:t xml:space="preserve">See </w:t>
      </w:r>
      <w:bookmarkStart w:id="5721" w:name="Bookmark_I61HP1R32SF7T60050000400"/>
      <w:bookmarkEnd w:id="5721"/>
      <w:r>
        <w:rPr>
          <w:rFonts w:ascii="Arial" w:eastAsia="Arial" w:hAnsi="Arial" w:cs="Arial"/>
          <w:color w:val="000000"/>
          <w:sz w:val="20"/>
          <w:u w:val="single"/>
        </w:rPr>
        <w:t>Wilkerson</w:t>
      </w:r>
      <w:r>
        <w:rPr>
          <w:rFonts w:ascii="Arial" w:eastAsia="Arial" w:hAnsi="Arial" w:cs="Arial"/>
          <w:color w:val="000000"/>
          <w:sz w:val="20"/>
        </w:rPr>
        <w:t xml:space="preserve">, 606 F.3d at 1265. Human Resources Director Russell [**31]  similarly testified at her deposition that retraining is a reasonable accommodation and that she had </w:t>
      </w:r>
      <w:r>
        <w:rPr>
          <w:rFonts w:ascii="Arial" w:eastAsia="Arial" w:hAnsi="Arial" w:cs="Arial"/>
          <w:color w:val="000000"/>
          <w:sz w:val="20"/>
          <w:u w:val="single"/>
        </w:rPr>
        <w:t>never</w:t>
      </w:r>
      <w:r>
        <w:rPr>
          <w:rFonts w:ascii="Arial" w:eastAsia="Arial" w:hAnsi="Arial" w:cs="Arial"/>
          <w:color w:val="000000"/>
          <w:sz w:val="20"/>
        </w:rPr>
        <w:t xml:space="preserve"> known any County supervisor to deny it. But Koppes complained at her deposition that Aubrey never explained what she meant by needing to be "somewhat retrained." (Aplt. App. 528.) </w:t>
      </w:r>
      <w:bookmarkStart w:id="5722" w:name="Bookmark_I61HP1R42HM5V50030000400"/>
      <w:bookmarkEnd w:id="5722"/>
      <w:r>
        <w:rPr>
          <w:rFonts w:ascii="Arial" w:eastAsia="Arial" w:hAnsi="Arial" w:cs="Arial"/>
          <w:color w:val="000000"/>
          <w:sz w:val="20"/>
        </w:rPr>
        <w:t xml:space="preserve">The district court rejected this suggested accommodation for the same reason. Of course, if the pre-termination hearing had actually involved an interactive process, Koppes would have asked Aubrey exactly what retraining she needed and Aubrey, Koppes and Russell could have then explored that possibility in an informed way. Instead, neither Koppes nor Russell asked Aubrey about what retraining she might require. </w:t>
      </w:r>
      <w:r>
        <w:rPr>
          <w:rFonts w:ascii="Arial" w:eastAsia="Arial" w:hAnsi="Arial" w:cs="Arial"/>
          <w:color w:val="000000"/>
          <w:sz w:val="20"/>
          <w:u w:val="single"/>
        </w:rPr>
        <w:t xml:space="preserve">See </w:t>
      </w:r>
      <w:bookmarkStart w:id="5723" w:name="Bookmark_I61HP1R42HM5V50020000400"/>
      <w:bookmarkEnd w:id="5723"/>
      <w:r>
        <w:rPr>
          <w:rFonts w:ascii="Arial" w:eastAsia="Arial" w:hAnsi="Arial" w:cs="Arial"/>
          <w:color w:val="000000"/>
          <w:sz w:val="20"/>
          <w:u w:val="single"/>
        </w:rPr>
        <w:t>Bartee</w:t>
      </w:r>
      <w:r>
        <w:rPr>
          <w:rFonts w:ascii="Arial" w:eastAsia="Arial" w:hAnsi="Arial" w:cs="Arial"/>
          <w:color w:val="000000"/>
          <w:sz w:val="20"/>
        </w:rPr>
        <w:t xml:space="preserve">, 374 F. 3d at 916 (holding there was sufficient evidence for jury to find that employer failed reasonably to accommodate employee where employer did not inquire of employee about his restrictions or the accommodations he might need to perform his job). Instead, in her deposition, Koppes justified terminating Aubrey by </w:t>
      </w:r>
      <w:r>
        <w:rPr>
          <w:rFonts w:ascii="Arial" w:eastAsia="Arial" w:hAnsi="Arial" w:cs="Arial"/>
          <w:color w:val="000000"/>
          <w:sz w:val="20"/>
          <w:u w:val="single"/>
        </w:rPr>
        <w:t>speculating</w:t>
      </w:r>
      <w:r>
        <w:rPr>
          <w:rFonts w:ascii="Arial" w:eastAsia="Arial" w:hAnsi="Arial" w:cs="Arial"/>
          <w:color w:val="000000"/>
          <w:sz w:val="20"/>
        </w:rPr>
        <w:t xml:space="preserve"> that she would have needed "more than just a little bit of prompting," and would have instead required someone sit by her side constantly helping (Aplt. App. 529), which Koppes testified [**32]  was more help than the Clerk and Recorder's office could have afforded to provide Aubrey.</w:t>
      </w:r>
    </w:p>
    <w:p w14:paraId="0485F6DC" w14:textId="77777777" w:rsidR="002B10A6" w:rsidRDefault="00000000">
      <w:pPr>
        <w:pStyle w:val="Normal25"/>
        <w:widowControl w:val="0"/>
        <w:spacing w:before="200" w:line="260" w:lineRule="atLeast"/>
        <w:jc w:val="both"/>
      </w:pPr>
      <w:bookmarkStart w:id="5724" w:name="Bookmark_para_58_5"/>
      <w:bookmarkEnd w:id="5724"/>
      <w:r>
        <w:rPr>
          <w:rFonts w:ascii="Arial" w:eastAsia="Arial" w:hAnsi="Arial" w:cs="Arial"/>
          <w:color w:val="000000"/>
          <w:sz w:val="20"/>
        </w:rPr>
        <w:t>In fact, Aubrey's request for retraining was not that unclear. She indicated she was just beginning to remember the functions she was required to perform in doing her job. A jury could find that her request for retraining would have involved someone showing her what was required to perform her job and how to do that—retraining. A jury could further find that Aubrey's retraining request was a plausibly reasonable accommodation that would have enabled Aubrey to perform the essential functions of her job, and could reject Koppes's assertion that she could not provide that accommodation.</w:t>
      </w:r>
    </w:p>
    <w:p w14:paraId="225C0893" w14:textId="77777777" w:rsidR="002B10A6" w:rsidRDefault="00000000">
      <w:pPr>
        <w:pStyle w:val="Normal25"/>
        <w:widowControl w:val="0"/>
        <w:spacing w:before="240" w:line="260" w:lineRule="atLeast"/>
      </w:pPr>
      <w:r>
        <w:br/>
      </w:r>
      <w:r>
        <w:rPr>
          <w:rFonts w:ascii="Arial" w:eastAsia="Arial" w:hAnsi="Arial" w:cs="Arial"/>
          <w:b/>
          <w:i/>
          <w:color w:val="000000"/>
          <w:sz w:val="20"/>
        </w:rPr>
        <w:t>c</w:t>
      </w:r>
      <w:r>
        <w:rPr>
          <w:rFonts w:ascii="Arial" w:eastAsia="Arial" w:hAnsi="Arial" w:cs="Arial"/>
          <w:b/>
          <w:color w:val="000000"/>
          <w:sz w:val="20"/>
        </w:rPr>
        <w:t>. Reassignment</w:t>
      </w:r>
    </w:p>
    <w:p w14:paraId="3FC1C126" w14:textId="77777777" w:rsidR="002B10A6" w:rsidRDefault="00000000">
      <w:pPr>
        <w:pStyle w:val="Normal25"/>
        <w:widowControl w:val="0"/>
        <w:spacing w:before="200" w:line="260" w:lineRule="atLeast"/>
        <w:jc w:val="both"/>
      </w:pPr>
      <w:bookmarkStart w:id="5725" w:name="Bookmark_para_59_5"/>
      <w:bookmarkEnd w:id="5725"/>
      <w:r>
        <w:rPr>
          <w:rFonts w:ascii="Arial" w:eastAsia="Arial" w:hAnsi="Arial" w:cs="Arial"/>
          <w:color w:val="000000"/>
          <w:sz w:val="20"/>
        </w:rPr>
        <w:t xml:space="preserve">Aubrey also suggested during the pre-termination hearing that she be reassigned from her Office Tech III position to an Office Tech II position, knowing there was a vacant Office Tech II position in the elections department. </w:t>
      </w:r>
      <w:bookmarkStart w:id="5726" w:name="Bookmark_I61HP1R42HM5V50050000400"/>
      <w:bookmarkEnd w:id="5726"/>
      <w:r>
        <w:rPr>
          <w:rFonts w:ascii="Arial" w:eastAsia="Arial" w:hAnsi="Arial" w:cs="Arial"/>
          <w:color w:val="000000"/>
          <w:sz w:val="20"/>
        </w:rPr>
        <w:t xml:space="preserve">Reassignment, too, is a plausibly reasonable accommodation. </w:t>
      </w:r>
      <w:bookmarkStart w:id="5727" w:name="Bookmark_LNHNREFclscc20_3"/>
      <w:bookmarkEnd w:id="5727"/>
      <w:r>
        <w:rPr>
          <w:rFonts w:ascii="Arial" w:eastAsia="Arial" w:hAnsi="Arial" w:cs="Arial"/>
          <w:color w:val="000000"/>
          <w:sz w:val="20"/>
        </w:rPr>
        <w:t xml:space="preserve">The ADA itself expressly recognizes reassignment can be a reasonable accommodation. </w:t>
      </w:r>
      <w:bookmarkStart w:id="5728" w:name="Bookmark_I61HP1R42N1PYD0020000400"/>
      <w:bookmarkEnd w:id="5728"/>
      <w:r>
        <w:rPr>
          <w:rFonts w:ascii="Arial" w:eastAsia="Arial" w:hAnsi="Arial" w:cs="Arial"/>
          <w:color w:val="000000"/>
          <w:sz w:val="20"/>
          <w:u w:val="single"/>
        </w:rPr>
        <w:t>See</w:t>
      </w:r>
      <w:r>
        <w:rPr>
          <w:rFonts w:ascii="Arial" w:eastAsia="Arial" w:hAnsi="Arial" w:cs="Arial"/>
          <w:color w:val="000000"/>
          <w:sz w:val="20"/>
        </w:rPr>
        <w:t xml:space="preserve"> 42 U.S.C. § 12111(9)(B); </w:t>
      </w:r>
      <w:r>
        <w:rPr>
          <w:rFonts w:ascii="Arial" w:eastAsia="Arial" w:hAnsi="Arial" w:cs="Arial"/>
          <w:color w:val="000000"/>
          <w:sz w:val="20"/>
          <w:u w:val="single"/>
        </w:rPr>
        <w:t xml:space="preserve">see also </w:t>
      </w:r>
      <w:bookmarkStart w:id="5729" w:name="Bookmark_I61HP1R42HM5V50040000400"/>
      <w:bookmarkEnd w:id="5729"/>
      <w:r>
        <w:rPr>
          <w:rFonts w:ascii="Arial" w:eastAsia="Arial" w:hAnsi="Arial" w:cs="Arial"/>
          <w:color w:val="000000"/>
          <w:sz w:val="20"/>
          <w:u w:val="single"/>
        </w:rPr>
        <w:t>Lincoln</w:t>
      </w:r>
      <w:r>
        <w:rPr>
          <w:rFonts w:ascii="Arial" w:eastAsia="Arial" w:hAnsi="Arial" w:cs="Arial"/>
          <w:color w:val="000000"/>
          <w:sz w:val="20"/>
        </w:rPr>
        <w:t xml:space="preserve">, 900 F.3d at 1204-05. </w:t>
      </w:r>
      <w:bookmarkStart w:id="5730" w:name="Bookmark_I61HP1R42N1PYD0020000400_2"/>
      <w:bookmarkEnd w:id="5730"/>
      <w:r>
        <w:rPr>
          <w:rFonts w:ascii="Arial" w:eastAsia="Arial" w:hAnsi="Arial" w:cs="Arial"/>
          <w:color w:val="000000"/>
          <w:sz w:val="20"/>
        </w:rPr>
        <w:t xml:space="preserve">If the employee is unable to return to her previous job, reassignment to a vacant position can be a reasonable accommodation [**33]  and is particularly amenable to consideration during a genuine interactive process between the employee and employer. </w:t>
      </w:r>
      <w:bookmarkStart w:id="5731" w:name="Bookmark_I61HP1R42HM5V80020000400"/>
      <w:bookmarkEnd w:id="5731"/>
      <w:r>
        <w:rPr>
          <w:rFonts w:ascii="Arial" w:eastAsia="Arial" w:hAnsi="Arial" w:cs="Arial"/>
          <w:color w:val="000000"/>
          <w:sz w:val="20"/>
          <w:u w:val="single"/>
        </w:rPr>
        <w:t xml:space="preserve">See </w:t>
      </w:r>
      <w:bookmarkStart w:id="5732" w:name="Bookmark_I61HP1R42N1PYD0010000400"/>
      <w:bookmarkEnd w:id="5732"/>
      <w:r>
        <w:rPr>
          <w:rFonts w:ascii="Arial" w:eastAsia="Arial" w:hAnsi="Arial" w:cs="Arial"/>
          <w:color w:val="000000"/>
          <w:sz w:val="20"/>
          <w:u w:val="single"/>
        </w:rPr>
        <w:t>Smith</w:t>
      </w:r>
      <w:r>
        <w:rPr>
          <w:rFonts w:ascii="Arial" w:eastAsia="Arial" w:hAnsi="Arial" w:cs="Arial"/>
          <w:color w:val="000000"/>
          <w:sz w:val="20"/>
        </w:rPr>
        <w:t xml:space="preserve">, 180 F.3d at 1159-67, 1170-74; </w:t>
      </w:r>
      <w:r>
        <w:rPr>
          <w:rFonts w:ascii="Arial" w:eastAsia="Arial" w:hAnsi="Arial" w:cs="Arial"/>
          <w:color w:val="000000"/>
          <w:sz w:val="20"/>
          <w:u w:val="single"/>
        </w:rPr>
        <w:t xml:space="preserve">see also </w:t>
      </w:r>
      <w:bookmarkStart w:id="5733" w:name="Bookmark_I61HP1R42N1PYD0030000400"/>
      <w:bookmarkEnd w:id="5733"/>
      <w:r>
        <w:rPr>
          <w:rFonts w:ascii="Arial" w:eastAsia="Arial" w:hAnsi="Arial" w:cs="Arial"/>
          <w:color w:val="000000"/>
          <w:sz w:val="20"/>
          <w:u w:val="single"/>
        </w:rPr>
        <w:t>Lincoln</w:t>
      </w:r>
      <w:r>
        <w:rPr>
          <w:rFonts w:ascii="Arial" w:eastAsia="Arial" w:hAnsi="Arial" w:cs="Arial"/>
          <w:color w:val="000000"/>
          <w:sz w:val="20"/>
        </w:rPr>
        <w:t xml:space="preserve">, 900 F.3d at 1204-05 (holding </w:t>
      </w:r>
      <w:r>
        <w:rPr>
          <w:rFonts w:ascii="Arial" w:eastAsia="Arial" w:hAnsi="Arial" w:cs="Arial"/>
          <w:color w:val="000000"/>
          <w:sz w:val="20"/>
          <w:u w:val="single"/>
        </w:rPr>
        <w:t>Smith</w:t>
      </w:r>
      <w:r>
        <w:rPr>
          <w:rFonts w:ascii="Arial" w:eastAsia="Arial" w:hAnsi="Arial" w:cs="Arial"/>
          <w:color w:val="000000"/>
          <w:sz w:val="20"/>
        </w:rPr>
        <w:t xml:space="preserve"> remains good law after </w:t>
      </w:r>
      <w:bookmarkStart w:id="5734" w:name="Bookmark_I61HP1R42N1PYD0050000400"/>
      <w:bookmarkEnd w:id="5734"/>
      <w:r>
        <w:rPr>
          <w:rFonts w:ascii="Arial" w:eastAsia="Arial" w:hAnsi="Arial" w:cs="Arial"/>
          <w:color w:val="000000"/>
          <w:sz w:val="20"/>
          <w:u w:val="single"/>
        </w:rPr>
        <w:t>US Airways, Inc. v. Barnett</w:t>
      </w:r>
      <w:r>
        <w:rPr>
          <w:rFonts w:ascii="Arial" w:eastAsia="Arial" w:hAnsi="Arial" w:cs="Arial"/>
          <w:color w:val="000000"/>
          <w:sz w:val="20"/>
        </w:rPr>
        <w:t xml:space="preserve">, 535 U.S. 391, 122 S. Ct. 1516, 152 L. Ed. 2d 589 (2002)); </w:t>
      </w:r>
      <w:bookmarkStart w:id="5735" w:name="Bookmark_I61HP1R428T40C0020000400"/>
      <w:bookmarkEnd w:id="5735"/>
      <w:r>
        <w:rPr>
          <w:rFonts w:ascii="Arial" w:eastAsia="Arial" w:hAnsi="Arial" w:cs="Arial"/>
          <w:color w:val="000000"/>
          <w:sz w:val="20"/>
          <w:u w:val="single"/>
        </w:rPr>
        <w:t>Duvall v. Georgia-Pacific Consumer Prods., L.P.</w:t>
      </w:r>
      <w:r>
        <w:rPr>
          <w:rFonts w:ascii="Arial" w:eastAsia="Arial" w:hAnsi="Arial" w:cs="Arial"/>
          <w:color w:val="000000"/>
          <w:sz w:val="20"/>
        </w:rPr>
        <w:t xml:space="preserve">, 607 F.3d 1255, 1260 (10th Cir. 2010) (citing </w:t>
      </w:r>
      <w:bookmarkStart w:id="5736" w:name="Bookmark_I61HP1R428T40C0040000400"/>
      <w:bookmarkEnd w:id="5736"/>
      <w:r>
        <w:rPr>
          <w:rFonts w:ascii="Arial" w:eastAsia="Arial" w:hAnsi="Arial" w:cs="Arial"/>
          <w:color w:val="000000"/>
          <w:sz w:val="20"/>
          <w:u w:val="single"/>
        </w:rPr>
        <w:t>Smith</w:t>
      </w:r>
      <w:r>
        <w:rPr>
          <w:rFonts w:ascii="Arial" w:eastAsia="Arial" w:hAnsi="Arial" w:cs="Arial"/>
          <w:color w:val="000000"/>
          <w:sz w:val="20"/>
        </w:rPr>
        <w:t xml:space="preserve">, 180 F.3d at 1177). </w:t>
      </w:r>
      <w:bookmarkStart w:id="5737" w:name="Bookmark_I61HP1R42HM5V80020000400_2"/>
      <w:bookmarkEnd w:id="5737"/>
      <w:r>
        <w:rPr>
          <w:rFonts w:ascii="Arial" w:eastAsia="Arial" w:hAnsi="Arial" w:cs="Arial"/>
          <w:color w:val="000000"/>
          <w:sz w:val="20"/>
        </w:rPr>
        <w:t xml:space="preserve">Further, Aubrey was able to identify a specific reassignment, the Office Tech II position open in the elections division. </w:t>
      </w:r>
      <w:r>
        <w:rPr>
          <w:rFonts w:ascii="Arial" w:eastAsia="Arial" w:hAnsi="Arial" w:cs="Arial"/>
          <w:color w:val="000000"/>
          <w:sz w:val="20"/>
          <w:u w:val="single"/>
        </w:rPr>
        <w:t xml:space="preserve">See </w:t>
      </w:r>
      <w:r>
        <w:rPr>
          <w:rFonts w:ascii="Arial" w:eastAsia="Arial" w:hAnsi="Arial" w:cs="Arial"/>
          <w:color w:val="000000"/>
          <w:sz w:val="20"/>
        </w:rPr>
        <w:t xml:space="preserve"> [*1013]  </w:t>
      </w:r>
      <w:bookmarkStart w:id="5738" w:name="Bookmark_I61HP1R42HM5V80010000400"/>
      <w:bookmarkEnd w:id="5738"/>
      <w:r>
        <w:rPr>
          <w:rFonts w:ascii="Arial" w:eastAsia="Arial" w:hAnsi="Arial" w:cs="Arial"/>
          <w:color w:val="000000"/>
          <w:sz w:val="20"/>
          <w:u w:val="single"/>
        </w:rPr>
        <w:t>Sanchez v. U.S. Dep't of Energy</w:t>
      </w:r>
      <w:r>
        <w:rPr>
          <w:rFonts w:ascii="Arial" w:eastAsia="Arial" w:hAnsi="Arial" w:cs="Arial"/>
          <w:color w:val="000000"/>
          <w:sz w:val="20"/>
        </w:rPr>
        <w:t xml:space="preserve">, 870 F.3d 1185, 1200 (10th Cir. 2017) (Rehabilitation Act case); </w:t>
      </w:r>
      <w:bookmarkStart w:id="5739" w:name="Bookmark_I61HP1R42HM5V80030000400"/>
      <w:bookmarkEnd w:id="5739"/>
      <w:r>
        <w:rPr>
          <w:rFonts w:ascii="Arial" w:eastAsia="Arial" w:hAnsi="Arial" w:cs="Arial"/>
          <w:color w:val="000000"/>
          <w:sz w:val="20"/>
          <w:u w:val="single"/>
        </w:rPr>
        <w:t>Koessel v. Sublette Cty. Sheriff's Dep't</w:t>
      </w:r>
      <w:r>
        <w:rPr>
          <w:rFonts w:ascii="Arial" w:eastAsia="Arial" w:hAnsi="Arial" w:cs="Arial"/>
          <w:color w:val="000000"/>
          <w:sz w:val="20"/>
        </w:rPr>
        <w:t>, 717 F.3d 736, 745 (10th Cir. 2013). That is sufficient to meet her prima facie burden.</w:t>
      </w:r>
      <w:r>
        <w:rPr>
          <w:rFonts w:ascii="Arial" w:eastAsia="Arial" w:hAnsi="Arial" w:cs="Arial"/>
          <w:vertAlign w:val="superscript"/>
        </w:rPr>
        <w:footnoteReference w:customMarkFollows="1" w:id="207"/>
        <w:t>9</w:t>
      </w:r>
    </w:p>
    <w:p w14:paraId="071BAF2B" w14:textId="77777777" w:rsidR="002B10A6" w:rsidRDefault="00000000">
      <w:pPr>
        <w:pStyle w:val="Normal25"/>
        <w:widowControl w:val="0"/>
        <w:spacing w:before="240" w:line="260" w:lineRule="atLeast"/>
      </w:pPr>
      <w:r>
        <w:br/>
      </w:r>
      <w:r>
        <w:rPr>
          <w:rFonts w:ascii="Arial" w:eastAsia="Arial" w:hAnsi="Arial" w:cs="Arial"/>
          <w:b/>
          <w:color w:val="000000"/>
          <w:sz w:val="20"/>
        </w:rPr>
        <w:t>iii. Aubrey's applications for disability benefits</w:t>
      </w:r>
    </w:p>
    <w:p w14:paraId="4C1BA85D" w14:textId="77777777" w:rsidR="002B10A6" w:rsidRDefault="00000000">
      <w:pPr>
        <w:pStyle w:val="Normal25"/>
        <w:widowControl w:val="0"/>
        <w:spacing w:before="200" w:line="260" w:lineRule="atLeast"/>
        <w:jc w:val="both"/>
      </w:pPr>
      <w:bookmarkStart w:id="5749" w:name="Bookmark_para_60_5"/>
      <w:bookmarkEnd w:id="5749"/>
      <w:r>
        <w:rPr>
          <w:rFonts w:ascii="Arial" w:eastAsia="Arial" w:hAnsi="Arial" w:cs="Arial"/>
          <w:color w:val="000000"/>
          <w:sz w:val="20"/>
        </w:rPr>
        <w:t>Aubrey has, then, sufficiently established three plausibly reasonable accommodations that a jury could find would have permitted her to return to performing the essential functions of her job. The County next asserts that her claimed reasonable accommodations are undercut by her April 20 application for long-term disability and her later application for social security disability benefits, in which she swore under oath that she was unable to perform her job. That, however, presents a question for a jury.</w:t>
      </w:r>
    </w:p>
    <w:p w14:paraId="5C16C3E9" w14:textId="77777777" w:rsidR="002B10A6" w:rsidRDefault="00000000">
      <w:pPr>
        <w:pStyle w:val="Normal25"/>
        <w:widowControl w:val="0"/>
        <w:spacing w:before="200" w:line="260" w:lineRule="atLeast"/>
        <w:ind w:left="400"/>
        <w:jc w:val="both"/>
      </w:pPr>
      <w:bookmarkStart w:id="5750" w:name="Bookmark_para_61_4"/>
      <w:bookmarkStart w:id="5751" w:name="Bookmark_I61HP1R528T40K0040000400"/>
      <w:bookmarkStart w:id="5752" w:name="Bookmark_LNHNREFclscc22_2"/>
      <w:bookmarkEnd w:id="5750"/>
      <w:bookmarkEnd w:id="5751"/>
      <w:bookmarkEnd w:id="5752"/>
      <w:r>
        <w:rPr>
          <w:rFonts w:ascii="Arial" w:eastAsia="Arial" w:hAnsi="Arial" w:cs="Arial"/>
          <w:color w:val="000000"/>
          <w:sz w:val="20"/>
        </w:rPr>
        <w:t>When faced with a plaintiff's previous sworn statement asserting "total disability" or the like, the court should require an explanation of any apparent inconsistency with the necessary elements of an ADA claim. To defeat summary judgment, that [**34]  explanation must be sufficient to warrant a reasonable juror's concluding that, assuming the truth of, or the plaintiff's good-faith belief in, the earlier statement, the plaintiff could nonetheless "perform the essential functions" of her job, with or without "reasonable accommodation."</w:t>
      </w:r>
    </w:p>
    <w:p w14:paraId="7066B076" w14:textId="77777777" w:rsidR="002B10A6" w:rsidRDefault="00000000">
      <w:pPr>
        <w:pStyle w:val="Normal25"/>
        <w:widowControl w:val="0"/>
        <w:spacing w:before="200" w:line="260" w:lineRule="atLeast"/>
        <w:jc w:val="both"/>
      </w:pPr>
      <w:bookmarkStart w:id="5753" w:name="Bookmark_I61HP1R528T40K0040000400_2"/>
      <w:bookmarkStart w:id="5754" w:name="Bookmark_I61HP1R528T40K0030000400"/>
      <w:bookmarkEnd w:id="5753"/>
      <w:bookmarkEnd w:id="5754"/>
      <w:r>
        <w:rPr>
          <w:rFonts w:ascii="Arial" w:eastAsia="Arial" w:hAnsi="Arial" w:cs="Arial"/>
          <w:color w:val="000000"/>
          <w:sz w:val="20"/>
          <w:u w:val="single"/>
        </w:rPr>
        <w:t>Cleveland v. Policy Mgmt. Sys. Corp.</w:t>
      </w:r>
      <w:r>
        <w:rPr>
          <w:rFonts w:ascii="Arial" w:eastAsia="Arial" w:hAnsi="Arial" w:cs="Arial"/>
          <w:color w:val="000000"/>
          <w:sz w:val="20"/>
        </w:rPr>
        <w:t>, 526 U.S. 795, 807, 119 S. Ct. 1597, 143 L. Ed. 2d 966 (1999).</w:t>
      </w:r>
    </w:p>
    <w:p w14:paraId="2E8C9182" w14:textId="77777777" w:rsidR="002B10A6" w:rsidRDefault="00000000">
      <w:pPr>
        <w:pStyle w:val="Normal25"/>
        <w:widowControl w:val="0"/>
        <w:spacing w:before="200" w:line="260" w:lineRule="atLeast"/>
        <w:jc w:val="both"/>
      </w:pPr>
      <w:bookmarkStart w:id="5755" w:name="Bookmark_para_62_4"/>
      <w:bookmarkStart w:id="5756" w:name="Bookmark_I61HP1R528T40M0010000400"/>
      <w:bookmarkEnd w:id="5755"/>
      <w:bookmarkEnd w:id="5756"/>
      <w:r>
        <w:rPr>
          <w:rFonts w:ascii="Arial" w:eastAsia="Arial" w:hAnsi="Arial" w:cs="Arial"/>
          <w:color w:val="000000"/>
          <w:sz w:val="20"/>
        </w:rPr>
        <w:t xml:space="preserve">We have concluded that Aubrey has produced sufficient evidence from which a reasonable jury could find that, on or near April 16, 2015, she was able to perform the essential functions of her job with reasonable accommodation. Aubrey's long-term disability policy defined disabled as being unable to perform the essential functions of her Office Tech III job </w:t>
      </w:r>
      <w:r>
        <w:rPr>
          <w:rFonts w:ascii="Arial" w:eastAsia="Arial" w:hAnsi="Arial" w:cs="Arial"/>
          <w:color w:val="000000"/>
          <w:sz w:val="20"/>
          <w:u w:val="single"/>
        </w:rPr>
        <w:t xml:space="preserve">without taking into account any reasonable accommodations. </w:t>
      </w:r>
      <w:bookmarkStart w:id="5757" w:name="Bookmark_I61HP1R528T40M0050000400"/>
      <w:bookmarkEnd w:id="5757"/>
      <w:r>
        <w:rPr>
          <w:rFonts w:ascii="Arial" w:eastAsia="Arial" w:hAnsi="Arial" w:cs="Arial"/>
          <w:color w:val="000000"/>
          <w:sz w:val="20"/>
          <w:u w:val="single"/>
        </w:rPr>
        <w:t xml:space="preserve">See </w:t>
      </w:r>
      <w:bookmarkStart w:id="5758" w:name="Bookmark_I61HP1R528T40M0050000400_2"/>
      <w:bookmarkStart w:id="5759" w:name="Bookmark_I61HP1R528T40K0050000400"/>
      <w:bookmarkEnd w:id="5758"/>
      <w:bookmarkEnd w:id="5759"/>
      <w:r>
        <w:rPr>
          <w:rFonts w:ascii="Arial" w:eastAsia="Arial" w:hAnsi="Arial" w:cs="Arial"/>
          <w:color w:val="000000"/>
          <w:sz w:val="20"/>
          <w:u w:val="single"/>
        </w:rPr>
        <w:t>Rascon v. U.S. W. Commc'ns, Inc.</w:t>
      </w:r>
      <w:r>
        <w:rPr>
          <w:rFonts w:ascii="Arial" w:eastAsia="Arial" w:hAnsi="Arial" w:cs="Arial"/>
          <w:color w:val="000000"/>
          <w:sz w:val="20"/>
        </w:rPr>
        <w:t xml:space="preserve">, 143 F.3d 1324, 1330-31 (10th Cir. 1998), </w:t>
      </w:r>
      <w:r>
        <w:rPr>
          <w:rFonts w:ascii="Arial" w:eastAsia="Arial" w:hAnsi="Arial" w:cs="Arial"/>
          <w:color w:val="000000"/>
          <w:sz w:val="20"/>
          <w:u w:val="single"/>
        </w:rPr>
        <w:t xml:space="preserve">overruled on other grounds, </w:t>
      </w:r>
      <w:bookmarkStart w:id="5760" w:name="Bookmark_I61HP1R528T40M0020000400"/>
      <w:bookmarkEnd w:id="5760"/>
      <w:r>
        <w:rPr>
          <w:rFonts w:ascii="Arial" w:eastAsia="Arial" w:hAnsi="Arial" w:cs="Arial"/>
          <w:color w:val="000000"/>
          <w:sz w:val="20"/>
          <w:u w:val="single"/>
        </w:rPr>
        <w:t>N. Hamp. v. Maine</w:t>
      </w:r>
      <w:r>
        <w:rPr>
          <w:rFonts w:ascii="Arial" w:eastAsia="Arial" w:hAnsi="Arial" w:cs="Arial"/>
          <w:color w:val="000000"/>
          <w:sz w:val="20"/>
        </w:rPr>
        <w:t xml:space="preserve">, 532 U.S. 742, 121 S. Ct. 1808, 149 L. Ed. 2d 968 (2001). </w:t>
      </w:r>
      <w:bookmarkStart w:id="5761" w:name="Bookmark_I61HP1R528T40M0050000400_3"/>
      <w:bookmarkEnd w:id="5761"/>
      <w:r>
        <w:rPr>
          <w:rFonts w:ascii="Arial" w:eastAsia="Arial" w:hAnsi="Arial" w:cs="Arial"/>
          <w:color w:val="000000"/>
          <w:sz w:val="20"/>
        </w:rPr>
        <w:t xml:space="preserve">The same is true of Aubrey's social security disability application, </w:t>
      </w:r>
      <w:r>
        <w:rPr>
          <w:rFonts w:ascii="Arial" w:eastAsia="Arial" w:hAnsi="Arial" w:cs="Arial"/>
          <w:color w:val="000000"/>
          <w:sz w:val="20"/>
          <w:u w:val="single"/>
        </w:rPr>
        <w:t>see id.</w:t>
      </w:r>
      <w:r>
        <w:rPr>
          <w:rFonts w:ascii="Arial" w:eastAsia="Arial" w:hAnsi="Arial" w:cs="Arial"/>
          <w:color w:val="000000"/>
          <w:sz w:val="20"/>
        </w:rPr>
        <w:t xml:space="preserve">, which, in any event, was unsuccessful. </w:t>
      </w:r>
      <w:r>
        <w:rPr>
          <w:rFonts w:ascii="Arial" w:eastAsia="Arial" w:hAnsi="Arial" w:cs="Arial"/>
          <w:color w:val="000000"/>
          <w:sz w:val="20"/>
          <w:u w:val="single"/>
        </w:rPr>
        <w:t xml:space="preserve">See </w:t>
      </w:r>
      <w:bookmarkStart w:id="5762" w:name="Bookmark_I61HP1R528T40M0040000400"/>
      <w:bookmarkEnd w:id="5762"/>
      <w:r>
        <w:rPr>
          <w:rFonts w:ascii="Arial" w:eastAsia="Arial" w:hAnsi="Arial" w:cs="Arial"/>
          <w:color w:val="000000"/>
          <w:sz w:val="20"/>
          <w:u w:val="single"/>
        </w:rPr>
        <w:t>Cleveland</w:t>
      </w:r>
      <w:r>
        <w:rPr>
          <w:rFonts w:ascii="Arial" w:eastAsia="Arial" w:hAnsi="Arial" w:cs="Arial"/>
          <w:color w:val="000000"/>
          <w:sz w:val="20"/>
        </w:rPr>
        <w:t>, 526 U.S. at 803, 805. The sworn assertions Aubrey made when she applied for disability benefits, therefore, do not warrant summary judgment for the Defendants.</w:t>
      </w:r>
    </w:p>
    <w:p w14:paraId="61B6FEC4" w14:textId="77777777" w:rsidR="002B10A6" w:rsidRDefault="00000000">
      <w:pPr>
        <w:pStyle w:val="Normal25"/>
        <w:widowControl w:val="0"/>
        <w:spacing w:before="240" w:line="260" w:lineRule="atLeast"/>
      </w:pPr>
      <w:r>
        <w:br/>
      </w:r>
      <w:r>
        <w:rPr>
          <w:rFonts w:ascii="Arial" w:eastAsia="Arial" w:hAnsi="Arial" w:cs="Arial"/>
          <w:b/>
          <w:color w:val="000000"/>
          <w:sz w:val="20"/>
        </w:rPr>
        <w:t>d. The County did not accommodate Aubrey's disability</w:t>
      </w:r>
    </w:p>
    <w:p w14:paraId="44589D8A" w14:textId="77777777" w:rsidR="002B10A6" w:rsidRDefault="00000000">
      <w:pPr>
        <w:pStyle w:val="Normal25"/>
        <w:widowControl w:val="0"/>
        <w:spacing w:before="200" w:line="260" w:lineRule="atLeast"/>
        <w:jc w:val="both"/>
      </w:pPr>
      <w:bookmarkStart w:id="5763" w:name="Bookmark_para_63_4"/>
      <w:bookmarkStart w:id="5764" w:name="Bookmark_I61HP1R62HM5VG0020000400"/>
      <w:bookmarkEnd w:id="5763"/>
      <w:bookmarkEnd w:id="5764"/>
      <w:r>
        <w:rPr>
          <w:rFonts w:ascii="Arial" w:eastAsia="Arial" w:hAnsi="Arial" w:cs="Arial"/>
          <w:color w:val="000000"/>
          <w:sz w:val="20"/>
        </w:rPr>
        <w:t xml:space="preserve">There is no dispute that Aubrey established the fourth element of her prima facie claim—that, although aware of her need for an accommodation, the [**35]  County did not provide any. </w:t>
      </w:r>
      <w:r>
        <w:rPr>
          <w:rFonts w:ascii="Arial" w:eastAsia="Arial" w:hAnsi="Arial" w:cs="Arial"/>
          <w:color w:val="000000"/>
          <w:sz w:val="20"/>
          <w:u w:val="single"/>
        </w:rPr>
        <w:t xml:space="preserve">See </w:t>
      </w:r>
      <w:bookmarkStart w:id="5765" w:name="Bookmark_I61HP1R62HM5VG0010000400"/>
      <w:bookmarkEnd w:id="5765"/>
      <w:r>
        <w:rPr>
          <w:rFonts w:ascii="Arial" w:eastAsia="Arial" w:hAnsi="Arial" w:cs="Arial"/>
          <w:color w:val="000000"/>
          <w:sz w:val="20"/>
          <w:u w:val="single"/>
        </w:rPr>
        <w:t>McFarland</w:t>
      </w:r>
      <w:r>
        <w:rPr>
          <w:rFonts w:ascii="Arial" w:eastAsia="Arial" w:hAnsi="Arial" w:cs="Arial"/>
          <w:color w:val="000000"/>
          <w:sz w:val="20"/>
        </w:rPr>
        <w:t xml:space="preserve">, 744 F. App'x at 586; </w:t>
      </w:r>
      <w:bookmarkStart w:id="5766" w:name="Bookmark_I61HP1R62HM5VG0030000400"/>
      <w:bookmarkEnd w:id="5766"/>
      <w:r>
        <w:rPr>
          <w:rFonts w:ascii="Arial" w:eastAsia="Arial" w:hAnsi="Arial" w:cs="Arial"/>
          <w:color w:val="000000"/>
          <w:sz w:val="20"/>
          <w:u w:val="single"/>
        </w:rPr>
        <w:t>Spielman</w:t>
      </w:r>
      <w:r>
        <w:rPr>
          <w:rFonts w:ascii="Arial" w:eastAsia="Arial" w:hAnsi="Arial" w:cs="Arial"/>
          <w:color w:val="000000"/>
          <w:sz w:val="20"/>
        </w:rPr>
        <w:t>, 33 F. App'x at 443.</w:t>
      </w:r>
    </w:p>
    <w:p w14:paraId="16A08609" w14:textId="77777777" w:rsidR="002B10A6" w:rsidRDefault="00000000">
      <w:pPr>
        <w:pStyle w:val="Normal25"/>
        <w:widowControl w:val="0"/>
        <w:spacing w:before="240" w:line="260" w:lineRule="atLeast"/>
      </w:pPr>
      <w:r>
        <w:br/>
      </w:r>
      <w:r>
        <w:rPr>
          <w:rFonts w:ascii="Arial" w:eastAsia="Arial" w:hAnsi="Arial" w:cs="Arial"/>
          <w:b/>
          <w:color w:val="000000"/>
          <w:sz w:val="20"/>
        </w:rPr>
        <w:t>2. The County presented evidence challenging Aubrey's prima facie claim, but disputed material issues of fact require a trial</w:t>
      </w:r>
    </w:p>
    <w:p w14:paraId="2742C503" w14:textId="77777777" w:rsidR="002B10A6" w:rsidRDefault="00000000">
      <w:pPr>
        <w:pStyle w:val="Normal25"/>
        <w:widowControl w:val="0"/>
        <w:spacing w:before="200" w:line="260" w:lineRule="atLeast"/>
        <w:jc w:val="both"/>
      </w:pPr>
      <w:bookmarkStart w:id="5767" w:name="Bookmark_para_64_4"/>
      <w:bookmarkStart w:id="5768" w:name="Bookmark_I61HP1R62HM5VH0010000400"/>
      <w:bookmarkEnd w:id="5767"/>
      <w:bookmarkEnd w:id="5768"/>
      <w:r>
        <w:rPr>
          <w:rFonts w:ascii="Arial" w:eastAsia="Arial" w:hAnsi="Arial" w:cs="Arial"/>
          <w:color w:val="000000"/>
          <w:sz w:val="20"/>
        </w:rPr>
        <w:t xml:space="preserve">To summarize, Aubrey presented sufficient evidence to establish a prima facie  [*1014]  failure-to-accommodate claim: 1) she was disabled, 2) but otherwise qualified, 3) her requests for additional time to see her neurologist, for retraining, and/or for possible assignment to a Tech II position were plausibly reasonable accommodations, and 4) the County refused to accommodate her disability. </w:t>
      </w:r>
      <w:bookmarkStart w:id="5769" w:name="Bookmark_I61HP1R62HM5VH0030000400"/>
      <w:bookmarkEnd w:id="5769"/>
      <w:r>
        <w:rPr>
          <w:rFonts w:ascii="Arial" w:eastAsia="Arial" w:hAnsi="Arial" w:cs="Arial"/>
          <w:color w:val="000000"/>
          <w:sz w:val="20"/>
        </w:rPr>
        <w:t xml:space="preserve">That shifted the burden to the County "to present evidence either (1) conclusively rebutting one or more elements of plaintiff's prima facie case or (2) establishing an affirmative defense, such as undue hardship or one of the other affirmative defenses available to the employer." </w:t>
      </w:r>
      <w:bookmarkStart w:id="5770" w:name="Bookmark_I61HP1R62HM5VG0050000400"/>
      <w:bookmarkEnd w:id="5770"/>
      <w:r>
        <w:rPr>
          <w:rFonts w:ascii="Arial" w:eastAsia="Arial" w:hAnsi="Arial" w:cs="Arial"/>
          <w:color w:val="000000"/>
          <w:sz w:val="20"/>
          <w:u w:val="single"/>
        </w:rPr>
        <w:t>Lincoln</w:t>
      </w:r>
      <w:r>
        <w:rPr>
          <w:rFonts w:ascii="Arial" w:eastAsia="Arial" w:hAnsi="Arial" w:cs="Arial"/>
          <w:color w:val="000000"/>
          <w:sz w:val="20"/>
        </w:rPr>
        <w:t xml:space="preserve">, 900 F.3d at 1204 (internal quotation marks omitted). As our previous discussion indicates, the County presented evidence to meet its burden, and Aubrey responded with evidence sufficient "to establish at least a genuine dispute of material fact" to enable her failure-to-accommodate claim to survive summary judgment. </w:t>
      </w:r>
      <w:bookmarkStart w:id="5771" w:name="Bookmark_I61HP1R62HM5VH0030000400_2"/>
      <w:bookmarkStart w:id="5772" w:name="Bookmark_I61HP1R62N1PYP0020000400"/>
      <w:bookmarkStart w:id="5773" w:name="Bookmark_I61HP1R62HM5VH0020000400"/>
      <w:bookmarkEnd w:id="5771"/>
      <w:bookmarkEnd w:id="5772"/>
      <w:bookmarkEnd w:id="5773"/>
      <w:r>
        <w:rPr>
          <w:rFonts w:ascii="Arial" w:eastAsia="Arial" w:hAnsi="Arial" w:cs="Arial"/>
          <w:color w:val="000000"/>
          <w:sz w:val="20"/>
          <w:u w:val="single"/>
        </w:rPr>
        <w:t>Punt</w:t>
      </w:r>
      <w:r>
        <w:rPr>
          <w:rFonts w:ascii="Arial" w:eastAsia="Arial" w:hAnsi="Arial" w:cs="Arial"/>
          <w:color w:val="000000"/>
          <w:sz w:val="20"/>
        </w:rPr>
        <w:t xml:space="preserve">, 862 F.3d at 1050 (quoting </w:t>
      </w:r>
      <w:bookmarkStart w:id="5774" w:name="Bookmark_I61HP1R62HM5VH0040000400"/>
      <w:bookmarkEnd w:id="5774"/>
      <w:r>
        <w:rPr>
          <w:rFonts w:ascii="Arial" w:eastAsia="Arial" w:hAnsi="Arial" w:cs="Arial"/>
          <w:color w:val="000000"/>
          <w:sz w:val="20"/>
          <w:u w:val="single"/>
        </w:rPr>
        <w:t>Smith</w:t>
      </w:r>
      <w:r>
        <w:rPr>
          <w:rFonts w:ascii="Arial" w:eastAsia="Arial" w:hAnsi="Arial" w:cs="Arial"/>
          <w:color w:val="000000"/>
          <w:sz w:val="20"/>
        </w:rPr>
        <w:t xml:space="preserve">, 180 F.3d at 1179). </w:t>
      </w:r>
      <w:bookmarkStart w:id="5775" w:name="Bookmark_I61HP1R62N1PYP0020000400_2"/>
      <w:bookmarkEnd w:id="5775"/>
      <w:r>
        <w:rPr>
          <w:rFonts w:ascii="Arial" w:eastAsia="Arial" w:hAnsi="Arial" w:cs="Arial"/>
          <w:color w:val="000000"/>
          <w:sz w:val="20"/>
        </w:rPr>
        <w:t xml:space="preserve">Therefore, the district court erred in granting the County [**36]  summary judgment on this claim. </w:t>
      </w:r>
      <w:r>
        <w:rPr>
          <w:rFonts w:ascii="Arial" w:eastAsia="Arial" w:hAnsi="Arial" w:cs="Arial"/>
          <w:color w:val="000000"/>
          <w:sz w:val="20"/>
          <w:u w:val="single"/>
        </w:rPr>
        <w:t xml:space="preserve">See </w:t>
      </w:r>
      <w:bookmarkStart w:id="5776" w:name="Bookmark_I61HP1R62N1PYP0010000400"/>
      <w:bookmarkEnd w:id="5776"/>
      <w:r>
        <w:rPr>
          <w:rFonts w:ascii="Arial" w:eastAsia="Arial" w:hAnsi="Arial" w:cs="Arial"/>
          <w:color w:val="000000"/>
          <w:sz w:val="20"/>
          <w:u w:val="single"/>
        </w:rPr>
        <w:t>Smith</w:t>
      </w:r>
      <w:r>
        <w:rPr>
          <w:rFonts w:ascii="Arial" w:eastAsia="Arial" w:hAnsi="Arial" w:cs="Arial"/>
          <w:color w:val="000000"/>
          <w:sz w:val="20"/>
        </w:rPr>
        <w:t>, 180 F.3d at 1179 ("After considering the submissions by both sides on summary judgment, if there remains genuine evidence supporting each element of the employee's prima facie case and, if need be, disputing the employer's affirmative defenses, summary judgment for the employer should be denied and the matter must proceed to trial.").</w:t>
      </w:r>
    </w:p>
    <w:p w14:paraId="478CD157" w14:textId="77777777" w:rsidR="002B10A6" w:rsidRDefault="00000000">
      <w:pPr>
        <w:pStyle w:val="Normal25"/>
        <w:widowControl w:val="0"/>
        <w:spacing w:before="240" w:line="260" w:lineRule="atLeast"/>
      </w:pPr>
      <w:r>
        <w:br/>
      </w:r>
      <w:r>
        <w:rPr>
          <w:rFonts w:ascii="Arial" w:eastAsia="Arial" w:hAnsi="Arial" w:cs="Arial"/>
          <w:b/>
          <w:color w:val="000000"/>
          <w:sz w:val="20"/>
        </w:rPr>
        <w:t>B. Discrimination against Aubrey because of her disability</w:t>
      </w:r>
    </w:p>
    <w:p w14:paraId="0047DADD" w14:textId="77777777" w:rsidR="002B10A6" w:rsidRDefault="00000000">
      <w:pPr>
        <w:pStyle w:val="Normal25"/>
        <w:widowControl w:val="0"/>
        <w:spacing w:before="200" w:line="260" w:lineRule="atLeast"/>
        <w:jc w:val="both"/>
      </w:pPr>
      <w:bookmarkStart w:id="5777" w:name="Bookmark_para_65_4"/>
      <w:bookmarkEnd w:id="5777"/>
      <w:r>
        <w:rPr>
          <w:rFonts w:ascii="Arial" w:eastAsia="Arial" w:hAnsi="Arial" w:cs="Arial"/>
          <w:color w:val="000000"/>
          <w:sz w:val="20"/>
        </w:rPr>
        <w:t xml:space="preserve">Aubrey next alleged that the County discriminated against her on the basis of her disability when it terminated her employment. </w:t>
      </w:r>
      <w:bookmarkStart w:id="5778" w:name="Bookmark_I61HP1R62N1PYP0040000400"/>
      <w:bookmarkEnd w:id="5778"/>
      <w:r>
        <w:rPr>
          <w:rFonts w:ascii="Arial" w:eastAsia="Arial" w:hAnsi="Arial" w:cs="Arial"/>
          <w:color w:val="000000"/>
          <w:sz w:val="20"/>
          <w:u w:val="single"/>
        </w:rPr>
        <w:t>See</w:t>
      </w:r>
      <w:r>
        <w:rPr>
          <w:rFonts w:ascii="Arial" w:eastAsia="Arial" w:hAnsi="Arial" w:cs="Arial"/>
          <w:color w:val="000000"/>
          <w:sz w:val="20"/>
        </w:rPr>
        <w:t xml:space="preserve"> 42 U.S.C. § 12112(a) (prohibiting discrimination "against a qualified individual on the basis of disability in regard to . . . discharge of employees"). </w:t>
      </w:r>
      <w:bookmarkStart w:id="5779" w:name="Bookmark_LNHNREFclscc23_2"/>
      <w:bookmarkEnd w:id="5779"/>
      <w:r>
        <w:rPr>
          <w:rFonts w:ascii="Arial" w:eastAsia="Arial" w:hAnsi="Arial" w:cs="Arial"/>
          <w:color w:val="000000"/>
          <w:sz w:val="20"/>
        </w:rPr>
        <w:t xml:space="preserve">Different than her failure-to-accommodate claim, to recover on her discrimination claim, Aubrey must prove that the County acted with a discriminatory animus against her because she had a disability. </w:t>
      </w:r>
      <w:r>
        <w:rPr>
          <w:rFonts w:ascii="Arial" w:eastAsia="Arial" w:hAnsi="Arial" w:cs="Arial"/>
          <w:color w:val="000000"/>
          <w:sz w:val="20"/>
          <w:u w:val="single"/>
        </w:rPr>
        <w:t xml:space="preserve">See </w:t>
      </w:r>
      <w:bookmarkStart w:id="5780" w:name="Bookmark_I61HP1R62N1PYP0030000400"/>
      <w:bookmarkEnd w:id="5780"/>
      <w:r>
        <w:rPr>
          <w:rFonts w:ascii="Arial" w:eastAsia="Arial" w:hAnsi="Arial" w:cs="Arial"/>
          <w:color w:val="000000"/>
          <w:sz w:val="20"/>
          <w:u w:val="single"/>
        </w:rPr>
        <w:t>Lincoln</w:t>
      </w:r>
      <w:r>
        <w:rPr>
          <w:rFonts w:ascii="Arial" w:eastAsia="Arial" w:hAnsi="Arial" w:cs="Arial"/>
          <w:color w:val="000000"/>
          <w:sz w:val="20"/>
        </w:rPr>
        <w:t>, 900 F.3d at 1204.</w:t>
      </w:r>
    </w:p>
    <w:p w14:paraId="5FA4051C" w14:textId="77777777" w:rsidR="002B10A6" w:rsidRDefault="00000000">
      <w:pPr>
        <w:pStyle w:val="Normal25"/>
        <w:widowControl w:val="0"/>
        <w:spacing w:before="240" w:line="260" w:lineRule="atLeast"/>
      </w:pPr>
      <w:r>
        <w:br/>
      </w:r>
      <w:r>
        <w:rPr>
          <w:rFonts w:ascii="Arial" w:eastAsia="Arial" w:hAnsi="Arial" w:cs="Arial"/>
          <w:b/>
          <w:color w:val="000000"/>
          <w:sz w:val="20"/>
        </w:rPr>
        <w:t>1. Aubrey's prima facie claim</w:t>
      </w:r>
    </w:p>
    <w:p w14:paraId="3264DF30" w14:textId="77777777" w:rsidR="002B10A6" w:rsidRDefault="00000000">
      <w:pPr>
        <w:pStyle w:val="Normal25"/>
        <w:widowControl w:val="0"/>
        <w:spacing w:before="200" w:line="260" w:lineRule="atLeast"/>
        <w:jc w:val="both"/>
      </w:pPr>
      <w:bookmarkStart w:id="5781" w:name="Bookmark_para_66_4"/>
      <w:bookmarkStart w:id="5782" w:name="Bookmark_I7C9TG1B0N70000678T0001Y"/>
      <w:bookmarkStart w:id="5783" w:name="Bookmark_I61HP1R62N1PYR0010000400"/>
      <w:bookmarkStart w:id="5784" w:name="Bookmark_I7C9TG1B2XK0000678T00020"/>
      <w:bookmarkStart w:id="5785" w:name="Bookmark_I61HP1R62SF7TM0020000400"/>
      <w:bookmarkStart w:id="5786" w:name="Bookmark_LNHNREFclscc24_2"/>
      <w:bookmarkEnd w:id="5781"/>
      <w:bookmarkEnd w:id="5782"/>
      <w:bookmarkEnd w:id="5783"/>
      <w:bookmarkEnd w:id="5784"/>
      <w:bookmarkEnd w:id="5785"/>
      <w:bookmarkEnd w:id="5786"/>
      <w:r>
        <w:rPr>
          <w:rFonts w:ascii="Arial" w:eastAsia="Arial" w:hAnsi="Arial" w:cs="Arial"/>
          <w:color w:val="000000"/>
          <w:sz w:val="20"/>
        </w:rPr>
        <w:t xml:space="preserve">Where, as here, there is no direct evidence of the County's discriminatory animus, we apply the </w:t>
      </w:r>
      <w:r>
        <w:rPr>
          <w:rFonts w:ascii="Arial" w:eastAsia="Arial" w:hAnsi="Arial" w:cs="Arial"/>
          <w:color w:val="000000"/>
          <w:sz w:val="20"/>
          <w:u w:val="single"/>
        </w:rPr>
        <w:t>McDonnell-Douglas</w:t>
      </w:r>
      <w:r>
        <w:rPr>
          <w:rFonts w:ascii="Arial" w:eastAsia="Arial" w:hAnsi="Arial" w:cs="Arial"/>
          <w:color w:val="000000"/>
          <w:sz w:val="20"/>
        </w:rPr>
        <w:t xml:space="preserve"> burden-shifting analysis.</w:t>
      </w:r>
      <w:r>
        <w:rPr>
          <w:rFonts w:ascii="Arial" w:eastAsia="Arial" w:hAnsi="Arial" w:cs="Arial"/>
          <w:vertAlign w:val="superscript"/>
        </w:rPr>
        <w:footnoteReference w:customMarkFollows="1" w:id="208"/>
        <w:t>10</w:t>
      </w:r>
      <w:r>
        <w:rPr>
          <w:rFonts w:ascii="Arial" w:eastAsia="Arial" w:hAnsi="Arial" w:cs="Arial"/>
          <w:color w:val="000000"/>
          <w:sz w:val="20"/>
        </w:rPr>
        <w:t xml:space="preserve"> </w:t>
      </w:r>
      <w:r>
        <w:rPr>
          <w:rFonts w:ascii="Arial" w:eastAsia="Arial" w:hAnsi="Arial" w:cs="Arial"/>
          <w:color w:val="000000"/>
          <w:sz w:val="20"/>
          <w:u w:val="single"/>
        </w:rPr>
        <w:t xml:space="preserve">See </w:t>
      </w:r>
      <w:bookmarkStart w:id="5789" w:name="Bookmark_I61HP1R62N1PYP0050000400"/>
      <w:bookmarkEnd w:id="5789"/>
      <w:r>
        <w:rPr>
          <w:rFonts w:ascii="Arial" w:eastAsia="Arial" w:hAnsi="Arial" w:cs="Arial"/>
          <w:color w:val="000000"/>
          <w:sz w:val="20"/>
          <w:u w:val="single"/>
        </w:rPr>
        <w:t>Lincoln</w:t>
      </w:r>
      <w:r>
        <w:rPr>
          <w:rFonts w:ascii="Arial" w:eastAsia="Arial" w:hAnsi="Arial" w:cs="Arial"/>
          <w:color w:val="000000"/>
          <w:sz w:val="20"/>
        </w:rPr>
        <w:t xml:space="preserve">, 900 F.3d at 1192. </w:t>
      </w:r>
      <w:bookmarkStart w:id="5790" w:name="Bookmark_I61HP1R62N1PYR0030000400"/>
      <w:bookmarkEnd w:id="5790"/>
      <w:r>
        <w:rPr>
          <w:rFonts w:ascii="Arial" w:eastAsia="Arial" w:hAnsi="Arial" w:cs="Arial"/>
          <w:color w:val="000000"/>
          <w:sz w:val="20"/>
        </w:rPr>
        <w:t xml:space="preserve">At the first step of that analysis, Aubrey had "to establish a prima facie case of discrimination by showing (1) that [s]he is disabled within [**37]  the meaning of the ADA; (2) that [s]he is qualified for the job held or desired; and (3) that [s]he was discriminated against because of h[er] disability." </w:t>
      </w:r>
      <w:r>
        <w:rPr>
          <w:rFonts w:ascii="Arial" w:eastAsia="Arial" w:hAnsi="Arial" w:cs="Arial"/>
          <w:color w:val="000000"/>
          <w:sz w:val="20"/>
          <w:u w:val="single"/>
        </w:rPr>
        <w:t>Id.</w:t>
      </w:r>
      <w:r>
        <w:rPr>
          <w:rFonts w:ascii="Arial" w:eastAsia="Arial" w:hAnsi="Arial" w:cs="Arial"/>
          <w:color w:val="000000"/>
          <w:sz w:val="20"/>
        </w:rPr>
        <w:t xml:space="preserve"> (internal quotation marks omitted). Again, establishing a prima facie claim is not onerous. </w:t>
      </w:r>
      <w:bookmarkStart w:id="5791" w:name="Bookmark_I61HP1R62N1PYR0030000400_2"/>
      <w:bookmarkStart w:id="5792" w:name="Bookmark_I61HP1R62N1PYR0050000400"/>
      <w:bookmarkEnd w:id="5791"/>
      <w:bookmarkEnd w:id="5792"/>
      <w:r>
        <w:rPr>
          <w:rFonts w:ascii="Arial" w:eastAsia="Arial" w:hAnsi="Arial" w:cs="Arial"/>
          <w:color w:val="000000"/>
          <w:sz w:val="20"/>
          <w:u w:val="single"/>
        </w:rPr>
        <w:t xml:space="preserve">See </w:t>
      </w:r>
      <w:bookmarkStart w:id="5793" w:name="Bookmark_I61HP1R62N1PYR0020000400"/>
      <w:bookmarkEnd w:id="5793"/>
      <w:r>
        <w:rPr>
          <w:rFonts w:ascii="Arial" w:eastAsia="Arial" w:hAnsi="Arial" w:cs="Arial"/>
          <w:color w:val="000000"/>
          <w:sz w:val="20"/>
          <w:u w:val="single"/>
        </w:rPr>
        <w:t>Osborne</w:t>
      </w:r>
      <w:r>
        <w:rPr>
          <w:rFonts w:ascii="Arial" w:eastAsia="Arial" w:hAnsi="Arial" w:cs="Arial"/>
          <w:color w:val="000000"/>
          <w:sz w:val="20"/>
        </w:rPr>
        <w:t xml:space="preserve">, 798 F.3d at 1266. </w:t>
      </w:r>
      <w:bookmarkStart w:id="5794" w:name="Bookmark_I61HP1R62N1PYR0050000400_2"/>
      <w:bookmarkEnd w:id="5794"/>
      <w:r>
        <w:rPr>
          <w:rFonts w:ascii="Arial" w:eastAsia="Arial" w:hAnsi="Arial" w:cs="Arial"/>
          <w:color w:val="000000"/>
          <w:sz w:val="20"/>
        </w:rPr>
        <w:t xml:space="preserve">Aubrey has succeeded in asserting a prima facie claim here. As previously discussed, the County conceded for summary judgment purposes that Aubrey was disabled, and Aubrey presented sufficient evidence that she was otherwise qualified. </w:t>
      </w:r>
      <w:bookmarkStart w:id="5795" w:name="Bookmark_LNHNREFclscc25_2"/>
      <w:bookmarkEnd w:id="5795"/>
      <w:r>
        <w:rPr>
          <w:rFonts w:ascii="Arial" w:eastAsia="Arial" w:hAnsi="Arial" w:cs="Arial"/>
          <w:color w:val="000000"/>
          <w:sz w:val="20"/>
        </w:rPr>
        <w:t xml:space="preserve">As for the third element, the ADA defines "discrimination" to include "not making reasonable accommodations to the known physical . . . limitations of an otherwise qualified individual." 42 U.S.C. § 12112(b)(5)(A); </w:t>
      </w:r>
      <w:r>
        <w:rPr>
          <w:rFonts w:ascii="Arial" w:eastAsia="Arial" w:hAnsi="Arial" w:cs="Arial"/>
          <w:color w:val="000000"/>
          <w:sz w:val="20"/>
          <w:u w:val="single"/>
        </w:rPr>
        <w:t xml:space="preserve">see also </w:t>
      </w:r>
      <w:bookmarkStart w:id="5796" w:name="Bookmark_I61HP1R62N1PYR0040000400"/>
      <w:bookmarkEnd w:id="5796"/>
      <w:r>
        <w:rPr>
          <w:rFonts w:ascii="Arial" w:eastAsia="Arial" w:hAnsi="Arial" w:cs="Arial"/>
          <w:color w:val="000000"/>
          <w:sz w:val="20"/>
          <w:u w:val="single"/>
        </w:rPr>
        <w:t>Smith</w:t>
      </w:r>
      <w:r>
        <w:rPr>
          <w:rFonts w:ascii="Arial" w:eastAsia="Arial" w:hAnsi="Arial" w:cs="Arial"/>
          <w:color w:val="000000"/>
          <w:sz w:val="20"/>
        </w:rPr>
        <w:t>, 180 F.3d at 1161. Aubrey satisfied that element as well.</w:t>
      </w:r>
    </w:p>
    <w:p w14:paraId="62D2F865" w14:textId="77777777" w:rsidR="002B10A6" w:rsidRDefault="00000000">
      <w:pPr>
        <w:pStyle w:val="Normal25"/>
        <w:widowControl w:val="0"/>
        <w:spacing w:before="240" w:line="260" w:lineRule="atLeast"/>
      </w:pPr>
      <w:r>
        <w:br/>
      </w:r>
      <w:r>
        <w:rPr>
          <w:rFonts w:ascii="Arial" w:eastAsia="Arial" w:hAnsi="Arial" w:cs="Arial"/>
          <w:b/>
          <w:color w:val="000000"/>
          <w:sz w:val="20"/>
        </w:rPr>
        <w:t>2. The County's legitimate, non-discriminatory reason for terminating Aubrey</w:t>
      </w:r>
    </w:p>
    <w:p w14:paraId="5290313A" w14:textId="77777777" w:rsidR="002B10A6" w:rsidRDefault="00000000">
      <w:pPr>
        <w:pStyle w:val="Normal25"/>
        <w:widowControl w:val="0"/>
        <w:spacing w:before="200" w:line="260" w:lineRule="atLeast"/>
        <w:jc w:val="both"/>
      </w:pPr>
      <w:bookmarkStart w:id="5797" w:name="Bookmark_para_67_4"/>
      <w:bookmarkEnd w:id="5797"/>
      <w:r>
        <w:rPr>
          <w:rFonts w:ascii="Arial" w:eastAsia="Arial" w:hAnsi="Arial" w:cs="Arial"/>
          <w:color w:val="000000"/>
          <w:sz w:val="20"/>
        </w:rPr>
        <w:t>It has been the County's position throughout this litigation that Aubrey was  [*1015]  unable to perform the essential duties of her job (an Office Tech III in the recordings division), or an Office Tech II position, and that it would have been an undue hardship to the County to hold Aubrey's position open any longer.</w:t>
      </w:r>
    </w:p>
    <w:p w14:paraId="00BD658D" w14:textId="77777777" w:rsidR="002B10A6" w:rsidRDefault="00000000">
      <w:pPr>
        <w:pStyle w:val="Normal25"/>
        <w:widowControl w:val="0"/>
        <w:spacing w:before="240" w:line="260" w:lineRule="atLeast"/>
      </w:pPr>
      <w:r>
        <w:br/>
      </w:r>
      <w:r>
        <w:rPr>
          <w:rFonts w:ascii="Arial" w:eastAsia="Arial" w:hAnsi="Arial" w:cs="Arial"/>
          <w:b/>
          <w:color w:val="000000"/>
          <w:sz w:val="20"/>
        </w:rPr>
        <w:t>3. Pretext</w:t>
      </w:r>
    </w:p>
    <w:p w14:paraId="7CED7FC7" w14:textId="77777777" w:rsidR="002B10A6" w:rsidRDefault="00000000">
      <w:pPr>
        <w:pStyle w:val="Normal25"/>
        <w:widowControl w:val="0"/>
        <w:spacing w:before="200" w:line="260" w:lineRule="atLeast"/>
        <w:jc w:val="both"/>
      </w:pPr>
      <w:bookmarkStart w:id="5798" w:name="Bookmark_para_68_4"/>
      <w:bookmarkStart w:id="5799" w:name="Bookmark_I61HP1R62SF7TM0040000400"/>
      <w:bookmarkEnd w:id="5798"/>
      <w:bookmarkEnd w:id="5799"/>
      <w:r>
        <w:rPr>
          <w:rFonts w:ascii="Arial" w:eastAsia="Arial" w:hAnsi="Arial" w:cs="Arial"/>
          <w:color w:val="000000"/>
          <w:sz w:val="20"/>
        </w:rPr>
        <w:t xml:space="preserve">It was then Aubrey's burden to show that the County's justification for terminating [**38]  her was a pretext for disability discrimination. </w:t>
      </w:r>
      <w:r>
        <w:rPr>
          <w:rFonts w:ascii="Arial" w:eastAsia="Arial" w:hAnsi="Arial" w:cs="Arial"/>
          <w:color w:val="000000"/>
          <w:sz w:val="20"/>
          <w:u w:val="single"/>
        </w:rPr>
        <w:t xml:space="preserve">See </w:t>
      </w:r>
      <w:bookmarkStart w:id="5800" w:name="Bookmark_I61HP1R62SF7TM0030000400"/>
      <w:bookmarkEnd w:id="5800"/>
      <w:r>
        <w:rPr>
          <w:rFonts w:ascii="Arial" w:eastAsia="Arial" w:hAnsi="Arial" w:cs="Arial"/>
          <w:color w:val="000000"/>
          <w:sz w:val="20"/>
          <w:u w:val="single"/>
        </w:rPr>
        <w:t>Lincoln</w:t>
      </w:r>
      <w:r>
        <w:rPr>
          <w:rFonts w:ascii="Arial" w:eastAsia="Arial" w:hAnsi="Arial" w:cs="Arial"/>
          <w:color w:val="000000"/>
          <w:sz w:val="20"/>
        </w:rPr>
        <w:t>, 900 F.3d at 1193.</w:t>
      </w:r>
    </w:p>
    <w:p w14:paraId="3E4BDFEB" w14:textId="77777777" w:rsidR="002B10A6" w:rsidRDefault="00000000">
      <w:pPr>
        <w:pStyle w:val="Normal25"/>
        <w:widowControl w:val="0"/>
        <w:spacing w:line="260" w:lineRule="atLeast"/>
        <w:ind w:left="400"/>
        <w:jc w:val="both"/>
      </w:pPr>
      <w:bookmarkStart w:id="5801" w:name="Bookmark_para_69_3"/>
      <w:bookmarkStart w:id="5802" w:name="Bookmark_I61HP1R62SF7TM0040000400_2"/>
      <w:bookmarkStart w:id="5803" w:name="Bookmark_LNHNREFclscc26_2"/>
      <w:bookmarkEnd w:id="5801"/>
      <w:bookmarkEnd w:id="5802"/>
      <w:bookmarkEnd w:id="5803"/>
      <w:r>
        <w:rPr>
          <w:rFonts w:ascii="Arial" w:eastAsia="Arial" w:hAnsi="Arial" w:cs="Arial"/>
          <w:color w:val="000000"/>
          <w:sz w:val="20"/>
        </w:rPr>
        <w:t>A plaintiff may show pretext by demonstrating the proffered reason is factually false, or that discrimination was a primary factor in the employer's decision. This is often accomplished by revealing weakness, implausibilities, inconsistencies, incoherencies, or contradictions in the employer's proffered reason, such that a reasonable fact finder could deem the employer's reason unworthy of credence.</w:t>
      </w:r>
    </w:p>
    <w:p w14:paraId="7FDA0BAA" w14:textId="77777777" w:rsidR="002B10A6" w:rsidRDefault="00000000">
      <w:pPr>
        <w:pStyle w:val="Normal25"/>
        <w:widowControl w:val="0"/>
        <w:spacing w:before="200" w:line="260" w:lineRule="atLeast"/>
        <w:jc w:val="both"/>
      </w:pPr>
      <w:r>
        <w:rPr>
          <w:rFonts w:ascii="Arial" w:eastAsia="Arial" w:hAnsi="Arial" w:cs="Arial"/>
          <w:color w:val="000000"/>
          <w:sz w:val="20"/>
          <w:u w:val="single"/>
        </w:rPr>
        <w:t>Id.</w:t>
      </w:r>
      <w:r>
        <w:rPr>
          <w:rFonts w:ascii="Arial" w:eastAsia="Arial" w:hAnsi="Arial" w:cs="Arial"/>
          <w:color w:val="000000"/>
          <w:sz w:val="20"/>
        </w:rPr>
        <w:t xml:space="preserve"> (internal quotation marks, citations omitted).</w:t>
      </w:r>
    </w:p>
    <w:p w14:paraId="6AFE7C08" w14:textId="77777777" w:rsidR="002B10A6" w:rsidRDefault="00000000">
      <w:pPr>
        <w:pStyle w:val="Normal25"/>
        <w:widowControl w:val="0"/>
        <w:spacing w:before="200" w:line="260" w:lineRule="atLeast"/>
        <w:jc w:val="both"/>
      </w:pPr>
      <w:bookmarkStart w:id="5804" w:name="Bookmark_para_70_3"/>
      <w:bookmarkEnd w:id="5804"/>
      <w:r>
        <w:rPr>
          <w:rFonts w:ascii="Arial" w:eastAsia="Arial" w:hAnsi="Arial" w:cs="Arial"/>
          <w:color w:val="000000"/>
          <w:sz w:val="20"/>
        </w:rPr>
        <w:t>Aubrey has asserted sufficient evidence to create a triable question as to pretext. In particular, a jury could find that the reasons the County gave for terminating Aubrey, in its termination letter and through County officials' deposition testimony, were unworthy of belief because they were inaccurate or even false. Briefly summarized here, those inaccuracies included stating that Aubrey had indicated during the pre-termination hearing that she could not return to work until July 31, when in fact she had not stated that; indicating Aubrey could not see, when she could; and indicating Aubrey could not use a computer or telephone, when she stated during the hearing that she was using a [**39]  computer and there was no indication that she could not use a telephone.</w:t>
      </w:r>
    </w:p>
    <w:p w14:paraId="3FE921BD" w14:textId="77777777" w:rsidR="002B10A6" w:rsidRDefault="00000000">
      <w:pPr>
        <w:pStyle w:val="Normal25"/>
        <w:widowControl w:val="0"/>
        <w:spacing w:before="200" w:line="260" w:lineRule="atLeast"/>
        <w:jc w:val="both"/>
      </w:pPr>
      <w:bookmarkStart w:id="5805" w:name="Bookmark_para_71_3"/>
      <w:bookmarkEnd w:id="5805"/>
      <w:r>
        <w:rPr>
          <w:rFonts w:ascii="Arial" w:eastAsia="Arial" w:hAnsi="Arial" w:cs="Arial"/>
          <w:color w:val="000000"/>
          <w:sz w:val="20"/>
        </w:rPr>
        <w:t>In addition, a jury could further infer that the County had acted with a discriminatory animus from the manner in which the County conducted the pre-termination hearing. For example, the County did not contact Aubrey for months, waiting until less than twenty-four hours before the hearing to notify Aubrey of the hearing and the need for her to present updated medical information, waiting until the hearing to ask if she had a return-to-work certification, and then not allowing her the usual two weeks given other employees to obtain medical documentation to support her requested accommodations. County officials also failed to inquire at the hearing about Aubrey's limitations or what retraining she might require, after Aubrey raised that possibility. From this evidence, a jury could find that the County acted with a discriminatory animus when it terminated her employment. Aubrey's disability discrimination claim, therefore, was sufficient to survive summary judgment. Thus, we reverse the district court's grant of summary judgment on this claim and remand it to the district court for further proceedings.</w:t>
      </w:r>
    </w:p>
    <w:p w14:paraId="6DC0199D" w14:textId="77777777" w:rsidR="002B10A6" w:rsidRDefault="00000000">
      <w:pPr>
        <w:pStyle w:val="Normal25"/>
        <w:widowControl w:val="0"/>
        <w:spacing w:before="240" w:line="260" w:lineRule="atLeast"/>
      </w:pPr>
      <w:r>
        <w:br/>
      </w:r>
      <w:r>
        <w:rPr>
          <w:rFonts w:ascii="Arial" w:eastAsia="Arial" w:hAnsi="Arial" w:cs="Arial"/>
          <w:b/>
          <w:color w:val="000000"/>
          <w:sz w:val="20"/>
        </w:rPr>
        <w:t>C. Retaliation</w:t>
      </w:r>
      <w:r>
        <w:rPr>
          <w:rFonts w:ascii="Arial" w:eastAsia="Arial" w:hAnsi="Arial" w:cs="Arial"/>
          <w:color w:val="000000"/>
          <w:sz w:val="20"/>
        </w:rPr>
        <w:t> [**40] </w:t>
      </w:r>
      <w:r>
        <w:rPr>
          <w:rFonts w:ascii="Arial" w:eastAsia="Arial" w:hAnsi="Arial" w:cs="Arial"/>
          <w:b/>
          <w:color w:val="000000"/>
          <w:sz w:val="20"/>
        </w:rPr>
        <w:t xml:space="preserve"> for requesting an accommodation</w:t>
      </w:r>
    </w:p>
    <w:p w14:paraId="7DA38096" w14:textId="77777777" w:rsidR="002B10A6" w:rsidRDefault="00000000">
      <w:pPr>
        <w:pStyle w:val="Normal25"/>
        <w:widowControl w:val="0"/>
        <w:spacing w:before="200" w:line="260" w:lineRule="atLeast"/>
        <w:jc w:val="both"/>
      </w:pPr>
      <w:bookmarkStart w:id="5806" w:name="Bookmark_para_72_3"/>
      <w:bookmarkStart w:id="5807" w:name="Bookmark_I61HP1R62D6N730010000400"/>
      <w:bookmarkEnd w:id="5806"/>
      <w:bookmarkEnd w:id="5807"/>
      <w:r>
        <w:rPr>
          <w:rFonts w:ascii="Arial" w:eastAsia="Arial" w:hAnsi="Arial" w:cs="Arial"/>
          <w:color w:val="000000"/>
          <w:sz w:val="20"/>
        </w:rPr>
        <w:t xml:space="preserve">Lastly, Aubrey claims that the County retaliated against her by firing her because she asked the County to accommodate her disability. </w:t>
      </w:r>
      <w:bookmarkStart w:id="5808" w:name="Bookmark_I61HP1R62D6N730030000400"/>
      <w:bookmarkEnd w:id="5808"/>
      <w:r>
        <w:rPr>
          <w:rFonts w:ascii="Arial" w:eastAsia="Arial" w:hAnsi="Arial" w:cs="Arial"/>
          <w:color w:val="000000"/>
          <w:sz w:val="20"/>
        </w:rPr>
        <w:t xml:space="preserve">The district court concluded Aubrey had established a prima facie retaliation claim by showing 1) she engaged in activity protected under the ADA; 2) the County took action against Aubrey that an objectively reasonable employee would have found adverse; and 3) a causal connection between Aubrey's protected conduct and the County's adverse action to justify inferring that the County took that action because of Aubrey's protected conduct. </w:t>
      </w:r>
      <w:r>
        <w:rPr>
          <w:rFonts w:ascii="Arial" w:eastAsia="Arial" w:hAnsi="Arial" w:cs="Arial"/>
          <w:color w:val="000000"/>
          <w:sz w:val="20"/>
          <w:u w:val="single"/>
        </w:rPr>
        <w:t xml:space="preserve">See </w:t>
      </w:r>
      <w:bookmarkStart w:id="5809" w:name="Bookmark_I61HP1R62SF7TM0050000400"/>
      <w:bookmarkEnd w:id="5809"/>
      <w:r>
        <w:rPr>
          <w:rFonts w:ascii="Arial" w:eastAsia="Arial" w:hAnsi="Arial" w:cs="Arial"/>
          <w:color w:val="000000"/>
          <w:sz w:val="20"/>
          <w:u w:val="single"/>
        </w:rPr>
        <w:t>Lincoln</w:t>
      </w:r>
      <w:r>
        <w:rPr>
          <w:rFonts w:ascii="Arial" w:eastAsia="Arial" w:hAnsi="Arial" w:cs="Arial"/>
          <w:color w:val="000000"/>
          <w:sz w:val="20"/>
        </w:rPr>
        <w:t xml:space="preserve">, 900 F.3d at 1209. </w:t>
      </w:r>
      <w:bookmarkStart w:id="5810" w:name="Bookmark_I61HP1R62D6N730030000400_2"/>
      <w:bookmarkStart w:id="5811" w:name="Bookmark_LNHNREFclscc27_2"/>
      <w:bookmarkEnd w:id="5810"/>
      <w:bookmarkEnd w:id="5811"/>
      <w:r>
        <w:rPr>
          <w:rFonts w:ascii="Arial" w:eastAsia="Arial" w:hAnsi="Arial" w:cs="Arial"/>
          <w:color w:val="000000"/>
          <w:sz w:val="20"/>
        </w:rPr>
        <w:t xml:space="preserve">Protected activity includes requesting  [*1016]  an accommodation, </w:t>
      </w:r>
      <w:r>
        <w:rPr>
          <w:rFonts w:ascii="Arial" w:eastAsia="Arial" w:hAnsi="Arial" w:cs="Arial"/>
          <w:color w:val="000000"/>
          <w:sz w:val="20"/>
          <w:u w:val="single"/>
        </w:rPr>
        <w:t>see id.</w:t>
      </w:r>
      <w:r>
        <w:rPr>
          <w:rFonts w:ascii="Arial" w:eastAsia="Arial" w:hAnsi="Arial" w:cs="Arial"/>
          <w:color w:val="000000"/>
          <w:sz w:val="20"/>
        </w:rPr>
        <w:t xml:space="preserve">, and adverse action taken in close temporal proximity to protected activity may be considered in establishing a causal connection, </w:t>
      </w:r>
      <w:r>
        <w:rPr>
          <w:rFonts w:ascii="Arial" w:eastAsia="Arial" w:hAnsi="Arial" w:cs="Arial"/>
          <w:color w:val="000000"/>
          <w:sz w:val="20"/>
          <w:u w:val="single"/>
        </w:rPr>
        <w:t xml:space="preserve">see </w:t>
      </w:r>
      <w:bookmarkStart w:id="5812" w:name="Bookmark_I61HP1R62D6N730020000400"/>
      <w:bookmarkEnd w:id="5812"/>
      <w:r>
        <w:rPr>
          <w:rFonts w:ascii="Arial" w:eastAsia="Arial" w:hAnsi="Arial" w:cs="Arial"/>
          <w:color w:val="000000"/>
          <w:sz w:val="20"/>
          <w:u w:val="single"/>
        </w:rPr>
        <w:t>Hennagir</w:t>
      </w:r>
      <w:r>
        <w:rPr>
          <w:rFonts w:ascii="Arial" w:eastAsia="Arial" w:hAnsi="Arial" w:cs="Arial"/>
          <w:color w:val="000000"/>
          <w:sz w:val="20"/>
        </w:rPr>
        <w:t>, 587 F.3d at 1266.</w:t>
      </w:r>
    </w:p>
    <w:p w14:paraId="0488F1B5" w14:textId="77777777" w:rsidR="002B10A6" w:rsidRDefault="00000000">
      <w:pPr>
        <w:pStyle w:val="Normal25"/>
        <w:widowControl w:val="0"/>
        <w:spacing w:before="200" w:line="260" w:lineRule="atLeast"/>
        <w:jc w:val="both"/>
      </w:pPr>
      <w:bookmarkStart w:id="5813" w:name="Bookmark_para_73_2"/>
      <w:bookmarkStart w:id="5814" w:name="Bookmark_I61HP1R62D6N730050000400"/>
      <w:bookmarkEnd w:id="5813"/>
      <w:bookmarkEnd w:id="5814"/>
      <w:r>
        <w:rPr>
          <w:rFonts w:ascii="Arial" w:eastAsia="Arial" w:hAnsi="Arial" w:cs="Arial"/>
          <w:color w:val="000000"/>
          <w:sz w:val="20"/>
        </w:rPr>
        <w:t xml:space="preserve">The County contends it terminated Aubrey for a legitimate, non-retaliatory reason, </w:t>
      </w:r>
      <w:r>
        <w:rPr>
          <w:rFonts w:ascii="Arial" w:eastAsia="Arial" w:hAnsi="Arial" w:cs="Arial"/>
          <w:color w:val="000000"/>
          <w:sz w:val="20"/>
          <w:u w:val="single"/>
        </w:rPr>
        <w:t xml:space="preserve">see </w:t>
      </w:r>
      <w:bookmarkStart w:id="5815" w:name="Bookmark_I61HP1R62D6N730040000400"/>
      <w:bookmarkEnd w:id="5815"/>
      <w:r>
        <w:rPr>
          <w:rFonts w:ascii="Arial" w:eastAsia="Arial" w:hAnsi="Arial" w:cs="Arial"/>
          <w:color w:val="000000"/>
          <w:sz w:val="20"/>
          <w:u w:val="single"/>
        </w:rPr>
        <w:t>Foster v. Mountain Coal Co.</w:t>
      </w:r>
      <w:r>
        <w:rPr>
          <w:rFonts w:ascii="Arial" w:eastAsia="Arial" w:hAnsi="Arial" w:cs="Arial"/>
          <w:color w:val="000000"/>
          <w:sz w:val="20"/>
        </w:rPr>
        <w:t>, 830 F.3d 1178, 1186 (10th Cir. 2016)—because Aubrey could not perform the essential functions of her position and the County could no longer wait for her to recover.</w:t>
      </w:r>
    </w:p>
    <w:p w14:paraId="14AD5FEF" w14:textId="77777777" w:rsidR="002B10A6" w:rsidRDefault="00000000">
      <w:pPr>
        <w:pStyle w:val="Normal25"/>
        <w:widowControl w:val="0"/>
        <w:spacing w:before="200" w:line="260" w:lineRule="atLeast"/>
        <w:jc w:val="both"/>
      </w:pPr>
      <w:bookmarkStart w:id="5816" w:name="Bookmark_para_74_2"/>
      <w:bookmarkEnd w:id="5816"/>
      <w:r>
        <w:rPr>
          <w:rFonts w:ascii="Arial" w:eastAsia="Arial" w:hAnsi="Arial" w:cs="Arial"/>
          <w:color w:val="000000"/>
          <w:sz w:val="20"/>
        </w:rPr>
        <w:t xml:space="preserve">Aubrey then had to show that the County's reasons for terminating her were merely a pretext for retaliating against her for seeking an accommodation for her disability. </w:t>
      </w:r>
      <w:r>
        <w:rPr>
          <w:rFonts w:ascii="Arial" w:eastAsia="Arial" w:hAnsi="Arial" w:cs="Arial"/>
          <w:color w:val="000000"/>
          <w:sz w:val="20"/>
          <w:u w:val="single"/>
        </w:rPr>
        <w:t>See [**41]  id.</w:t>
      </w:r>
      <w:r>
        <w:rPr>
          <w:rFonts w:ascii="Arial" w:eastAsia="Arial" w:hAnsi="Arial" w:cs="Arial"/>
          <w:color w:val="000000"/>
          <w:sz w:val="20"/>
        </w:rPr>
        <w:t xml:space="preserve"> Aubrey failed to do so. While there are reasons for disbelieving the County's asserted reasons for terminating Aubrey, there is no evidence in the record to support a jury finding that the real reason the County terminated Aubrey was because she asked the County to accommodate her disability. Said another way, there is no evidence from which a jury could find that the County did not intend to fire Aubrey until she asked for an accommodation.</w:t>
      </w:r>
    </w:p>
    <w:p w14:paraId="5A46099F" w14:textId="77777777" w:rsidR="002B10A6" w:rsidRDefault="00000000">
      <w:pPr>
        <w:pStyle w:val="Normal25"/>
        <w:widowControl w:val="0"/>
        <w:spacing w:before="240" w:line="260" w:lineRule="atLeast"/>
      </w:pPr>
      <w:r>
        <w:br/>
      </w:r>
      <w:r>
        <w:rPr>
          <w:rFonts w:ascii="Arial" w:eastAsia="Arial" w:hAnsi="Arial" w:cs="Arial"/>
          <w:b/>
          <w:color w:val="000000"/>
          <w:sz w:val="20"/>
        </w:rPr>
        <w:t>IV. CONCLUSION</w:t>
      </w:r>
    </w:p>
    <w:p w14:paraId="4BEC02A3" w14:textId="77777777" w:rsidR="002B10A6" w:rsidRDefault="00000000">
      <w:pPr>
        <w:pStyle w:val="Normal25"/>
        <w:widowControl w:val="0"/>
        <w:spacing w:before="200" w:line="260" w:lineRule="atLeast"/>
        <w:jc w:val="both"/>
      </w:pPr>
      <w:bookmarkStart w:id="5817" w:name="Bookmark_para_75_2"/>
      <w:bookmarkEnd w:id="5817"/>
      <w:r>
        <w:rPr>
          <w:rFonts w:ascii="Arial" w:eastAsia="Arial" w:hAnsi="Arial" w:cs="Arial"/>
          <w:color w:val="000000"/>
          <w:sz w:val="20"/>
        </w:rPr>
        <w:t>We AFFIRM the district court's decision to grant the County summary judgment on Aubrey's retaliation claims asserted under the ADA, the Rehabilitation Act and Colorado's Anti-Discrimination Act. But we REVERSE summary judgment for the County on Aubrey's failure-to-accommodate and disability discrimination claims asserted under those three statutes and REMAND those claims to the district court for further proceedings.</w:t>
      </w:r>
    </w:p>
    <w:p w14:paraId="382DF3F1" w14:textId="77777777" w:rsidR="002B10A6" w:rsidRDefault="002B10A6">
      <w:pPr>
        <w:pStyle w:val="Normal25"/>
      </w:pPr>
    </w:p>
    <w:p w14:paraId="55F43E64" w14:textId="015AE5DB" w:rsidR="002B10A6" w:rsidRDefault="00000000">
      <w:pPr>
        <w:pStyle w:val="Normal25"/>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14560" behindDoc="0" locked="0" layoutInCell="1" allowOverlap="1" wp14:anchorId="627B17C7" wp14:editId="18334140">
                <wp:simplePos x="0" y="0"/>
                <wp:positionH relativeFrom="column">
                  <wp:posOffset>0</wp:posOffset>
                </wp:positionH>
                <wp:positionV relativeFrom="paragraph">
                  <wp:posOffset>127000</wp:posOffset>
                </wp:positionV>
                <wp:extent cx="6502400" cy="0"/>
                <wp:effectExtent l="9525" t="12700" r="12700" b="6350"/>
                <wp:wrapNone/>
                <wp:docPr id="27245986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695AC6" id="Line 56"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60A5401" w14:textId="77777777" w:rsidR="002B10A6" w:rsidRDefault="002B10A6">
      <w:pPr>
        <w:pStyle w:val="Normal26"/>
        <w:sectPr w:rsidR="002B10A6">
          <w:headerReference w:type="even" r:id="rId162"/>
          <w:headerReference w:type="default" r:id="rId163"/>
          <w:footerReference w:type="even" r:id="rId164"/>
          <w:footerReference w:type="default" r:id="rId165"/>
          <w:headerReference w:type="first" r:id="rId166"/>
          <w:footerReference w:type="first" r:id="rId167"/>
          <w:pgSz w:w="12240" w:h="15840"/>
          <w:pgMar w:top="840" w:right="1000" w:bottom="840" w:left="1000" w:header="400" w:footer="400" w:gutter="0"/>
          <w:cols w:space="720"/>
          <w:titlePg/>
        </w:sectPr>
      </w:pPr>
    </w:p>
    <w:p w14:paraId="25455D64" w14:textId="77777777" w:rsidR="002B10A6" w:rsidRDefault="002B10A6">
      <w:pPr>
        <w:pStyle w:val="Normal26"/>
      </w:pPr>
    </w:p>
    <w:p w14:paraId="711C938D" w14:textId="77777777" w:rsidR="002B10A6" w:rsidRDefault="00000000">
      <w:pPr>
        <w:pStyle w:val="Heading125"/>
        <w:keepNext w:val="0"/>
        <w:widowControl w:val="0"/>
        <w:spacing w:after="200" w:line="340" w:lineRule="atLeast"/>
        <w:jc w:val="center"/>
      </w:pPr>
      <w:r>
        <w:rPr>
          <w:rFonts w:eastAsia="Arial"/>
          <w:color w:val="000000"/>
          <w:sz w:val="28"/>
        </w:rPr>
        <w:t>Mlsna v. Union Pac. R.R. Co.</w:t>
      </w:r>
    </w:p>
    <w:p w14:paraId="70557A56" w14:textId="77777777" w:rsidR="002B10A6" w:rsidRDefault="00000000">
      <w:pPr>
        <w:pStyle w:val="Normal26"/>
        <w:widowControl w:val="0"/>
        <w:spacing w:before="120" w:line="260" w:lineRule="atLeast"/>
        <w:jc w:val="center"/>
      </w:pPr>
      <w:r>
        <w:rPr>
          <w:rFonts w:ascii="Arial" w:eastAsia="Arial" w:hAnsi="Arial" w:cs="Arial"/>
          <w:color w:val="000000"/>
          <w:sz w:val="20"/>
        </w:rPr>
        <w:t>United States Court of Appeals for the Seventh Circuit</w:t>
      </w:r>
    </w:p>
    <w:p w14:paraId="1A4327A9" w14:textId="77777777" w:rsidR="002B10A6" w:rsidRDefault="00000000">
      <w:pPr>
        <w:pStyle w:val="Normal26"/>
        <w:widowControl w:val="0"/>
        <w:spacing w:before="120" w:line="260" w:lineRule="atLeast"/>
        <w:jc w:val="center"/>
      </w:pPr>
      <w:r>
        <w:rPr>
          <w:rFonts w:ascii="Arial" w:eastAsia="Arial" w:hAnsi="Arial" w:cs="Arial"/>
          <w:color w:val="000000"/>
          <w:sz w:val="20"/>
        </w:rPr>
        <w:t>May 27, 2020, Argued; September 14, 2020, Decided</w:t>
      </w:r>
    </w:p>
    <w:p w14:paraId="1D553FF6" w14:textId="77777777" w:rsidR="002B10A6" w:rsidRDefault="00000000">
      <w:pPr>
        <w:pStyle w:val="Normal26"/>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19-2780</w:t>
      </w:r>
    </w:p>
    <w:p w14:paraId="6A83715E" w14:textId="77777777" w:rsidR="002B10A6" w:rsidRDefault="002B10A6">
      <w:pPr>
        <w:pStyle w:val="Normal26"/>
        <w:widowControl w:val="0"/>
        <w:spacing w:line="240" w:lineRule="atLeast"/>
        <w:jc w:val="both"/>
      </w:pPr>
      <w:bookmarkStart w:id="5818" w:name="Bookmark_27"/>
      <w:bookmarkEnd w:id="5818"/>
    </w:p>
    <w:p w14:paraId="4FA11B68" w14:textId="77777777" w:rsidR="002B10A6" w:rsidRDefault="00000000">
      <w:pPr>
        <w:pStyle w:val="Normal26"/>
        <w:widowControl w:val="0"/>
        <w:spacing w:before="200" w:line="240" w:lineRule="atLeast"/>
      </w:pPr>
      <w:bookmarkStart w:id="5819" w:name="Reporter_25"/>
      <w:bookmarkEnd w:id="5819"/>
      <w:r>
        <w:rPr>
          <w:rFonts w:ascii="Arial" w:eastAsia="Arial" w:hAnsi="Arial" w:cs="Arial"/>
          <w:b/>
          <w:color w:val="000000"/>
          <w:sz w:val="18"/>
        </w:rPr>
        <w:t>Reporter</w:t>
      </w:r>
    </w:p>
    <w:p w14:paraId="72A55313" w14:textId="77777777" w:rsidR="002B10A6" w:rsidRDefault="00000000">
      <w:pPr>
        <w:pStyle w:val="Normal26"/>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975 F.3d 629 *; 2020 U.S. App. LEXIS 29072 **; 19 Accom. Disabilities Dec. (CCH) P19-105</w:t>
      </w:r>
    </w:p>
    <w:p w14:paraId="4B70E821" w14:textId="77777777" w:rsidR="002B10A6" w:rsidRDefault="00000000">
      <w:pPr>
        <w:pStyle w:val="Normal26"/>
        <w:widowControl w:val="0"/>
        <w:spacing w:before="120" w:line="260" w:lineRule="atLeast"/>
      </w:pPr>
      <w:r>
        <w:rPr>
          <w:rFonts w:ascii="Arial" w:eastAsia="Arial" w:hAnsi="Arial" w:cs="Arial"/>
          <w:color w:val="000000"/>
          <w:sz w:val="20"/>
        </w:rPr>
        <w:t>MARK MLSNA, Plaintiff-Appellant, v. UNION PACIFIC RAILROAD COMPANY, Defendant-Appellee.</w:t>
      </w:r>
    </w:p>
    <w:p w14:paraId="458606F1" w14:textId="77777777" w:rsidR="002B10A6" w:rsidRDefault="00000000">
      <w:pPr>
        <w:pStyle w:val="Normal26"/>
        <w:widowControl w:val="0"/>
        <w:spacing w:before="240" w:line="260" w:lineRule="atLeast"/>
      </w:pPr>
      <w:bookmarkStart w:id="5820" w:name="Subsequent_History_8"/>
      <w:bookmarkEnd w:id="5820"/>
      <w:r>
        <w:rPr>
          <w:rFonts w:ascii="Arial" w:eastAsia="Arial" w:hAnsi="Arial" w:cs="Arial"/>
          <w:b/>
          <w:color w:val="000000"/>
          <w:sz w:val="20"/>
        </w:rPr>
        <w:t>Subsequent History:</w:t>
      </w:r>
      <w:r>
        <w:rPr>
          <w:rFonts w:ascii="Arial" w:eastAsia="Arial" w:hAnsi="Arial" w:cs="Arial"/>
          <w:color w:val="000000"/>
          <w:sz w:val="20"/>
        </w:rPr>
        <w:t> Rehearing denied by, En banc, Rehearing denied by Mlsna v. Union Pac. R.R. Co., 2020 U.S. App. LEXIS 32803 (7th Cir. Wis., Oct. 16, 2020)</w:t>
      </w:r>
    </w:p>
    <w:p w14:paraId="41C513EF" w14:textId="77777777" w:rsidR="002B10A6" w:rsidRDefault="00000000">
      <w:pPr>
        <w:pStyle w:val="Normal26"/>
        <w:widowControl w:val="0"/>
        <w:spacing w:before="240" w:line="260" w:lineRule="atLeast"/>
        <w:jc w:val="both"/>
      </w:pPr>
      <w:bookmarkStart w:id="5821" w:name="Prior_History_25"/>
      <w:bookmarkEnd w:id="5821"/>
      <w:r>
        <w:rPr>
          <w:rFonts w:ascii="Arial" w:eastAsia="Arial" w:hAnsi="Arial" w:cs="Arial"/>
          <w:b/>
          <w:color w:val="000000"/>
          <w:sz w:val="20"/>
        </w:rPr>
        <w:t>Prior History:</w:t>
      </w:r>
      <w:r>
        <w:rPr>
          <w:rFonts w:ascii="Arial" w:eastAsia="Arial" w:hAnsi="Arial" w:cs="Arial"/>
          <w:color w:val="000000"/>
          <w:sz w:val="20"/>
        </w:rPr>
        <w:t> </w:t>
      </w:r>
      <w:bookmarkStart w:id="5822" w:name="Bookmark_para_1_25"/>
      <w:bookmarkEnd w:id="5822"/>
      <w:r>
        <w:rPr>
          <w:rFonts w:ascii="Arial" w:eastAsia="Arial" w:hAnsi="Arial" w:cs="Arial"/>
          <w:color w:val="000000"/>
          <w:sz w:val="20"/>
        </w:rPr>
        <w:t> [**1] Appeal from the United States District Court for the Western District of Wisconsin. No. 18-cv-37-wmc — William M. Conley, Judge.</w:t>
      </w:r>
    </w:p>
    <w:p w14:paraId="409A7D22" w14:textId="77777777" w:rsidR="002B10A6" w:rsidRDefault="00000000">
      <w:pPr>
        <w:pStyle w:val="Normal26"/>
        <w:widowControl w:val="0"/>
        <w:spacing w:before="120" w:line="260" w:lineRule="atLeast"/>
      </w:pPr>
      <w:r>
        <w:rPr>
          <w:rFonts w:ascii="Arial" w:eastAsia="Arial" w:hAnsi="Arial" w:cs="Arial"/>
          <w:color w:val="000000"/>
          <w:sz w:val="20"/>
        </w:rPr>
        <w:t>Mlsna v. Union Pac. R.R. Co., 2019 U.S. Dist. LEXIS 143583, 2019 WL 3983292 (W.D. Wis., Aug. 23, 2019)</w:t>
      </w:r>
    </w:p>
    <w:p w14:paraId="01BF5BDE" w14:textId="77777777" w:rsidR="002B10A6" w:rsidRDefault="00000000">
      <w:pPr>
        <w:pStyle w:val="Normal26"/>
        <w:widowControl w:val="0"/>
        <w:spacing w:before="120" w:line="260" w:lineRule="atLeast"/>
      </w:pPr>
      <w:r>
        <w:rPr>
          <w:rFonts w:ascii="Arial" w:eastAsia="Arial" w:hAnsi="Arial" w:cs="Arial"/>
          <w:color w:val="000000"/>
          <w:sz w:val="20"/>
        </w:rPr>
        <w:t>Mlsna v. Union Pac. R.R. Co., 385 F. Supp. 3d 778, 2019 U.S. Dist. LEXIS 82256, 2019 WL 2136907 (W.D. Wis., May 15, 2019)</w:t>
      </w:r>
    </w:p>
    <w:p w14:paraId="25341750" w14:textId="77777777" w:rsidR="002B10A6" w:rsidRDefault="00000000">
      <w:pPr>
        <w:pStyle w:val="Normal26"/>
        <w:widowControl w:val="0"/>
        <w:spacing w:before="240" w:line="260" w:lineRule="atLeast"/>
      </w:pPr>
      <w:bookmarkStart w:id="5823" w:name="Counsel_25"/>
      <w:bookmarkEnd w:id="5823"/>
      <w:r>
        <w:rPr>
          <w:rFonts w:ascii="Arial" w:eastAsia="Arial" w:hAnsi="Arial" w:cs="Arial"/>
          <w:b/>
          <w:color w:val="000000"/>
          <w:sz w:val="20"/>
        </w:rPr>
        <w:t>Counsel:</w:t>
      </w:r>
      <w:r>
        <w:rPr>
          <w:rFonts w:ascii="Arial" w:eastAsia="Arial" w:hAnsi="Arial" w:cs="Arial"/>
          <w:color w:val="000000"/>
          <w:sz w:val="20"/>
        </w:rPr>
        <w:t> For Mark Mlsna, Plaintiff - Appellant: Adam W. Hansen, Attorney, Apollo Law Llc, Minneapolis, MN; Nicholas D. Thompson, Esq., Attorney, Moody Law Firm, Portsmouth, VA.</w:t>
      </w:r>
    </w:p>
    <w:p w14:paraId="5A6F0C5D" w14:textId="77777777" w:rsidR="002B10A6" w:rsidRDefault="00000000">
      <w:pPr>
        <w:pStyle w:val="Normal26"/>
        <w:widowControl w:val="0"/>
        <w:spacing w:before="120" w:line="260" w:lineRule="atLeast"/>
      </w:pPr>
      <w:r>
        <w:rPr>
          <w:rFonts w:ascii="Arial" w:eastAsia="Arial" w:hAnsi="Arial" w:cs="Arial"/>
          <w:color w:val="000000"/>
          <w:sz w:val="20"/>
        </w:rPr>
        <w:t>For Union Pacific Railroad Company, Defendant - Appellee: David P. Kennison, Attorney, Scott P. Moore, Attorney, Baird Holm Llp, Omaha, NE.</w:t>
      </w:r>
    </w:p>
    <w:p w14:paraId="713A3462" w14:textId="77777777" w:rsidR="002B10A6" w:rsidRDefault="00000000">
      <w:pPr>
        <w:pStyle w:val="Normal26"/>
        <w:widowControl w:val="0"/>
        <w:spacing w:before="120" w:line="260" w:lineRule="atLeast"/>
      </w:pPr>
      <w:r>
        <w:rPr>
          <w:rFonts w:ascii="Arial" w:eastAsia="Arial" w:hAnsi="Arial" w:cs="Arial"/>
          <w:color w:val="000000"/>
          <w:sz w:val="20"/>
        </w:rPr>
        <w:t>For Equal Employment Opportunity Commission, Amicus Curiae: Barbara L. Sloan, Attorney, Equal Employment Opportunity Commission, Washington, DC.</w:t>
      </w:r>
    </w:p>
    <w:p w14:paraId="60F88351" w14:textId="77777777" w:rsidR="002B10A6" w:rsidRDefault="00000000">
      <w:pPr>
        <w:pStyle w:val="Normal26"/>
        <w:widowControl w:val="0"/>
        <w:spacing w:before="240" w:line="260" w:lineRule="atLeast"/>
      </w:pPr>
      <w:bookmarkStart w:id="5824" w:name="Judges_25"/>
      <w:bookmarkEnd w:id="5824"/>
      <w:r>
        <w:rPr>
          <w:rFonts w:ascii="Arial" w:eastAsia="Arial" w:hAnsi="Arial" w:cs="Arial"/>
          <w:b/>
          <w:color w:val="000000"/>
          <w:sz w:val="20"/>
        </w:rPr>
        <w:t>Judges:</w:t>
      </w:r>
      <w:r>
        <w:rPr>
          <w:rFonts w:ascii="Arial" w:eastAsia="Arial" w:hAnsi="Arial" w:cs="Arial"/>
          <w:color w:val="000000"/>
          <w:sz w:val="20"/>
        </w:rPr>
        <w:t> Before EASTERBROOK, HAMILTON, and BRENNAN, Circuit Judges.</w:t>
      </w:r>
    </w:p>
    <w:p w14:paraId="38D2B409" w14:textId="77777777" w:rsidR="002B10A6" w:rsidRDefault="00000000">
      <w:pPr>
        <w:pStyle w:val="Normal26"/>
        <w:widowControl w:val="0"/>
        <w:spacing w:before="240" w:line="260" w:lineRule="atLeast"/>
      </w:pPr>
      <w:bookmarkStart w:id="5825" w:name="Opinion_by_19"/>
      <w:bookmarkEnd w:id="5825"/>
      <w:r>
        <w:rPr>
          <w:rFonts w:ascii="Arial" w:eastAsia="Arial" w:hAnsi="Arial" w:cs="Arial"/>
          <w:b/>
          <w:color w:val="000000"/>
          <w:sz w:val="20"/>
        </w:rPr>
        <w:t>Opinion by:</w:t>
      </w:r>
      <w:r>
        <w:rPr>
          <w:rFonts w:ascii="Arial" w:eastAsia="Arial" w:hAnsi="Arial" w:cs="Arial"/>
          <w:color w:val="000000"/>
          <w:sz w:val="20"/>
        </w:rPr>
        <w:t> BRENNAN</w:t>
      </w:r>
    </w:p>
    <w:p w14:paraId="06518F8B" w14:textId="77777777" w:rsidR="002B10A6" w:rsidRDefault="00000000">
      <w:pPr>
        <w:pStyle w:val="Normal26"/>
        <w:keepNext/>
        <w:widowControl w:val="0"/>
        <w:spacing w:before="240" w:line="340" w:lineRule="atLeast"/>
      </w:pPr>
      <w:bookmarkStart w:id="5826" w:name="Opinion_25"/>
      <w:bookmarkEnd w:id="5826"/>
      <w:r>
        <w:rPr>
          <w:rFonts w:ascii="Arial" w:eastAsia="Arial" w:hAnsi="Arial" w:cs="Arial"/>
          <w:b/>
          <w:color w:val="000000"/>
          <w:sz w:val="28"/>
        </w:rPr>
        <w:t>Opinion</w:t>
      </w:r>
    </w:p>
    <w:p w14:paraId="01FC8BE9" w14:textId="6E2F9E88" w:rsidR="002B10A6" w:rsidRDefault="002D6974">
      <w:pPr>
        <w:pStyle w:val="Normal26"/>
        <w:spacing w:line="60" w:lineRule="exact"/>
      </w:pPr>
      <w:r>
        <w:rPr>
          <w:noProof/>
        </w:rPr>
        <mc:AlternateContent>
          <mc:Choice Requires="wps">
            <w:drawing>
              <wp:anchor distT="0" distB="0" distL="114300" distR="114300" simplePos="0" relativeHeight="251715584" behindDoc="0" locked="0" layoutInCell="1" allowOverlap="1" wp14:anchorId="274C2495" wp14:editId="592B5383">
                <wp:simplePos x="0" y="0"/>
                <wp:positionH relativeFrom="column">
                  <wp:posOffset>0</wp:posOffset>
                </wp:positionH>
                <wp:positionV relativeFrom="paragraph">
                  <wp:posOffset>25400</wp:posOffset>
                </wp:positionV>
                <wp:extent cx="3187700" cy="0"/>
                <wp:effectExtent l="19050" t="15875" r="12700" b="12700"/>
                <wp:wrapTopAndBottom/>
                <wp:docPr id="337770590"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12DB33" id="Line 57"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09016E7" w14:textId="77777777" w:rsidR="002B10A6" w:rsidRDefault="002B10A6">
      <w:pPr>
        <w:pStyle w:val="Normal26"/>
      </w:pPr>
    </w:p>
    <w:p w14:paraId="42CB6AAC" w14:textId="77777777" w:rsidR="002B10A6" w:rsidRDefault="00000000">
      <w:pPr>
        <w:pStyle w:val="Normal26"/>
        <w:widowControl w:val="0"/>
        <w:spacing w:before="200" w:line="260" w:lineRule="atLeast"/>
        <w:jc w:val="both"/>
      </w:pPr>
      <w:bookmarkStart w:id="5827" w:name="Bookmark_para_2_25"/>
      <w:bookmarkEnd w:id="5827"/>
      <w:r>
        <w:rPr>
          <w:rFonts w:ascii="Arial" w:eastAsia="Arial" w:hAnsi="Arial" w:cs="Arial"/>
          <w:color w:val="000000"/>
          <w:sz w:val="20"/>
        </w:rPr>
        <w:t xml:space="preserve"> [*630]  </w:t>
      </w:r>
      <w:r>
        <w:rPr>
          <w:rFonts w:ascii="Arial" w:eastAsia="Arial" w:hAnsi="Arial" w:cs="Arial"/>
          <w:smallCaps/>
          <w:color w:val="000000"/>
          <w:sz w:val="20"/>
        </w:rPr>
        <w:t>Brennan</w:t>
      </w:r>
      <w:r>
        <w:rPr>
          <w:rFonts w:ascii="Arial" w:eastAsia="Arial" w:hAnsi="Arial" w:cs="Arial"/>
          <w:color w:val="000000"/>
          <w:sz w:val="20"/>
        </w:rPr>
        <w:t xml:space="preserve">, </w:t>
      </w:r>
      <w:r>
        <w:rPr>
          <w:rFonts w:ascii="Arial" w:eastAsia="Arial" w:hAnsi="Arial" w:cs="Arial"/>
          <w:i/>
          <w:color w:val="000000"/>
          <w:sz w:val="20"/>
        </w:rPr>
        <w:t>Circuit Judge</w:t>
      </w:r>
      <w:r>
        <w:rPr>
          <w:rFonts w:ascii="Arial" w:eastAsia="Arial" w:hAnsi="Arial" w:cs="Arial"/>
          <w:color w:val="000000"/>
          <w:sz w:val="20"/>
        </w:rPr>
        <w:t>. When the Federal Railroad Administration put in place new regulations related to hearing, a train conductor—who has been hearing-impaired since youth and has worn hearing aids for years—was caught in a bind. He passed a hearing acuity test, but only when using hearing aids without additional hearing protection. According to the railroad, this placed him in violation of a policy which requires that protection be  [*631]  worn if the employee is exposed to noise above a certain level. The railroad and the conductor could not agree on an accommodation [**2]  for him to use other hearing devices. The railroad would not recertify the conductor, and he lost his job.</w:t>
      </w:r>
    </w:p>
    <w:p w14:paraId="10C80F4B" w14:textId="77777777" w:rsidR="002B10A6" w:rsidRDefault="00000000">
      <w:pPr>
        <w:pStyle w:val="Normal26"/>
        <w:widowControl w:val="0"/>
        <w:spacing w:before="200" w:line="260" w:lineRule="atLeast"/>
        <w:jc w:val="both"/>
      </w:pPr>
      <w:bookmarkStart w:id="5828" w:name="Bookmark_para_3_25"/>
      <w:bookmarkEnd w:id="5828"/>
      <w:r>
        <w:rPr>
          <w:rFonts w:ascii="Arial" w:eastAsia="Arial" w:hAnsi="Arial" w:cs="Arial"/>
          <w:color w:val="000000"/>
          <w:sz w:val="20"/>
        </w:rPr>
        <w:t xml:space="preserve">The conductor sued arguing that the railroad discriminated against him because of his hearing disability. The district court granted summary judgment to the railroad, finding that the conductor "failed to marshal enough evidence for a reasonable jury to conclude that he could fulfill the essential functions of the train conductor position with a reasonable accommodation." </w:t>
      </w:r>
      <w:bookmarkStart w:id="5829" w:name="Bookmark_I6140FNF2N1PN20010000400"/>
      <w:bookmarkStart w:id="5830" w:name="Bookmark_I6140FNF2SF83G0010000400"/>
      <w:bookmarkEnd w:id="5829"/>
      <w:bookmarkEnd w:id="5830"/>
      <w:r>
        <w:rPr>
          <w:rFonts w:ascii="Arial" w:eastAsia="Arial" w:hAnsi="Arial" w:cs="Arial"/>
          <w:color w:val="000000"/>
          <w:sz w:val="20"/>
        </w:rPr>
        <w:t>We view the record differently. Issues of fact exist as to whether wearing hearing protection is an essential function of the plaintiff's work as a conductor, as well as whether reasonable accommodations for the conductor were properly considered. So we reverse and remand for further proceedings.</w:t>
      </w:r>
    </w:p>
    <w:p w14:paraId="65FF7CAC" w14:textId="77777777" w:rsidR="002B10A6" w:rsidRDefault="00000000">
      <w:pPr>
        <w:pStyle w:val="Normal26"/>
        <w:widowControl w:val="0"/>
        <w:spacing w:before="240" w:line="260" w:lineRule="atLeast"/>
      </w:pPr>
      <w:r>
        <w:br/>
      </w:r>
      <w:r>
        <w:rPr>
          <w:rFonts w:ascii="Arial" w:eastAsia="Arial" w:hAnsi="Arial" w:cs="Arial"/>
          <w:b/>
          <w:color w:val="000000"/>
          <w:sz w:val="20"/>
        </w:rPr>
        <w:t>I</w:t>
      </w:r>
    </w:p>
    <w:p w14:paraId="155EB6D1" w14:textId="77777777" w:rsidR="002B10A6" w:rsidRDefault="00000000">
      <w:pPr>
        <w:pStyle w:val="Normal26"/>
        <w:widowControl w:val="0"/>
        <w:spacing w:before="240" w:line="260" w:lineRule="atLeast"/>
      </w:pPr>
      <w:r>
        <w:br/>
      </w:r>
      <w:r>
        <w:rPr>
          <w:rFonts w:ascii="Arial" w:eastAsia="Arial" w:hAnsi="Arial" w:cs="Arial"/>
          <w:b/>
          <w:color w:val="000000"/>
          <w:sz w:val="20"/>
        </w:rPr>
        <w:t>A. Factual Background</w:t>
      </w:r>
    </w:p>
    <w:p w14:paraId="6D982BB7" w14:textId="77777777" w:rsidR="002B10A6" w:rsidRDefault="00000000">
      <w:pPr>
        <w:pStyle w:val="Normal26"/>
        <w:widowControl w:val="0"/>
        <w:spacing w:before="200" w:line="260" w:lineRule="atLeast"/>
        <w:jc w:val="both"/>
      </w:pPr>
      <w:bookmarkStart w:id="5831" w:name="Bookmark_para_4_25"/>
      <w:bookmarkEnd w:id="5831"/>
      <w:r>
        <w:rPr>
          <w:rFonts w:ascii="Arial" w:eastAsia="Arial" w:hAnsi="Arial" w:cs="Arial"/>
          <w:color w:val="000000"/>
          <w:sz w:val="20"/>
        </w:rPr>
        <w:t>Mark Mlsna has experienced hearing loss since youth. Although the precise cause is not known, at an early age he was exposed to loud farming equipment. He began working as a train conductor in the late 1990's, and in 2006 he was hired by Union Pacific. At that time, Mlsna had worn hearing aids for more than 10 years. Union Pacific was aware of Mlsna's hearing impairment when he was hired.</w:t>
      </w:r>
    </w:p>
    <w:p w14:paraId="01D209BD" w14:textId="77777777" w:rsidR="002B10A6" w:rsidRDefault="00000000">
      <w:pPr>
        <w:pStyle w:val="Normal26"/>
        <w:widowControl w:val="0"/>
        <w:spacing w:before="200" w:line="260" w:lineRule="atLeast"/>
        <w:jc w:val="both"/>
      </w:pPr>
      <w:bookmarkStart w:id="5832" w:name="Bookmark_para_5_25"/>
      <w:bookmarkEnd w:id="5832"/>
      <w:r>
        <w:rPr>
          <w:rFonts w:ascii="Arial" w:eastAsia="Arial" w:hAnsi="Arial" w:cs="Arial"/>
          <w:color w:val="000000"/>
          <w:sz w:val="20"/>
        </w:rPr>
        <w:t>In 2012 the [**3]  Federal Railroad Administration implemented regulations to ensure that train conductors possessed hearing acuity, and to confirm that railroads appropriately protected and conserved their employees' hearing. A grandfather clause granted thirty-six months after which Union Pacific required all conductors to comply with the hearing acuity regulation. 49 C.F.R. § 242.105(c). In February 2015 Union Pacific had Mlsna's hearing tested a number of different ways: with hearing aids and without, using an amplified hearing protection device</w:t>
      </w:r>
      <w:r>
        <w:rPr>
          <w:rFonts w:ascii="Arial" w:eastAsia="Arial" w:hAnsi="Arial" w:cs="Arial"/>
          <w:vertAlign w:val="superscript"/>
        </w:rPr>
        <w:footnoteReference w:customMarkFollows="1" w:id="209"/>
        <w:t>1</w:t>
      </w:r>
      <w:r>
        <w:rPr>
          <w:rFonts w:ascii="Arial" w:eastAsia="Arial" w:hAnsi="Arial" w:cs="Arial"/>
          <w:color w:val="000000"/>
          <w:sz w:val="20"/>
        </w:rPr>
        <w:t xml:space="preserve"> called the "Pro Ears—Gold" with the sound turned off, and using that device with the sound turned on.</w:t>
      </w:r>
    </w:p>
    <w:p w14:paraId="71CC4DAE" w14:textId="77777777" w:rsidR="002B10A6" w:rsidRDefault="00000000">
      <w:pPr>
        <w:pStyle w:val="Normal26"/>
        <w:widowControl w:val="0"/>
        <w:spacing w:before="200" w:line="260" w:lineRule="atLeast"/>
        <w:jc w:val="both"/>
      </w:pPr>
      <w:bookmarkStart w:id="5834" w:name="Bookmark_para_6_25"/>
      <w:bookmarkEnd w:id="5834"/>
      <w:r>
        <w:rPr>
          <w:rFonts w:ascii="Arial" w:eastAsia="Arial" w:hAnsi="Arial" w:cs="Arial"/>
          <w:color w:val="000000"/>
          <w:sz w:val="20"/>
        </w:rPr>
        <w:t>Without his hearing aids and without hearing protection, Mlsna did not pass the hearing acuity test. The results showed that he "had an average loss of 65 decibels" in his better ear. Mlsna also did not pass the audiological test using the Pro Ears—Gold. Rather, he passed only when he relied on his hearing aids with no additional hearing protection. Later Mlsna was retested with the same results: he passed, but only while wearing hearing aids without hearing protection.</w:t>
      </w:r>
    </w:p>
    <w:p w14:paraId="45CD0AFE" w14:textId="77777777" w:rsidR="002B10A6" w:rsidRDefault="00000000">
      <w:pPr>
        <w:pStyle w:val="Normal26"/>
        <w:widowControl w:val="0"/>
        <w:spacing w:before="200" w:line="260" w:lineRule="atLeast"/>
        <w:jc w:val="both"/>
      </w:pPr>
      <w:bookmarkStart w:id="5835" w:name="Bookmark_para_7_25"/>
      <w:bookmarkEnd w:id="5835"/>
      <w:r>
        <w:rPr>
          <w:rFonts w:ascii="Arial" w:eastAsia="Arial" w:hAnsi="Arial" w:cs="Arial"/>
          <w:color w:val="000000"/>
          <w:sz w:val="20"/>
        </w:rPr>
        <w:t>After receiving the test results, Union Pacific decided it could not recertify Mlsna to work as a conductor. When [**4]  he wore hearing aids and passed the hearing acuity requirement he was in violation of Union Pacific's hearing conservation policy, which required additional hearing protection. And when he complied with that policy by wearing the Pro Ears—Gold, he could not pass the hearing acuity test.</w:t>
      </w:r>
    </w:p>
    <w:p w14:paraId="662B89B6" w14:textId="77777777" w:rsidR="002B10A6" w:rsidRDefault="00000000">
      <w:pPr>
        <w:pStyle w:val="Normal26"/>
        <w:widowControl w:val="0"/>
        <w:spacing w:before="200" w:line="260" w:lineRule="atLeast"/>
        <w:jc w:val="both"/>
      </w:pPr>
      <w:bookmarkStart w:id="5836" w:name="Bookmark_para_8_25"/>
      <w:bookmarkEnd w:id="5836"/>
      <w:r>
        <w:rPr>
          <w:rFonts w:ascii="Arial" w:eastAsia="Arial" w:hAnsi="Arial" w:cs="Arial"/>
          <w:color w:val="000000"/>
          <w:sz w:val="20"/>
        </w:rPr>
        <w:t>To address this problem, Mlsna proposed he use a custommade hearing protection called the E.A.R. Primo. But Union Pacific rejected his proposal because that device did not have a factory-issued or laboratory-tested noise reduction rating, as required by 49 C.F.R. Pt. 227 App. B. Union Pacific never identified an alternative to the device it had suggested, the Pro Ears—Gold. Union Pacific declined to recertify Mlsna as a conductor and his employment was terminated.</w:t>
      </w:r>
    </w:p>
    <w:p w14:paraId="2F4F0A59" w14:textId="77777777" w:rsidR="002B10A6" w:rsidRDefault="00000000">
      <w:pPr>
        <w:pStyle w:val="Normal26"/>
        <w:widowControl w:val="0"/>
        <w:spacing w:before="240" w:line="260" w:lineRule="atLeast"/>
      </w:pPr>
      <w:r>
        <w:br/>
      </w:r>
      <w:r>
        <w:rPr>
          <w:rFonts w:ascii="Arial" w:eastAsia="Arial" w:hAnsi="Arial" w:cs="Arial"/>
          <w:color w:val="000000"/>
          <w:sz w:val="20"/>
        </w:rPr>
        <w:t xml:space="preserve"> [*632]  </w:t>
      </w:r>
      <w:r>
        <w:rPr>
          <w:rFonts w:ascii="Arial" w:eastAsia="Arial" w:hAnsi="Arial" w:cs="Arial"/>
          <w:b/>
          <w:color w:val="000000"/>
          <w:sz w:val="20"/>
        </w:rPr>
        <w:t>B. Federal Railroad Administration regulations</w:t>
      </w:r>
    </w:p>
    <w:p w14:paraId="064CBC25" w14:textId="77777777" w:rsidR="002B10A6" w:rsidRDefault="00000000">
      <w:pPr>
        <w:pStyle w:val="Normal26"/>
        <w:widowControl w:val="0"/>
        <w:spacing w:before="200" w:line="260" w:lineRule="atLeast"/>
        <w:jc w:val="both"/>
      </w:pPr>
      <w:bookmarkStart w:id="5837" w:name="Bookmark_para_9_25"/>
      <w:bookmarkEnd w:id="5837"/>
      <w:r>
        <w:rPr>
          <w:rFonts w:ascii="Arial" w:eastAsia="Arial" w:hAnsi="Arial" w:cs="Arial"/>
          <w:color w:val="000000"/>
          <w:sz w:val="20"/>
        </w:rPr>
        <w:t xml:space="preserve">To elucidate the parties' dispute and their arguments, more detail is necessary on the 2012 revisions to the Federal Railroad Administration regulations. Under the hearing acuity regulation, 49 C.F.R. § 242.117(i), all railroads must test the hearing of their conductors. Each conductor must pass a hearing test showing he or she "does not have an average hearing loss in the better ear greater than 40 decibels with or without the use of a hearing [**5]  aid." </w:t>
      </w:r>
      <w:r>
        <w:rPr>
          <w:rFonts w:ascii="Arial" w:eastAsia="Arial" w:hAnsi="Arial" w:cs="Arial"/>
          <w:i/>
          <w:color w:val="000000"/>
          <w:sz w:val="20"/>
        </w:rPr>
        <w:t>Id.</w:t>
      </w:r>
    </w:p>
    <w:p w14:paraId="48DA99AE" w14:textId="77777777" w:rsidR="002B10A6" w:rsidRDefault="00000000">
      <w:pPr>
        <w:pStyle w:val="Normal26"/>
        <w:widowControl w:val="0"/>
        <w:spacing w:before="200" w:line="260" w:lineRule="atLeast"/>
        <w:jc w:val="both"/>
      </w:pPr>
      <w:bookmarkStart w:id="5838" w:name="Bookmark_para_10_25"/>
      <w:bookmarkEnd w:id="5838"/>
      <w:r>
        <w:rPr>
          <w:rFonts w:ascii="Arial" w:eastAsia="Arial" w:hAnsi="Arial" w:cs="Arial"/>
          <w:color w:val="000000"/>
          <w:sz w:val="20"/>
        </w:rPr>
        <w:t>Under the hearing protection regulation, 49 C.F.R. § 227.115, railroads must establish a hearing conservation policy with programs to protect the hearing of vulnerable employees. Subsection (d) of that regulation sets the default rule, requiring employees wear hearing protection if they are exposed to a time-weighted average of 90 decibels or higher. Subsection (c), with an 85-decibel standard, applies only if no audio test has been performed on an employee, or if that employee has experienced hearing loss while employed with the railroad.</w:t>
      </w:r>
    </w:p>
    <w:p w14:paraId="05467192" w14:textId="77777777" w:rsidR="002B10A6" w:rsidRDefault="00000000">
      <w:pPr>
        <w:pStyle w:val="Normal26"/>
        <w:widowControl w:val="0"/>
        <w:spacing w:before="200" w:line="260" w:lineRule="atLeast"/>
        <w:jc w:val="both"/>
      </w:pPr>
      <w:bookmarkStart w:id="5839" w:name="Bookmark_para_11_22"/>
      <w:bookmarkEnd w:id="5839"/>
      <w:r>
        <w:rPr>
          <w:rFonts w:ascii="Arial" w:eastAsia="Arial" w:hAnsi="Arial" w:cs="Arial"/>
          <w:color w:val="000000"/>
          <w:sz w:val="20"/>
        </w:rPr>
        <w:t>The hearing protection regulation sets a floor, not a ceiling. 49 C.F.R. § 227.1 ("This part prescribes minimum Federal health and safety noise standards for locomotive cab occupants. This part does not restrict a railroad ... from adopting and enforcing additional or more stringent requirements."). Union Pacific set a stricter standard in its hearing conservation policy. All of its employees must wear hearing protection if they "may be subjected to noise exposures equal to or exceeding an 8-hour time weighted average sound level of 85 decibels" or if they work "in identified hearing protection areas" or within 150 feet of a locomotive. The railroad also required all employees subject to its policy to [**6]  wear a device with a published noise reduction rating.</w:t>
      </w:r>
    </w:p>
    <w:p w14:paraId="7A7F9AD8" w14:textId="77777777" w:rsidR="002B10A6" w:rsidRDefault="00000000">
      <w:pPr>
        <w:pStyle w:val="Normal26"/>
        <w:widowControl w:val="0"/>
        <w:spacing w:before="200" w:line="260" w:lineRule="atLeast"/>
        <w:jc w:val="both"/>
      </w:pPr>
      <w:bookmarkStart w:id="5840" w:name="Bookmark_para_12_21"/>
      <w:bookmarkEnd w:id="5840"/>
      <w:r>
        <w:rPr>
          <w:rFonts w:ascii="Arial" w:eastAsia="Arial" w:hAnsi="Arial" w:cs="Arial"/>
          <w:color w:val="000000"/>
          <w:sz w:val="20"/>
        </w:rPr>
        <w:t xml:space="preserve">To measure decibel levels, railroads are required to conduct either "area sampling," which takes several noise measurements at different locations within a workplace, or "representative personal sampling," which measures the exposures of employees who operate similar equipment under similar conditions. 49 C.F.R. § 227.103(b). The latter, which Union Pacific employed, must be used where there are "circumstances such as high worker mobility, significant variations in sound level, or a significant component of impulse noise." </w:t>
      </w:r>
      <w:r>
        <w:rPr>
          <w:rFonts w:ascii="Arial" w:eastAsia="Arial" w:hAnsi="Arial" w:cs="Arial"/>
          <w:i/>
          <w:color w:val="000000"/>
          <w:sz w:val="20"/>
        </w:rPr>
        <w:t>Id.</w:t>
      </w:r>
    </w:p>
    <w:p w14:paraId="0C644223" w14:textId="77777777" w:rsidR="002B10A6" w:rsidRDefault="00000000">
      <w:pPr>
        <w:pStyle w:val="Normal26"/>
        <w:widowControl w:val="0"/>
        <w:spacing w:before="200" w:line="260" w:lineRule="atLeast"/>
        <w:jc w:val="both"/>
      </w:pPr>
      <w:bookmarkStart w:id="5841" w:name="Bookmark_para_13_21"/>
      <w:bookmarkEnd w:id="5841"/>
      <w:r>
        <w:rPr>
          <w:rFonts w:ascii="Arial" w:eastAsia="Arial" w:hAnsi="Arial" w:cs="Arial"/>
          <w:color w:val="000000"/>
          <w:sz w:val="20"/>
        </w:rPr>
        <w:t>If the hearing protection regulation (§ 227.115(c) or (d)) applies, the employer "must select one of ... three methods by which to estimate the adequacy of hearing protector attenuation." 49 C.F.R. Pt. 227 App. B. One of these methods requires the employee to wear a device with a published noise reduction rating, which is a unit of measure to assess the effectiveness of hearing protection devices to decrease sound exposure within a working environment.</w:t>
      </w:r>
    </w:p>
    <w:p w14:paraId="7D4A0151" w14:textId="77777777" w:rsidR="002B10A6" w:rsidRDefault="00000000">
      <w:pPr>
        <w:pStyle w:val="Normal26"/>
        <w:widowControl w:val="0"/>
        <w:spacing w:before="240" w:line="260" w:lineRule="atLeast"/>
      </w:pPr>
      <w:r>
        <w:br/>
      </w:r>
      <w:r>
        <w:rPr>
          <w:rFonts w:ascii="Arial" w:eastAsia="Arial" w:hAnsi="Arial" w:cs="Arial"/>
          <w:b/>
          <w:color w:val="000000"/>
          <w:sz w:val="20"/>
        </w:rPr>
        <w:t>C. Procedural Background</w:t>
      </w:r>
    </w:p>
    <w:p w14:paraId="1B218101" w14:textId="77777777" w:rsidR="002B10A6" w:rsidRDefault="00000000">
      <w:pPr>
        <w:pStyle w:val="Normal26"/>
        <w:widowControl w:val="0"/>
        <w:spacing w:before="200" w:line="260" w:lineRule="atLeast"/>
        <w:jc w:val="both"/>
      </w:pPr>
      <w:bookmarkStart w:id="5842" w:name="Bookmark_para_14_21"/>
      <w:bookmarkEnd w:id="5842"/>
      <w:r>
        <w:rPr>
          <w:rFonts w:ascii="Arial" w:eastAsia="Arial" w:hAnsi="Arial" w:cs="Arial"/>
          <w:color w:val="000000"/>
          <w:sz w:val="20"/>
        </w:rPr>
        <w:t xml:space="preserve">Back to this case: Mlsna sued Union Pacific, claiming the railroad terminated him because of his hearing impairment and so violated the Americans with Disability Act. 42 U.S.C. § 12101 </w:t>
      </w:r>
      <w:r>
        <w:rPr>
          <w:rFonts w:ascii="Arial" w:eastAsia="Arial" w:hAnsi="Arial" w:cs="Arial"/>
          <w:i/>
          <w:color w:val="000000"/>
          <w:sz w:val="20"/>
        </w:rPr>
        <w:t>et seq.</w:t>
      </w:r>
      <w:r>
        <w:rPr>
          <w:rFonts w:ascii="Arial" w:eastAsia="Arial" w:hAnsi="Arial" w:cs="Arial"/>
          <w:color w:val="000000"/>
          <w:sz w:val="20"/>
        </w:rPr>
        <w:t xml:space="preserve"> Although Mlsna's complaint [**7]  characterized his sole claim as for disparate treatment, that claim also contained elements of a reasonable accommodation claim.</w:t>
      </w:r>
    </w:p>
    <w:p w14:paraId="6F5ED183" w14:textId="77777777" w:rsidR="002B10A6" w:rsidRDefault="00000000">
      <w:pPr>
        <w:pStyle w:val="Normal26"/>
        <w:widowControl w:val="0"/>
        <w:spacing w:before="200" w:line="260" w:lineRule="atLeast"/>
        <w:jc w:val="both"/>
      </w:pPr>
      <w:bookmarkStart w:id="5843" w:name="Bookmark_para_15_21"/>
      <w:bookmarkStart w:id="5844" w:name="Bookmark_I61HWXSC28T3X00020000400"/>
      <w:bookmarkStart w:id="5845" w:name="Bookmark_LNHNREFclscc1_22"/>
      <w:bookmarkEnd w:id="5843"/>
      <w:bookmarkEnd w:id="5844"/>
      <w:bookmarkEnd w:id="5845"/>
      <w:r>
        <w:rPr>
          <w:rFonts w:ascii="Arial" w:eastAsia="Arial" w:hAnsi="Arial" w:cs="Arial"/>
          <w:color w:val="000000"/>
          <w:sz w:val="20"/>
        </w:rPr>
        <w:t xml:space="preserve">A disparate treatment claim arises from ADA language prohibiting covered entities from "limiting, segregating, or classifying a job applicant or employee in a way that adversely affects the opportunities or status of such applicant or employee." 42 U.S.C. § 12112(b)(1). To prevail on  [*633]  a disparate treatment claim, a plaintiff must show (1) he was disabled, (2) he was qualified to perform essential functions with or without reasonable accommodation, and (3) his disability was the "but for" cause of the adverse employment action. </w:t>
      </w:r>
      <w:bookmarkStart w:id="5846" w:name="Bookmark_I61HWXSC28T3X00010000400"/>
      <w:bookmarkEnd w:id="5846"/>
      <w:r>
        <w:rPr>
          <w:rFonts w:ascii="Arial" w:eastAsia="Arial" w:hAnsi="Arial" w:cs="Arial"/>
          <w:i/>
          <w:color w:val="000000"/>
          <w:sz w:val="20"/>
        </w:rPr>
        <w:t>Scheidler v. Indiana</w:t>
      </w:r>
      <w:r>
        <w:rPr>
          <w:rFonts w:ascii="Arial" w:eastAsia="Arial" w:hAnsi="Arial" w:cs="Arial"/>
          <w:color w:val="000000"/>
          <w:sz w:val="20"/>
        </w:rPr>
        <w:t>, 914 F.3d 535, 541 (7th Cir. 2019).</w:t>
      </w:r>
    </w:p>
    <w:p w14:paraId="239879BD" w14:textId="77777777" w:rsidR="002B10A6" w:rsidRDefault="00000000">
      <w:pPr>
        <w:pStyle w:val="Normal26"/>
        <w:widowControl w:val="0"/>
        <w:spacing w:before="200" w:line="260" w:lineRule="atLeast"/>
        <w:jc w:val="both"/>
      </w:pPr>
      <w:bookmarkStart w:id="5847" w:name="Bookmark_para_16_19"/>
      <w:bookmarkStart w:id="5848" w:name="Bookmark_I61HWXSC28T3X00040000400"/>
      <w:bookmarkStart w:id="5849" w:name="Bookmark_LNHNREFclscc2_22"/>
      <w:bookmarkEnd w:id="5847"/>
      <w:bookmarkEnd w:id="5848"/>
      <w:bookmarkEnd w:id="5849"/>
      <w:r>
        <w:rPr>
          <w:rFonts w:ascii="Arial" w:eastAsia="Arial" w:hAnsi="Arial" w:cs="Arial"/>
          <w:color w:val="000000"/>
          <w:sz w:val="20"/>
        </w:rPr>
        <w:t xml:space="preserve">A failure-to-accommodate claim is grounded in ADA language defining discrimination in part as "not making reasonable accommodations to the known physical or mental limitations of an otherwise qualified individual." 42 U.S.C. § 12112(b)(5)(A). To succeed on a reasonable accommodation claim, a plaintiff must show (1) he was disabled, (2) his employer was aware of his disability, and (3) he was a qualified individual who, with or without reasonable accommodation, could perform the essential functions of the employment position. </w:t>
      </w:r>
      <w:bookmarkStart w:id="5850" w:name="Bookmark_I61HWXSC28T3X00030000400"/>
      <w:bookmarkEnd w:id="5850"/>
      <w:r>
        <w:rPr>
          <w:rFonts w:ascii="Arial" w:eastAsia="Arial" w:hAnsi="Arial" w:cs="Arial"/>
          <w:i/>
          <w:color w:val="000000"/>
          <w:sz w:val="20"/>
        </w:rPr>
        <w:t>Basith v. Cook Cty.</w:t>
      </w:r>
      <w:r>
        <w:rPr>
          <w:rFonts w:ascii="Arial" w:eastAsia="Arial" w:hAnsi="Arial" w:cs="Arial"/>
          <w:color w:val="000000"/>
          <w:sz w:val="20"/>
        </w:rPr>
        <w:t>, 241 F.3d 919, 927 (7th Cir. 2001).</w:t>
      </w:r>
    </w:p>
    <w:p w14:paraId="2B8317E9" w14:textId="77777777" w:rsidR="002B10A6" w:rsidRDefault="00000000">
      <w:pPr>
        <w:pStyle w:val="Normal26"/>
        <w:widowControl w:val="0"/>
        <w:spacing w:before="200" w:line="260" w:lineRule="atLeast"/>
        <w:jc w:val="both"/>
      </w:pPr>
      <w:bookmarkStart w:id="5851" w:name="Bookmark_para_17_19"/>
      <w:bookmarkEnd w:id="5851"/>
      <w:r>
        <w:rPr>
          <w:rFonts w:ascii="Arial" w:eastAsia="Arial" w:hAnsi="Arial" w:cs="Arial"/>
          <w:color w:val="000000"/>
          <w:sz w:val="20"/>
        </w:rPr>
        <w:t>Whether Mlsna's complaint is read as claiming disparate [**8]  treatment, as seeking a reasonable accommodation, or both, these claims share the element that the plaintiff be able to perform the essential functions of the job with or without reasonable accommodations. On that element, the district court granted summary judgment to Union Pacific, concluding that Mlsna failed to present evidence for a reasonable jury to find that he could fulfill the essential functions of the train conductor position with a reasonable accommodation.</w:t>
      </w:r>
    </w:p>
    <w:p w14:paraId="5F390DB9" w14:textId="77777777" w:rsidR="002B10A6" w:rsidRDefault="00000000">
      <w:pPr>
        <w:pStyle w:val="Normal26"/>
        <w:widowControl w:val="0"/>
        <w:spacing w:before="200" w:line="260" w:lineRule="atLeast"/>
        <w:jc w:val="both"/>
      </w:pPr>
      <w:bookmarkStart w:id="5852" w:name="Bookmark_para_18_19"/>
      <w:bookmarkEnd w:id="5852"/>
      <w:r>
        <w:rPr>
          <w:rFonts w:ascii="Arial" w:eastAsia="Arial" w:hAnsi="Arial" w:cs="Arial"/>
          <w:color w:val="000000"/>
          <w:sz w:val="20"/>
        </w:rPr>
        <w:t>In considering whether Mlsna was a qualified individual able to perform essential functions, the district court ruled that no jury could conclude that the railroad acted unreasonably in making the use of hearing protection an essential function of the conductor position. The court also decided that no reasonable accommodation existed for Mlsna. While Mlsna offered the E.A.R. Primo as an accommodation, the court decided that he had not presented evidence from which a reasonable jury could conclude that Union Pacific's stated reason—the lack of a noise reduction rating—was pretext, or that the E.A.R. Primo would permit him to fulfill the essential functions of a conductor. So the district court found that the railroad's [**9]  rejection of the E.A.R. Primo was reasonable.</w:t>
      </w:r>
      <w:r>
        <w:rPr>
          <w:rFonts w:ascii="Arial" w:eastAsia="Arial" w:hAnsi="Arial" w:cs="Arial"/>
          <w:vertAlign w:val="superscript"/>
        </w:rPr>
        <w:footnoteReference w:customMarkFollows="1" w:id="210"/>
        <w:t>2</w:t>
      </w:r>
    </w:p>
    <w:p w14:paraId="2AD0685F" w14:textId="77777777" w:rsidR="002B10A6" w:rsidRDefault="00000000">
      <w:pPr>
        <w:pStyle w:val="Normal26"/>
        <w:widowControl w:val="0"/>
        <w:spacing w:before="200" w:line="260" w:lineRule="atLeast"/>
        <w:jc w:val="both"/>
      </w:pPr>
      <w:bookmarkStart w:id="5854" w:name="Bookmark_para_19_18"/>
      <w:bookmarkStart w:id="5855" w:name="Bookmark_I61HWXSD2D6N4D0010000400"/>
      <w:bookmarkStart w:id="5856" w:name="Bookmark_LNHNREFclscc3_22"/>
      <w:bookmarkEnd w:id="5854"/>
      <w:bookmarkEnd w:id="5855"/>
      <w:bookmarkEnd w:id="5856"/>
      <w:r>
        <w:rPr>
          <w:rFonts w:ascii="Arial" w:eastAsia="Arial" w:hAnsi="Arial" w:cs="Arial"/>
          <w:color w:val="000000"/>
          <w:sz w:val="20"/>
        </w:rPr>
        <w:t xml:space="preserve">Mlsna appeals. We "review summary judgment de novo, and will affirm when—viewing the evidence in the light most favorable to the nonmovant and drawing all reasonable inferences in its favor—there is no genuine issue of material fact and the movant is entitled to judgment as a matter of law." </w:t>
      </w:r>
      <w:bookmarkStart w:id="5857" w:name="Bookmark_I61HWXSC28T3X00050000400"/>
      <w:bookmarkEnd w:id="5857"/>
      <w:r>
        <w:rPr>
          <w:rFonts w:ascii="Arial" w:eastAsia="Arial" w:hAnsi="Arial" w:cs="Arial"/>
          <w:i/>
          <w:color w:val="000000"/>
          <w:sz w:val="20"/>
        </w:rPr>
        <w:t>Scheidler</w:t>
      </w:r>
      <w:r>
        <w:rPr>
          <w:rFonts w:ascii="Arial" w:eastAsia="Arial" w:hAnsi="Arial" w:cs="Arial"/>
          <w:color w:val="000000"/>
          <w:sz w:val="20"/>
        </w:rPr>
        <w:t>, 914 F.3d at 540.</w:t>
      </w:r>
    </w:p>
    <w:p w14:paraId="1840C926" w14:textId="77777777" w:rsidR="002B10A6" w:rsidRDefault="00000000">
      <w:pPr>
        <w:pStyle w:val="Normal26"/>
        <w:widowControl w:val="0"/>
        <w:spacing w:before="240" w:line="260" w:lineRule="atLeast"/>
      </w:pPr>
      <w:r>
        <w:br/>
      </w:r>
      <w:r>
        <w:rPr>
          <w:rFonts w:ascii="Arial" w:eastAsia="Arial" w:hAnsi="Arial" w:cs="Arial"/>
          <w:b/>
          <w:color w:val="000000"/>
          <w:sz w:val="20"/>
        </w:rPr>
        <w:t>II</w:t>
      </w:r>
    </w:p>
    <w:p w14:paraId="087178F8" w14:textId="77777777" w:rsidR="002B10A6" w:rsidRDefault="00000000">
      <w:pPr>
        <w:pStyle w:val="Normal26"/>
        <w:widowControl w:val="0"/>
        <w:spacing w:before="200" w:line="260" w:lineRule="atLeast"/>
        <w:jc w:val="both"/>
      </w:pPr>
      <w:bookmarkStart w:id="5858" w:name="Bookmark_para_20_18"/>
      <w:bookmarkEnd w:id="5858"/>
      <w:r>
        <w:rPr>
          <w:rFonts w:ascii="Arial" w:eastAsia="Arial" w:hAnsi="Arial" w:cs="Arial"/>
          <w:color w:val="000000"/>
          <w:sz w:val="20"/>
        </w:rPr>
        <w:t>The parties do not dispute that Mlsna had the requisite background, experience, and knowledge to work as a train conductor. They also agree that his hearing impairment is a qualifying disability under the ADA, and that his disability was the reason he was not recertified to continue as a conductor. In dispute is whether Mlsna can perform the essential functions of the position of train conductor with or without reasonable accommodation.</w:t>
      </w:r>
    </w:p>
    <w:p w14:paraId="043A847C" w14:textId="77777777" w:rsidR="002B10A6" w:rsidRDefault="00000000">
      <w:pPr>
        <w:pStyle w:val="Normal26"/>
        <w:widowControl w:val="0"/>
        <w:spacing w:before="240" w:line="260" w:lineRule="atLeast"/>
      </w:pPr>
      <w:r>
        <w:br/>
      </w:r>
      <w:r>
        <w:rPr>
          <w:rFonts w:ascii="Arial" w:eastAsia="Arial" w:hAnsi="Arial" w:cs="Arial"/>
          <w:b/>
          <w:color w:val="000000"/>
          <w:sz w:val="20"/>
        </w:rPr>
        <w:t>A. Essential Functions</w:t>
      </w:r>
    </w:p>
    <w:p w14:paraId="53F939F9" w14:textId="77777777" w:rsidR="002B10A6" w:rsidRDefault="00000000">
      <w:pPr>
        <w:pStyle w:val="Normal26"/>
        <w:widowControl w:val="0"/>
        <w:spacing w:before="200" w:line="260" w:lineRule="atLeast"/>
        <w:jc w:val="both"/>
      </w:pPr>
      <w:bookmarkStart w:id="5859" w:name="Bookmark_para_21_18"/>
      <w:bookmarkStart w:id="5860" w:name="Bookmark_LNHNREFclscc4_22"/>
      <w:bookmarkEnd w:id="5859"/>
      <w:bookmarkEnd w:id="5860"/>
      <w:r>
        <w:rPr>
          <w:rFonts w:ascii="Arial" w:eastAsia="Arial" w:hAnsi="Arial" w:cs="Arial"/>
          <w:color w:val="000000"/>
          <w:sz w:val="20"/>
        </w:rPr>
        <w:t xml:space="preserve">When deciding whether a qualified individual is able to perform essential functions, "consideration shall be given to the employer's judgment as to what functions of a job are essential, and if an employer has prepared a written description ... , this description shall be considered evidence of the essential functions of the job." 42 U.S.C. § 12111(8). Federal labor regulations  [*634]  define "essential functions" generally [**10]  as "the fundamental job duties of the employment position the individual with a disability holds or desires." 29 C.F.R. § 1630.2(n). Those regulations give reasons why a function may be essential and list the types of evidence which may be considered to determine if a function is essential. </w:t>
      </w:r>
      <w:r>
        <w:rPr>
          <w:rFonts w:ascii="Arial" w:eastAsia="Arial" w:hAnsi="Arial" w:cs="Arial"/>
          <w:i/>
          <w:color w:val="000000"/>
          <w:sz w:val="20"/>
        </w:rPr>
        <w:t>Id.</w:t>
      </w:r>
    </w:p>
    <w:p w14:paraId="1B31F6C0" w14:textId="77777777" w:rsidR="002B10A6" w:rsidRDefault="00000000">
      <w:pPr>
        <w:pStyle w:val="Normal26"/>
        <w:widowControl w:val="0"/>
        <w:spacing w:before="200" w:line="260" w:lineRule="atLeast"/>
        <w:jc w:val="both"/>
      </w:pPr>
      <w:bookmarkStart w:id="5861" w:name="Bookmark_para_22_17"/>
      <w:bookmarkEnd w:id="5861"/>
      <w:r>
        <w:rPr>
          <w:rFonts w:ascii="Arial" w:eastAsia="Arial" w:hAnsi="Arial" w:cs="Arial"/>
          <w:color w:val="000000"/>
          <w:sz w:val="20"/>
        </w:rPr>
        <w:t>The district court agreed with Union Pacific that wearing hearing protection is an essential function of the train conductor position. In so concluding, the court considered various pieces of evidence:</w:t>
      </w:r>
    </w:p>
    <w:p w14:paraId="66D3EFCD" w14:textId="77777777" w:rsidR="002B10A6" w:rsidRDefault="00000000">
      <w:pPr>
        <w:pStyle w:val="Normal26"/>
        <w:widowControl w:val="0"/>
        <w:spacing w:line="260" w:lineRule="atLeast"/>
        <w:ind w:left="400"/>
        <w:jc w:val="both"/>
      </w:pPr>
      <w:bookmarkStart w:id="5862" w:name="Bookmark_para_23_17"/>
      <w:bookmarkEnd w:id="5862"/>
      <w:r>
        <w:rPr>
          <w:rFonts w:ascii="Arial" w:eastAsia="Arial" w:hAnsi="Arial" w:cs="Arial"/>
          <w:color w:val="000000"/>
          <w:sz w:val="20"/>
        </w:rPr>
        <w:t>• the job description of conductor</w:t>
      </w:r>
    </w:p>
    <w:p w14:paraId="6BA37352" w14:textId="77777777" w:rsidR="002B10A6" w:rsidRDefault="00000000">
      <w:pPr>
        <w:pStyle w:val="Normal26"/>
        <w:widowControl w:val="0"/>
        <w:spacing w:line="260" w:lineRule="atLeast"/>
        <w:ind w:left="400"/>
        <w:jc w:val="both"/>
      </w:pPr>
      <w:bookmarkStart w:id="5863" w:name="Bookmark_para_24_17"/>
      <w:bookmarkEnd w:id="5863"/>
      <w:r>
        <w:rPr>
          <w:rFonts w:ascii="Arial" w:eastAsia="Arial" w:hAnsi="Arial" w:cs="Arial"/>
          <w:color w:val="000000"/>
          <w:sz w:val="20"/>
        </w:rPr>
        <w:t>• the requirement to use hearing protection if exposed to an eight-hour time weighted average of 90 decibels or more in 49 C.F.R. § 227.115(d);</w:t>
      </w:r>
    </w:p>
    <w:p w14:paraId="788C078C" w14:textId="77777777" w:rsidR="002B10A6" w:rsidRDefault="00000000">
      <w:pPr>
        <w:pStyle w:val="Normal26"/>
        <w:widowControl w:val="0"/>
        <w:spacing w:line="260" w:lineRule="atLeast"/>
        <w:ind w:left="400"/>
        <w:jc w:val="both"/>
      </w:pPr>
      <w:bookmarkStart w:id="5864" w:name="Bookmark_para_25_17"/>
      <w:bookmarkEnd w:id="5864"/>
      <w:r>
        <w:rPr>
          <w:rFonts w:ascii="Arial" w:eastAsia="Arial" w:hAnsi="Arial" w:cs="Arial"/>
          <w:color w:val="000000"/>
          <w:sz w:val="20"/>
        </w:rPr>
        <w:t>• Union Pacific's representative sampling data, which the court said revealed a reasonable likelihood that conductors will be exposed to excessive noise;</w:t>
      </w:r>
    </w:p>
    <w:p w14:paraId="2F0A8251" w14:textId="77777777" w:rsidR="002B10A6" w:rsidRDefault="00000000">
      <w:pPr>
        <w:pStyle w:val="Normal26"/>
        <w:widowControl w:val="0"/>
        <w:spacing w:line="260" w:lineRule="atLeast"/>
        <w:ind w:left="400"/>
        <w:jc w:val="both"/>
      </w:pPr>
      <w:bookmarkStart w:id="5865" w:name="Bookmark_para_26_17"/>
      <w:bookmarkEnd w:id="5865"/>
      <w:r>
        <w:rPr>
          <w:rFonts w:ascii="Arial" w:eastAsia="Arial" w:hAnsi="Arial" w:cs="Arial"/>
          <w:color w:val="000000"/>
          <w:sz w:val="20"/>
        </w:rPr>
        <w:t>• Mlsna's amended complaint, in which he stated "Train Crewm[e]n work in a noisy environment and are therefore required to wear hearing protection;" and</w:t>
      </w:r>
    </w:p>
    <w:p w14:paraId="41362C07" w14:textId="77777777" w:rsidR="002B10A6" w:rsidRDefault="00000000">
      <w:pPr>
        <w:pStyle w:val="Normal26"/>
        <w:widowControl w:val="0"/>
        <w:spacing w:line="260" w:lineRule="atLeast"/>
        <w:ind w:left="400"/>
        <w:jc w:val="both"/>
      </w:pPr>
      <w:bookmarkStart w:id="5866" w:name="Bookmark_para_27_17"/>
      <w:bookmarkEnd w:id="5866"/>
      <w:r>
        <w:rPr>
          <w:rFonts w:ascii="Arial" w:eastAsia="Arial" w:hAnsi="Arial" w:cs="Arial"/>
          <w:color w:val="000000"/>
          <w:sz w:val="20"/>
        </w:rPr>
        <w:t>• Mlsna's deposition, in which he acknowledged the importance that conductors wear appropriate hearing protection.</w:t>
      </w:r>
    </w:p>
    <w:p w14:paraId="5643D0C6" w14:textId="77777777" w:rsidR="002B10A6" w:rsidRDefault="00000000">
      <w:pPr>
        <w:pStyle w:val="Normal26"/>
        <w:widowControl w:val="0"/>
        <w:spacing w:before="200" w:line="260" w:lineRule="atLeast"/>
        <w:jc w:val="both"/>
      </w:pPr>
      <w:bookmarkStart w:id="5867" w:name="Bookmark_para_28_17"/>
      <w:bookmarkStart w:id="5868" w:name="Bookmark_I61HWXSD2D6N4D0030000400"/>
      <w:bookmarkStart w:id="5869" w:name="Bookmark_I61HWXSD2HM5RX0020000400"/>
      <w:bookmarkStart w:id="5870" w:name="Bookmark_LNHNREFclscc5_22"/>
      <w:bookmarkEnd w:id="5867"/>
      <w:bookmarkEnd w:id="5868"/>
      <w:bookmarkEnd w:id="5869"/>
      <w:bookmarkEnd w:id="5870"/>
      <w:r>
        <w:rPr>
          <w:rFonts w:ascii="Arial" w:eastAsia="Arial" w:hAnsi="Arial" w:cs="Arial"/>
          <w:color w:val="000000"/>
          <w:sz w:val="20"/>
        </w:rPr>
        <w:t xml:space="preserve">"Whether a function is essential is a question of fact, not law." </w:t>
      </w:r>
      <w:bookmarkStart w:id="5871" w:name="Bookmark_I61HWXSD2D6N4D0020000400"/>
      <w:bookmarkEnd w:id="5871"/>
      <w:r>
        <w:rPr>
          <w:rFonts w:ascii="Arial" w:eastAsia="Arial" w:hAnsi="Arial" w:cs="Arial"/>
          <w:i/>
          <w:color w:val="000000"/>
          <w:sz w:val="20"/>
        </w:rPr>
        <w:t>Tonyan v. Dunham's Athleisure Corp.</w:t>
      </w:r>
      <w:r>
        <w:rPr>
          <w:rFonts w:ascii="Arial" w:eastAsia="Arial" w:hAnsi="Arial" w:cs="Arial"/>
          <w:color w:val="000000"/>
          <w:sz w:val="20"/>
        </w:rPr>
        <w:t xml:space="preserve">, 966 F.3d 681, 687 (7th Cir. 2020) (citing </w:t>
      </w:r>
      <w:bookmarkStart w:id="5872" w:name="Bookmark_I61HWXSD2D6N4D0040000400"/>
      <w:bookmarkEnd w:id="5872"/>
      <w:r>
        <w:rPr>
          <w:rFonts w:ascii="Arial" w:eastAsia="Arial" w:hAnsi="Arial" w:cs="Arial"/>
          <w:i/>
          <w:color w:val="000000"/>
          <w:sz w:val="20"/>
        </w:rPr>
        <w:t>Brown v. Smith</w:t>
      </w:r>
      <w:r>
        <w:rPr>
          <w:rFonts w:ascii="Arial" w:eastAsia="Arial" w:hAnsi="Arial" w:cs="Arial"/>
          <w:color w:val="000000"/>
          <w:sz w:val="20"/>
        </w:rPr>
        <w:t xml:space="preserve">, 827 F.3d 609, 613 (7th Cir. 2016)). "We usually do not 'second-guess the employer's judgment in describing the [**11]  essential requirements for the job.' But this deference is not unqualified." </w:t>
      </w:r>
      <w:r>
        <w:rPr>
          <w:rFonts w:ascii="Arial" w:eastAsia="Arial" w:hAnsi="Arial" w:cs="Arial"/>
          <w:i/>
          <w:color w:val="000000"/>
          <w:sz w:val="20"/>
        </w:rPr>
        <w:t>Id.</w:t>
      </w:r>
      <w:r>
        <w:rPr>
          <w:rFonts w:ascii="Arial" w:eastAsia="Arial" w:hAnsi="Arial" w:cs="Arial"/>
          <w:color w:val="000000"/>
          <w:sz w:val="20"/>
        </w:rPr>
        <w:t xml:space="preserve"> (quoting </w:t>
      </w:r>
      <w:bookmarkStart w:id="5873" w:name="Bookmark_I61HWXSD2HM5RX0010000400"/>
      <w:bookmarkEnd w:id="5873"/>
      <w:r>
        <w:rPr>
          <w:rFonts w:ascii="Arial" w:eastAsia="Arial" w:hAnsi="Arial" w:cs="Arial"/>
          <w:i/>
          <w:color w:val="000000"/>
          <w:sz w:val="20"/>
        </w:rPr>
        <w:t>DePaoli v. Abbott Labs.</w:t>
      </w:r>
      <w:r>
        <w:rPr>
          <w:rFonts w:ascii="Arial" w:eastAsia="Arial" w:hAnsi="Arial" w:cs="Arial"/>
          <w:color w:val="000000"/>
          <w:sz w:val="20"/>
        </w:rPr>
        <w:t>, 140 F.3d 668, 674 (7th Cir. 1998). Our examination of this record yields fact questions as to whether wearing hearing protection is an essential function of Mlsna working as a conductor.</w:t>
      </w:r>
    </w:p>
    <w:p w14:paraId="02AD19AB" w14:textId="77777777" w:rsidR="002B10A6" w:rsidRDefault="00000000">
      <w:pPr>
        <w:pStyle w:val="Normal26"/>
        <w:widowControl w:val="0"/>
        <w:spacing w:before="200" w:line="260" w:lineRule="atLeast"/>
        <w:jc w:val="both"/>
      </w:pPr>
      <w:bookmarkStart w:id="5874" w:name="Bookmark_para_29_17"/>
      <w:bookmarkEnd w:id="5874"/>
      <w:r>
        <w:rPr>
          <w:rFonts w:ascii="Arial" w:eastAsia="Arial" w:hAnsi="Arial" w:cs="Arial"/>
          <w:color w:val="000000"/>
          <w:sz w:val="20"/>
        </w:rPr>
        <w:t>Union Pacific's job description for train crew includes the position of conductor, and it lists essential job functions. While a hearing acuity requirement is not included, some of the functions do involve hearing. The job description includes accountabilities ("[c]ommunicating clearly with co-workers and train dispatchers via radio"), preferred education, training, experience or skills ("[a]ctive [l]istening: [a]ttending to and understanding key pieces of spoken information"), and work conditions ("[m]ust wear personal protection equipment such as ... hearing protection where the company requires.") If the only evidence on this topic were the job description, the district court's conclusion that wearing hearing protection is an essential function of working as a conductor would not be "second guessed."</w:t>
      </w:r>
    </w:p>
    <w:p w14:paraId="45BE7183" w14:textId="77777777" w:rsidR="002B10A6" w:rsidRDefault="00000000">
      <w:pPr>
        <w:pStyle w:val="Normal26"/>
        <w:widowControl w:val="0"/>
        <w:spacing w:before="200" w:line="260" w:lineRule="atLeast"/>
        <w:jc w:val="both"/>
      </w:pPr>
      <w:bookmarkStart w:id="5875" w:name="Bookmark_para_30_16"/>
      <w:bookmarkEnd w:id="5875"/>
      <w:r>
        <w:rPr>
          <w:rFonts w:ascii="Arial" w:eastAsia="Arial" w:hAnsi="Arial" w:cs="Arial"/>
          <w:color w:val="000000"/>
          <w:sz w:val="20"/>
        </w:rPr>
        <w:t xml:space="preserve">But the regulatory requirement to use hearing protection exposes a factual dispute. </w:t>
      </w:r>
      <w:bookmarkStart w:id="5876" w:name="Bookmark_LNHNREFclscc6_20"/>
      <w:bookmarkEnd w:id="5876"/>
      <w:r>
        <w:rPr>
          <w:rFonts w:ascii="Arial" w:eastAsia="Arial" w:hAnsi="Arial" w:cs="Arial"/>
          <w:color w:val="000000"/>
          <w:sz w:val="20"/>
        </w:rPr>
        <w:t>The default rule under the hearing protection regulation, 49 C.F.R. § 227.115(d) [**12] , requires employees to wear hearing protection if they are exposed to a time-weighted average of 90 decibels or higher. On this standard, the only evidence which shows the sound level that Union Pacific conductors are exposed to is a dosimetry data set that stretches back to 1980.</w:t>
      </w:r>
      <w:r>
        <w:rPr>
          <w:rFonts w:ascii="Arial" w:eastAsia="Arial" w:hAnsi="Arial" w:cs="Arial"/>
          <w:vertAlign w:val="superscript"/>
        </w:rPr>
        <w:footnoteReference w:customMarkFollows="1" w:id="211"/>
        <w:t>3</w:t>
      </w:r>
      <w:r>
        <w:rPr>
          <w:rFonts w:ascii="Arial" w:eastAsia="Arial" w:hAnsi="Arial" w:cs="Arial"/>
          <w:color w:val="000000"/>
          <w:sz w:val="20"/>
        </w:rPr>
        <w:t xml:space="preserve"> That data was collected using representative personal sampling under 49 C.F.R. § 227.103(b)(2).  [*635]  That dosimetry data shows that about 36% of the conductors (62 of 172) were exposed to an 8-hour time weighted average of 85 decibels or greater, and about 13% (22 of 172) were exposed to an 8-hour time weighted average of 90 or more decibels.</w:t>
      </w:r>
    </w:p>
    <w:p w14:paraId="361597DE" w14:textId="77777777" w:rsidR="002B10A6" w:rsidRDefault="00000000">
      <w:pPr>
        <w:pStyle w:val="Normal26"/>
        <w:widowControl w:val="0"/>
        <w:spacing w:before="200" w:line="260" w:lineRule="atLeast"/>
        <w:jc w:val="both"/>
      </w:pPr>
      <w:bookmarkStart w:id="5878" w:name="Bookmark_para_31_16"/>
      <w:bookmarkEnd w:id="5878"/>
      <w:r>
        <w:rPr>
          <w:rFonts w:ascii="Arial" w:eastAsia="Arial" w:hAnsi="Arial" w:cs="Arial"/>
          <w:color w:val="000000"/>
          <w:sz w:val="20"/>
        </w:rPr>
        <w:t>Mlsna points out that "[t]he single most recent measurement meeting or exceeding the 90-decibel threshold was taken in 2001." According to Mlsna, all measurements taken before 2007 should be disregarded because that year the Federal Railroad Administration began mandating the use of quieter locomotives. If Mlsna's suggestion is followed, no conductors in his position would be subject to an 8-hour time weighted average of 90 decibels or higher, and the hearing protection regulation would not apply to him. Union Pacific disagrees and recommends that the entire data set be considered instead of accepting Mlsna's "novel theory" of reviewing some but not all the data.</w:t>
      </w:r>
    </w:p>
    <w:p w14:paraId="756FF1FE" w14:textId="77777777" w:rsidR="002B10A6" w:rsidRDefault="00000000">
      <w:pPr>
        <w:pStyle w:val="Normal26"/>
        <w:widowControl w:val="0"/>
        <w:spacing w:before="200" w:line="260" w:lineRule="atLeast"/>
        <w:jc w:val="both"/>
      </w:pPr>
      <w:bookmarkStart w:id="5879" w:name="Bookmark_para_32_16"/>
      <w:bookmarkEnd w:id="5879"/>
      <w:r>
        <w:rPr>
          <w:rFonts w:ascii="Arial" w:eastAsia="Arial" w:hAnsi="Arial" w:cs="Arial"/>
          <w:color w:val="000000"/>
          <w:sz w:val="20"/>
        </w:rPr>
        <w:t>We [**13]  decline to adopt Mlsna's suggestion that the analysis be limited to data after 2007. Doing so would require that a bright line be drawn without the guidance of expert testimony. Mlsna is correct, however, that much of the data Union Pacific provided are not relevant, and reasonable inferences from the data run in Mlsna's favor as the nonmovant on whether the hearing protection regulation applies to him.</w:t>
      </w:r>
    </w:p>
    <w:p w14:paraId="62A38F03" w14:textId="77777777" w:rsidR="002B10A6" w:rsidRDefault="00000000">
      <w:pPr>
        <w:pStyle w:val="Normal26"/>
        <w:widowControl w:val="0"/>
        <w:spacing w:before="200" w:line="260" w:lineRule="atLeast"/>
        <w:jc w:val="both"/>
      </w:pPr>
      <w:bookmarkStart w:id="5880" w:name="Bookmark_para_33_15"/>
      <w:bookmarkStart w:id="5881" w:name="Bookmark_LNHNREFclscc7_19"/>
      <w:bookmarkEnd w:id="5880"/>
      <w:bookmarkEnd w:id="5881"/>
      <w:r>
        <w:rPr>
          <w:rFonts w:ascii="Arial" w:eastAsia="Arial" w:hAnsi="Arial" w:cs="Arial"/>
          <w:color w:val="000000"/>
          <w:sz w:val="20"/>
        </w:rPr>
        <w:t xml:space="preserve">Under the 90-decibel threshold detailed in 49 C.F.R. § 227.115(d), railroads must "require the use of hearing protectors" only "when an employee </w:t>
      </w:r>
      <w:r>
        <w:rPr>
          <w:rFonts w:ascii="Arial" w:eastAsia="Arial" w:hAnsi="Arial" w:cs="Arial"/>
          <w:i/>
          <w:color w:val="000000"/>
          <w:sz w:val="20"/>
        </w:rPr>
        <w:t>is</w:t>
      </w:r>
      <w:r>
        <w:rPr>
          <w:rFonts w:ascii="Arial" w:eastAsia="Arial" w:hAnsi="Arial" w:cs="Arial"/>
          <w:color w:val="000000"/>
          <w:sz w:val="20"/>
        </w:rPr>
        <w:t xml:space="preserve"> exposed to sound levels equivalent to an 8-hour [time weighted average] of 90 d(B)(A) or greater." (emphasis added). </w:t>
      </w:r>
      <w:bookmarkStart w:id="5882" w:name="Bookmark_I61HWXSD2HM5RX0040000400"/>
      <w:bookmarkEnd w:id="5882"/>
      <w:r>
        <w:rPr>
          <w:rFonts w:ascii="Arial" w:eastAsia="Arial" w:hAnsi="Arial" w:cs="Arial"/>
          <w:color w:val="000000"/>
          <w:sz w:val="20"/>
        </w:rPr>
        <w:t xml:space="preserve">The term "is" in the regulation must be read with a meaning it can bear. </w:t>
      </w:r>
      <w:r>
        <w:rPr>
          <w:rFonts w:ascii="Arial" w:eastAsia="Arial" w:hAnsi="Arial" w:cs="Arial"/>
          <w:i/>
          <w:color w:val="000000"/>
          <w:sz w:val="20"/>
        </w:rPr>
        <w:t>See</w:t>
      </w:r>
      <w:r>
        <w:rPr>
          <w:rFonts w:ascii="Arial" w:eastAsia="Arial" w:hAnsi="Arial" w:cs="Arial"/>
          <w:color w:val="000000"/>
          <w:sz w:val="20"/>
        </w:rPr>
        <w:t xml:space="preserve"> ANTONIN SCALIA &amp; BRYAN A. GARNER, READING LAW: THE INTERPRETATION OF LEGAL TEXTS 31 (2012). "Is" denotes the present tense. </w:t>
      </w:r>
      <w:r>
        <w:rPr>
          <w:rFonts w:ascii="Arial" w:eastAsia="Arial" w:hAnsi="Arial" w:cs="Arial"/>
          <w:i/>
          <w:color w:val="000000"/>
          <w:sz w:val="20"/>
        </w:rPr>
        <w:t>See</w:t>
      </w:r>
      <w:r>
        <w:rPr>
          <w:rFonts w:ascii="Arial" w:eastAsia="Arial" w:hAnsi="Arial" w:cs="Arial"/>
          <w:color w:val="000000"/>
          <w:sz w:val="20"/>
        </w:rPr>
        <w:t xml:space="preserve"> Merriam- Webster Dictionary, </w:t>
      </w:r>
      <w:r>
        <w:rPr>
          <w:rFonts w:ascii="Arial" w:eastAsia="Arial" w:hAnsi="Arial" w:cs="Arial"/>
          <w:i/>
          <w:color w:val="000000"/>
          <w:sz w:val="20"/>
        </w:rPr>
        <w:t>Is</w:t>
      </w:r>
      <w:r>
        <w:rPr>
          <w:rFonts w:ascii="Arial" w:eastAsia="Arial" w:hAnsi="Arial" w:cs="Arial"/>
          <w:color w:val="000000"/>
          <w:sz w:val="20"/>
        </w:rPr>
        <w:t xml:space="preserve">, https://www.merriam-webster.com/dictionary/is (last visited August 20, 2020); </w:t>
      </w:r>
      <w:r>
        <w:rPr>
          <w:rFonts w:ascii="Arial" w:eastAsia="Arial" w:hAnsi="Arial" w:cs="Arial"/>
          <w:i/>
          <w:color w:val="000000"/>
          <w:sz w:val="20"/>
        </w:rPr>
        <w:t xml:space="preserve">see also </w:t>
      </w:r>
      <w:bookmarkStart w:id="5883" w:name="Bookmark_I61HWXSD2HM5RX0030000400"/>
      <w:bookmarkEnd w:id="5883"/>
      <w:r>
        <w:rPr>
          <w:rFonts w:ascii="Arial" w:eastAsia="Arial" w:hAnsi="Arial" w:cs="Arial"/>
          <w:i/>
          <w:color w:val="000000"/>
          <w:sz w:val="20"/>
        </w:rPr>
        <w:t>Stanton v. Paul Revere Life Ins. Co.</w:t>
      </w:r>
      <w:r>
        <w:rPr>
          <w:rFonts w:ascii="Arial" w:eastAsia="Arial" w:hAnsi="Arial" w:cs="Arial"/>
          <w:color w:val="000000"/>
          <w:sz w:val="20"/>
        </w:rPr>
        <w:t>, 37 F. Supp. 2d 1159, 1166 (S.D. Cal. 1999) (noting "is" as the present tense). The dosimetry data provided by Union Pacific are only relevant to the extent they show whether conductors at the time of Mlsna's termination were exposed to a time-weighted average of 90 decibels [**14]  or higher. But "is" is not "was."</w:t>
      </w:r>
      <w:r>
        <w:rPr>
          <w:rFonts w:ascii="Arial" w:eastAsia="Arial" w:hAnsi="Arial" w:cs="Arial"/>
          <w:vertAlign w:val="superscript"/>
        </w:rPr>
        <w:footnoteReference w:customMarkFollows="1" w:id="212"/>
        <w:t>4</w:t>
      </w:r>
      <w:r>
        <w:rPr>
          <w:rFonts w:ascii="Arial" w:eastAsia="Arial" w:hAnsi="Arial" w:cs="Arial"/>
          <w:color w:val="000000"/>
          <w:sz w:val="20"/>
        </w:rPr>
        <w:t xml:space="preserve"> Fourteen years elapsed between the last data point showing a conductor for Union Pacific was exposed to  [*636]  a time-weighted average of more than 90 decibels in 2001, and Union's Pacific's decision to not recertify Mlsna in 2015. The data show no dangerous noise levels to which Mlsna was exposed in his time as a conductor. So a reasonable fact finder could conclude that if Mlsna was never exposed to that noise level, Union Pacific's more stringent policy of 85 decibels over the same time frame does not mandate that Mlsna wear hearing protection.</w:t>
      </w:r>
    </w:p>
    <w:p w14:paraId="37B25C1A" w14:textId="77777777" w:rsidR="002B10A6" w:rsidRDefault="00000000">
      <w:pPr>
        <w:pStyle w:val="Normal26"/>
        <w:widowControl w:val="0"/>
        <w:spacing w:before="200" w:line="260" w:lineRule="atLeast"/>
        <w:jc w:val="both"/>
      </w:pPr>
      <w:bookmarkStart w:id="5885" w:name="Bookmark_para_34_14"/>
      <w:bookmarkEnd w:id="5885"/>
      <w:r>
        <w:rPr>
          <w:rFonts w:ascii="Arial" w:eastAsia="Arial" w:hAnsi="Arial" w:cs="Arial"/>
          <w:color w:val="000000"/>
          <w:sz w:val="20"/>
        </w:rPr>
        <w:t>While a bright line does not separate obsolete data points from useful ones, the representative sampling dosimetry data permit a reasonable jury to conclude that when Mlsna was terminated in 2015, conductors working for Union Pacific were not exposed to time-weighted averages of 90 decibels or higher. Simply put, a genuine fact issue exists as to whether the data are a basis for the hearing conservation policy to apply to Mlsna. He was not even hired as a conductor by Union Pacific until 2006, five years after the last data showing a conductor for Union Pacific was exposed to a time-weighted average of more than [**15]  90 decibels.</w:t>
      </w:r>
    </w:p>
    <w:p w14:paraId="50842E81" w14:textId="77777777" w:rsidR="002B10A6" w:rsidRDefault="00000000">
      <w:pPr>
        <w:pStyle w:val="Normal26"/>
        <w:widowControl w:val="0"/>
        <w:spacing w:before="200" w:line="260" w:lineRule="atLeast"/>
        <w:jc w:val="both"/>
      </w:pPr>
      <w:bookmarkStart w:id="5886" w:name="Bookmark_para_35_14"/>
      <w:bookmarkStart w:id="5887" w:name="Bookmark_I61HWXSF2SF7R30010000400"/>
      <w:bookmarkEnd w:id="5886"/>
      <w:bookmarkEnd w:id="5887"/>
      <w:r>
        <w:rPr>
          <w:rFonts w:ascii="Arial" w:eastAsia="Arial" w:hAnsi="Arial" w:cs="Arial"/>
          <w:color w:val="000000"/>
          <w:sz w:val="20"/>
        </w:rPr>
        <w:t xml:space="preserve">Mlsna argues that by including measurements from before 2000, the railroad places its thumb on the scale to present dosimetry data falling within the regulation's parameters. Union Pacific calls this "historical monitoring," which is done to achieve statistical significance; that is, to show the data are not due to random or chance events. But drawing all reasonable inferences in Mlsna's favor, </w:t>
      </w:r>
      <w:bookmarkStart w:id="5888" w:name="Bookmark_I61HWXSD2HM5RX0050000400"/>
      <w:bookmarkEnd w:id="5888"/>
      <w:r>
        <w:rPr>
          <w:rFonts w:ascii="Arial" w:eastAsia="Arial" w:hAnsi="Arial" w:cs="Arial"/>
          <w:i/>
          <w:color w:val="000000"/>
          <w:sz w:val="20"/>
        </w:rPr>
        <w:t>Scheidler</w:t>
      </w:r>
      <w:r>
        <w:rPr>
          <w:rFonts w:ascii="Arial" w:eastAsia="Arial" w:hAnsi="Arial" w:cs="Arial"/>
          <w:color w:val="000000"/>
          <w:sz w:val="20"/>
        </w:rPr>
        <w:t>, 914 F.3d at 540, sampling that includes measurements from over 20 and 30 years ago is not "representative" of Mlsna's noise exposure or the exposures of other conductors who operate similar equipment under similar conditions.</w:t>
      </w:r>
    </w:p>
    <w:p w14:paraId="79F8FBA1" w14:textId="77777777" w:rsidR="002B10A6" w:rsidRDefault="00000000">
      <w:pPr>
        <w:pStyle w:val="Normal26"/>
        <w:widowControl w:val="0"/>
        <w:spacing w:before="200" w:line="260" w:lineRule="atLeast"/>
        <w:jc w:val="both"/>
      </w:pPr>
      <w:bookmarkStart w:id="5889" w:name="Bookmark_para_36_14"/>
      <w:bookmarkEnd w:id="5889"/>
      <w:r>
        <w:rPr>
          <w:rFonts w:ascii="Arial" w:eastAsia="Arial" w:hAnsi="Arial" w:cs="Arial"/>
          <w:color w:val="000000"/>
          <w:sz w:val="20"/>
        </w:rPr>
        <w:t>Mlsna's pleading or deposition responses do not support summary judgment for the railroad either. Mlsna's admission in his amended complaint that hearing protection is required, and his deposition statement that hearing protection is important, just echo the Federal Railroad Authority regulations. Even if those regulations capture the essential functions of the conductor job generally, there are genuine issues of material fact as to whether Union Pacific's more stringent policy was an essential function of Mlsna's position.</w:t>
      </w:r>
    </w:p>
    <w:p w14:paraId="5FDA377D" w14:textId="77777777" w:rsidR="002B10A6" w:rsidRDefault="00000000">
      <w:pPr>
        <w:pStyle w:val="Normal26"/>
        <w:widowControl w:val="0"/>
        <w:spacing w:before="200" w:line="260" w:lineRule="atLeast"/>
        <w:jc w:val="both"/>
      </w:pPr>
      <w:bookmarkStart w:id="5890" w:name="Bookmark_para_37_13"/>
      <w:bookmarkStart w:id="5891" w:name="Bookmark_LNHNREFclscc8_18"/>
      <w:bookmarkEnd w:id="5890"/>
      <w:bookmarkEnd w:id="5891"/>
      <w:r>
        <w:rPr>
          <w:rFonts w:ascii="Arial" w:eastAsia="Arial" w:hAnsi="Arial" w:cs="Arial"/>
          <w:color w:val="000000"/>
          <w:sz w:val="20"/>
        </w:rPr>
        <w:t>A job function also may be considered essential because [**16]  "the position exists ... to perform that function." 29 C.F.R. § 1630.2(n)(2)(i). But nobody would argue the reason the position of conductor exists is to wear hearing protection. A fact question exists as to whether hearing protection was part of serving as a conductor for Union Pacific. Mlsna testified that while he worked as a conductor he wore his hearing aids without earmuffs or other hearing protection, and that he never saw anybody else wear earmuffs. His former supervisor testified to the contrary, averring that Mlsna always wore hearing protection when required. This fact dispute further cuts against summary judgment for Union Pacific on this topic.</w:t>
      </w:r>
    </w:p>
    <w:p w14:paraId="518F94BE" w14:textId="77777777" w:rsidR="002B10A6" w:rsidRDefault="00000000">
      <w:pPr>
        <w:pStyle w:val="Normal26"/>
        <w:widowControl w:val="0"/>
        <w:spacing w:before="200" w:line="260" w:lineRule="atLeast"/>
        <w:jc w:val="both"/>
      </w:pPr>
      <w:bookmarkStart w:id="5892" w:name="Bookmark_para_38_12"/>
      <w:bookmarkEnd w:id="5892"/>
      <w:r>
        <w:rPr>
          <w:rFonts w:ascii="Arial" w:eastAsia="Arial" w:hAnsi="Arial" w:cs="Arial"/>
          <w:color w:val="000000"/>
          <w:sz w:val="20"/>
        </w:rPr>
        <w:t xml:space="preserve">The parties also dispute whether the essential function of a conductor should be considered more narrowly—as whether Mlsna met the hearing acuity standards while wearing hearing protection. But if characterized that way, then the grant of summary judgment to Union Pacific has even less support. </w:t>
      </w:r>
      <w:bookmarkStart w:id="5893" w:name="Bookmark_I61HWXSF2SF7R30030000400"/>
      <w:bookmarkEnd w:id="5893"/>
      <w:r>
        <w:rPr>
          <w:rFonts w:ascii="Arial" w:eastAsia="Arial" w:hAnsi="Arial" w:cs="Arial"/>
          <w:color w:val="000000"/>
          <w:sz w:val="20"/>
        </w:rPr>
        <w:t xml:space="preserve">The district court concluded that meeting the hearing acuity standards while wearing hearing protection was an essential function of the conductor job. But the plain text of the hearing acuity regulation does not mention wearing hearing protection. </w:t>
      </w:r>
      <w:bookmarkStart w:id="5894" w:name="Bookmark_LNHNREFclscc9_17"/>
      <w:bookmarkEnd w:id="5894"/>
      <w:r>
        <w:rPr>
          <w:rFonts w:ascii="Arial" w:eastAsia="Arial" w:hAnsi="Arial" w:cs="Arial"/>
          <w:color w:val="000000"/>
          <w:sz w:val="20"/>
        </w:rPr>
        <w:t xml:space="preserve">Rather, the hearing [**17]  test must show, without qualification, that "[t]he person does not have an average loss in the better ear greater than 40 decibels with or without the use of a hearing aid, at 500 Hz, 1,000 Hz, and 2,000 Hz." 49 C.F.R. § 242.117(i). If the hearing acuity regulation was meant to require hearing protection, it could have said so, but it does not. </w:t>
      </w:r>
      <w:r>
        <w:rPr>
          <w:rFonts w:ascii="Arial" w:eastAsia="Arial" w:hAnsi="Arial" w:cs="Arial"/>
          <w:i/>
          <w:color w:val="000000"/>
          <w:sz w:val="20"/>
        </w:rPr>
        <w:t xml:space="preserve">See </w:t>
      </w:r>
      <w:bookmarkStart w:id="5895" w:name="Bookmark_I61HWXSF2SF7R30020000400"/>
      <w:bookmarkEnd w:id="5895"/>
      <w:r>
        <w:rPr>
          <w:rFonts w:ascii="Arial" w:eastAsia="Arial" w:hAnsi="Arial" w:cs="Arial"/>
          <w:i/>
          <w:color w:val="000000"/>
          <w:sz w:val="20"/>
        </w:rPr>
        <w:t>Russello v. United States</w:t>
      </w:r>
      <w:r>
        <w:rPr>
          <w:rFonts w:ascii="Arial" w:eastAsia="Arial" w:hAnsi="Arial" w:cs="Arial"/>
          <w:color w:val="000000"/>
          <w:sz w:val="20"/>
        </w:rPr>
        <w:t>, 464 U.S. 16, 23, 104 S. Ct. 296, 78 L. Ed. 2d 17 (1983) (</w:t>
      </w:r>
      <w:bookmarkStart w:id="5896" w:name="Bookmark_LNHNREFclscc10_16"/>
      <w:bookmarkEnd w:id="5896"/>
      <w:r>
        <w:rPr>
          <w:rFonts w:ascii="Arial" w:eastAsia="Arial" w:hAnsi="Arial" w:cs="Arial"/>
          <w:color w:val="000000"/>
          <w:sz w:val="20"/>
        </w:rPr>
        <w:t>"[W]here Congress includes particular language in one section of a statute but omits it in another ... it is generally presumed that Congress acts intentionally and purposely in the disparate inclusion or exclusion.")</w:t>
      </w:r>
    </w:p>
    <w:p w14:paraId="0C4A312A" w14:textId="77777777" w:rsidR="002B10A6" w:rsidRDefault="00000000">
      <w:pPr>
        <w:pStyle w:val="Normal26"/>
        <w:widowControl w:val="0"/>
        <w:spacing w:before="200" w:line="260" w:lineRule="atLeast"/>
        <w:jc w:val="both"/>
      </w:pPr>
      <w:bookmarkStart w:id="5897" w:name="Bookmark_para_39_12"/>
      <w:bookmarkEnd w:id="5897"/>
      <w:r>
        <w:rPr>
          <w:rFonts w:ascii="Arial" w:eastAsia="Arial" w:hAnsi="Arial" w:cs="Arial"/>
          <w:color w:val="000000"/>
          <w:sz w:val="20"/>
        </w:rPr>
        <w:t>This case presents a two-edged problem. The regulations require that conductors have hearing acuity, as well as that their hearing be protected and conserved. But from this record it does not appear that Union Pacific can test hearing acuity under noisy working conditions. The railroad does not have dosimetry data that encompass the generation of locomotives currently in use or a plaintiff such as Mlsna. So on this record it does not follow as a matter of law that an essential function of Mlsna's job as a conductor was to pass the hearing  [*637]  acuity test while wearing compliant hearing protection.</w:t>
      </w:r>
    </w:p>
    <w:p w14:paraId="154CE091" w14:textId="77777777" w:rsidR="002B10A6" w:rsidRDefault="00000000">
      <w:pPr>
        <w:pStyle w:val="Normal26"/>
        <w:widowControl w:val="0"/>
        <w:spacing w:before="200" w:line="260" w:lineRule="atLeast"/>
        <w:jc w:val="both"/>
      </w:pPr>
      <w:bookmarkStart w:id="5898" w:name="Bookmark_para_40_12"/>
      <w:bookmarkEnd w:id="5898"/>
      <w:r>
        <w:rPr>
          <w:rFonts w:ascii="Arial" w:eastAsia="Arial" w:hAnsi="Arial" w:cs="Arial"/>
          <w:color w:val="000000"/>
          <w:sz w:val="20"/>
        </w:rPr>
        <w:t>Whether the essential function is defined as Mlsna wearing [**18]  hearing protection, or Mlsna passing the hearing test while wearing hearing protection, the analysis leads to the same conclusion: this record presents questions of fact.</w:t>
      </w:r>
    </w:p>
    <w:p w14:paraId="414FD904" w14:textId="77777777" w:rsidR="002B10A6" w:rsidRDefault="00000000">
      <w:pPr>
        <w:pStyle w:val="Normal26"/>
        <w:widowControl w:val="0"/>
        <w:spacing w:before="240" w:line="260" w:lineRule="atLeast"/>
      </w:pPr>
      <w:r>
        <w:br/>
      </w:r>
      <w:r>
        <w:rPr>
          <w:rFonts w:ascii="Arial" w:eastAsia="Arial" w:hAnsi="Arial" w:cs="Arial"/>
          <w:b/>
          <w:color w:val="000000"/>
          <w:sz w:val="20"/>
        </w:rPr>
        <w:t>B. Reasonable Accommodation</w:t>
      </w:r>
    </w:p>
    <w:p w14:paraId="2F454D17" w14:textId="77777777" w:rsidR="002B10A6" w:rsidRDefault="00000000">
      <w:pPr>
        <w:pStyle w:val="Normal26"/>
        <w:widowControl w:val="0"/>
        <w:spacing w:before="200" w:line="260" w:lineRule="atLeast"/>
        <w:jc w:val="both"/>
      </w:pPr>
      <w:bookmarkStart w:id="5899" w:name="Bookmark_para_41_12"/>
      <w:bookmarkEnd w:id="5899"/>
      <w:r>
        <w:rPr>
          <w:rFonts w:ascii="Arial" w:eastAsia="Arial" w:hAnsi="Arial" w:cs="Arial"/>
          <w:color w:val="000000"/>
          <w:sz w:val="20"/>
        </w:rPr>
        <w:t>In addition to a claim of disparate treatment, Mlsna's complaint can be read as seeking a reasonable accommodation from Union Pacific as to his hearing disability. Recall that when Mlsna's hearing was tested, one of the iterations included him wearing an amplified hearing protection device called the Pro Ears—Gold. Union Pacific did not identify any alternatives to the Pro Ears—Gold. Mlsna proposed he use a custom-made hearing protection called the E.A.R. Primo. Union Pacific rejected his proposal because that device did not have a factory-issued or laboratory-tested noise reduction rating, as required by 49 C.F.R. Pt. 227 App. B.</w:t>
      </w:r>
    </w:p>
    <w:p w14:paraId="10AB2EA5" w14:textId="77777777" w:rsidR="002B10A6" w:rsidRDefault="00000000">
      <w:pPr>
        <w:pStyle w:val="Normal26"/>
        <w:widowControl w:val="0"/>
        <w:spacing w:before="200" w:line="260" w:lineRule="atLeast"/>
        <w:jc w:val="both"/>
      </w:pPr>
      <w:bookmarkStart w:id="5900" w:name="Bookmark_para_42_12"/>
      <w:bookmarkStart w:id="5901" w:name="Bookmark_LNHNREFclscc11_16"/>
      <w:bookmarkEnd w:id="5900"/>
      <w:bookmarkEnd w:id="5901"/>
      <w:r>
        <w:rPr>
          <w:rFonts w:ascii="Arial" w:eastAsia="Arial" w:hAnsi="Arial" w:cs="Arial"/>
          <w:color w:val="000000"/>
          <w:sz w:val="20"/>
        </w:rPr>
        <w:t>Federal labor regulations define "reasonable accommodation" as "[m]odifications or adjustments to the work environment, or to the manner or circumstances under which the position held ... is customarily performed, that enable an individual with a disability who is qualified to perform the essential functions of that position ... ." 29 C.F.R. § 1630.2(o)(1)(ii). The district court rejected Mlsna's argument that Union [**19]  Pacific failed to reasonably accommodate his hearing disability. The court concluded that the railroad's rejection of the E.A.R. Primo was reasonable, and that Union Pacific cannot be held responsible for the breakdown of the "interactive process."</w:t>
      </w:r>
      <w:r>
        <w:rPr>
          <w:rFonts w:ascii="Arial" w:eastAsia="Arial" w:hAnsi="Arial" w:cs="Arial"/>
          <w:vertAlign w:val="superscript"/>
        </w:rPr>
        <w:footnoteReference w:customMarkFollows="1" w:id="213"/>
        <w:t>5</w:t>
      </w:r>
    </w:p>
    <w:p w14:paraId="122927C4" w14:textId="77777777" w:rsidR="002B10A6" w:rsidRDefault="00000000">
      <w:pPr>
        <w:pStyle w:val="Normal26"/>
        <w:widowControl w:val="0"/>
        <w:spacing w:before="200" w:line="260" w:lineRule="atLeast"/>
        <w:jc w:val="both"/>
      </w:pPr>
      <w:bookmarkStart w:id="5904" w:name="Bookmark_para_43_11"/>
      <w:bookmarkEnd w:id="5904"/>
      <w:r>
        <w:rPr>
          <w:rFonts w:ascii="Arial" w:eastAsia="Arial" w:hAnsi="Arial" w:cs="Arial"/>
          <w:color w:val="000000"/>
          <w:sz w:val="20"/>
        </w:rPr>
        <w:t>This reasonable accommodation evaluation is affected by the essential function analysis. As concluded above, fact issues exist as to whether Mlsna was subject to the hearing protection regulation, § 227.115. If it does not apply to Mlsna, neither would the requirement that a device considered for reasonable accommodation include a published noise reduction rating. That is, if Mlsna is not within the requirement of § 227.115(d), then the narrow attenuation rules of Pt. 227 App. B. do not apply. This means that the reasonable accommodation assessment here was artificially restrained. Curtailing the search was the conclusion that the hearing protection regulation necessarily applied. Union Pacific rejected all devices other than the Pro Ears—Gold, possibly based on an overly-broad interpretation of the hearing protection regulation. Because Union Pacific doggedly insisted that the device it considered have a published noise reduction rating to [**20]  determine noise attenuation, the Pro Ears—Gold device was the only device the railroad considered. Without that constraint, Union Pacific could offer more than just the Pro Ears—Gold device to accommodate Mlsna, and a reasonable jury could find that Union Pacific could offer more than it did as a reasonable accommodation.</w:t>
      </w:r>
    </w:p>
    <w:p w14:paraId="4FE74A0B" w14:textId="77777777" w:rsidR="002B10A6" w:rsidRDefault="00000000">
      <w:pPr>
        <w:pStyle w:val="Normal26"/>
        <w:widowControl w:val="0"/>
        <w:spacing w:before="200" w:line="260" w:lineRule="atLeast"/>
        <w:jc w:val="both"/>
      </w:pPr>
      <w:bookmarkStart w:id="5905" w:name="Bookmark_para_44_11"/>
      <w:bookmarkStart w:id="5906" w:name="Bookmark_I61HWXSF2SF7R30050000400"/>
      <w:bookmarkEnd w:id="5905"/>
      <w:bookmarkEnd w:id="5906"/>
      <w:r>
        <w:rPr>
          <w:rFonts w:ascii="Arial" w:eastAsia="Arial" w:hAnsi="Arial" w:cs="Arial"/>
          <w:color w:val="000000"/>
          <w:sz w:val="20"/>
        </w:rPr>
        <w:t xml:space="preserve">Potential reasonable accommodations were not considered which could have permitted Mlsna to wear hearing protection while also meeting the requirements of the hearing acuity regulation. There is  [*638]  no shortage of devices without published noise reduction ratings which could be considered as possible accommodations for Mlsna's disability, whether the E.A.R. Primo or others. </w:t>
      </w:r>
      <w:bookmarkStart w:id="5907" w:name="Bookmark_LNHNREFclscc13_13"/>
      <w:bookmarkEnd w:id="5907"/>
      <w:r>
        <w:rPr>
          <w:rFonts w:ascii="Arial" w:eastAsia="Arial" w:hAnsi="Arial" w:cs="Arial"/>
          <w:color w:val="000000"/>
          <w:sz w:val="20"/>
        </w:rPr>
        <w:t xml:space="preserve">Once an employee commences the interactive process to find a reasonable accommodation, employers have an "affirmative obligation to seek the employee out and work with her to craft a reasonable accommodation." </w:t>
      </w:r>
      <w:bookmarkStart w:id="5908" w:name="Bookmark_I61HWXSF2SF7R30040000400"/>
      <w:bookmarkEnd w:id="5908"/>
      <w:r>
        <w:rPr>
          <w:rFonts w:ascii="Arial" w:eastAsia="Arial" w:hAnsi="Arial" w:cs="Arial"/>
          <w:i/>
          <w:color w:val="000000"/>
          <w:sz w:val="20"/>
        </w:rPr>
        <w:t>EEOC v. Sears Roebuck &amp; Co.</w:t>
      </w:r>
      <w:r>
        <w:rPr>
          <w:rFonts w:ascii="Arial" w:eastAsia="Arial" w:hAnsi="Arial" w:cs="Arial"/>
          <w:color w:val="000000"/>
          <w:sz w:val="20"/>
        </w:rPr>
        <w:t>, 417 F.3d 789, 807 (7th Cir. 2005) (citation and internal brackets omitted). Viewing the evidence in the light most favorable to Mlsna, if 49 C.F.R. § 227.115(d) may not apply to him, then a material factual dispute exists as to whether Union Pacific satisfied its duty to craft an accommodation, and a reasonable jury could find that Mlsna may have [**21]  been accommodated with other devices. Whether Union Pacific fulfilled its obligation to provide Mlsna with a reasonable accommodation of his hearing disability can be addressed on remand without the constraint that the accommodating device carry a published noise reduction rating.</w:t>
      </w:r>
    </w:p>
    <w:p w14:paraId="7710588A" w14:textId="77777777" w:rsidR="002B10A6" w:rsidRDefault="00000000">
      <w:pPr>
        <w:pStyle w:val="Normal26"/>
        <w:widowControl w:val="0"/>
        <w:spacing w:before="200" w:line="260" w:lineRule="atLeast"/>
        <w:jc w:val="both"/>
      </w:pPr>
      <w:bookmarkStart w:id="5909" w:name="Bookmark_para_45_11"/>
      <w:bookmarkEnd w:id="5909"/>
      <w:r>
        <w:rPr>
          <w:rFonts w:ascii="Arial" w:eastAsia="Arial" w:hAnsi="Arial" w:cs="Arial"/>
          <w:color w:val="000000"/>
          <w:sz w:val="20"/>
        </w:rPr>
        <w:t>The record reveals another fact question on this point. Union Pacific told Mlsna that it engaged in an "extensive search" for adaptive devices, but discovery showed that no such search occurred. The railroad's director of disability management asked others to look for other devices for Mlsna, but the chief medical offi cer said he did not do so, and the senior manager of industrial hygiene said he had no responsibility to look for other devices. So after Union Pacific rejected Mlsna's proposal of the E.A.R. Primo, nobody at the railroad took any additional steps to explore reasonable accommodations.</w:t>
      </w:r>
    </w:p>
    <w:p w14:paraId="4921B073" w14:textId="77777777" w:rsidR="002B10A6" w:rsidRDefault="00000000">
      <w:pPr>
        <w:pStyle w:val="Normal26"/>
        <w:widowControl w:val="0"/>
        <w:spacing w:before="200" w:line="260" w:lineRule="atLeast"/>
        <w:jc w:val="both"/>
      </w:pPr>
      <w:bookmarkStart w:id="5910" w:name="Bookmark_para_46_10"/>
      <w:bookmarkEnd w:id="5910"/>
      <w:r>
        <w:rPr>
          <w:rFonts w:ascii="Arial" w:eastAsia="Arial" w:hAnsi="Arial" w:cs="Arial"/>
          <w:color w:val="000000"/>
          <w:sz w:val="20"/>
        </w:rPr>
        <w:t>Because genuine issues of fact exist as to whether Union Pacific reasonably accommodated Mlsna's hearing disability, Union Pacific should not have received summary judgment, and this case should return to the district court for further proceedings on this determination as well. On remand of the reasonable accommodation [**22]  evaluation, at least three topics warrant consideration.</w:t>
      </w:r>
    </w:p>
    <w:p w14:paraId="2C7B119B" w14:textId="77777777" w:rsidR="002B10A6" w:rsidRDefault="00000000">
      <w:pPr>
        <w:pStyle w:val="Normal26"/>
        <w:widowControl w:val="0"/>
        <w:spacing w:before="200" w:line="260" w:lineRule="atLeast"/>
        <w:jc w:val="both"/>
      </w:pPr>
      <w:bookmarkStart w:id="5911" w:name="Bookmark_para_47_10"/>
      <w:bookmarkStart w:id="5912" w:name="Bookmark_I6279VTNWBN000044R200004"/>
      <w:bookmarkStart w:id="5913" w:name="Bookmark_I61HWXSF28T3X70020000400"/>
      <w:bookmarkEnd w:id="5911"/>
      <w:bookmarkEnd w:id="5912"/>
      <w:bookmarkEnd w:id="5913"/>
      <w:r>
        <w:rPr>
          <w:rFonts w:ascii="Arial" w:eastAsia="Arial" w:hAnsi="Arial" w:cs="Arial"/>
          <w:color w:val="000000"/>
          <w:sz w:val="20"/>
        </w:rPr>
        <w:t xml:space="preserve">The first concerns the district court's application of a pretext analysis in its reasonable accommodation evaluation. </w:t>
      </w:r>
      <w:bookmarkStart w:id="5914" w:name="Bookmark_I61HWXSF28T3X70040000400"/>
      <w:bookmarkStart w:id="5915" w:name="Bookmark_LNHNREFclscc14_13"/>
      <w:bookmarkEnd w:id="5914"/>
      <w:bookmarkEnd w:id="5915"/>
      <w:r>
        <w:rPr>
          <w:rFonts w:ascii="Arial" w:eastAsia="Arial" w:hAnsi="Arial" w:cs="Arial"/>
          <w:color w:val="000000"/>
          <w:sz w:val="20"/>
        </w:rPr>
        <w:t xml:space="preserve">Pretext is the third step in the three-step burden shifting process established in </w:t>
      </w:r>
      <w:bookmarkStart w:id="5916" w:name="Bookmark_I61HWXSF28T3X70010000400"/>
      <w:bookmarkEnd w:id="5916"/>
      <w:r>
        <w:rPr>
          <w:rFonts w:ascii="Arial" w:eastAsia="Arial" w:hAnsi="Arial" w:cs="Arial"/>
          <w:i/>
          <w:color w:val="000000"/>
          <w:sz w:val="20"/>
        </w:rPr>
        <w:t>McDonnell Douglas Corp. v. Green</w:t>
      </w:r>
      <w:r>
        <w:rPr>
          <w:rFonts w:ascii="Arial" w:eastAsia="Arial" w:hAnsi="Arial" w:cs="Arial"/>
          <w:color w:val="000000"/>
          <w:sz w:val="20"/>
        </w:rPr>
        <w:t xml:space="preserve">, 411 U.S. 792, 804-07, 93 S. Ct. 1817, 36 L. Ed. 2d 668 (1973). </w:t>
      </w:r>
      <w:bookmarkStart w:id="5917" w:name="Bookmark_I61HWXSG28T3X80050000400"/>
      <w:bookmarkEnd w:id="5917"/>
      <w:r>
        <w:rPr>
          <w:rFonts w:ascii="Arial" w:eastAsia="Arial" w:hAnsi="Arial" w:cs="Arial"/>
          <w:color w:val="000000"/>
          <w:sz w:val="20"/>
        </w:rPr>
        <w:t xml:space="preserve">This Court has held that "the </w:t>
      </w:r>
      <w:r>
        <w:rPr>
          <w:rFonts w:ascii="Arial" w:eastAsia="Arial" w:hAnsi="Arial" w:cs="Arial"/>
          <w:i/>
          <w:color w:val="000000"/>
          <w:sz w:val="20"/>
        </w:rPr>
        <w:t>McDonnell Douglas</w:t>
      </w:r>
      <w:r>
        <w:rPr>
          <w:rFonts w:ascii="Arial" w:eastAsia="Arial" w:hAnsi="Arial" w:cs="Arial"/>
          <w:color w:val="000000"/>
          <w:sz w:val="20"/>
        </w:rPr>
        <w:t xml:space="preserve"> burden-shifting method of proof is unnecessary and inappropriate" in a failure-to-accommodate claim. </w:t>
      </w:r>
      <w:bookmarkStart w:id="5918" w:name="Bookmark_I61HWXSG28T3X80050000400_2"/>
      <w:bookmarkStart w:id="5919" w:name="Bookmark_I61HWXSF28T3X70040000400_2"/>
      <w:bookmarkStart w:id="5920" w:name="Bookmark_I61HWXSF28T3X70030000400"/>
      <w:bookmarkEnd w:id="5918"/>
      <w:bookmarkEnd w:id="5919"/>
      <w:bookmarkEnd w:id="5920"/>
      <w:r>
        <w:rPr>
          <w:rFonts w:ascii="Arial" w:eastAsia="Arial" w:hAnsi="Arial" w:cs="Arial"/>
          <w:i/>
          <w:color w:val="000000"/>
          <w:sz w:val="20"/>
        </w:rPr>
        <w:t>Bultemeyer v. Fort Wayne Cmty. Sch.</w:t>
      </w:r>
      <w:r>
        <w:rPr>
          <w:rFonts w:ascii="Arial" w:eastAsia="Arial" w:hAnsi="Arial" w:cs="Arial"/>
          <w:color w:val="000000"/>
          <w:sz w:val="20"/>
        </w:rPr>
        <w:t xml:space="preserve">, 100 F.3d 1281, 1283-84 (7th Cir. 1996); </w:t>
      </w:r>
      <w:r>
        <w:rPr>
          <w:rFonts w:ascii="Arial" w:eastAsia="Arial" w:hAnsi="Arial" w:cs="Arial"/>
          <w:i/>
          <w:color w:val="000000"/>
          <w:sz w:val="20"/>
        </w:rPr>
        <w:t xml:space="preserve">see also </w:t>
      </w:r>
      <w:bookmarkStart w:id="5921" w:name="Bookmark_I61HWXSF28T3X70050000400"/>
      <w:bookmarkEnd w:id="5921"/>
      <w:r>
        <w:rPr>
          <w:rFonts w:ascii="Arial" w:eastAsia="Arial" w:hAnsi="Arial" w:cs="Arial"/>
          <w:i/>
          <w:color w:val="000000"/>
          <w:sz w:val="20"/>
        </w:rPr>
        <w:t>Lenker v. Methodist Hosp.</w:t>
      </w:r>
      <w:r>
        <w:rPr>
          <w:rFonts w:ascii="Arial" w:eastAsia="Arial" w:hAnsi="Arial" w:cs="Arial"/>
          <w:color w:val="000000"/>
          <w:sz w:val="20"/>
        </w:rPr>
        <w:t xml:space="preserve">, 210 F.3d 792, 799 (7th Cir. 2000) ("Because Lenker's claim was based on reasonable accommodation ... the district court was correct to reject Lenker's proposed pretext instruction."); </w:t>
      </w:r>
      <w:bookmarkStart w:id="5922" w:name="Bookmark_I61HWXSG28T3X80020000400"/>
      <w:bookmarkEnd w:id="5922"/>
      <w:r>
        <w:rPr>
          <w:rFonts w:ascii="Arial" w:eastAsia="Arial" w:hAnsi="Arial" w:cs="Arial"/>
          <w:i/>
          <w:color w:val="000000"/>
          <w:sz w:val="20"/>
        </w:rPr>
        <w:t>Weigel v. Target Stores</w:t>
      </w:r>
      <w:r>
        <w:rPr>
          <w:rFonts w:ascii="Arial" w:eastAsia="Arial" w:hAnsi="Arial" w:cs="Arial"/>
          <w:color w:val="000000"/>
          <w:sz w:val="20"/>
        </w:rPr>
        <w:t xml:space="preserve">, 122 F.3d 461, 464 (7th Cir. 1997) ("[I]n failure to accommodate claims the </w:t>
      </w:r>
      <w:r>
        <w:rPr>
          <w:rFonts w:ascii="Arial" w:eastAsia="Arial" w:hAnsi="Arial" w:cs="Arial"/>
          <w:i/>
          <w:color w:val="000000"/>
          <w:sz w:val="20"/>
        </w:rPr>
        <w:t>McDonnell Douglas</w:t>
      </w:r>
      <w:r>
        <w:rPr>
          <w:rFonts w:ascii="Arial" w:eastAsia="Arial" w:hAnsi="Arial" w:cs="Arial"/>
          <w:color w:val="000000"/>
          <w:sz w:val="20"/>
        </w:rPr>
        <w:t xml:space="preserve"> framework is 'unnecessary and inappropriate.'"). Instead, "if the plaintiff demonstrated that the employer should have reasonably accommodated the plaintiff's disability and did not, the employer has discriminated under the ADA and is liable." </w:t>
      </w:r>
      <w:bookmarkStart w:id="5923" w:name="Bookmark_I61HWXSG28T3X80040000400"/>
      <w:bookmarkEnd w:id="5923"/>
      <w:r>
        <w:rPr>
          <w:rFonts w:ascii="Arial" w:eastAsia="Arial" w:hAnsi="Arial" w:cs="Arial"/>
          <w:i/>
          <w:color w:val="000000"/>
          <w:sz w:val="20"/>
        </w:rPr>
        <w:t>Lenker</w:t>
      </w:r>
      <w:r>
        <w:rPr>
          <w:rFonts w:ascii="Arial" w:eastAsia="Arial" w:hAnsi="Arial" w:cs="Arial"/>
          <w:color w:val="000000"/>
          <w:sz w:val="20"/>
        </w:rPr>
        <w:t>, 210 F.3d at 799. While evidence of pretext may be relevant in such a case, a pretext analysis need not be part of the reasonable accommodation evaluation.</w:t>
      </w:r>
    </w:p>
    <w:p w14:paraId="085F3B62" w14:textId="77777777" w:rsidR="002B10A6" w:rsidRDefault="00000000">
      <w:pPr>
        <w:pStyle w:val="Normal26"/>
        <w:widowControl w:val="0"/>
        <w:spacing w:before="200" w:line="260" w:lineRule="atLeast"/>
        <w:jc w:val="both"/>
      </w:pPr>
      <w:bookmarkStart w:id="5924" w:name="Bookmark_para_48_10"/>
      <w:bookmarkStart w:id="5925" w:name="Bookmark_I61HWXSG2N1PWD0020000400"/>
      <w:bookmarkEnd w:id="5924"/>
      <w:bookmarkEnd w:id="5925"/>
      <w:r>
        <w:rPr>
          <w:rFonts w:ascii="Arial" w:eastAsia="Arial" w:hAnsi="Arial" w:cs="Arial"/>
          <w:color w:val="000000"/>
          <w:sz w:val="20"/>
        </w:rPr>
        <w:t xml:space="preserve">The second involves the railroad's obligation to engage in an interactive process with the disabled individual to determine an appropriate reasonable accommodation. </w:t>
      </w:r>
      <w:bookmarkStart w:id="5926" w:name="Bookmark_LNHNREFclscc15_11"/>
      <w:bookmarkEnd w:id="5926"/>
      <w:r>
        <w:rPr>
          <w:rFonts w:ascii="Arial" w:eastAsia="Arial" w:hAnsi="Arial" w:cs="Arial"/>
          <w:color w:val="000000"/>
          <w:sz w:val="20"/>
        </w:rPr>
        <w:t xml:space="preserve">During such a process, [**23]  the defendant employer must consider more than just what the plaintiff employee proposes. </w:t>
      </w:r>
      <w:bookmarkStart w:id="5927" w:name="Bookmark_I61HWXSG2N1PWD0040000400"/>
      <w:bookmarkStart w:id="5928" w:name="Bookmark_I61HWXSG2N1PWD0010000400"/>
      <w:bookmarkEnd w:id="5927"/>
      <w:bookmarkEnd w:id="5928"/>
      <w:r>
        <w:rPr>
          <w:rFonts w:ascii="Arial" w:eastAsia="Arial" w:hAnsi="Arial" w:cs="Arial"/>
          <w:i/>
          <w:color w:val="000000"/>
          <w:sz w:val="20"/>
        </w:rPr>
        <w:t>EEOC v. Sears</w:t>
      </w:r>
      <w:r>
        <w:rPr>
          <w:rFonts w:ascii="Arial" w:eastAsia="Arial" w:hAnsi="Arial" w:cs="Arial"/>
          <w:color w:val="000000"/>
          <w:sz w:val="20"/>
        </w:rPr>
        <w:t xml:space="preserve">, 417 F.3d at 807 (noting an employer's duty to work with employee to "craft a reasonable accommodation"). </w:t>
      </w:r>
      <w:bookmarkStart w:id="5929" w:name="Bookmark_I61HWXSG2N1PWD0040000400_2"/>
      <w:bookmarkEnd w:id="5929"/>
      <w:r>
        <w:rPr>
          <w:rFonts w:ascii="Arial" w:eastAsia="Arial" w:hAnsi="Arial" w:cs="Arial"/>
          <w:color w:val="000000"/>
          <w:sz w:val="20"/>
        </w:rPr>
        <w:t xml:space="preserve">A proposed accommodation is not limited to what the plaintiff introduced into  [*639]  the process, here the E.A.R. Primo. </w:t>
      </w:r>
      <w:bookmarkStart w:id="5930" w:name="Bookmark_I61HWXSG2N1PWD0030000400"/>
      <w:bookmarkEnd w:id="5930"/>
      <w:r>
        <w:rPr>
          <w:rFonts w:ascii="Arial" w:eastAsia="Arial" w:hAnsi="Arial" w:cs="Arial"/>
          <w:i/>
          <w:color w:val="000000"/>
          <w:sz w:val="20"/>
        </w:rPr>
        <w:t>Lawler v. Peoria Sch. Dist. No. 150</w:t>
      </w:r>
      <w:r>
        <w:rPr>
          <w:rFonts w:ascii="Arial" w:eastAsia="Arial" w:hAnsi="Arial" w:cs="Arial"/>
          <w:color w:val="000000"/>
          <w:sz w:val="20"/>
        </w:rPr>
        <w:t>, 837 F.3d 779, 786-787 (7th Cir. 2016) (employer must do more than "s[i]t on its hands" when employee requests accommodation). Union Pacific was obliged to do more than just conclude that Mlsna's proposal must fail because it is contrary to the railroad's policy.</w:t>
      </w:r>
    </w:p>
    <w:p w14:paraId="4875CA6F" w14:textId="77777777" w:rsidR="002B10A6" w:rsidRDefault="00000000">
      <w:pPr>
        <w:pStyle w:val="Normal26"/>
        <w:widowControl w:val="0"/>
        <w:spacing w:before="200" w:line="260" w:lineRule="atLeast"/>
        <w:jc w:val="both"/>
      </w:pPr>
      <w:bookmarkStart w:id="5931" w:name="Bookmark_para_49_9"/>
      <w:bookmarkEnd w:id="5931"/>
      <w:r>
        <w:rPr>
          <w:rFonts w:ascii="Arial" w:eastAsia="Arial" w:hAnsi="Arial" w:cs="Arial"/>
          <w:color w:val="000000"/>
          <w:sz w:val="20"/>
        </w:rPr>
        <w:t>Third, the parties previously debated and the district court ruled on the timeliness of a supplemental expert report Mlsna submitted which referenced devices that would satisfy Union Pacific's hearing conservation policy. Given this remand, the court and the parties have a new opportunity to review that report and consider those other devices.</w:t>
      </w:r>
    </w:p>
    <w:p w14:paraId="69E3E820" w14:textId="77777777" w:rsidR="002B10A6" w:rsidRDefault="00000000">
      <w:pPr>
        <w:pStyle w:val="Normal26"/>
        <w:widowControl w:val="0"/>
        <w:spacing w:before="200" w:line="260" w:lineRule="atLeast"/>
        <w:jc w:val="both"/>
      </w:pPr>
      <w:bookmarkStart w:id="5932" w:name="Bookmark_para_50_8"/>
      <w:bookmarkEnd w:id="5932"/>
      <w:r>
        <w:rPr>
          <w:rFonts w:ascii="Arial" w:eastAsia="Arial" w:hAnsi="Arial" w:cs="Arial"/>
          <w:color w:val="000000"/>
          <w:sz w:val="20"/>
        </w:rPr>
        <w:t>With these items noted, this case is returned to the district court for further consideration.</w:t>
      </w:r>
    </w:p>
    <w:p w14:paraId="674D11BA" w14:textId="77777777" w:rsidR="002B10A6" w:rsidRDefault="00000000">
      <w:pPr>
        <w:pStyle w:val="Normal26"/>
        <w:widowControl w:val="0"/>
        <w:spacing w:before="240" w:line="260" w:lineRule="atLeast"/>
      </w:pPr>
      <w:r>
        <w:br/>
      </w:r>
      <w:r>
        <w:rPr>
          <w:rFonts w:ascii="Arial" w:eastAsia="Arial" w:hAnsi="Arial" w:cs="Arial"/>
          <w:b/>
          <w:color w:val="000000"/>
          <w:sz w:val="20"/>
        </w:rPr>
        <w:t>III</w:t>
      </w:r>
    </w:p>
    <w:p w14:paraId="12AE0150" w14:textId="77777777" w:rsidR="002B10A6" w:rsidRDefault="00000000">
      <w:pPr>
        <w:pStyle w:val="Normal26"/>
        <w:widowControl w:val="0"/>
        <w:spacing w:before="200" w:line="260" w:lineRule="atLeast"/>
        <w:jc w:val="both"/>
      </w:pPr>
      <w:bookmarkStart w:id="5933" w:name="Bookmark_para_51_8"/>
      <w:bookmarkEnd w:id="5933"/>
      <w:r>
        <w:rPr>
          <w:rFonts w:ascii="Arial" w:eastAsia="Arial" w:hAnsi="Arial" w:cs="Arial"/>
          <w:color w:val="000000"/>
          <w:sz w:val="20"/>
        </w:rPr>
        <w:t>For the reasons above, the grant of summary judgment to Union Pacific is REVERSED and this case is REMANDED for further proceedings consistent with this opinion.</w:t>
      </w:r>
    </w:p>
    <w:p w14:paraId="38750D64" w14:textId="77777777" w:rsidR="002B10A6" w:rsidRDefault="002B10A6">
      <w:pPr>
        <w:pStyle w:val="Normal26"/>
      </w:pPr>
    </w:p>
    <w:p w14:paraId="7D8F790F" w14:textId="476C652B" w:rsidR="002B10A6" w:rsidRDefault="00000000">
      <w:pPr>
        <w:pStyle w:val="Normal26"/>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16608" behindDoc="0" locked="0" layoutInCell="1" allowOverlap="1" wp14:anchorId="2F242233" wp14:editId="0033345C">
                <wp:simplePos x="0" y="0"/>
                <wp:positionH relativeFrom="column">
                  <wp:posOffset>0</wp:posOffset>
                </wp:positionH>
                <wp:positionV relativeFrom="paragraph">
                  <wp:posOffset>127000</wp:posOffset>
                </wp:positionV>
                <wp:extent cx="6502400" cy="0"/>
                <wp:effectExtent l="9525" t="12700" r="12700" b="6350"/>
                <wp:wrapNone/>
                <wp:docPr id="16131543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A1270" id="Line 58"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4243C73" w14:textId="77777777" w:rsidR="002B10A6" w:rsidRDefault="002B10A6">
      <w:pPr>
        <w:pStyle w:val="Normal27"/>
        <w:sectPr w:rsidR="002B10A6">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gutter="0"/>
          <w:cols w:space="720"/>
          <w:titlePg/>
        </w:sectPr>
      </w:pPr>
    </w:p>
    <w:p w14:paraId="7D2FAEF6" w14:textId="77777777" w:rsidR="002B10A6" w:rsidRDefault="002B10A6">
      <w:pPr>
        <w:pStyle w:val="Normal27"/>
      </w:pPr>
    </w:p>
    <w:p w14:paraId="2958137F" w14:textId="77777777" w:rsidR="002B10A6" w:rsidRDefault="00000000">
      <w:pPr>
        <w:pStyle w:val="Heading126"/>
        <w:keepNext w:val="0"/>
        <w:widowControl w:val="0"/>
        <w:spacing w:after="200" w:line="340" w:lineRule="atLeast"/>
        <w:jc w:val="center"/>
      </w:pPr>
      <w:r>
        <w:rPr>
          <w:rFonts w:eastAsia="Arial"/>
          <w:color w:val="000000"/>
          <w:sz w:val="28"/>
        </w:rPr>
        <w:t>Lopez v. Catalina Channel Express, Inc.</w:t>
      </w:r>
    </w:p>
    <w:p w14:paraId="32F0B9FE" w14:textId="77777777" w:rsidR="002B10A6" w:rsidRDefault="00000000">
      <w:pPr>
        <w:pStyle w:val="Normal27"/>
        <w:widowControl w:val="0"/>
        <w:spacing w:before="120" w:line="260" w:lineRule="atLeast"/>
        <w:jc w:val="center"/>
      </w:pPr>
      <w:r>
        <w:rPr>
          <w:rFonts w:ascii="Arial" w:eastAsia="Arial" w:hAnsi="Arial" w:cs="Arial"/>
          <w:color w:val="000000"/>
          <w:sz w:val="20"/>
        </w:rPr>
        <w:t>United States Court of Appeals for the Ninth Circuit</w:t>
      </w:r>
    </w:p>
    <w:p w14:paraId="581C0A5B" w14:textId="77777777" w:rsidR="002B10A6" w:rsidRDefault="00000000">
      <w:pPr>
        <w:pStyle w:val="Normal27"/>
        <w:widowControl w:val="0"/>
        <w:spacing w:before="120" w:line="260" w:lineRule="atLeast"/>
        <w:jc w:val="center"/>
      </w:pPr>
      <w:r>
        <w:rPr>
          <w:rFonts w:ascii="Arial" w:eastAsia="Arial" w:hAnsi="Arial" w:cs="Arial"/>
          <w:color w:val="000000"/>
          <w:sz w:val="20"/>
        </w:rPr>
        <w:t>May 7, 2020, Argued and Submitted, Pasadena, California; September 9, 2020, Filed</w:t>
      </w:r>
    </w:p>
    <w:p w14:paraId="46C63108" w14:textId="77777777" w:rsidR="002B10A6" w:rsidRDefault="00000000">
      <w:pPr>
        <w:pStyle w:val="Normal27"/>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19-55136</w:t>
      </w:r>
    </w:p>
    <w:p w14:paraId="3C53CFEE" w14:textId="77777777" w:rsidR="002B10A6" w:rsidRDefault="002B10A6">
      <w:pPr>
        <w:pStyle w:val="Normal27"/>
        <w:widowControl w:val="0"/>
        <w:spacing w:line="240" w:lineRule="atLeast"/>
        <w:jc w:val="both"/>
      </w:pPr>
      <w:bookmarkStart w:id="5934" w:name="Bookmark_28"/>
      <w:bookmarkEnd w:id="5934"/>
    </w:p>
    <w:p w14:paraId="765CB6FF" w14:textId="77777777" w:rsidR="002B10A6" w:rsidRDefault="00000000">
      <w:pPr>
        <w:pStyle w:val="Normal27"/>
        <w:widowControl w:val="0"/>
        <w:spacing w:before="200" w:line="240" w:lineRule="atLeast"/>
      </w:pPr>
      <w:bookmarkStart w:id="5935" w:name="Reporter_26"/>
      <w:bookmarkEnd w:id="5935"/>
      <w:r>
        <w:rPr>
          <w:rFonts w:ascii="Arial" w:eastAsia="Arial" w:hAnsi="Arial" w:cs="Arial"/>
          <w:b/>
          <w:color w:val="000000"/>
          <w:sz w:val="18"/>
        </w:rPr>
        <w:t>Reporter</w:t>
      </w:r>
    </w:p>
    <w:p w14:paraId="5DE55729" w14:textId="77777777" w:rsidR="002B10A6" w:rsidRDefault="00000000">
      <w:pPr>
        <w:pStyle w:val="Normal27"/>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974 F.3d 1030 *; 2020 U.S. App. LEXIS 28479 **; 2020 WL 5405677</w:t>
      </w:r>
    </w:p>
    <w:p w14:paraId="424DA9EB" w14:textId="77777777" w:rsidR="002B10A6" w:rsidRDefault="00000000">
      <w:pPr>
        <w:pStyle w:val="Normal27"/>
        <w:widowControl w:val="0"/>
        <w:spacing w:before="120" w:line="260" w:lineRule="atLeast"/>
      </w:pPr>
      <w:r>
        <w:rPr>
          <w:rFonts w:ascii="Arial" w:eastAsia="Arial" w:hAnsi="Arial" w:cs="Arial"/>
          <w:color w:val="000000"/>
          <w:sz w:val="20"/>
        </w:rPr>
        <w:t>DANIEL LOPEZ, Plaintiff-Appellant, v. CATALINA CHANNEL EXPRESS, INC., a California Corporation; DOES, 1-10, Defendants-Appellees.</w:t>
      </w:r>
    </w:p>
    <w:p w14:paraId="387C7709" w14:textId="77777777" w:rsidR="002B10A6" w:rsidRDefault="00000000">
      <w:pPr>
        <w:pStyle w:val="Normal27"/>
        <w:widowControl w:val="0"/>
        <w:spacing w:before="240" w:line="260" w:lineRule="atLeast"/>
        <w:jc w:val="both"/>
      </w:pPr>
      <w:bookmarkStart w:id="5936" w:name="Prior_History_26"/>
      <w:bookmarkEnd w:id="5936"/>
      <w:r>
        <w:rPr>
          <w:rFonts w:ascii="Arial" w:eastAsia="Arial" w:hAnsi="Arial" w:cs="Arial"/>
          <w:b/>
          <w:color w:val="000000"/>
          <w:sz w:val="20"/>
        </w:rPr>
        <w:t>Prior History:</w:t>
      </w:r>
      <w:r>
        <w:rPr>
          <w:rFonts w:ascii="Arial" w:eastAsia="Arial" w:hAnsi="Arial" w:cs="Arial"/>
          <w:color w:val="000000"/>
          <w:sz w:val="20"/>
        </w:rPr>
        <w:t> </w:t>
      </w:r>
      <w:bookmarkStart w:id="5937" w:name="Bookmark_para_1_26"/>
      <w:bookmarkEnd w:id="5937"/>
      <w:r>
        <w:rPr>
          <w:rFonts w:ascii="Arial" w:eastAsia="Arial" w:hAnsi="Arial" w:cs="Arial"/>
          <w:color w:val="000000"/>
          <w:sz w:val="20"/>
        </w:rPr>
        <w:t> [**1] Appeal from the United States District Court for the Central District of California. D.C. No. 2:18-cv-03232-SVW-AS. Stephen V. Wilson, District Judge, Presiding.</w:t>
      </w:r>
    </w:p>
    <w:p w14:paraId="19EF65DE" w14:textId="77777777" w:rsidR="002B10A6" w:rsidRDefault="00000000">
      <w:pPr>
        <w:pStyle w:val="Normal27"/>
        <w:widowControl w:val="0"/>
        <w:spacing w:before="120" w:line="260" w:lineRule="atLeast"/>
      </w:pPr>
      <w:r>
        <w:rPr>
          <w:rFonts w:ascii="Arial" w:eastAsia="Arial" w:hAnsi="Arial" w:cs="Arial"/>
          <w:color w:val="000000"/>
          <w:sz w:val="20"/>
        </w:rPr>
        <w:t>Lopez v. Catalina Channel Express, 2018 U.S. Dist. LEXIS 244255 (C.D. Cal., Dec. 17, 2018)</w:t>
      </w:r>
    </w:p>
    <w:p w14:paraId="1023C813" w14:textId="77777777" w:rsidR="002B10A6" w:rsidRDefault="00000000">
      <w:pPr>
        <w:pStyle w:val="Normal27"/>
        <w:widowControl w:val="0"/>
        <w:spacing w:before="240" w:line="260" w:lineRule="atLeast"/>
      </w:pPr>
      <w:bookmarkStart w:id="5938" w:name="Summary"/>
      <w:bookmarkEnd w:id="5938"/>
      <w:r>
        <w:rPr>
          <w:rFonts w:ascii="Arial" w:eastAsia="Arial" w:hAnsi="Arial" w:cs="Arial"/>
          <w:b/>
          <w:color w:val="000000"/>
          <w:sz w:val="20"/>
        </w:rPr>
        <w:t>Summary:</w:t>
      </w:r>
    </w:p>
    <w:p w14:paraId="47BF2CE3" w14:textId="77777777" w:rsidR="002B10A6" w:rsidRDefault="00000000">
      <w:pPr>
        <w:pStyle w:val="Normal27"/>
        <w:widowControl w:val="0"/>
        <w:spacing w:before="240" w:line="260" w:lineRule="atLeast"/>
        <w:jc w:val="both"/>
      </w:pPr>
      <w:bookmarkStart w:id="5939" w:name="Bookmark_clspara_4_9"/>
      <w:bookmarkEnd w:id="5939"/>
      <w:r>
        <w:rPr>
          <w:rFonts w:ascii="Arial" w:eastAsia="Arial" w:hAnsi="Arial" w:cs="Arial"/>
          <w:b/>
          <w:color w:val="000000"/>
          <w:sz w:val="20"/>
        </w:rPr>
        <w:t>SUMMARY</w:t>
      </w:r>
      <w:r>
        <w:rPr>
          <w:rFonts w:ascii="Arial" w:eastAsia="Arial" w:hAnsi="Arial" w:cs="Arial"/>
          <w:vertAlign w:val="superscript"/>
        </w:rPr>
        <w:footnoteReference w:customMarkFollows="1" w:id="214"/>
        <w:t>**</w:t>
      </w:r>
      <w:r>
        <w:rPr>
          <w:rFonts w:ascii="Arial" w:eastAsia="Arial" w:hAnsi="Arial" w:cs="Arial"/>
          <w:color w:val="000000"/>
          <w:sz w:val="20"/>
        </w:rPr>
        <w:t xml:space="preserve"> </w:t>
      </w:r>
    </w:p>
    <w:p w14:paraId="0C29CBD9" w14:textId="77777777" w:rsidR="002B10A6" w:rsidRDefault="00000000">
      <w:pPr>
        <w:pStyle w:val="Normal27"/>
        <w:widowControl w:val="0"/>
        <w:spacing w:before="240" w:line="260" w:lineRule="atLeast"/>
        <w:jc w:val="both"/>
      </w:pPr>
      <w:bookmarkStart w:id="5941" w:name="Bookmark_clspara_5"/>
      <w:bookmarkEnd w:id="5941"/>
      <w:r>
        <w:rPr>
          <w:rFonts w:ascii="Arial" w:eastAsia="Arial" w:hAnsi="Arial" w:cs="Arial"/>
          <w:b/>
          <w:color w:val="000000"/>
          <w:sz w:val="20"/>
        </w:rPr>
        <w:t>Americans with Disabilities Act</w:t>
      </w:r>
    </w:p>
    <w:p w14:paraId="3A7DECF8" w14:textId="77777777" w:rsidR="002B10A6" w:rsidRDefault="00000000">
      <w:pPr>
        <w:pStyle w:val="Normal27"/>
        <w:widowControl w:val="0"/>
        <w:spacing w:before="240" w:line="260" w:lineRule="atLeast"/>
        <w:jc w:val="both"/>
      </w:pPr>
      <w:bookmarkStart w:id="5942" w:name="Bookmark_clspara_6"/>
      <w:bookmarkEnd w:id="5942"/>
      <w:r>
        <w:rPr>
          <w:rFonts w:ascii="Arial" w:eastAsia="Arial" w:hAnsi="Arial" w:cs="Arial"/>
          <w:color w:val="000000"/>
          <w:sz w:val="20"/>
        </w:rPr>
        <w:t>The panel reversed the district court's grant of summary judgment in favor of defendant Catalina Channel Express, Inc., and remanded, in an action under Title III of the Americans with Disabilities Act.</w:t>
      </w:r>
    </w:p>
    <w:p w14:paraId="0BF8B539" w14:textId="77777777" w:rsidR="002B10A6" w:rsidRDefault="00000000">
      <w:pPr>
        <w:pStyle w:val="Normal27"/>
        <w:widowControl w:val="0"/>
        <w:spacing w:before="240" w:line="260" w:lineRule="atLeast"/>
        <w:jc w:val="both"/>
      </w:pPr>
      <w:bookmarkStart w:id="5943" w:name="Bookmark_clspara_7"/>
      <w:bookmarkEnd w:id="5943"/>
      <w:r>
        <w:rPr>
          <w:rFonts w:ascii="Arial" w:eastAsia="Arial" w:hAnsi="Arial" w:cs="Arial"/>
          <w:color w:val="000000"/>
          <w:sz w:val="20"/>
        </w:rPr>
        <w:t>Plaintiff alleged that he was unable to use the restroom aboard the passenger vessel Jet Cat Express because the restroom's door was too narrow to allow his wheelchair to enter, and he therefore was denied public accommodations because of his disability.</w:t>
      </w:r>
    </w:p>
    <w:p w14:paraId="5F4CF7FD" w14:textId="77777777" w:rsidR="002B10A6" w:rsidRDefault="00000000">
      <w:pPr>
        <w:pStyle w:val="Normal27"/>
        <w:widowControl w:val="0"/>
        <w:spacing w:before="240" w:line="260" w:lineRule="atLeast"/>
        <w:jc w:val="both"/>
      </w:pPr>
      <w:bookmarkStart w:id="5944" w:name="Bookmark_clspara_8"/>
      <w:bookmarkEnd w:id="5944"/>
      <w:r>
        <w:rPr>
          <w:rFonts w:ascii="Arial" w:eastAsia="Arial" w:hAnsi="Arial" w:cs="Arial"/>
          <w:color w:val="000000"/>
          <w:sz w:val="20"/>
        </w:rPr>
        <w:t xml:space="preserve">The panel affirmed the district court's conclusion that plaintiff failed to meet his initial burden of plausibly showing that widening the Jet Cat Express's restroom door was "readily achievable." In doing so, the panel joined the Second Circuit and adopted a burden-shifting framework whereby plaintiffs have the initial burden at summary judgment of plausibly showing that the cost of removing an architectural barrier does not exceed the benefits under the particular circumstances. The defendant then bears the ultimate burden of persuasion that barrier removal is not readily achievable. The panel distinguished </w:t>
      </w:r>
      <w:r>
        <w:rPr>
          <w:rFonts w:ascii="Arial" w:eastAsia="Arial" w:hAnsi="Arial" w:cs="Arial"/>
          <w:i/>
          <w:color w:val="000000"/>
          <w:sz w:val="20"/>
        </w:rPr>
        <w:t>Molski v. Foley Estates Vineyard &amp; Winery, LLC</w:t>
      </w:r>
      <w:r>
        <w:rPr>
          <w:rFonts w:ascii="Arial" w:eastAsia="Arial" w:hAnsi="Arial" w:cs="Arial"/>
          <w:color w:val="000000"/>
          <w:sz w:val="20"/>
        </w:rPr>
        <w:t>, 531 F.3d 1043 (9th Cir. 2008), which places the initial burden on the defendant in a case of an architectural barrier in a historic facility.</w:t>
      </w:r>
    </w:p>
    <w:p w14:paraId="26D28C2A" w14:textId="77777777" w:rsidR="002B10A6" w:rsidRDefault="00000000">
      <w:pPr>
        <w:pStyle w:val="Normal27"/>
        <w:widowControl w:val="0"/>
        <w:spacing w:before="240" w:line="260" w:lineRule="atLeast"/>
        <w:jc w:val="both"/>
      </w:pPr>
      <w:bookmarkStart w:id="5945" w:name="Bookmark_clspara_9"/>
      <w:bookmarkEnd w:id="5945"/>
      <w:r>
        <w:rPr>
          <w:rFonts w:ascii="Arial" w:eastAsia="Arial" w:hAnsi="Arial" w:cs="Arial"/>
          <w:color w:val="000000"/>
          <w:sz w:val="20"/>
        </w:rPr>
        <w:t>The panel nonetheless reversed the district court's grant of summary judgment because the district court did not evaluate whether Catalina made the restroom available to plaintiff through "alternative methods." The panel instructed that on remand, the district court should determine in the first instance whether there was sufficient evidence that Catalina made the restroom "available through alternative methods" pursuant to 42 U.S.C. § 12182(b)(2)(A)(v).</w:t>
      </w:r>
    </w:p>
    <w:p w14:paraId="7657E645" w14:textId="77777777" w:rsidR="002B10A6" w:rsidRDefault="00000000">
      <w:pPr>
        <w:pStyle w:val="Normal27"/>
        <w:keepNext/>
        <w:widowControl w:val="0"/>
        <w:spacing w:before="240" w:line="340" w:lineRule="atLeast"/>
      </w:pPr>
      <w:bookmarkStart w:id="5946" w:name="Syllabus"/>
      <w:bookmarkEnd w:id="5946"/>
      <w:r>
        <w:rPr>
          <w:rFonts w:ascii="Arial" w:eastAsia="Arial" w:hAnsi="Arial" w:cs="Arial"/>
          <w:b/>
          <w:color w:val="000000"/>
          <w:sz w:val="28"/>
        </w:rPr>
        <w:t>Syllabus</w:t>
      </w:r>
    </w:p>
    <w:p w14:paraId="2529DC0E" w14:textId="001C95DC" w:rsidR="002B10A6" w:rsidRDefault="002D6974">
      <w:pPr>
        <w:pStyle w:val="Normal27"/>
        <w:spacing w:line="60" w:lineRule="exact"/>
      </w:pPr>
      <w:r>
        <w:rPr>
          <w:noProof/>
        </w:rPr>
        <mc:AlternateContent>
          <mc:Choice Requires="wps">
            <w:drawing>
              <wp:anchor distT="0" distB="0" distL="114300" distR="114300" simplePos="0" relativeHeight="251717632" behindDoc="0" locked="0" layoutInCell="1" allowOverlap="1" wp14:anchorId="1840CF9A" wp14:editId="3CDCDD24">
                <wp:simplePos x="0" y="0"/>
                <wp:positionH relativeFrom="column">
                  <wp:posOffset>0</wp:posOffset>
                </wp:positionH>
                <wp:positionV relativeFrom="paragraph">
                  <wp:posOffset>25400</wp:posOffset>
                </wp:positionV>
                <wp:extent cx="3187700" cy="0"/>
                <wp:effectExtent l="19050" t="15875" r="12700" b="12700"/>
                <wp:wrapTopAndBottom/>
                <wp:docPr id="128116841"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8D6A76" id="Line 59"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1EBC9A5" w14:textId="77777777" w:rsidR="002B10A6" w:rsidRDefault="002B10A6">
      <w:pPr>
        <w:pStyle w:val="Normal27"/>
      </w:pPr>
    </w:p>
    <w:p w14:paraId="5DA3A07F" w14:textId="77777777" w:rsidR="002B10A6" w:rsidRDefault="00000000">
      <w:pPr>
        <w:pStyle w:val="Normal27"/>
        <w:widowControl w:val="0"/>
        <w:spacing w:before="200" w:line="260" w:lineRule="atLeast"/>
        <w:jc w:val="both"/>
      </w:pPr>
      <w:bookmarkStart w:id="5947" w:name="Bookmark_clspara_10"/>
      <w:bookmarkEnd w:id="5947"/>
      <w:r>
        <w:rPr>
          <w:rFonts w:ascii="Arial" w:eastAsia="Arial" w:hAnsi="Arial" w:cs="Arial"/>
          <w:b/>
          <w:color w:val="000000"/>
          <w:sz w:val="20"/>
        </w:rPr>
        <w:t>SUMMARY</w:t>
      </w:r>
      <w:r>
        <w:rPr>
          <w:rFonts w:ascii="Arial" w:eastAsia="Arial" w:hAnsi="Arial" w:cs="Arial"/>
          <w:vertAlign w:val="superscript"/>
        </w:rPr>
        <w:footnoteReference w:customMarkFollows="1" w:id="215"/>
        <w:t>**</w:t>
      </w:r>
    </w:p>
    <w:p w14:paraId="69511501" w14:textId="77777777" w:rsidR="002B10A6" w:rsidRDefault="00000000">
      <w:pPr>
        <w:pStyle w:val="Normal27"/>
        <w:widowControl w:val="0"/>
        <w:spacing w:before="200" w:line="260" w:lineRule="atLeast"/>
        <w:jc w:val="both"/>
      </w:pPr>
      <w:bookmarkStart w:id="5949" w:name="Bookmark_clspara_11"/>
      <w:bookmarkEnd w:id="5949"/>
      <w:r>
        <w:rPr>
          <w:rFonts w:ascii="Arial" w:eastAsia="Arial" w:hAnsi="Arial" w:cs="Arial"/>
          <w:b/>
          <w:color w:val="000000"/>
          <w:sz w:val="20"/>
        </w:rPr>
        <w:t>Americans with Disabilities Act</w:t>
      </w:r>
    </w:p>
    <w:p w14:paraId="669FC4A4" w14:textId="77777777" w:rsidR="002B10A6" w:rsidRDefault="00000000">
      <w:pPr>
        <w:pStyle w:val="Normal27"/>
        <w:widowControl w:val="0"/>
        <w:spacing w:before="200" w:line="260" w:lineRule="atLeast"/>
        <w:jc w:val="both"/>
      </w:pPr>
      <w:bookmarkStart w:id="5950" w:name="Bookmark_clspara_12"/>
      <w:bookmarkEnd w:id="5950"/>
      <w:r>
        <w:rPr>
          <w:rFonts w:ascii="Arial" w:eastAsia="Arial" w:hAnsi="Arial" w:cs="Arial"/>
          <w:color w:val="000000"/>
          <w:sz w:val="20"/>
        </w:rPr>
        <w:t>The panel reversed the district court's grant of summary judgment in favor of defendant Catalina Channel Express, Inc., and remanded, in an action under Title III of the Americans with Disabilities Act.</w:t>
      </w:r>
    </w:p>
    <w:p w14:paraId="1A47BC65" w14:textId="77777777" w:rsidR="002B10A6" w:rsidRDefault="00000000">
      <w:pPr>
        <w:pStyle w:val="Normal27"/>
        <w:widowControl w:val="0"/>
        <w:spacing w:before="200" w:line="260" w:lineRule="atLeast"/>
        <w:jc w:val="both"/>
      </w:pPr>
      <w:bookmarkStart w:id="5951" w:name="Bookmark_clspara_13"/>
      <w:bookmarkEnd w:id="5951"/>
      <w:r>
        <w:rPr>
          <w:rFonts w:ascii="Arial" w:eastAsia="Arial" w:hAnsi="Arial" w:cs="Arial"/>
          <w:color w:val="000000"/>
          <w:sz w:val="20"/>
        </w:rPr>
        <w:t>Plaintiff alleged that he was unable to use the restroom aboard the passenger vessel Jet Cat Express because the restroom's door was too narrow to allow his wheelchair to enter, and he therefore was denied public accommodations because of his disability.</w:t>
      </w:r>
    </w:p>
    <w:p w14:paraId="4D1328FC" w14:textId="77777777" w:rsidR="002B10A6" w:rsidRDefault="00000000">
      <w:pPr>
        <w:pStyle w:val="Normal27"/>
        <w:widowControl w:val="0"/>
        <w:spacing w:before="200" w:line="260" w:lineRule="atLeast"/>
        <w:jc w:val="both"/>
      </w:pPr>
      <w:bookmarkStart w:id="5952" w:name="Bookmark_clspara_14"/>
      <w:bookmarkEnd w:id="5952"/>
      <w:r>
        <w:rPr>
          <w:rFonts w:ascii="Arial" w:eastAsia="Arial" w:hAnsi="Arial" w:cs="Arial"/>
          <w:color w:val="000000"/>
          <w:sz w:val="20"/>
        </w:rPr>
        <w:t xml:space="preserve">The panel affirmed the district court's conclusion that plaintiff failed to meet his initial burden of plausibly showing that widening the Jet Cat Express's restroom door was "readily achievable." In doing so, the panel joined the Second Circuit and adopted a burden-shifting framework whereby plaintiffs have the initial burden at summary judgment of plausibly showing that the cost of removing an architectural barrier does not exceed the benefits under the particular circumstances. The defendant then bears the ultimate burden of persuasion that [**2]  barrier removal is not readily achievable. The panel distinguished </w:t>
      </w:r>
      <w:r>
        <w:rPr>
          <w:rFonts w:ascii="Arial" w:eastAsia="Arial" w:hAnsi="Arial" w:cs="Arial"/>
          <w:i/>
          <w:color w:val="000000"/>
          <w:sz w:val="20"/>
        </w:rPr>
        <w:t>Molski v. Foley Estates Vineyard &amp; Winery, LLC</w:t>
      </w:r>
      <w:r>
        <w:rPr>
          <w:rFonts w:ascii="Arial" w:eastAsia="Arial" w:hAnsi="Arial" w:cs="Arial"/>
          <w:color w:val="000000"/>
          <w:sz w:val="20"/>
        </w:rPr>
        <w:t>, 531 F.3d 1043 (9th Cir. 2008), which places the initial burden on the defendant in a case of an architectural barrier in a historic facility.</w:t>
      </w:r>
    </w:p>
    <w:p w14:paraId="73183186" w14:textId="77777777" w:rsidR="002B10A6" w:rsidRDefault="00000000">
      <w:pPr>
        <w:pStyle w:val="Normal27"/>
        <w:widowControl w:val="0"/>
        <w:spacing w:before="200" w:line="260" w:lineRule="atLeast"/>
        <w:jc w:val="both"/>
      </w:pPr>
      <w:bookmarkStart w:id="5953" w:name="Bookmark_clspara_15"/>
      <w:bookmarkEnd w:id="5953"/>
      <w:r>
        <w:rPr>
          <w:rFonts w:ascii="Arial" w:eastAsia="Arial" w:hAnsi="Arial" w:cs="Arial"/>
          <w:color w:val="000000"/>
          <w:sz w:val="20"/>
        </w:rPr>
        <w:t>The panel nonetheless reversed the district court's grant of summary judgment because the district court did not evaluate whether Catalina made the restroom available to plaintiff through "alternative methods." The panel instructed that on remand, the district court should determine in the first instance whether there was sufficient evidence that Catalina made the restroom "available through alternative methods" pursuant to 42 U.S.C. § 12182(b)(2)(A)(v).</w:t>
      </w:r>
    </w:p>
    <w:p w14:paraId="0230C3B1" w14:textId="77777777" w:rsidR="002B10A6" w:rsidRDefault="00000000">
      <w:pPr>
        <w:pStyle w:val="Normal27"/>
        <w:widowControl w:val="0"/>
        <w:spacing w:before="240" w:line="260" w:lineRule="atLeast"/>
      </w:pPr>
      <w:bookmarkStart w:id="5954" w:name="Counsel_26"/>
      <w:bookmarkEnd w:id="5954"/>
      <w:r>
        <w:rPr>
          <w:rFonts w:ascii="Arial" w:eastAsia="Arial" w:hAnsi="Arial" w:cs="Arial"/>
          <w:b/>
          <w:color w:val="000000"/>
          <w:sz w:val="20"/>
        </w:rPr>
        <w:t>Counsel:</w:t>
      </w:r>
      <w:r>
        <w:rPr>
          <w:rFonts w:ascii="Arial" w:eastAsia="Arial" w:hAnsi="Arial" w:cs="Arial"/>
          <w:color w:val="000000"/>
          <w:sz w:val="20"/>
        </w:rPr>
        <w:t> Russell Handy (argued) and Dennis Price, Center for Disability Access, San Diego, California, for Plaintiff-Appellant.</w:t>
      </w:r>
    </w:p>
    <w:p w14:paraId="23D000E5" w14:textId="77777777" w:rsidR="002B10A6" w:rsidRDefault="00000000">
      <w:pPr>
        <w:pStyle w:val="Normal27"/>
        <w:widowControl w:val="0"/>
        <w:spacing w:before="120" w:line="260" w:lineRule="atLeast"/>
      </w:pPr>
      <w:r>
        <w:rPr>
          <w:rFonts w:ascii="Arial" w:eastAsia="Arial" w:hAnsi="Arial" w:cs="Arial"/>
          <w:color w:val="000000"/>
          <w:sz w:val="20"/>
        </w:rPr>
        <w:t>Douglas J. Collodel (argued) and Alison K. Beanum, Clyde &amp; Co. US LLP, Los Angeles, California, for Defendants-Appellees.</w:t>
      </w:r>
    </w:p>
    <w:p w14:paraId="7DBF0F61" w14:textId="77777777" w:rsidR="002B10A6" w:rsidRDefault="00000000">
      <w:pPr>
        <w:pStyle w:val="Normal27"/>
        <w:widowControl w:val="0"/>
        <w:spacing w:before="240" w:line="260" w:lineRule="atLeast"/>
      </w:pPr>
      <w:bookmarkStart w:id="5955" w:name="Judges_26"/>
      <w:bookmarkEnd w:id="5955"/>
      <w:r>
        <w:rPr>
          <w:rFonts w:ascii="Arial" w:eastAsia="Arial" w:hAnsi="Arial" w:cs="Arial"/>
          <w:b/>
          <w:color w:val="000000"/>
          <w:sz w:val="20"/>
        </w:rPr>
        <w:t>Judges:</w:t>
      </w:r>
      <w:r>
        <w:rPr>
          <w:rFonts w:ascii="Arial" w:eastAsia="Arial" w:hAnsi="Arial" w:cs="Arial"/>
          <w:color w:val="000000"/>
          <w:sz w:val="20"/>
        </w:rPr>
        <w:t> Before: Mary H. Murguia and Morgan Christen, Circuit Judges, and Alvin K. Hellerstein,</w:t>
      </w:r>
      <w:r>
        <w:rPr>
          <w:rFonts w:ascii="Arial" w:eastAsia="Arial" w:hAnsi="Arial" w:cs="Arial"/>
          <w:vertAlign w:val="superscript"/>
        </w:rPr>
        <w:footnoteReference w:customMarkFollows="1" w:id="216"/>
        <w:t>*</w:t>
      </w:r>
      <w:r>
        <w:rPr>
          <w:rFonts w:ascii="Arial" w:eastAsia="Arial" w:hAnsi="Arial" w:cs="Arial"/>
          <w:color w:val="000000"/>
          <w:sz w:val="20"/>
        </w:rPr>
        <w:t xml:space="preserve"> District Judge.</w:t>
      </w:r>
    </w:p>
    <w:p w14:paraId="25BE0A4E" w14:textId="77777777" w:rsidR="002B10A6" w:rsidRDefault="00000000">
      <w:pPr>
        <w:pStyle w:val="Normal27"/>
        <w:widowControl w:val="0"/>
        <w:spacing w:before="240" w:line="260" w:lineRule="atLeast"/>
      </w:pPr>
      <w:bookmarkStart w:id="5957" w:name="Opinion_by_20"/>
      <w:bookmarkEnd w:id="5957"/>
      <w:r>
        <w:rPr>
          <w:rFonts w:ascii="Arial" w:eastAsia="Arial" w:hAnsi="Arial" w:cs="Arial"/>
          <w:b/>
          <w:color w:val="000000"/>
          <w:sz w:val="20"/>
        </w:rPr>
        <w:t>Opinion by:</w:t>
      </w:r>
      <w:r>
        <w:rPr>
          <w:rFonts w:ascii="Arial" w:eastAsia="Arial" w:hAnsi="Arial" w:cs="Arial"/>
          <w:color w:val="000000"/>
          <w:sz w:val="20"/>
        </w:rPr>
        <w:t> Murguia</w:t>
      </w:r>
    </w:p>
    <w:p w14:paraId="069E14CD" w14:textId="77777777" w:rsidR="002B10A6" w:rsidRDefault="00000000">
      <w:pPr>
        <w:pStyle w:val="Normal27"/>
        <w:keepNext/>
        <w:widowControl w:val="0"/>
        <w:spacing w:before="240" w:line="340" w:lineRule="atLeast"/>
      </w:pPr>
      <w:bookmarkStart w:id="5958" w:name="Opinion_26"/>
      <w:bookmarkEnd w:id="5958"/>
      <w:r>
        <w:rPr>
          <w:rFonts w:ascii="Arial" w:eastAsia="Arial" w:hAnsi="Arial" w:cs="Arial"/>
          <w:b/>
          <w:color w:val="000000"/>
          <w:sz w:val="28"/>
        </w:rPr>
        <w:t>Opinion</w:t>
      </w:r>
    </w:p>
    <w:p w14:paraId="7990B45E" w14:textId="05C3EBF7" w:rsidR="002B10A6" w:rsidRDefault="002D6974">
      <w:pPr>
        <w:pStyle w:val="Normal27"/>
        <w:spacing w:line="60" w:lineRule="exact"/>
      </w:pPr>
      <w:r>
        <w:rPr>
          <w:noProof/>
        </w:rPr>
        <mc:AlternateContent>
          <mc:Choice Requires="wps">
            <w:drawing>
              <wp:anchor distT="0" distB="0" distL="114300" distR="114300" simplePos="0" relativeHeight="251718656" behindDoc="0" locked="0" layoutInCell="1" allowOverlap="1" wp14:anchorId="09690EF4" wp14:editId="6449FEE1">
                <wp:simplePos x="0" y="0"/>
                <wp:positionH relativeFrom="column">
                  <wp:posOffset>0</wp:posOffset>
                </wp:positionH>
                <wp:positionV relativeFrom="paragraph">
                  <wp:posOffset>25400</wp:posOffset>
                </wp:positionV>
                <wp:extent cx="3187700" cy="0"/>
                <wp:effectExtent l="19050" t="15875" r="12700" b="12700"/>
                <wp:wrapTopAndBottom/>
                <wp:docPr id="242706379"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8317E"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F646752" w14:textId="77777777" w:rsidR="002B10A6" w:rsidRDefault="002B10A6">
      <w:pPr>
        <w:pStyle w:val="Normal27"/>
      </w:pPr>
    </w:p>
    <w:p w14:paraId="09DC814B" w14:textId="77777777" w:rsidR="002B10A6" w:rsidRDefault="00000000">
      <w:pPr>
        <w:pStyle w:val="Normal27"/>
        <w:widowControl w:val="0"/>
        <w:spacing w:before="200" w:line="260" w:lineRule="atLeast"/>
        <w:jc w:val="both"/>
      </w:pPr>
      <w:bookmarkStart w:id="5959" w:name="Bookmark_para_2_26"/>
      <w:bookmarkEnd w:id="5959"/>
      <w:r>
        <w:rPr>
          <w:rFonts w:ascii="Arial" w:eastAsia="Arial" w:hAnsi="Arial" w:cs="Arial"/>
          <w:color w:val="000000"/>
          <w:sz w:val="20"/>
        </w:rPr>
        <w:t> [*1032]  MURGUIA, Circuit Judge:</w:t>
      </w:r>
    </w:p>
    <w:p w14:paraId="6B58DF2E" w14:textId="77777777" w:rsidR="002B10A6" w:rsidRDefault="00000000">
      <w:pPr>
        <w:pStyle w:val="Normal27"/>
        <w:widowControl w:val="0"/>
        <w:spacing w:before="200" w:line="260" w:lineRule="atLeast"/>
        <w:jc w:val="both"/>
      </w:pPr>
      <w:bookmarkStart w:id="5960" w:name="Bookmark_para_3_26"/>
      <w:bookmarkEnd w:id="5960"/>
      <w:r>
        <w:rPr>
          <w:rFonts w:ascii="Arial" w:eastAsia="Arial" w:hAnsi="Arial" w:cs="Arial"/>
          <w:color w:val="000000"/>
          <w:sz w:val="20"/>
        </w:rPr>
        <w:t>Daniel Lopez is confined to a wheelchair due to a disability and he alleges that he was unable to use the restroom aboard the Jet Cat Express, a passenger vessel sailing between Long Beach and Santa Catalina Island, California, [**3]  because the restroom's door was too narrow to allow his wheelchair to enter. Lopez sued Catalina Channel Express, Inc. ("Catalina"), which owns and operates the vessel, under the Americans with Disabilities Act of 1990 ("ADA") and California's Unruh Civil Rights Act ("Unruh Act") for failing to widen the vessel's restroom door. The district court denied Lopez's motion for summary judgment and instead granted summary judgment to Catalina on Lopez's ADA claim. The district court also refused to exercise supplemental jurisdiction over Lopez's Unruh Act claim.</w:t>
      </w:r>
    </w:p>
    <w:p w14:paraId="4B76C5BF" w14:textId="77777777" w:rsidR="002B10A6" w:rsidRDefault="00000000">
      <w:pPr>
        <w:pStyle w:val="Normal27"/>
        <w:widowControl w:val="0"/>
        <w:spacing w:before="200" w:line="260" w:lineRule="atLeast"/>
        <w:jc w:val="both"/>
      </w:pPr>
      <w:bookmarkStart w:id="5961" w:name="Bookmark_para_4_26"/>
      <w:bookmarkEnd w:id="5961"/>
      <w:r>
        <w:rPr>
          <w:rFonts w:ascii="Arial" w:eastAsia="Arial" w:hAnsi="Arial" w:cs="Arial"/>
          <w:color w:val="000000"/>
          <w:sz w:val="20"/>
        </w:rPr>
        <w:t>We have jurisdiction pursuant to 28 U.S.C. § 1291, and we reverse and remand.</w:t>
      </w:r>
    </w:p>
    <w:p w14:paraId="268D08BB" w14:textId="77777777" w:rsidR="002B10A6" w:rsidRDefault="00000000">
      <w:pPr>
        <w:pStyle w:val="Normal27"/>
        <w:widowControl w:val="0"/>
        <w:spacing w:before="240" w:line="260" w:lineRule="atLeast"/>
      </w:pPr>
      <w:r>
        <w:br/>
      </w:r>
      <w:r>
        <w:rPr>
          <w:rFonts w:ascii="Arial" w:eastAsia="Arial" w:hAnsi="Arial" w:cs="Arial"/>
          <w:b/>
          <w:color w:val="000000"/>
          <w:sz w:val="20"/>
        </w:rPr>
        <w:t>I. Factual and Procedural Background</w:t>
      </w:r>
    </w:p>
    <w:p w14:paraId="0B94A755" w14:textId="77777777" w:rsidR="002B10A6" w:rsidRDefault="00000000">
      <w:pPr>
        <w:pStyle w:val="Normal27"/>
        <w:widowControl w:val="0"/>
        <w:spacing w:before="200" w:line="260" w:lineRule="atLeast"/>
        <w:jc w:val="both"/>
      </w:pPr>
      <w:bookmarkStart w:id="5962" w:name="Bookmark_para_5_26"/>
      <w:bookmarkEnd w:id="5962"/>
      <w:r>
        <w:rPr>
          <w:rFonts w:ascii="Arial" w:eastAsia="Arial" w:hAnsi="Arial" w:cs="Arial"/>
          <w:color w:val="000000"/>
          <w:sz w:val="20"/>
        </w:rPr>
        <w:t>Daniel Lopez is a T-10 paraplegic, which means he is unable to walk and is dependent on a wheelchair for mobility. In April 2017, Lopez returned from Catalina Island to Long Beach on the Jet Cat Express, a passenger vessel owned and operated by Catalina. While aboard, Lopez soiled himself because the restroom's door was too narrow for his wheelchair to enter.</w:t>
      </w:r>
    </w:p>
    <w:p w14:paraId="60E42099" w14:textId="77777777" w:rsidR="002B10A6" w:rsidRDefault="00000000">
      <w:pPr>
        <w:pStyle w:val="Normal27"/>
        <w:widowControl w:val="0"/>
        <w:spacing w:before="200" w:line="260" w:lineRule="atLeast"/>
        <w:jc w:val="both"/>
      </w:pPr>
      <w:bookmarkStart w:id="5963" w:name="Bookmark_para_6_26"/>
      <w:bookmarkEnd w:id="5963"/>
      <w:r>
        <w:rPr>
          <w:rFonts w:ascii="Arial" w:eastAsia="Arial" w:hAnsi="Arial" w:cs="Arial"/>
          <w:color w:val="000000"/>
          <w:sz w:val="20"/>
        </w:rPr>
        <w:t>Catalina has not altered the restroom in the Jet Cat Express since it was built in 2001. According to Tony Ross, Catalina's Vice President of Vessel Engineering, no passenger—other [**4]  than Lopez—has ever reported any difficulty accessing the restroom. Ross also testified that the sliding "pocket door" creates a 26-inch-wide entryway when fully opened and the door cannot be widened because its handle is placed three inches from the outer edge of the door.</w:t>
      </w:r>
    </w:p>
    <w:p w14:paraId="2AC37AAE" w14:textId="77777777" w:rsidR="002B10A6" w:rsidRDefault="00000000">
      <w:pPr>
        <w:pStyle w:val="Normal27"/>
        <w:widowControl w:val="0"/>
        <w:spacing w:before="200" w:line="260" w:lineRule="atLeast"/>
        <w:jc w:val="both"/>
      </w:pPr>
      <w:bookmarkStart w:id="5964" w:name="Bookmark_para_7_26"/>
      <w:bookmarkEnd w:id="5964"/>
      <w:r>
        <w:rPr>
          <w:rFonts w:ascii="Arial" w:eastAsia="Arial" w:hAnsi="Arial" w:cs="Arial"/>
          <w:color w:val="000000"/>
          <w:sz w:val="20"/>
        </w:rPr>
        <w:t>According to Ross, there are two reasons why widening the restroom door is not readily achievable. First, "installing a different type of handle at the outer edge of the 'pocket door' . . . may make it more likely that passengers' hands would be injured in the doorway when closing the door, due to the constant movement of the vessel." Second, Catalina "cannot structurally alter the restroom without negatively impacting the stability of the vessel . . . [which] is a threat to the safety of navigation." Specifically, Ross explained:</w:t>
      </w:r>
    </w:p>
    <w:p w14:paraId="28462AAC" w14:textId="77777777" w:rsidR="002B10A6" w:rsidRDefault="00000000">
      <w:pPr>
        <w:pStyle w:val="Normal27"/>
        <w:widowControl w:val="0"/>
        <w:spacing w:before="200" w:line="260" w:lineRule="atLeast"/>
        <w:ind w:left="400"/>
        <w:jc w:val="both"/>
      </w:pPr>
      <w:bookmarkStart w:id="5965" w:name="Bookmark_para_8_26"/>
      <w:bookmarkEnd w:id="5965"/>
      <w:r>
        <w:rPr>
          <w:rFonts w:ascii="Arial" w:eastAsia="Arial" w:hAnsi="Arial" w:cs="Arial"/>
          <w:color w:val="000000"/>
          <w:sz w:val="20"/>
        </w:rPr>
        <w:t xml:space="preserve">[M]odifications and alterations to a vessel can negatively impact the stability of the vessel in many ways. For example, here, in order to expand the doorway of the disabled-accessible restroom on the Jet Cat Express, the structure of the restroom itself would need to be expanded which, in turn, would impact the structure of the adjoining restroom. As walls shift, the vessel's overall weight [**5]  changes. These changes may cause the overall center of gravity ("COG") of the vessel to move, and the freeboard to be reduced. </w:t>
      </w:r>
      <w:r>
        <w:rPr>
          <w:rFonts w:ascii="Arial" w:eastAsia="Arial" w:hAnsi="Arial" w:cs="Arial"/>
          <w:i/>
          <w:color w:val="000000"/>
          <w:sz w:val="20"/>
        </w:rPr>
        <w:t>These two factors affect the stability of a vessel</w:t>
      </w:r>
      <w:r>
        <w:rPr>
          <w:rFonts w:ascii="Arial" w:eastAsia="Arial" w:hAnsi="Arial" w:cs="Arial"/>
          <w:color w:val="000000"/>
          <w:sz w:val="20"/>
        </w:rPr>
        <w:t>.</w:t>
      </w:r>
    </w:p>
    <w:p w14:paraId="26DFCA93" w14:textId="77777777" w:rsidR="002B10A6" w:rsidRDefault="00000000">
      <w:pPr>
        <w:pStyle w:val="Normal27"/>
        <w:widowControl w:val="0"/>
        <w:spacing w:line="260" w:lineRule="atLeast"/>
        <w:ind w:left="400"/>
        <w:jc w:val="both"/>
      </w:pPr>
      <w:bookmarkStart w:id="5966" w:name="Bookmark_para_9_26"/>
      <w:bookmarkEnd w:id="5966"/>
      <w:r>
        <w:rPr>
          <w:rFonts w:ascii="Arial" w:eastAsia="Arial" w:hAnsi="Arial" w:cs="Arial"/>
          <w:color w:val="000000"/>
          <w:sz w:val="20"/>
        </w:rPr>
        <w:t>. . . Simply put, as the COG moves and the amount of freeboard becomes lower, the vessel becomes more susceptible to unstable situations.</w:t>
      </w:r>
    </w:p>
    <w:p w14:paraId="726B24D1" w14:textId="77777777" w:rsidR="002B10A6" w:rsidRDefault="00000000">
      <w:pPr>
        <w:pStyle w:val="Normal27"/>
        <w:widowControl w:val="0"/>
        <w:spacing w:line="260" w:lineRule="atLeast"/>
        <w:jc w:val="both"/>
      </w:pPr>
      <w:r>
        <w:rPr>
          <w:rFonts w:ascii="Arial" w:eastAsia="Arial" w:hAnsi="Arial" w:cs="Arial"/>
          <w:color w:val="000000"/>
          <w:sz w:val="20"/>
        </w:rPr>
        <w:t>In other words, Ross declared that widening the vessel's restroom door is not readily achievable.</w:t>
      </w:r>
    </w:p>
    <w:p w14:paraId="137067B4" w14:textId="77777777" w:rsidR="002B10A6" w:rsidRDefault="00000000">
      <w:pPr>
        <w:pStyle w:val="Normal27"/>
        <w:widowControl w:val="0"/>
        <w:spacing w:before="200" w:line="260" w:lineRule="atLeast"/>
        <w:jc w:val="both"/>
      </w:pPr>
      <w:bookmarkStart w:id="5967" w:name="Bookmark_para_10_26"/>
      <w:bookmarkEnd w:id="5967"/>
      <w:r>
        <w:rPr>
          <w:rFonts w:ascii="Arial" w:eastAsia="Arial" w:hAnsi="Arial" w:cs="Arial"/>
          <w:color w:val="000000"/>
          <w:sz w:val="20"/>
        </w:rPr>
        <w:t> [*1033]  Lopez sued Catalina alleging violations of the ADA, 42 U.S.C. §§ 12101-12213, and the Unruh Act, Cal. Civ. Code § 51. The district court bifurcated Lopez's ADA claims from his state law claim, and after some discovery, granted summary judgment to Catalina on Lopez's ADA claims and declined to exercise supplemental jurisdiction over his Unruh Act claim. Lopez timely appealed.</w:t>
      </w:r>
    </w:p>
    <w:p w14:paraId="5A472EF1" w14:textId="77777777" w:rsidR="002B10A6" w:rsidRDefault="00000000">
      <w:pPr>
        <w:pStyle w:val="Normal27"/>
        <w:widowControl w:val="0"/>
        <w:spacing w:before="240" w:line="260" w:lineRule="atLeast"/>
      </w:pPr>
      <w:r>
        <w:br/>
      </w:r>
      <w:r>
        <w:rPr>
          <w:rFonts w:ascii="Arial" w:eastAsia="Arial" w:hAnsi="Arial" w:cs="Arial"/>
          <w:b/>
          <w:color w:val="000000"/>
          <w:sz w:val="20"/>
        </w:rPr>
        <w:t>II. Standard of Review</w:t>
      </w:r>
    </w:p>
    <w:p w14:paraId="77E0C97C" w14:textId="77777777" w:rsidR="002B10A6" w:rsidRDefault="00000000">
      <w:pPr>
        <w:pStyle w:val="Normal27"/>
        <w:widowControl w:val="0"/>
        <w:spacing w:before="200" w:line="260" w:lineRule="atLeast"/>
        <w:jc w:val="both"/>
      </w:pPr>
      <w:bookmarkStart w:id="5968" w:name="Bookmark_para_11_23"/>
      <w:bookmarkStart w:id="5969" w:name="Bookmark_I610RP3R2SF7JS0020000400"/>
      <w:bookmarkStart w:id="5970" w:name="Bookmark_I610RP3S2SF7JT0010000400"/>
      <w:bookmarkStart w:id="5971" w:name="Bookmark_LNHNREFclscc1_23"/>
      <w:bookmarkEnd w:id="5968"/>
      <w:bookmarkEnd w:id="5969"/>
      <w:bookmarkEnd w:id="5970"/>
      <w:bookmarkEnd w:id="5971"/>
      <w:r>
        <w:rPr>
          <w:rFonts w:ascii="Arial" w:eastAsia="Arial" w:hAnsi="Arial" w:cs="Arial"/>
          <w:color w:val="000000"/>
          <w:sz w:val="20"/>
        </w:rPr>
        <w:t xml:space="preserve">We review a district court's grant of summary judgment de novo. </w:t>
      </w:r>
      <w:bookmarkStart w:id="5972" w:name="Bookmark_I610RP3R2SF7JS0010000400"/>
      <w:bookmarkEnd w:id="5972"/>
      <w:r>
        <w:rPr>
          <w:rFonts w:ascii="Arial" w:eastAsia="Arial" w:hAnsi="Arial" w:cs="Arial"/>
          <w:i/>
          <w:color w:val="000000"/>
          <w:sz w:val="20"/>
        </w:rPr>
        <w:t>Tauscher v. Phx. Bd. of Realtors, Inc.</w:t>
      </w:r>
      <w:r>
        <w:rPr>
          <w:rFonts w:ascii="Arial" w:eastAsia="Arial" w:hAnsi="Arial" w:cs="Arial"/>
          <w:color w:val="000000"/>
          <w:sz w:val="20"/>
        </w:rPr>
        <w:t xml:space="preserve">, 931 F.3d 959, 962 (9th Cir. 2019) (citing </w:t>
      </w:r>
      <w:bookmarkStart w:id="5973" w:name="Bookmark_I610RP3R2SF7JS0030000400"/>
      <w:bookmarkEnd w:id="5973"/>
      <w:r>
        <w:rPr>
          <w:rFonts w:ascii="Arial" w:eastAsia="Arial" w:hAnsi="Arial" w:cs="Arial"/>
          <w:i/>
          <w:color w:val="000000"/>
          <w:sz w:val="20"/>
        </w:rPr>
        <w:t>Furnace v. Sullivan</w:t>
      </w:r>
      <w:r>
        <w:rPr>
          <w:rFonts w:ascii="Arial" w:eastAsia="Arial" w:hAnsi="Arial" w:cs="Arial"/>
          <w:color w:val="000000"/>
          <w:sz w:val="20"/>
        </w:rPr>
        <w:t xml:space="preserve">, 705 F.3d 1021, 1026 (9th Cir. 2013)). Summary judgment is appropriate only if, taking the evidence and all reasonable inferences in the light most favorable to the non-moving party, there are no genuine issues of material fact, and the movant is entitled to judgment as a matter of law. Fed. R. Civ. P. 56(a). "An issue of material fact is genuine if there is sufficient evidence for a reasonable jury to return a verdict [**6]  for the non-moving party." </w:t>
      </w:r>
      <w:bookmarkStart w:id="5974" w:name="Bookmark_I610RP3R2SF7JS0050000400"/>
      <w:bookmarkEnd w:id="5974"/>
      <w:r>
        <w:rPr>
          <w:rFonts w:ascii="Arial" w:eastAsia="Arial" w:hAnsi="Arial" w:cs="Arial"/>
          <w:i/>
          <w:color w:val="000000"/>
          <w:sz w:val="20"/>
        </w:rPr>
        <w:t>Tauscher</w:t>
      </w:r>
      <w:r>
        <w:rPr>
          <w:rFonts w:ascii="Arial" w:eastAsia="Arial" w:hAnsi="Arial" w:cs="Arial"/>
          <w:color w:val="000000"/>
          <w:sz w:val="20"/>
        </w:rPr>
        <w:t xml:space="preserve">, 931 F.3d at 962 (quoting </w:t>
      </w:r>
      <w:bookmarkStart w:id="5975" w:name="Bookmark_I610RP3S2SF7JT0020000400"/>
      <w:bookmarkEnd w:id="5975"/>
      <w:r>
        <w:rPr>
          <w:rFonts w:ascii="Arial" w:eastAsia="Arial" w:hAnsi="Arial" w:cs="Arial"/>
          <w:i/>
          <w:color w:val="000000"/>
          <w:sz w:val="20"/>
        </w:rPr>
        <w:t>Thomas v. Ponder</w:t>
      </w:r>
      <w:r>
        <w:rPr>
          <w:rFonts w:ascii="Arial" w:eastAsia="Arial" w:hAnsi="Arial" w:cs="Arial"/>
          <w:color w:val="000000"/>
          <w:sz w:val="20"/>
        </w:rPr>
        <w:t>, 611 F.3d 1144, 1150 (9th Cir. 2010)).</w:t>
      </w:r>
    </w:p>
    <w:p w14:paraId="059E9682" w14:textId="77777777" w:rsidR="002B10A6" w:rsidRDefault="00000000">
      <w:pPr>
        <w:pStyle w:val="Normal27"/>
        <w:widowControl w:val="0"/>
        <w:spacing w:before="200" w:line="260" w:lineRule="atLeast"/>
        <w:jc w:val="both"/>
      </w:pPr>
      <w:bookmarkStart w:id="5976" w:name="Bookmark_para_12_22"/>
      <w:bookmarkStart w:id="5977" w:name="Bookmark_I610RP3S2SF7JT0050000400"/>
      <w:bookmarkStart w:id="5978" w:name="Bookmark_I610RP3S2N1RD20040000400"/>
      <w:bookmarkStart w:id="5979" w:name="Bookmark_LNHNREFclscc2_23"/>
      <w:bookmarkEnd w:id="5976"/>
      <w:bookmarkEnd w:id="5977"/>
      <w:bookmarkEnd w:id="5978"/>
      <w:bookmarkEnd w:id="5979"/>
      <w:r>
        <w:rPr>
          <w:rFonts w:ascii="Arial" w:eastAsia="Arial" w:hAnsi="Arial" w:cs="Arial"/>
          <w:color w:val="000000"/>
          <w:sz w:val="20"/>
        </w:rPr>
        <w:t xml:space="preserve">"The interpretation of [the ADA] is a question of law subject to de novo review." </w:t>
      </w:r>
      <w:bookmarkStart w:id="5980" w:name="Bookmark_I610RP3S2SF7JT0040000400"/>
      <w:bookmarkEnd w:id="5980"/>
      <w:r>
        <w:rPr>
          <w:rFonts w:ascii="Arial" w:eastAsia="Arial" w:hAnsi="Arial" w:cs="Arial"/>
          <w:i/>
          <w:color w:val="000000"/>
          <w:sz w:val="20"/>
        </w:rPr>
        <w:t>Molski v. Foley Estates Vineyard &amp; Winery, LLC</w:t>
      </w:r>
      <w:r>
        <w:rPr>
          <w:rFonts w:ascii="Arial" w:eastAsia="Arial" w:hAnsi="Arial" w:cs="Arial"/>
          <w:color w:val="000000"/>
          <w:sz w:val="20"/>
        </w:rPr>
        <w:t xml:space="preserve">, 531 F.3d 1043, 1046 (9th Cir. 2008) (alteration in original) (quoting </w:t>
      </w:r>
      <w:bookmarkStart w:id="5981" w:name="Bookmark_I610RP3S2N1RD20010000400"/>
      <w:bookmarkEnd w:id="5981"/>
      <w:r>
        <w:rPr>
          <w:rFonts w:ascii="Arial" w:eastAsia="Arial" w:hAnsi="Arial" w:cs="Arial"/>
          <w:i/>
          <w:color w:val="000000"/>
          <w:sz w:val="20"/>
        </w:rPr>
        <w:t>Barden v. City of Sacramento</w:t>
      </w:r>
      <w:r>
        <w:rPr>
          <w:rFonts w:ascii="Arial" w:eastAsia="Arial" w:hAnsi="Arial" w:cs="Arial"/>
          <w:color w:val="000000"/>
          <w:sz w:val="20"/>
        </w:rPr>
        <w:t xml:space="preserve">, 292 F.3d 1073, 1075 (9th Cir. 2002)). We also review the district court's allocation of the burden of proof de novo. </w:t>
      </w:r>
      <w:r>
        <w:rPr>
          <w:rFonts w:ascii="Arial" w:eastAsia="Arial" w:hAnsi="Arial" w:cs="Arial"/>
          <w:i/>
          <w:color w:val="000000"/>
          <w:sz w:val="20"/>
        </w:rPr>
        <w:t>Id.</w:t>
      </w:r>
      <w:r>
        <w:rPr>
          <w:rFonts w:ascii="Arial" w:eastAsia="Arial" w:hAnsi="Arial" w:cs="Arial"/>
          <w:color w:val="000000"/>
          <w:sz w:val="20"/>
        </w:rPr>
        <w:t xml:space="preserve"> (citing </w:t>
      </w:r>
      <w:bookmarkStart w:id="5982" w:name="Bookmark_I610RP3S2N1RD20030000400"/>
      <w:bookmarkEnd w:id="5982"/>
      <w:r>
        <w:rPr>
          <w:rFonts w:ascii="Arial" w:eastAsia="Arial" w:hAnsi="Arial" w:cs="Arial"/>
          <w:i/>
          <w:color w:val="000000"/>
          <w:sz w:val="20"/>
        </w:rPr>
        <w:t>Ferrari, Alvarez, Olsen &amp; Ottoboni v. Home Ins. Co.</w:t>
      </w:r>
      <w:r>
        <w:rPr>
          <w:rFonts w:ascii="Arial" w:eastAsia="Arial" w:hAnsi="Arial" w:cs="Arial"/>
          <w:color w:val="000000"/>
          <w:sz w:val="20"/>
        </w:rPr>
        <w:t>, 940 F.2d 550, 555 (9th Cir. 1991)).</w:t>
      </w:r>
    </w:p>
    <w:p w14:paraId="3000A177" w14:textId="77777777" w:rsidR="002B10A6" w:rsidRDefault="00000000">
      <w:pPr>
        <w:pStyle w:val="Normal27"/>
        <w:widowControl w:val="0"/>
        <w:spacing w:before="240" w:line="260" w:lineRule="atLeast"/>
      </w:pPr>
      <w:r>
        <w:br/>
      </w:r>
      <w:r>
        <w:rPr>
          <w:rFonts w:ascii="Arial" w:eastAsia="Arial" w:hAnsi="Arial" w:cs="Arial"/>
          <w:b/>
          <w:color w:val="000000"/>
          <w:sz w:val="20"/>
        </w:rPr>
        <w:t>III. Analysis</w:t>
      </w:r>
    </w:p>
    <w:p w14:paraId="233F1A77" w14:textId="77777777" w:rsidR="002B10A6" w:rsidRDefault="00000000">
      <w:pPr>
        <w:pStyle w:val="Normal27"/>
        <w:widowControl w:val="0"/>
        <w:spacing w:before="200" w:line="260" w:lineRule="atLeast"/>
        <w:jc w:val="both"/>
      </w:pPr>
      <w:bookmarkStart w:id="5983" w:name="Bookmark_para_13_22"/>
      <w:bookmarkStart w:id="5984" w:name="Bookmark_LNHNREFclscc3_23"/>
      <w:bookmarkEnd w:id="5983"/>
      <w:bookmarkEnd w:id="5984"/>
      <w:r>
        <w:rPr>
          <w:rFonts w:ascii="Arial" w:eastAsia="Arial" w:hAnsi="Arial" w:cs="Arial"/>
          <w:color w:val="000000"/>
          <w:sz w:val="20"/>
        </w:rPr>
        <w:t xml:space="preserve">Congress enacted the ADA to address discrimination against individuals with disabilities. 42 U.S.C. §§ 12101(b)(1)-(4). Title III, at issue in this case, provides that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 </w:t>
      </w:r>
      <w:r>
        <w:rPr>
          <w:rFonts w:ascii="Arial" w:eastAsia="Arial" w:hAnsi="Arial" w:cs="Arial"/>
          <w:i/>
          <w:color w:val="000000"/>
          <w:sz w:val="20"/>
        </w:rPr>
        <w:t>Id.</w:t>
      </w:r>
      <w:r>
        <w:rPr>
          <w:rFonts w:ascii="Arial" w:eastAsia="Arial" w:hAnsi="Arial" w:cs="Arial"/>
          <w:color w:val="000000"/>
          <w:sz w:val="20"/>
        </w:rPr>
        <w:t xml:space="preserve"> § 12182(a). In simpler terms, owners of "places of public accommodation"—which include a passenger vessel like the Jet Cat Express—have a duty to make sure that individuals with disabilities can fully enjoy the facilities.</w:t>
      </w:r>
      <w:r>
        <w:rPr>
          <w:rFonts w:ascii="Arial" w:eastAsia="Arial" w:hAnsi="Arial" w:cs="Arial"/>
          <w:vertAlign w:val="superscript"/>
        </w:rPr>
        <w:footnoteReference w:customMarkFollows="1" w:id="217"/>
        <w:t>1</w:t>
      </w:r>
    </w:p>
    <w:p w14:paraId="46E6FE9A" w14:textId="77777777" w:rsidR="002B10A6" w:rsidRDefault="00000000">
      <w:pPr>
        <w:pStyle w:val="Normal27"/>
        <w:widowControl w:val="0"/>
        <w:spacing w:before="200" w:line="260" w:lineRule="atLeast"/>
        <w:jc w:val="both"/>
      </w:pPr>
      <w:bookmarkStart w:id="5988" w:name="Bookmark_para_14_22"/>
      <w:bookmarkStart w:id="5989" w:name="Bookmark_I610RP3T2N1RD40030000400"/>
      <w:bookmarkStart w:id="5990" w:name="Bookmark_LNHNREFclscc4_23"/>
      <w:bookmarkEnd w:id="5988"/>
      <w:bookmarkEnd w:id="5989"/>
      <w:bookmarkEnd w:id="5990"/>
      <w:r>
        <w:rPr>
          <w:rFonts w:ascii="Arial" w:eastAsia="Arial" w:hAnsi="Arial" w:cs="Arial"/>
          <w:color w:val="000000"/>
          <w:sz w:val="20"/>
        </w:rPr>
        <w:t xml:space="preserve">To prevail on a Title III discrimination claim, Lopez must establish that: (1) he is disabled within the meaning of the ADA; (2) Catalina is a private entity that owns, leases, or operates a place of public accommodation; and (3) Catalina discriminated against him [**7]  by denying him public accommodations because of his disability. </w:t>
      </w:r>
      <w:bookmarkStart w:id="5991" w:name="Bookmark_I610RP3T2N1RD40050000400"/>
      <w:bookmarkStart w:id="5992" w:name="Bookmark_I610RP3T2N1RD40020000400"/>
      <w:bookmarkEnd w:id="5991"/>
      <w:bookmarkEnd w:id="5992"/>
      <w:r>
        <w:rPr>
          <w:rFonts w:ascii="Arial" w:eastAsia="Arial" w:hAnsi="Arial" w:cs="Arial"/>
          <w:i/>
          <w:color w:val="000000"/>
          <w:sz w:val="20"/>
        </w:rPr>
        <w:t>Molski v. M.J. Cable, Inc.</w:t>
      </w:r>
      <w:r>
        <w:rPr>
          <w:rFonts w:ascii="Arial" w:eastAsia="Arial" w:hAnsi="Arial" w:cs="Arial"/>
          <w:color w:val="000000"/>
          <w:sz w:val="20"/>
        </w:rPr>
        <w:t xml:space="preserve">, 481 F.3d 724, 730 (9th Cir. 2007) (citing 42 U.S.C. §§ 12182(a)-(b)). </w:t>
      </w:r>
      <w:bookmarkStart w:id="5993" w:name="Bookmark_I610RP3T2HM5SX0020000400"/>
      <w:bookmarkEnd w:id="5993"/>
      <w:r>
        <w:rPr>
          <w:rFonts w:ascii="Arial" w:eastAsia="Arial" w:hAnsi="Arial" w:cs="Arial"/>
          <w:color w:val="000000"/>
          <w:sz w:val="20"/>
        </w:rPr>
        <w:t xml:space="preserve">Here, the first two elements of Lopez's discrimination claim are met because neither party disputes that Lopez is disabled, </w:t>
      </w:r>
      <w:r>
        <w:rPr>
          <w:rFonts w:ascii="Arial" w:eastAsia="Arial" w:hAnsi="Arial" w:cs="Arial"/>
          <w:i/>
          <w:color w:val="000000"/>
          <w:sz w:val="20"/>
        </w:rPr>
        <w:t>see</w:t>
      </w:r>
      <w:r>
        <w:rPr>
          <w:rFonts w:ascii="Arial" w:eastAsia="Arial" w:hAnsi="Arial" w:cs="Arial"/>
          <w:color w:val="000000"/>
          <w:sz w:val="20"/>
        </w:rPr>
        <w:t xml:space="preserve"> 42 U.S.C. § 12102, or that the Jet Cat Express is a place of public accommodation within the meaning of the ADA, </w:t>
      </w:r>
      <w:r>
        <w:rPr>
          <w:rFonts w:ascii="Arial" w:eastAsia="Arial" w:hAnsi="Arial" w:cs="Arial"/>
          <w:i/>
          <w:color w:val="000000"/>
          <w:sz w:val="20"/>
        </w:rPr>
        <w:t>see id.</w:t>
      </w:r>
      <w:r>
        <w:rPr>
          <w:rFonts w:ascii="Arial" w:eastAsia="Arial" w:hAnsi="Arial" w:cs="Arial"/>
          <w:color w:val="000000"/>
          <w:sz w:val="20"/>
        </w:rPr>
        <w:t xml:space="preserve"> § 12181(7); 28 C.F.R. § 36.104. </w:t>
      </w:r>
      <w:bookmarkStart w:id="5994" w:name="Bookmark_I610RP3T2HM5SX0020000400_2"/>
      <w:bookmarkStart w:id="5995" w:name="Bookmark_I610RP3T2N1RD40050000400_2"/>
      <w:bookmarkEnd w:id="5994"/>
      <w:bookmarkEnd w:id="5995"/>
      <w:r>
        <w:rPr>
          <w:rFonts w:ascii="Arial" w:eastAsia="Arial" w:hAnsi="Arial" w:cs="Arial"/>
          <w:color w:val="000000"/>
          <w:sz w:val="20"/>
        </w:rPr>
        <w:t xml:space="preserve">Only the third element is at issue: whether the inaccessibility of the restroom on the Jet Cat Express constitutes discrimination under the ADA. </w:t>
      </w:r>
      <w:r>
        <w:rPr>
          <w:rFonts w:ascii="Arial" w:eastAsia="Arial" w:hAnsi="Arial" w:cs="Arial"/>
          <w:i/>
          <w:color w:val="000000"/>
          <w:sz w:val="20"/>
        </w:rPr>
        <w:t xml:space="preserve">See </w:t>
      </w:r>
      <w:bookmarkStart w:id="5996" w:name="Bookmark_I610RP3T2N1RD40040000400"/>
      <w:bookmarkEnd w:id="5996"/>
      <w:r>
        <w:rPr>
          <w:rFonts w:ascii="Arial" w:eastAsia="Arial" w:hAnsi="Arial" w:cs="Arial"/>
          <w:i/>
          <w:color w:val="000000"/>
          <w:sz w:val="20"/>
        </w:rPr>
        <w:t>Strong v. Valdez Fine Foods</w:t>
      </w:r>
      <w:r>
        <w:rPr>
          <w:rFonts w:ascii="Arial" w:eastAsia="Arial" w:hAnsi="Arial" w:cs="Arial"/>
          <w:color w:val="000000"/>
          <w:sz w:val="20"/>
        </w:rPr>
        <w:t xml:space="preserve">, 724 F.3d 1042, 1044  [*1034]  (9th Cir. 2013) ("There is no dispute that [the plaintiff] is disabled, [or] that the restaurant is covered by the ADA . . . . The only question is whether any barriers interfered with [the plaintiff's] ability 'to participate in or benefit from the goods, services, facilities, privileges, advantages, or accommodations' of the restaurant." (quoting </w:t>
      </w:r>
      <w:bookmarkStart w:id="5997" w:name="Bookmark_I610RP3T2HM5SX0010000400"/>
      <w:bookmarkEnd w:id="5997"/>
      <w:r>
        <w:rPr>
          <w:rFonts w:ascii="Arial" w:eastAsia="Arial" w:hAnsi="Arial" w:cs="Arial"/>
          <w:i/>
          <w:color w:val="000000"/>
          <w:sz w:val="20"/>
        </w:rPr>
        <w:t>Chapman v. Pier 1 Imps. (U.S.), Inc</w:t>
      </w:r>
      <w:r>
        <w:rPr>
          <w:rFonts w:ascii="Arial" w:eastAsia="Arial" w:hAnsi="Arial" w:cs="Arial"/>
          <w:color w:val="000000"/>
          <w:sz w:val="20"/>
        </w:rPr>
        <w:t>. ("</w:t>
      </w:r>
      <w:r>
        <w:rPr>
          <w:rFonts w:ascii="Arial" w:eastAsia="Arial" w:hAnsi="Arial" w:cs="Arial"/>
          <w:i/>
          <w:color w:val="000000"/>
          <w:sz w:val="20"/>
        </w:rPr>
        <w:t>Chapman I</w:t>
      </w:r>
      <w:r>
        <w:rPr>
          <w:rFonts w:ascii="Arial" w:eastAsia="Arial" w:hAnsi="Arial" w:cs="Arial"/>
          <w:color w:val="000000"/>
          <w:sz w:val="20"/>
        </w:rPr>
        <w:t>"), 631 F.3d 939, 945 (9th Cir. 2011) (en banc))). Lopez alleges that Catalina's failure to widen the restroom door—an "architectural barrier" under the statute—prevented him from fully enjoying the facilities aboard the Jet Cat Express.</w:t>
      </w:r>
      <w:r>
        <w:rPr>
          <w:rFonts w:ascii="Arial" w:eastAsia="Arial" w:hAnsi="Arial" w:cs="Arial"/>
          <w:vertAlign w:val="superscript"/>
        </w:rPr>
        <w:footnoteReference w:customMarkFollows="1" w:id="218"/>
        <w:t>2</w:t>
      </w:r>
    </w:p>
    <w:p w14:paraId="26C23CB4" w14:textId="77777777" w:rsidR="002B10A6" w:rsidRDefault="00000000">
      <w:pPr>
        <w:pStyle w:val="Normal27"/>
        <w:widowControl w:val="0"/>
        <w:spacing w:before="240" w:line="260" w:lineRule="atLeast"/>
      </w:pPr>
      <w:r>
        <w:br/>
      </w:r>
      <w:r>
        <w:rPr>
          <w:rFonts w:ascii="Arial" w:eastAsia="Arial" w:hAnsi="Arial" w:cs="Arial"/>
          <w:b/>
          <w:color w:val="000000"/>
          <w:sz w:val="20"/>
        </w:rPr>
        <w:t>A. Removal of Architectural Barriers Under the ADA</w:t>
      </w:r>
    </w:p>
    <w:p w14:paraId="049F884E" w14:textId="77777777" w:rsidR="002B10A6" w:rsidRDefault="00000000">
      <w:pPr>
        <w:pStyle w:val="Normal27"/>
        <w:widowControl w:val="0"/>
        <w:spacing w:before="200" w:line="260" w:lineRule="atLeast"/>
        <w:jc w:val="both"/>
      </w:pPr>
      <w:bookmarkStart w:id="5999" w:name="Bookmark_para_15_22"/>
      <w:bookmarkStart w:id="6000" w:name="Bookmark_LNHNREFclscc5_23"/>
      <w:bookmarkEnd w:id="5999"/>
      <w:bookmarkEnd w:id="6000"/>
      <w:r>
        <w:rPr>
          <w:rFonts w:ascii="Arial" w:eastAsia="Arial" w:hAnsi="Arial" w:cs="Arial"/>
          <w:color w:val="000000"/>
          <w:sz w:val="20"/>
        </w:rPr>
        <w:t xml:space="preserve">Discrimination under Title III of the ADA specifically includes "a failure to </w:t>
      </w:r>
      <w:r>
        <w:rPr>
          <w:rFonts w:ascii="Arial" w:eastAsia="Arial" w:hAnsi="Arial" w:cs="Arial"/>
          <w:i/>
          <w:color w:val="000000"/>
          <w:sz w:val="20"/>
        </w:rPr>
        <w:t>remove</w:t>
      </w:r>
      <w:r>
        <w:rPr>
          <w:rFonts w:ascii="Arial" w:eastAsia="Arial" w:hAnsi="Arial" w:cs="Arial"/>
          <w:color w:val="000000"/>
          <w:sz w:val="20"/>
        </w:rPr>
        <w:t xml:space="preserve"> architectural barriers [**8]  . . . in existing facilities . . . where such removal is </w:t>
      </w:r>
      <w:r>
        <w:rPr>
          <w:rFonts w:ascii="Arial" w:eastAsia="Arial" w:hAnsi="Arial" w:cs="Arial"/>
          <w:i/>
          <w:color w:val="000000"/>
          <w:sz w:val="20"/>
        </w:rPr>
        <w:t>readily achievable</w:t>
      </w:r>
      <w:r>
        <w:rPr>
          <w:rFonts w:ascii="Arial" w:eastAsia="Arial" w:hAnsi="Arial" w:cs="Arial"/>
          <w:color w:val="000000"/>
          <w:sz w:val="20"/>
        </w:rPr>
        <w:t xml:space="preserve">." 42 U.S.C. § 12182(b)(2)(A)(iv) (emphases added). In addition, even if "an entity can demonstrate that the removal of a barrier . . . is </w:t>
      </w:r>
      <w:r>
        <w:rPr>
          <w:rFonts w:ascii="Arial" w:eastAsia="Arial" w:hAnsi="Arial" w:cs="Arial"/>
          <w:i/>
          <w:color w:val="000000"/>
          <w:sz w:val="20"/>
        </w:rPr>
        <w:t>not</w:t>
      </w:r>
      <w:r>
        <w:rPr>
          <w:rFonts w:ascii="Arial" w:eastAsia="Arial" w:hAnsi="Arial" w:cs="Arial"/>
          <w:color w:val="000000"/>
          <w:sz w:val="20"/>
        </w:rPr>
        <w:t xml:space="preserve"> readily achievable," the entity is still liable under the ADA if it fails to "make [its] goods, services, facilities, privileges, advantages, or accommodations available through alternative methods" so long as "such methods are </w:t>
      </w:r>
      <w:r>
        <w:rPr>
          <w:rFonts w:ascii="Arial" w:eastAsia="Arial" w:hAnsi="Arial" w:cs="Arial"/>
          <w:i/>
          <w:color w:val="000000"/>
          <w:sz w:val="20"/>
        </w:rPr>
        <w:t>readily achievable</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 12182(b)(2)(A)(v) (emphases added). The ADA defines the phrase "readily achievable" as "easily accomplishable and able to be carried out without much difficulty or expense." </w:t>
      </w:r>
      <w:r>
        <w:rPr>
          <w:rFonts w:ascii="Arial" w:eastAsia="Arial" w:hAnsi="Arial" w:cs="Arial"/>
          <w:i/>
          <w:color w:val="000000"/>
          <w:sz w:val="20"/>
        </w:rPr>
        <w:t>Id.</w:t>
      </w:r>
      <w:r>
        <w:rPr>
          <w:rFonts w:ascii="Arial" w:eastAsia="Arial" w:hAnsi="Arial" w:cs="Arial"/>
          <w:color w:val="000000"/>
          <w:sz w:val="20"/>
        </w:rPr>
        <w:t xml:space="preserve"> § 12181(9).</w:t>
      </w:r>
    </w:p>
    <w:p w14:paraId="773CD3AD" w14:textId="77777777" w:rsidR="002B10A6" w:rsidRDefault="00000000">
      <w:pPr>
        <w:pStyle w:val="Normal27"/>
        <w:widowControl w:val="0"/>
        <w:spacing w:before="200" w:line="260" w:lineRule="atLeast"/>
        <w:jc w:val="both"/>
      </w:pPr>
      <w:bookmarkStart w:id="6001" w:name="Bookmark_para_16_20"/>
      <w:bookmarkStart w:id="6002" w:name="Bookmark_I610RP3T2HM5SX0040000400"/>
      <w:bookmarkEnd w:id="6001"/>
      <w:bookmarkEnd w:id="6002"/>
      <w:r>
        <w:rPr>
          <w:rFonts w:ascii="Arial" w:eastAsia="Arial" w:hAnsi="Arial" w:cs="Arial"/>
          <w:color w:val="000000"/>
          <w:sz w:val="20"/>
        </w:rPr>
        <w:t xml:space="preserve">Examples of architectural barriers that are subject to the ADA include slopes and cross-slopes in a parking lot that are too steep (more than two percent incline), </w:t>
      </w:r>
      <w:bookmarkStart w:id="6003" w:name="Bookmark_I610RP3T2HM5SX0030000400"/>
      <w:bookmarkEnd w:id="6003"/>
      <w:r>
        <w:rPr>
          <w:rFonts w:ascii="Arial" w:eastAsia="Arial" w:hAnsi="Arial" w:cs="Arial"/>
          <w:i/>
          <w:color w:val="000000"/>
          <w:sz w:val="20"/>
        </w:rPr>
        <w:t>Kohler v. Bed Bath &amp; Beyond of Cal., LLC</w:t>
      </w:r>
      <w:r>
        <w:rPr>
          <w:rFonts w:ascii="Arial" w:eastAsia="Arial" w:hAnsi="Arial" w:cs="Arial"/>
          <w:color w:val="000000"/>
          <w:sz w:val="20"/>
        </w:rPr>
        <w:t xml:space="preserve">, 780 F.3d 1260, 1262 (9th Cir. 2015); aisles in a store that are not wide enough for wheelchairs, </w:t>
      </w:r>
      <w:bookmarkStart w:id="6004" w:name="Bookmark_I610RP3T2HM5SX0050000400"/>
      <w:bookmarkEnd w:id="6004"/>
      <w:r>
        <w:rPr>
          <w:rFonts w:ascii="Arial" w:eastAsia="Arial" w:hAnsi="Arial" w:cs="Arial"/>
          <w:i/>
          <w:color w:val="000000"/>
          <w:sz w:val="20"/>
        </w:rPr>
        <w:t>Chapman v. Pier 1 Imps. (U.S.), Inc</w:t>
      </w:r>
      <w:r>
        <w:rPr>
          <w:rFonts w:ascii="Arial" w:eastAsia="Arial" w:hAnsi="Arial" w:cs="Arial"/>
          <w:color w:val="000000"/>
          <w:sz w:val="20"/>
        </w:rPr>
        <w:t>. ("</w:t>
      </w:r>
      <w:r>
        <w:rPr>
          <w:rFonts w:ascii="Arial" w:eastAsia="Arial" w:hAnsi="Arial" w:cs="Arial"/>
          <w:i/>
          <w:color w:val="000000"/>
          <w:sz w:val="20"/>
        </w:rPr>
        <w:t>Chapman II</w:t>
      </w:r>
      <w:r>
        <w:rPr>
          <w:rFonts w:ascii="Arial" w:eastAsia="Arial" w:hAnsi="Arial" w:cs="Arial"/>
          <w:color w:val="000000"/>
          <w:sz w:val="20"/>
        </w:rPr>
        <w:t xml:space="preserve">"), 779 F.3d 1001, 1005 (9th Cir. 2015); seating in a restaurant that does not accommodate wheelchairs; </w:t>
      </w:r>
      <w:bookmarkStart w:id="6005" w:name="Bookmark_I610RP3V2D6NC10020000400"/>
      <w:bookmarkEnd w:id="6005"/>
      <w:r>
        <w:rPr>
          <w:rFonts w:ascii="Arial" w:eastAsia="Arial" w:hAnsi="Arial" w:cs="Arial"/>
          <w:i/>
          <w:color w:val="000000"/>
          <w:sz w:val="20"/>
        </w:rPr>
        <w:t>Strong</w:t>
      </w:r>
      <w:r>
        <w:rPr>
          <w:rFonts w:ascii="Arial" w:eastAsia="Arial" w:hAnsi="Arial" w:cs="Arial"/>
          <w:color w:val="000000"/>
          <w:sz w:val="20"/>
        </w:rPr>
        <w:t xml:space="preserve">, 724 F.3d at 1044; soap dispensers and hand dryers that are mounted too high (more than forty inches from the floor), </w:t>
      </w:r>
      <w:bookmarkStart w:id="6006" w:name="Bookmark_I610RP3V2D6NC10040000400"/>
      <w:bookmarkEnd w:id="6006"/>
      <w:r>
        <w:rPr>
          <w:rFonts w:ascii="Arial" w:eastAsia="Arial" w:hAnsi="Arial" w:cs="Arial"/>
          <w:i/>
          <w:color w:val="000000"/>
          <w:sz w:val="20"/>
        </w:rPr>
        <w:t>Oliver v. Ralphs Grocery Co.</w:t>
      </w:r>
      <w:r>
        <w:rPr>
          <w:rFonts w:ascii="Arial" w:eastAsia="Arial" w:hAnsi="Arial" w:cs="Arial"/>
          <w:color w:val="000000"/>
          <w:sz w:val="20"/>
        </w:rPr>
        <w:t xml:space="preserve">, 654 F.3d 903, 905 n.5 (9th Cir. 2011); and a bar that is too high to drink from, </w:t>
      </w:r>
      <w:bookmarkStart w:id="6007" w:name="Bookmark_I610RP3V2HM5T00010000400"/>
      <w:bookmarkEnd w:id="6007"/>
      <w:r>
        <w:rPr>
          <w:rFonts w:ascii="Arial" w:eastAsia="Arial" w:hAnsi="Arial" w:cs="Arial"/>
          <w:i/>
          <w:color w:val="000000"/>
          <w:sz w:val="20"/>
        </w:rPr>
        <w:t>Jankey v. Poop Deck</w:t>
      </w:r>
      <w:r>
        <w:rPr>
          <w:rFonts w:ascii="Arial" w:eastAsia="Arial" w:hAnsi="Arial" w:cs="Arial"/>
          <w:color w:val="000000"/>
          <w:sz w:val="20"/>
        </w:rPr>
        <w:t>, 537 F.3d 1122, 1123 (9th Cir. 2008).</w:t>
      </w:r>
    </w:p>
    <w:p w14:paraId="73918EA7" w14:textId="77777777" w:rsidR="002B10A6" w:rsidRDefault="00000000">
      <w:pPr>
        <w:pStyle w:val="Normal27"/>
        <w:widowControl w:val="0"/>
        <w:spacing w:before="200" w:line="260" w:lineRule="atLeast"/>
        <w:jc w:val="both"/>
      </w:pPr>
      <w:bookmarkStart w:id="6008" w:name="Bookmark_para_17_20"/>
      <w:bookmarkEnd w:id="6008"/>
      <w:r>
        <w:rPr>
          <w:rFonts w:ascii="Arial" w:eastAsia="Arial" w:hAnsi="Arial" w:cs="Arial"/>
          <w:color w:val="000000"/>
          <w:sz w:val="20"/>
        </w:rPr>
        <w:t>Accordingly, to prevail on his discrimination claim, Lopez must establish either: (1) that Catalina failed [**9]  to alter the restroom door when doing so was readily achievable; or (2) even if the alteration was not readily achievable, that Catalina could have made the restroom available to Lopez through alternative methods without much difficulty or expense. 42 U.S.C. §§ 12182(b)(2)(A)(iv)-(v). We address each of these alleged bases of liability in turn.</w:t>
      </w:r>
    </w:p>
    <w:p w14:paraId="321A91C8" w14:textId="77777777" w:rsidR="002B10A6" w:rsidRDefault="00000000">
      <w:pPr>
        <w:pStyle w:val="Normal27"/>
        <w:widowControl w:val="0"/>
        <w:spacing w:before="240" w:line="260" w:lineRule="atLeast"/>
      </w:pPr>
      <w:r>
        <w:br/>
      </w:r>
      <w:r>
        <w:rPr>
          <w:rFonts w:ascii="Arial" w:eastAsia="Arial" w:hAnsi="Arial" w:cs="Arial"/>
          <w:b/>
          <w:color w:val="000000"/>
          <w:sz w:val="20"/>
        </w:rPr>
        <w:t>B. Readily Achievable</w:t>
      </w:r>
    </w:p>
    <w:p w14:paraId="40577BE6" w14:textId="77777777" w:rsidR="002B10A6" w:rsidRDefault="00000000">
      <w:pPr>
        <w:pStyle w:val="Normal27"/>
        <w:widowControl w:val="0"/>
        <w:spacing w:before="200" w:line="260" w:lineRule="atLeast"/>
        <w:jc w:val="both"/>
      </w:pPr>
      <w:bookmarkStart w:id="6009" w:name="Bookmark_para_18_20"/>
      <w:bookmarkStart w:id="6010" w:name="Bookmark_I610RP3V2HM5T00040000400"/>
      <w:bookmarkEnd w:id="6009"/>
      <w:bookmarkEnd w:id="6010"/>
      <w:r>
        <w:rPr>
          <w:rFonts w:ascii="Arial" w:eastAsia="Arial" w:hAnsi="Arial" w:cs="Arial"/>
          <w:color w:val="000000"/>
          <w:sz w:val="20"/>
        </w:rPr>
        <w:t xml:space="preserve">The district court granted summary judgment to Catalina largely because it concluded that Lopez bore—and failed to carry—the burden of establishing that altering the Jet Cat Express's restroom door was "readily achievable." Our court has not decided which party bears the burden to establish that removal of an architectural barrier is or is not readily achievable. The district court recognized this was an undecided question and decided to "follow[] the lead of 'the overwhelming majority of federal courts that apply  [*1035]  the burden-shifting framework of'" the Tenth Circuit's decision in </w:t>
      </w:r>
      <w:bookmarkStart w:id="6011" w:name="Bookmark_I610RP3V2HM5T00030000400"/>
      <w:bookmarkEnd w:id="6011"/>
      <w:r>
        <w:rPr>
          <w:rFonts w:ascii="Arial" w:eastAsia="Arial" w:hAnsi="Arial" w:cs="Arial"/>
          <w:i/>
          <w:color w:val="000000"/>
          <w:sz w:val="20"/>
        </w:rPr>
        <w:t>Colorado Cross Disability Coalition v. Hermanson Family Limited Partnership</w:t>
      </w:r>
      <w:r>
        <w:rPr>
          <w:rFonts w:ascii="Arial" w:eastAsia="Arial" w:hAnsi="Arial" w:cs="Arial"/>
          <w:color w:val="000000"/>
          <w:sz w:val="20"/>
        </w:rPr>
        <w:t xml:space="preserve">, 264 F.3d 999 (10th Cir. 2001). </w:t>
      </w:r>
      <w:bookmarkStart w:id="6012" w:name="Bookmark_I3P3281F7PX00005YXN00001"/>
      <w:bookmarkStart w:id="6013" w:name="Bookmark_I610RP3W28T3Y60010000400"/>
      <w:bookmarkEnd w:id="6012"/>
      <w:bookmarkEnd w:id="6013"/>
      <w:r>
        <w:rPr>
          <w:rFonts w:ascii="Arial" w:eastAsia="Arial" w:hAnsi="Arial" w:cs="Arial"/>
          <w:color w:val="000000"/>
          <w:sz w:val="20"/>
        </w:rPr>
        <w:t xml:space="preserve">In affirming the district court's conclusion that Lopez failed to meet his initial burden, we join the Second Circuit and adopt a burden-shifting framework that slightly differs from the Tenth Circuit's framework in </w:t>
      </w:r>
      <w:r>
        <w:rPr>
          <w:rFonts w:ascii="Arial" w:eastAsia="Arial" w:hAnsi="Arial" w:cs="Arial"/>
          <w:i/>
          <w:color w:val="000000"/>
          <w:sz w:val="20"/>
        </w:rPr>
        <w:t>Colorado Cross</w:t>
      </w:r>
      <w:r>
        <w:rPr>
          <w:rFonts w:ascii="Arial" w:eastAsia="Arial" w:hAnsi="Arial" w:cs="Arial"/>
          <w:color w:val="000000"/>
          <w:sz w:val="20"/>
        </w:rPr>
        <w:t xml:space="preserve">. </w:t>
      </w:r>
      <w:bookmarkStart w:id="6014" w:name="Bookmark_I610RP3W28T3Y60010000400_2"/>
      <w:bookmarkEnd w:id="6014"/>
      <w:r>
        <w:rPr>
          <w:rFonts w:ascii="Arial" w:eastAsia="Arial" w:hAnsi="Arial" w:cs="Arial"/>
          <w:color w:val="000000"/>
          <w:sz w:val="20"/>
        </w:rPr>
        <w:t xml:space="preserve">Under the Second Circuit's approach, plaintiffs [**10]  have the initial burden at summary judgment of </w:t>
      </w:r>
      <w:r>
        <w:rPr>
          <w:rFonts w:ascii="Arial" w:eastAsia="Arial" w:hAnsi="Arial" w:cs="Arial"/>
          <w:i/>
          <w:color w:val="000000"/>
          <w:sz w:val="20"/>
        </w:rPr>
        <w:t>plausibly showing</w:t>
      </w:r>
      <w:r>
        <w:rPr>
          <w:rFonts w:ascii="Arial" w:eastAsia="Arial" w:hAnsi="Arial" w:cs="Arial"/>
          <w:color w:val="000000"/>
          <w:sz w:val="20"/>
        </w:rPr>
        <w:t xml:space="preserve"> that the cost of removing an architectural barrier does not exceed the benefits under the particular circumstances. </w:t>
      </w:r>
      <w:r>
        <w:rPr>
          <w:rFonts w:ascii="Arial" w:eastAsia="Arial" w:hAnsi="Arial" w:cs="Arial"/>
          <w:i/>
          <w:color w:val="000000"/>
          <w:sz w:val="20"/>
        </w:rPr>
        <w:t xml:space="preserve">See </w:t>
      </w:r>
      <w:bookmarkStart w:id="6015" w:name="Bookmark_I610RP3V2HM5T00050000400"/>
      <w:bookmarkEnd w:id="6015"/>
      <w:r>
        <w:rPr>
          <w:rFonts w:ascii="Arial" w:eastAsia="Arial" w:hAnsi="Arial" w:cs="Arial"/>
          <w:i/>
          <w:color w:val="000000"/>
          <w:sz w:val="20"/>
        </w:rPr>
        <w:t>Roberts v. Royal Atl. Corp.</w:t>
      </w:r>
      <w:r>
        <w:rPr>
          <w:rFonts w:ascii="Arial" w:eastAsia="Arial" w:hAnsi="Arial" w:cs="Arial"/>
          <w:color w:val="000000"/>
          <w:sz w:val="20"/>
        </w:rPr>
        <w:t>, 542 F.3d 363, 373 (2d Cir. 2008).</w:t>
      </w:r>
    </w:p>
    <w:p w14:paraId="77390303" w14:textId="77777777" w:rsidR="002B10A6" w:rsidRDefault="00000000">
      <w:pPr>
        <w:pStyle w:val="Normal27"/>
        <w:widowControl w:val="0"/>
        <w:spacing w:before="200" w:line="260" w:lineRule="atLeast"/>
        <w:jc w:val="both"/>
      </w:pPr>
      <w:bookmarkStart w:id="6016" w:name="Bookmark_para_19_19"/>
      <w:bookmarkStart w:id="6017" w:name="Bookmark_I610RP3W28T3Y60030000400"/>
      <w:bookmarkStart w:id="6018" w:name="Bookmark_I610RP3W28T3Y60050000400"/>
      <w:bookmarkStart w:id="6019" w:name="Bookmark_LNHNREFclscc6_21"/>
      <w:bookmarkEnd w:id="6016"/>
      <w:bookmarkEnd w:id="6017"/>
      <w:bookmarkEnd w:id="6018"/>
      <w:bookmarkEnd w:id="6019"/>
      <w:r>
        <w:rPr>
          <w:rFonts w:ascii="Arial" w:eastAsia="Arial" w:hAnsi="Arial" w:cs="Arial"/>
          <w:color w:val="000000"/>
          <w:sz w:val="20"/>
        </w:rPr>
        <w:t xml:space="preserve">Title III of the ADA is silent as to who bears the burden of proving at summary judgment that removal of an architectural barrier is, or is not, readily achievable. </w:t>
      </w:r>
      <w:bookmarkStart w:id="6020" w:name="Bookmark_I610RP3W2SF7JX0020000400"/>
      <w:bookmarkEnd w:id="6020"/>
      <w:r>
        <w:rPr>
          <w:rFonts w:ascii="Arial" w:eastAsia="Arial" w:hAnsi="Arial" w:cs="Arial"/>
          <w:color w:val="000000"/>
          <w:sz w:val="20"/>
        </w:rPr>
        <w:t xml:space="preserve">The Tenth Circuit was the first court of appeals to articulate a two-part burden-shifting framework for evaluating whether removing an architectural barrier is "readily achievable" under the ADA. </w:t>
      </w:r>
      <w:bookmarkStart w:id="6021" w:name="Bookmark_I610RP3W28T3Y60020000400"/>
      <w:bookmarkEnd w:id="6021"/>
      <w:r>
        <w:rPr>
          <w:rFonts w:ascii="Arial" w:eastAsia="Arial" w:hAnsi="Arial" w:cs="Arial"/>
          <w:i/>
          <w:color w:val="000000"/>
          <w:sz w:val="20"/>
        </w:rPr>
        <w:t>Colo. Cross</w:t>
      </w:r>
      <w:r>
        <w:rPr>
          <w:rFonts w:ascii="Arial" w:eastAsia="Arial" w:hAnsi="Arial" w:cs="Arial"/>
          <w:color w:val="000000"/>
          <w:sz w:val="20"/>
        </w:rPr>
        <w:t xml:space="preserve">, 264 F.3d at 1002-07. </w:t>
      </w:r>
      <w:bookmarkStart w:id="6022" w:name="Bookmark_I610RP3W2SF7JX0040000400"/>
      <w:bookmarkEnd w:id="6022"/>
      <w:r>
        <w:rPr>
          <w:rFonts w:ascii="Arial" w:eastAsia="Arial" w:hAnsi="Arial" w:cs="Arial"/>
          <w:color w:val="000000"/>
          <w:sz w:val="20"/>
        </w:rPr>
        <w:t xml:space="preserve">Under </w:t>
      </w:r>
      <w:r>
        <w:rPr>
          <w:rFonts w:ascii="Arial" w:eastAsia="Arial" w:hAnsi="Arial" w:cs="Arial"/>
          <w:i/>
          <w:color w:val="000000"/>
          <w:sz w:val="20"/>
        </w:rPr>
        <w:t>Colorado Cross</w:t>
      </w:r>
      <w:r>
        <w:rPr>
          <w:rFonts w:ascii="Arial" w:eastAsia="Arial" w:hAnsi="Arial" w:cs="Arial"/>
          <w:color w:val="000000"/>
          <w:sz w:val="20"/>
        </w:rPr>
        <w:t xml:space="preserve">, the plaintiff "must initially present evidence tending to show that the suggested method of barrier removal is readily achievable under the particular circumstances." </w:t>
      </w:r>
      <w:bookmarkStart w:id="6023" w:name="Bookmark_I610RP3W28T3Y60040000400"/>
      <w:bookmarkEnd w:id="6023"/>
      <w:r>
        <w:rPr>
          <w:rFonts w:ascii="Arial" w:eastAsia="Arial" w:hAnsi="Arial" w:cs="Arial"/>
          <w:i/>
          <w:color w:val="000000"/>
          <w:sz w:val="20"/>
        </w:rPr>
        <w:t>Id.</w:t>
      </w:r>
      <w:r>
        <w:rPr>
          <w:rFonts w:ascii="Arial" w:eastAsia="Arial" w:hAnsi="Arial" w:cs="Arial"/>
          <w:color w:val="000000"/>
          <w:sz w:val="20"/>
        </w:rPr>
        <w:t xml:space="preserve"> at 1002. </w:t>
      </w:r>
      <w:bookmarkStart w:id="6024" w:name="Bookmark_I610RP3W2SF7JX0040000400_2"/>
      <w:bookmarkStart w:id="6025" w:name="Bookmark_I610RP3W2SF7JX0020000400_2"/>
      <w:bookmarkEnd w:id="6024"/>
      <w:bookmarkEnd w:id="6025"/>
      <w:r>
        <w:rPr>
          <w:rFonts w:ascii="Arial" w:eastAsia="Arial" w:hAnsi="Arial" w:cs="Arial"/>
          <w:color w:val="000000"/>
          <w:sz w:val="20"/>
        </w:rPr>
        <w:t xml:space="preserve">If the plaintiff meets that initial burden, the defendant "then bears the ultimate burden of persuasion that barrier removal is </w:t>
      </w:r>
      <w:r>
        <w:rPr>
          <w:rFonts w:ascii="Arial" w:eastAsia="Arial" w:hAnsi="Arial" w:cs="Arial"/>
          <w:i/>
          <w:color w:val="000000"/>
          <w:sz w:val="20"/>
        </w:rPr>
        <w:t>not</w:t>
      </w:r>
      <w:r>
        <w:rPr>
          <w:rFonts w:ascii="Arial" w:eastAsia="Arial" w:hAnsi="Arial" w:cs="Arial"/>
          <w:color w:val="000000"/>
          <w:sz w:val="20"/>
        </w:rPr>
        <w:t xml:space="preserve"> readily achievable." </w:t>
      </w:r>
      <w:bookmarkStart w:id="6026" w:name="Bookmark_I610RP3W2SF7JX0010000400"/>
      <w:bookmarkEnd w:id="6026"/>
      <w:r>
        <w:rPr>
          <w:rFonts w:ascii="Arial" w:eastAsia="Arial" w:hAnsi="Arial" w:cs="Arial"/>
          <w:i/>
          <w:color w:val="000000"/>
          <w:sz w:val="20"/>
        </w:rPr>
        <w:t>Id.</w:t>
      </w:r>
      <w:r>
        <w:rPr>
          <w:rFonts w:ascii="Arial" w:eastAsia="Arial" w:hAnsi="Arial" w:cs="Arial"/>
          <w:color w:val="000000"/>
          <w:sz w:val="20"/>
        </w:rPr>
        <w:t xml:space="preserve"> at 1002-03 (emphasis added). In other words, the defendant "bears the </w:t>
      </w:r>
      <w:r>
        <w:rPr>
          <w:rFonts w:ascii="Arial" w:eastAsia="Arial" w:hAnsi="Arial" w:cs="Arial"/>
          <w:i/>
          <w:color w:val="000000"/>
          <w:sz w:val="20"/>
        </w:rPr>
        <w:t>ultimate</w:t>
      </w:r>
      <w:r>
        <w:rPr>
          <w:rFonts w:ascii="Arial" w:eastAsia="Arial" w:hAnsi="Arial" w:cs="Arial"/>
          <w:color w:val="000000"/>
          <w:sz w:val="20"/>
        </w:rPr>
        <w:t xml:space="preserve"> burden of persuasion regarding its </w:t>
      </w:r>
      <w:r>
        <w:rPr>
          <w:rFonts w:ascii="Arial" w:eastAsia="Arial" w:hAnsi="Arial" w:cs="Arial"/>
          <w:i/>
          <w:color w:val="000000"/>
          <w:sz w:val="20"/>
        </w:rPr>
        <w:t>affirmative defense</w:t>
      </w:r>
      <w:r>
        <w:rPr>
          <w:rFonts w:ascii="Arial" w:eastAsia="Arial" w:hAnsi="Arial" w:cs="Arial"/>
          <w:color w:val="000000"/>
          <w:sz w:val="20"/>
        </w:rPr>
        <w:t xml:space="preserve"> that a suggested method of barrier removal is not readily achievable." </w:t>
      </w:r>
      <w:bookmarkStart w:id="6027" w:name="Bookmark_I610RP3W2SF7JX0030000400"/>
      <w:bookmarkEnd w:id="6027"/>
      <w:r>
        <w:rPr>
          <w:rFonts w:ascii="Arial" w:eastAsia="Arial" w:hAnsi="Arial" w:cs="Arial"/>
          <w:i/>
          <w:color w:val="000000"/>
          <w:sz w:val="20"/>
        </w:rPr>
        <w:t>Id.</w:t>
      </w:r>
      <w:r>
        <w:rPr>
          <w:rFonts w:ascii="Arial" w:eastAsia="Arial" w:hAnsi="Arial" w:cs="Arial"/>
          <w:color w:val="000000"/>
          <w:sz w:val="20"/>
        </w:rPr>
        <w:t xml:space="preserve"> at 1006 (emphasis added).</w:t>
      </w:r>
    </w:p>
    <w:p w14:paraId="61358FD6" w14:textId="77777777" w:rsidR="002B10A6" w:rsidRDefault="00000000">
      <w:pPr>
        <w:pStyle w:val="Normal27"/>
        <w:widowControl w:val="0"/>
        <w:spacing w:before="200" w:line="260" w:lineRule="atLeast"/>
        <w:jc w:val="both"/>
      </w:pPr>
      <w:bookmarkStart w:id="6028" w:name="Bookmark_para_20_19"/>
      <w:bookmarkStart w:id="6029" w:name="Bookmark_I610RP3W2D6NC20010000400"/>
      <w:bookmarkStart w:id="6030" w:name="Bookmark_I610RP3W2N1RD60020000400"/>
      <w:bookmarkEnd w:id="6028"/>
      <w:bookmarkEnd w:id="6029"/>
      <w:bookmarkEnd w:id="6030"/>
      <w:r>
        <w:rPr>
          <w:rFonts w:ascii="Arial" w:eastAsia="Arial" w:hAnsi="Arial" w:cs="Arial"/>
          <w:color w:val="000000"/>
          <w:sz w:val="20"/>
        </w:rPr>
        <w:t xml:space="preserve">The Eighth and Eleventh Circuits have adopted </w:t>
      </w:r>
      <w:r>
        <w:rPr>
          <w:rFonts w:ascii="Arial" w:eastAsia="Arial" w:hAnsi="Arial" w:cs="Arial"/>
          <w:i/>
          <w:color w:val="000000"/>
          <w:sz w:val="20"/>
        </w:rPr>
        <w:t>Colorado Cross</w:t>
      </w:r>
      <w:r>
        <w:rPr>
          <w:rFonts w:ascii="Arial" w:eastAsia="Arial" w:hAnsi="Arial" w:cs="Arial"/>
          <w:color w:val="000000"/>
          <w:sz w:val="20"/>
        </w:rPr>
        <w:t xml:space="preserve">'s burden-shifting framework for evaluating [**11]  barrier removal claims. </w:t>
      </w:r>
      <w:r>
        <w:rPr>
          <w:rFonts w:ascii="Arial" w:eastAsia="Arial" w:hAnsi="Arial" w:cs="Arial"/>
          <w:i/>
          <w:color w:val="000000"/>
          <w:sz w:val="20"/>
        </w:rPr>
        <w:t xml:space="preserve">See </w:t>
      </w:r>
      <w:bookmarkStart w:id="6031" w:name="Bookmark_I610RP3W2SF7JX0050000400"/>
      <w:bookmarkEnd w:id="6031"/>
      <w:r>
        <w:rPr>
          <w:rFonts w:ascii="Arial" w:eastAsia="Arial" w:hAnsi="Arial" w:cs="Arial"/>
          <w:i/>
          <w:color w:val="000000"/>
          <w:sz w:val="20"/>
        </w:rPr>
        <w:t>Wright v. RL Liquor</w:t>
      </w:r>
      <w:r>
        <w:rPr>
          <w:rFonts w:ascii="Arial" w:eastAsia="Arial" w:hAnsi="Arial" w:cs="Arial"/>
          <w:color w:val="000000"/>
          <w:sz w:val="20"/>
        </w:rPr>
        <w:t xml:space="preserve">, 887 F.3d 361, 364 (8th Cir. 2018) ("[T]his court holds that the district court properly required [the plaintiff] to initially present evidence tending to show that the suggested method of barrier removal was readily achievable under the circumstances."); </w:t>
      </w:r>
      <w:bookmarkStart w:id="6032" w:name="Bookmark_I610RP3W2D6NC20020000400"/>
      <w:bookmarkEnd w:id="6032"/>
      <w:r>
        <w:rPr>
          <w:rFonts w:ascii="Arial" w:eastAsia="Arial" w:hAnsi="Arial" w:cs="Arial"/>
          <w:i/>
          <w:color w:val="000000"/>
          <w:sz w:val="20"/>
        </w:rPr>
        <w:t>Garthright-Dietrich v. Atlanta Landmarks, Inc.</w:t>
      </w:r>
      <w:r>
        <w:rPr>
          <w:rFonts w:ascii="Arial" w:eastAsia="Arial" w:hAnsi="Arial" w:cs="Arial"/>
          <w:color w:val="000000"/>
          <w:sz w:val="20"/>
        </w:rPr>
        <w:t xml:space="preserve">, 452 F.3d 1269, 1274 (11th Cir. 2006) ("The district court did not err in following the burden of proof enunciated in </w:t>
      </w:r>
      <w:r>
        <w:rPr>
          <w:rFonts w:ascii="Arial" w:eastAsia="Arial" w:hAnsi="Arial" w:cs="Arial"/>
          <w:i/>
          <w:color w:val="000000"/>
          <w:sz w:val="20"/>
        </w:rPr>
        <w:t>Colorado Cross</w:t>
      </w:r>
      <w:r>
        <w:rPr>
          <w:rFonts w:ascii="Arial" w:eastAsia="Arial" w:hAnsi="Arial" w:cs="Arial"/>
          <w:color w:val="000000"/>
          <w:sz w:val="20"/>
        </w:rPr>
        <w:t xml:space="preserve">, and we adopt that burden shifting framework for the reasons articulated by the </w:t>
      </w:r>
      <w:r>
        <w:rPr>
          <w:rFonts w:ascii="Arial" w:eastAsia="Arial" w:hAnsi="Arial" w:cs="Arial"/>
          <w:i/>
          <w:color w:val="000000"/>
          <w:sz w:val="20"/>
        </w:rPr>
        <w:t>Colorado Cross</w:t>
      </w:r>
      <w:r>
        <w:rPr>
          <w:rFonts w:ascii="Arial" w:eastAsia="Arial" w:hAnsi="Arial" w:cs="Arial"/>
          <w:color w:val="000000"/>
          <w:sz w:val="20"/>
        </w:rPr>
        <w:t xml:space="preserve"> court.").</w:t>
      </w:r>
      <w:r>
        <w:rPr>
          <w:rFonts w:ascii="Arial" w:eastAsia="Arial" w:hAnsi="Arial" w:cs="Arial"/>
          <w:vertAlign w:val="superscript"/>
        </w:rPr>
        <w:footnoteReference w:customMarkFollows="1" w:id="219"/>
        <w:t>3</w:t>
      </w:r>
      <w:r>
        <w:rPr>
          <w:rFonts w:ascii="Arial" w:eastAsia="Arial" w:hAnsi="Arial" w:cs="Arial"/>
          <w:color w:val="000000"/>
          <w:sz w:val="20"/>
        </w:rPr>
        <w:t xml:space="preserve"> The Second Circuit tweaked the test slightly, requiring plaintiffs to first "articulate a </w:t>
      </w:r>
      <w:r>
        <w:rPr>
          <w:rFonts w:ascii="Arial" w:eastAsia="Arial" w:hAnsi="Arial" w:cs="Arial"/>
          <w:i/>
          <w:color w:val="000000"/>
          <w:sz w:val="20"/>
        </w:rPr>
        <w:t>plausible proposal</w:t>
      </w:r>
      <w:r>
        <w:rPr>
          <w:rFonts w:ascii="Arial" w:eastAsia="Arial" w:hAnsi="Arial" w:cs="Arial"/>
          <w:color w:val="000000"/>
          <w:sz w:val="20"/>
        </w:rPr>
        <w:t xml:space="preserve"> for barrier removal" and recognizing that "the defendant may counter the plaintiff's showing by meeting its own burden of persuasion and establishing that the costs of a plaintiff's proposal would in fact exceed the benefits." </w:t>
      </w:r>
      <w:bookmarkStart w:id="6040" w:name="Bookmark_I610RP3W2D6NC20040000400"/>
      <w:bookmarkEnd w:id="6040"/>
      <w:r>
        <w:rPr>
          <w:rFonts w:ascii="Arial" w:eastAsia="Arial" w:hAnsi="Arial" w:cs="Arial"/>
          <w:i/>
          <w:color w:val="000000"/>
          <w:sz w:val="20"/>
        </w:rPr>
        <w:t>Roberts</w:t>
      </w:r>
      <w:r>
        <w:rPr>
          <w:rFonts w:ascii="Arial" w:eastAsia="Arial" w:hAnsi="Arial" w:cs="Arial"/>
          <w:color w:val="000000"/>
          <w:sz w:val="20"/>
        </w:rPr>
        <w:t>, 542 F.3d at 373 (emphasis added). Importantly, while it is clear that the defendant bears the ultimate burden of proving the affirmative defense, all of our sister circuits have placed the initial burden of proof on the plaintiff. This makes sense because at a minimum, at the outset, a plaintiff must make clear what accommodation is needed, and disability accommodations can be idiosyncratic.</w:t>
      </w:r>
    </w:p>
    <w:p w14:paraId="5EDBE76C" w14:textId="77777777" w:rsidR="002B10A6" w:rsidRDefault="00000000">
      <w:pPr>
        <w:pStyle w:val="Normal27"/>
        <w:widowControl w:val="0"/>
        <w:spacing w:before="200" w:line="260" w:lineRule="atLeast"/>
        <w:jc w:val="both"/>
      </w:pPr>
      <w:bookmarkStart w:id="6041" w:name="Bookmark_para_21_19"/>
      <w:bookmarkStart w:id="6042" w:name="Bookmark_I610RP3Y2SF7JY0040000400"/>
      <w:bookmarkEnd w:id="6041"/>
      <w:bookmarkEnd w:id="6042"/>
      <w:r>
        <w:rPr>
          <w:rFonts w:ascii="Arial" w:eastAsia="Arial" w:hAnsi="Arial" w:cs="Arial"/>
          <w:color w:val="000000"/>
          <w:sz w:val="20"/>
        </w:rPr>
        <w:t xml:space="preserve">Indeed, placing the initial burden on the plaintiff of plausibly showing how removal of an architectural barrier is readily  [*1036]  achievable under the circumstances is sensible for several reasons. </w:t>
      </w:r>
      <w:bookmarkStart w:id="6043" w:name="Bookmark_LNHNREFclscc7_20"/>
      <w:bookmarkEnd w:id="6043"/>
      <w:r>
        <w:rPr>
          <w:rFonts w:ascii="Arial" w:eastAsia="Arial" w:hAnsi="Arial" w:cs="Arial"/>
          <w:color w:val="000000"/>
          <w:sz w:val="20"/>
        </w:rPr>
        <w:t xml:space="preserve">First, subsections 12182(b)(2)(A)(iv) and (v)—which, read together, require the removal of an architectural barrier unless such removal is not readily achievable—place the ultimate burden on the </w:t>
      </w:r>
      <w:r>
        <w:rPr>
          <w:rFonts w:ascii="Arial" w:eastAsia="Arial" w:hAnsi="Arial" w:cs="Arial"/>
          <w:i/>
          <w:color w:val="000000"/>
          <w:sz w:val="20"/>
        </w:rPr>
        <w:t>defendant</w:t>
      </w:r>
      <w:r>
        <w:rPr>
          <w:rFonts w:ascii="Arial" w:eastAsia="Arial" w:hAnsi="Arial" w:cs="Arial"/>
          <w:color w:val="000000"/>
          <w:sz w:val="20"/>
        </w:rPr>
        <w:t xml:space="preserve"> to prove the </w:t>
      </w:r>
      <w:r>
        <w:rPr>
          <w:rFonts w:ascii="Arial" w:eastAsia="Arial" w:hAnsi="Arial" w:cs="Arial"/>
          <w:i/>
          <w:color w:val="000000"/>
          <w:sz w:val="20"/>
        </w:rPr>
        <w:t>affirmative defense</w:t>
      </w:r>
      <w:r>
        <w:rPr>
          <w:rFonts w:ascii="Arial" w:eastAsia="Arial" w:hAnsi="Arial" w:cs="Arial"/>
          <w:color w:val="000000"/>
          <w:sz w:val="20"/>
        </w:rPr>
        <w:t xml:space="preserve"> that removal of an architectural barrier is not readily achievable. </w:t>
      </w:r>
      <w:bookmarkStart w:id="6044" w:name="Bookmark_I610RP3Y2SF7JY0030000400"/>
      <w:bookmarkEnd w:id="6044"/>
      <w:r>
        <w:rPr>
          <w:rFonts w:ascii="Arial" w:eastAsia="Arial" w:hAnsi="Arial" w:cs="Arial"/>
          <w:i/>
          <w:color w:val="000000"/>
          <w:sz w:val="20"/>
        </w:rPr>
        <w:t>Colo. Cross</w:t>
      </w:r>
      <w:r>
        <w:rPr>
          <w:rFonts w:ascii="Arial" w:eastAsia="Arial" w:hAnsi="Arial" w:cs="Arial"/>
          <w:color w:val="000000"/>
          <w:sz w:val="20"/>
        </w:rPr>
        <w:t xml:space="preserve">, 264 F.3d at 1002. Subsection (iv) starts by requiring defendants to remove architectural barriers if that removal is readily achievable. 42 U.S.C. § 12182(b)(2)(A)(iv). Subsection (v), in turn, offers the defendant an opportunity to avoid liability by "demonstrat[ing] that the removal of a barrier under clause (iv) is </w:t>
      </w:r>
      <w:r>
        <w:rPr>
          <w:rFonts w:ascii="Arial" w:eastAsia="Arial" w:hAnsi="Arial" w:cs="Arial"/>
          <w:i/>
          <w:color w:val="000000"/>
          <w:sz w:val="20"/>
        </w:rPr>
        <w:t>not</w:t>
      </w:r>
      <w:r>
        <w:rPr>
          <w:rFonts w:ascii="Arial" w:eastAsia="Arial" w:hAnsi="Arial" w:cs="Arial"/>
          <w:color w:val="000000"/>
          <w:sz w:val="20"/>
        </w:rPr>
        <w:t xml:space="preserve"> readily achievable[.]" </w:t>
      </w:r>
      <w:r>
        <w:rPr>
          <w:rFonts w:ascii="Arial" w:eastAsia="Arial" w:hAnsi="Arial" w:cs="Arial"/>
          <w:i/>
          <w:color w:val="000000"/>
          <w:sz w:val="20"/>
        </w:rPr>
        <w:t>Id.</w:t>
      </w:r>
      <w:r>
        <w:rPr>
          <w:rFonts w:ascii="Arial" w:eastAsia="Arial" w:hAnsi="Arial" w:cs="Arial"/>
          <w:color w:val="000000"/>
          <w:sz w:val="20"/>
        </w:rPr>
        <w:t xml:space="preserve"> § 12182(b)(2)(A)(v) (emphasis added). </w:t>
      </w:r>
      <w:bookmarkStart w:id="6045" w:name="Bookmark_I610RP3Y2N1RD70010000400"/>
      <w:bookmarkEnd w:id="6045"/>
      <w:r>
        <w:rPr>
          <w:rFonts w:ascii="Arial" w:eastAsia="Arial" w:hAnsi="Arial" w:cs="Arial"/>
          <w:color w:val="000000"/>
          <w:sz w:val="20"/>
        </w:rPr>
        <w:t xml:space="preserve">In other words, </w:t>
      </w:r>
      <w:r>
        <w:rPr>
          <w:rFonts w:ascii="Arial" w:eastAsia="Arial" w:hAnsi="Arial" w:cs="Arial"/>
          <w:i/>
          <w:color w:val="000000"/>
          <w:sz w:val="20"/>
        </w:rPr>
        <w:t>only if</w:t>
      </w:r>
      <w:r>
        <w:rPr>
          <w:rFonts w:ascii="Arial" w:eastAsia="Arial" w:hAnsi="Arial" w:cs="Arial"/>
          <w:color w:val="000000"/>
          <w:sz w:val="20"/>
        </w:rPr>
        <w:t xml:space="preserve"> the plaintiff first makes a plausible showing that the barrier removal </w:t>
      </w:r>
      <w:r>
        <w:rPr>
          <w:rFonts w:ascii="Arial" w:eastAsia="Arial" w:hAnsi="Arial" w:cs="Arial"/>
          <w:i/>
          <w:color w:val="000000"/>
          <w:sz w:val="20"/>
        </w:rPr>
        <w:t>is</w:t>
      </w:r>
      <w:r>
        <w:rPr>
          <w:rFonts w:ascii="Arial" w:eastAsia="Arial" w:hAnsi="Arial" w:cs="Arial"/>
          <w:color w:val="000000"/>
          <w:sz w:val="20"/>
        </w:rPr>
        <w:t xml:space="preserve"> readily achievable, does the defendant then have to negate that showing and prove that the removal is </w:t>
      </w:r>
      <w:r>
        <w:rPr>
          <w:rFonts w:ascii="Arial" w:eastAsia="Arial" w:hAnsi="Arial" w:cs="Arial"/>
          <w:i/>
          <w:color w:val="000000"/>
          <w:sz w:val="20"/>
        </w:rPr>
        <w:t>not</w:t>
      </w:r>
      <w:r>
        <w:rPr>
          <w:rFonts w:ascii="Arial" w:eastAsia="Arial" w:hAnsi="Arial" w:cs="Arial"/>
          <w:color w:val="000000"/>
          <w:sz w:val="20"/>
        </w:rPr>
        <w:t xml:space="preserve"> readily achievable. This is consistent with the ADA's mandate that an entity must remove an architectural barrier </w:t>
      </w:r>
      <w:r>
        <w:rPr>
          <w:rFonts w:ascii="Arial" w:eastAsia="Arial" w:hAnsi="Arial" w:cs="Arial"/>
          <w:i/>
          <w:color w:val="000000"/>
          <w:sz w:val="20"/>
        </w:rPr>
        <w:t>unless</w:t>
      </w:r>
      <w:r>
        <w:rPr>
          <w:rFonts w:ascii="Arial" w:eastAsia="Arial" w:hAnsi="Arial" w:cs="Arial"/>
          <w:color w:val="000000"/>
          <w:sz w:val="20"/>
        </w:rPr>
        <w:t xml:space="preserve"> it can show that removal is </w:t>
      </w:r>
      <w:r>
        <w:rPr>
          <w:rFonts w:ascii="Arial" w:eastAsia="Arial" w:hAnsi="Arial" w:cs="Arial"/>
          <w:i/>
          <w:color w:val="000000"/>
          <w:sz w:val="20"/>
        </w:rPr>
        <w:t>not</w:t>
      </w:r>
      <w:r>
        <w:rPr>
          <w:rFonts w:ascii="Arial" w:eastAsia="Arial" w:hAnsi="Arial" w:cs="Arial"/>
          <w:color w:val="000000"/>
          <w:sz w:val="20"/>
        </w:rPr>
        <w:t xml:space="preserve"> readily achievable. </w:t>
      </w:r>
      <w:bookmarkStart w:id="6046" w:name="Bookmark_I610RP3Y2SF7JY0050000400"/>
      <w:bookmarkEnd w:id="6046"/>
      <w:r>
        <w:rPr>
          <w:rFonts w:ascii="Arial" w:eastAsia="Arial" w:hAnsi="Arial" w:cs="Arial"/>
          <w:i/>
          <w:color w:val="000000"/>
          <w:sz w:val="20"/>
        </w:rPr>
        <w:t>Colo. Cross</w:t>
      </w:r>
      <w:r>
        <w:rPr>
          <w:rFonts w:ascii="Arial" w:eastAsia="Arial" w:hAnsi="Arial" w:cs="Arial"/>
          <w:color w:val="000000"/>
          <w:sz w:val="20"/>
        </w:rPr>
        <w:t>, 264 F.3d at 1002.</w:t>
      </w:r>
    </w:p>
    <w:p w14:paraId="3549FC8B" w14:textId="77777777" w:rsidR="002B10A6" w:rsidRDefault="00000000">
      <w:pPr>
        <w:pStyle w:val="Normal27"/>
        <w:widowControl w:val="0"/>
        <w:spacing w:before="200" w:line="260" w:lineRule="atLeast"/>
        <w:jc w:val="both"/>
      </w:pPr>
      <w:bookmarkStart w:id="6047" w:name="Bookmark_para_22_18"/>
      <w:bookmarkStart w:id="6048" w:name="Bookmark_I610RP3Y2N1RD70030000400"/>
      <w:bookmarkEnd w:id="6047"/>
      <w:bookmarkEnd w:id="6048"/>
      <w:r>
        <w:rPr>
          <w:rFonts w:ascii="Arial" w:eastAsia="Arial" w:hAnsi="Arial" w:cs="Arial"/>
          <w:color w:val="000000"/>
          <w:sz w:val="20"/>
        </w:rPr>
        <w:t xml:space="preserve">Second, applying a burden-shifting [**13]  framework in this context is consistent with our application of burden-shifting frameworks to other similarly worded subsections of Title III. For example, the first clause of subsection 12182(b)(2)(A)(ii) requires defendants to make reasonable modifications to their policies, practices, or procedures to allow individuals with disabilities to enjoy their goods and services. 42 U.S.C. § 12182(b)(2)(A)(ii). </w:t>
      </w:r>
      <w:bookmarkStart w:id="6049" w:name="Bookmark_LNHNREFclscc8_19"/>
      <w:bookmarkEnd w:id="6049"/>
      <w:r>
        <w:rPr>
          <w:rFonts w:ascii="Arial" w:eastAsia="Arial" w:hAnsi="Arial" w:cs="Arial"/>
          <w:color w:val="000000"/>
          <w:sz w:val="20"/>
        </w:rPr>
        <w:t xml:space="preserve">The second clause of subsection (ii), in turn, offers defendants an opportunity to avoid liability by "demonstrat[ing] that making such modifications </w:t>
      </w:r>
      <w:r>
        <w:rPr>
          <w:rFonts w:ascii="Arial" w:eastAsia="Arial" w:hAnsi="Arial" w:cs="Arial"/>
          <w:i/>
          <w:color w:val="000000"/>
          <w:sz w:val="20"/>
        </w:rPr>
        <w:t>would fundamentally alter the nature</w:t>
      </w:r>
      <w:r>
        <w:rPr>
          <w:rFonts w:ascii="Arial" w:eastAsia="Arial" w:hAnsi="Arial" w:cs="Arial"/>
          <w:color w:val="000000"/>
          <w:sz w:val="20"/>
        </w:rPr>
        <w:t xml:space="preserve"> of such goods [or] services." 42 U.S.C. § 12182(b)(2)(A)(ii) (emphases added). </w:t>
      </w:r>
      <w:bookmarkStart w:id="6050" w:name="Bookmark_I610RP3Y2HM5T10020000400"/>
      <w:bookmarkEnd w:id="6050"/>
      <w:r>
        <w:rPr>
          <w:rFonts w:ascii="Arial" w:eastAsia="Arial" w:hAnsi="Arial" w:cs="Arial"/>
          <w:color w:val="000000"/>
          <w:sz w:val="20"/>
        </w:rPr>
        <w:t xml:space="preserve">In </w:t>
      </w:r>
      <w:r>
        <w:rPr>
          <w:rFonts w:ascii="Arial" w:eastAsia="Arial" w:hAnsi="Arial" w:cs="Arial"/>
          <w:i/>
          <w:color w:val="000000"/>
          <w:sz w:val="20"/>
        </w:rPr>
        <w:t>Lentini v. California Center for the Arts</w:t>
      </w:r>
      <w:r>
        <w:rPr>
          <w:rFonts w:ascii="Arial" w:eastAsia="Arial" w:hAnsi="Arial" w:cs="Arial"/>
          <w:color w:val="000000"/>
          <w:sz w:val="20"/>
        </w:rPr>
        <w:t xml:space="preserve">, we endorsed the Fifth Circuit's holding that, under subsection (ii), the plaintiff must initially prove that a modification was requested and that the requested modification was reasonable. </w:t>
      </w:r>
      <w:bookmarkStart w:id="6051" w:name="Bookmark_I610RP3Y2N1RD70020000400"/>
      <w:bookmarkEnd w:id="6051"/>
      <w:r>
        <w:rPr>
          <w:rFonts w:ascii="Arial" w:eastAsia="Arial" w:hAnsi="Arial" w:cs="Arial"/>
          <w:color w:val="000000"/>
          <w:sz w:val="20"/>
        </w:rPr>
        <w:t xml:space="preserve">370 F.3d 837, 845 (9th Cir. 2004) (citing </w:t>
      </w:r>
      <w:bookmarkStart w:id="6052" w:name="Bookmark_I610RP3Y2N1RD70040000400"/>
      <w:bookmarkEnd w:id="6052"/>
      <w:r>
        <w:rPr>
          <w:rFonts w:ascii="Arial" w:eastAsia="Arial" w:hAnsi="Arial" w:cs="Arial"/>
          <w:i/>
          <w:color w:val="000000"/>
          <w:sz w:val="20"/>
        </w:rPr>
        <w:t>Johnson v. Gambrinus Co./Spoetzl Brewery</w:t>
      </w:r>
      <w:r>
        <w:rPr>
          <w:rFonts w:ascii="Arial" w:eastAsia="Arial" w:hAnsi="Arial" w:cs="Arial"/>
          <w:color w:val="000000"/>
          <w:sz w:val="20"/>
        </w:rPr>
        <w:t xml:space="preserve">, 116 F.3d 1052, 1059 (5th Cir. 1997)). </w:t>
      </w:r>
      <w:bookmarkStart w:id="6053" w:name="Bookmark_I610RP3Y2HM5T10020000400_2"/>
      <w:bookmarkEnd w:id="6053"/>
      <w:r>
        <w:rPr>
          <w:rFonts w:ascii="Arial" w:eastAsia="Arial" w:hAnsi="Arial" w:cs="Arial"/>
          <w:color w:val="000000"/>
          <w:sz w:val="20"/>
        </w:rPr>
        <w:t xml:space="preserve">If the plaintiff meets that initial burden, then the defendant bears the ultimate burden of persuasion that the requested modification would fundamentally alter the nature of the public accommodation. </w:t>
      </w:r>
      <w:r>
        <w:rPr>
          <w:rFonts w:ascii="Arial" w:eastAsia="Arial" w:hAnsi="Arial" w:cs="Arial"/>
          <w:i/>
          <w:color w:val="000000"/>
          <w:sz w:val="20"/>
        </w:rPr>
        <w:t>See id.</w:t>
      </w:r>
      <w:r>
        <w:rPr>
          <w:rFonts w:ascii="Arial" w:eastAsia="Arial" w:hAnsi="Arial" w:cs="Arial"/>
          <w:color w:val="000000"/>
          <w:sz w:val="20"/>
        </w:rPr>
        <w:t xml:space="preserve"> More recently, in </w:t>
      </w:r>
      <w:r>
        <w:rPr>
          <w:rFonts w:ascii="Arial" w:eastAsia="Arial" w:hAnsi="Arial" w:cs="Arial"/>
          <w:i/>
          <w:color w:val="000000"/>
          <w:sz w:val="20"/>
        </w:rPr>
        <w:t>Karczewski v. DCH Mission Valley LLC</w:t>
      </w:r>
      <w:r>
        <w:rPr>
          <w:rFonts w:ascii="Arial" w:eastAsia="Arial" w:hAnsi="Arial" w:cs="Arial"/>
          <w:color w:val="000000"/>
          <w:sz w:val="20"/>
        </w:rPr>
        <w:t xml:space="preserve">, we confirmed that to prevail on a claim under subsection (ii) the plaintiff must first establish a prima facie case that [**14]  the defendant "fail[ed] to make a requested reasonable modification that was . . . necessary to accommodate the plaintiff's disability." </w:t>
      </w:r>
      <w:bookmarkStart w:id="6054" w:name="Bookmark_I610RP3Y2HM5T10010000400"/>
      <w:bookmarkEnd w:id="6054"/>
      <w:r>
        <w:rPr>
          <w:rFonts w:ascii="Arial" w:eastAsia="Arial" w:hAnsi="Arial" w:cs="Arial"/>
          <w:color w:val="000000"/>
          <w:sz w:val="20"/>
        </w:rPr>
        <w:t xml:space="preserve">862 F.3d 1006, 1010 (9th Cir. 2017) (quoting </w:t>
      </w:r>
      <w:bookmarkStart w:id="6055" w:name="Bookmark_I610RP3Y2HM5T10030000400"/>
      <w:bookmarkEnd w:id="6055"/>
      <w:r>
        <w:rPr>
          <w:rFonts w:ascii="Arial" w:eastAsia="Arial" w:hAnsi="Arial" w:cs="Arial"/>
          <w:i/>
          <w:color w:val="000000"/>
          <w:sz w:val="20"/>
        </w:rPr>
        <w:t>Fortyune v. Am. Multi-Cinema, Inc.</w:t>
      </w:r>
      <w:r>
        <w:rPr>
          <w:rFonts w:ascii="Arial" w:eastAsia="Arial" w:hAnsi="Arial" w:cs="Arial"/>
          <w:color w:val="000000"/>
          <w:sz w:val="20"/>
        </w:rPr>
        <w:t xml:space="preserve">, 364 F.3d 1075, 1082 (9th Cir. 2004)). Only then must the defendant "make the requested modification unless it proves that doing so would alter the fundamental nature of its business." </w:t>
      </w:r>
      <w:r>
        <w:rPr>
          <w:rFonts w:ascii="Arial" w:eastAsia="Arial" w:hAnsi="Arial" w:cs="Arial"/>
          <w:i/>
          <w:color w:val="000000"/>
          <w:sz w:val="20"/>
        </w:rPr>
        <w:t>Id.</w:t>
      </w:r>
    </w:p>
    <w:p w14:paraId="726A1FF5" w14:textId="77777777" w:rsidR="002B10A6" w:rsidRDefault="00000000">
      <w:pPr>
        <w:pStyle w:val="Normal27"/>
        <w:widowControl w:val="0"/>
        <w:spacing w:before="200" w:line="260" w:lineRule="atLeast"/>
        <w:jc w:val="both"/>
      </w:pPr>
      <w:bookmarkStart w:id="6056" w:name="Bookmark_para_23_18"/>
      <w:bookmarkStart w:id="6057" w:name="Bookmark_I610RP402HM5T20010000400"/>
      <w:bookmarkStart w:id="6058" w:name="Bookmark_I610RP402HM5T20030000400"/>
      <w:bookmarkEnd w:id="6056"/>
      <w:bookmarkEnd w:id="6057"/>
      <w:bookmarkEnd w:id="6058"/>
      <w:r>
        <w:rPr>
          <w:rFonts w:ascii="Arial" w:eastAsia="Arial" w:hAnsi="Arial" w:cs="Arial"/>
          <w:color w:val="000000"/>
          <w:sz w:val="20"/>
        </w:rPr>
        <w:t>Finally, a burden-shifting approach is congruent with how we adjudicate employment claims under Title I of the ADA. For example, under Title I, a disabled employee seeking an employment accommodation under 42 U.S.C. § 12112(b)(5)(A)-(B)</w:t>
      </w:r>
      <w:r>
        <w:rPr>
          <w:rFonts w:ascii="Arial" w:eastAsia="Arial" w:hAnsi="Arial" w:cs="Arial"/>
          <w:vertAlign w:val="superscript"/>
        </w:rPr>
        <w:footnoteReference w:customMarkFollows="1" w:id="220"/>
        <w:t>4</w:t>
      </w:r>
      <w:r>
        <w:rPr>
          <w:rFonts w:ascii="Arial" w:eastAsia="Arial" w:hAnsi="Arial" w:cs="Arial"/>
          <w:color w:val="000000"/>
          <w:sz w:val="20"/>
        </w:rPr>
        <w:t xml:space="preserve"> must  [*1037]  initially prove that the accommodation "seems reasonable on its face[.]" </w:t>
      </w:r>
      <w:bookmarkStart w:id="6061" w:name="Bookmark_I610RP3Y2HM5T10050000400"/>
      <w:bookmarkEnd w:id="6061"/>
      <w:r>
        <w:rPr>
          <w:rFonts w:ascii="Arial" w:eastAsia="Arial" w:hAnsi="Arial" w:cs="Arial"/>
          <w:i/>
          <w:color w:val="000000"/>
          <w:sz w:val="20"/>
        </w:rPr>
        <w:t>U.S. Airways, Inc. v. Barnett</w:t>
      </w:r>
      <w:r>
        <w:rPr>
          <w:rFonts w:ascii="Arial" w:eastAsia="Arial" w:hAnsi="Arial" w:cs="Arial"/>
          <w:color w:val="000000"/>
          <w:sz w:val="20"/>
        </w:rPr>
        <w:t xml:space="preserve">, 535 U.S. 391, 401, 122 S. Ct. 1516, 152 L. Ed. 2d 589 (2002). </w:t>
      </w:r>
      <w:bookmarkStart w:id="6062" w:name="Bookmark_I610RP402HM5T20050000400"/>
      <w:bookmarkEnd w:id="6062"/>
      <w:r>
        <w:rPr>
          <w:rFonts w:ascii="Arial" w:eastAsia="Arial" w:hAnsi="Arial" w:cs="Arial"/>
          <w:color w:val="000000"/>
          <w:sz w:val="20"/>
        </w:rPr>
        <w:t xml:space="preserve">If the employee meets that initial burden, then the defendant "must show special (typically case-specific) circumstances that demonstrate undue hardship in the particular circumstances." </w:t>
      </w:r>
      <w:bookmarkStart w:id="6063" w:name="Bookmark_I610RP402HM5T20020000400"/>
      <w:bookmarkEnd w:id="6063"/>
      <w:r>
        <w:rPr>
          <w:rFonts w:ascii="Arial" w:eastAsia="Arial" w:hAnsi="Arial" w:cs="Arial"/>
          <w:i/>
          <w:color w:val="000000"/>
          <w:sz w:val="20"/>
        </w:rPr>
        <w:t>Id.</w:t>
      </w:r>
      <w:r>
        <w:rPr>
          <w:rFonts w:ascii="Arial" w:eastAsia="Arial" w:hAnsi="Arial" w:cs="Arial"/>
          <w:color w:val="000000"/>
          <w:sz w:val="20"/>
        </w:rPr>
        <w:t xml:space="preserve"> at 402. Similarly, when it comes to disparate-treatment employment claims under the ADA, the Supreme Court has clarified that once an employee makes "a prima facie showing of discrimination, the next question . . . </w:t>
      </w:r>
      <w:bookmarkStart w:id="6064" w:name="Bookmark_I610RP402HM5T20050000400_2"/>
      <w:bookmarkEnd w:id="6064"/>
      <w:r>
        <w:rPr>
          <w:rFonts w:ascii="Arial" w:eastAsia="Arial" w:hAnsi="Arial" w:cs="Arial"/>
          <w:color w:val="000000"/>
          <w:sz w:val="20"/>
        </w:rPr>
        <w:t xml:space="preserve">[is] whether [the employer] offered a legitimate, nondiscriminatory reason for its actions so as to demonstrate that its actions were not motivated by [the employee's] disability." </w:t>
      </w:r>
      <w:bookmarkStart w:id="6065" w:name="Bookmark_I610RP402HM5T20040000400"/>
      <w:bookmarkEnd w:id="6065"/>
      <w:r>
        <w:rPr>
          <w:rFonts w:ascii="Arial" w:eastAsia="Arial" w:hAnsi="Arial" w:cs="Arial"/>
          <w:i/>
          <w:color w:val="000000"/>
          <w:sz w:val="20"/>
        </w:rPr>
        <w:t>Raytheon Co. v. Hernandez</w:t>
      </w:r>
      <w:r>
        <w:rPr>
          <w:rFonts w:ascii="Arial" w:eastAsia="Arial" w:hAnsi="Arial" w:cs="Arial"/>
          <w:color w:val="000000"/>
          <w:sz w:val="20"/>
        </w:rPr>
        <w:t>, 540 U.S. 44, 55, 124 S. Ct. 513, 157 L. Ed. 2d 357 (2003).</w:t>
      </w:r>
    </w:p>
    <w:p w14:paraId="6C58F46F" w14:textId="77777777" w:rsidR="002B10A6" w:rsidRDefault="00000000">
      <w:pPr>
        <w:pStyle w:val="Normal27"/>
        <w:widowControl w:val="0"/>
        <w:spacing w:before="200" w:line="260" w:lineRule="atLeast"/>
        <w:jc w:val="both"/>
      </w:pPr>
      <w:bookmarkStart w:id="6066" w:name="Bookmark_para_25_18"/>
      <w:bookmarkStart w:id="6067" w:name="Bookmark_I610RP402D6NC40020000400"/>
      <w:bookmarkStart w:id="6068" w:name="Bookmark_I610RP402D6NC40040000400"/>
      <w:bookmarkStart w:id="6069" w:name="Bookmark_I610RP402D6NC50010000400"/>
      <w:bookmarkEnd w:id="6066"/>
      <w:bookmarkEnd w:id="6067"/>
      <w:bookmarkEnd w:id="6068"/>
      <w:bookmarkEnd w:id="6069"/>
      <w:r>
        <w:rPr>
          <w:rFonts w:ascii="Arial" w:eastAsia="Arial" w:hAnsi="Arial" w:cs="Arial"/>
          <w:color w:val="000000"/>
          <w:sz w:val="20"/>
        </w:rPr>
        <w:t xml:space="preserve">Lopez argues that, under our decision in </w:t>
      </w:r>
      <w:r>
        <w:rPr>
          <w:rFonts w:ascii="Arial" w:eastAsia="Arial" w:hAnsi="Arial" w:cs="Arial"/>
          <w:i/>
          <w:color w:val="000000"/>
          <w:sz w:val="20"/>
        </w:rPr>
        <w:t>Molski</w:t>
      </w:r>
      <w:r>
        <w:rPr>
          <w:rFonts w:ascii="Arial" w:eastAsia="Arial" w:hAnsi="Arial" w:cs="Arial"/>
          <w:color w:val="000000"/>
          <w:sz w:val="20"/>
        </w:rPr>
        <w:t xml:space="preserve">, Catalina bears the initial burden of establishing that removal of the restroom door is not readily achievable. </w:t>
      </w:r>
      <w:bookmarkStart w:id="6070" w:name="Bookmark_I610RP402D6NC40010000400"/>
      <w:bookmarkEnd w:id="6070"/>
      <w:r>
        <w:rPr>
          <w:rFonts w:ascii="Arial" w:eastAsia="Arial" w:hAnsi="Arial" w:cs="Arial"/>
          <w:color w:val="000000"/>
          <w:sz w:val="20"/>
        </w:rPr>
        <w:t xml:space="preserve">531 F.3d at 1043. In </w:t>
      </w:r>
      <w:r>
        <w:rPr>
          <w:rFonts w:ascii="Arial" w:eastAsia="Arial" w:hAnsi="Arial" w:cs="Arial"/>
          <w:i/>
          <w:color w:val="000000"/>
          <w:sz w:val="20"/>
        </w:rPr>
        <w:t>Molski</w:t>
      </w:r>
      <w:r>
        <w:rPr>
          <w:rFonts w:ascii="Arial" w:eastAsia="Arial" w:hAnsi="Arial" w:cs="Arial"/>
          <w:color w:val="000000"/>
          <w:sz w:val="20"/>
        </w:rPr>
        <w:t xml:space="preserve">, a paraplegic man sued a winery because it refused to remove external architectural barriers that prevented wheelchair access to its historic wine-tasting room. </w:t>
      </w:r>
      <w:bookmarkStart w:id="6071" w:name="Bookmark_I610RP402D6NC40030000400"/>
      <w:bookmarkEnd w:id="6071"/>
      <w:r>
        <w:rPr>
          <w:rFonts w:ascii="Arial" w:eastAsia="Arial" w:hAnsi="Arial" w:cs="Arial"/>
          <w:i/>
          <w:color w:val="000000"/>
          <w:sz w:val="20"/>
        </w:rPr>
        <w:t>Id.</w:t>
      </w:r>
      <w:r>
        <w:rPr>
          <w:rFonts w:ascii="Arial" w:eastAsia="Arial" w:hAnsi="Arial" w:cs="Arial"/>
          <w:color w:val="000000"/>
          <w:sz w:val="20"/>
        </w:rPr>
        <w:t xml:space="preserve"> at 1045-46. </w:t>
      </w:r>
      <w:bookmarkStart w:id="6072" w:name="Bookmark_I610RP402D6NC50030000400"/>
      <w:bookmarkEnd w:id="6072"/>
      <w:r>
        <w:rPr>
          <w:rFonts w:ascii="Arial" w:eastAsia="Arial" w:hAnsi="Arial" w:cs="Arial"/>
          <w:color w:val="000000"/>
          <w:sz w:val="20"/>
        </w:rPr>
        <w:t xml:space="preserve">We held that, under those circumstances, the defendant had the initial burden of proving that removal of the barriers was not readily achievable because federal regulations "do[] not place that burden on the party advocating for remedial measures," but "on the party with the best access [**16]  to information </w:t>
      </w:r>
      <w:r>
        <w:rPr>
          <w:rFonts w:ascii="Arial" w:eastAsia="Arial" w:hAnsi="Arial" w:cs="Arial"/>
          <w:i/>
          <w:color w:val="000000"/>
          <w:sz w:val="20"/>
        </w:rPr>
        <w:t>regarding the historical significance of the building</w:t>
      </w:r>
      <w:r>
        <w:rPr>
          <w:rFonts w:ascii="Arial" w:eastAsia="Arial" w:hAnsi="Arial" w:cs="Arial"/>
          <w:color w:val="000000"/>
          <w:sz w:val="20"/>
        </w:rPr>
        <w:t xml:space="preserve">." </w:t>
      </w:r>
      <w:bookmarkStart w:id="6073" w:name="Bookmark_I610RP402D6NC40050000400"/>
      <w:bookmarkEnd w:id="6073"/>
      <w:r>
        <w:rPr>
          <w:rFonts w:ascii="Arial" w:eastAsia="Arial" w:hAnsi="Arial" w:cs="Arial"/>
          <w:i/>
          <w:color w:val="000000"/>
          <w:sz w:val="20"/>
        </w:rPr>
        <w:t>Id.</w:t>
      </w:r>
      <w:r>
        <w:rPr>
          <w:rFonts w:ascii="Arial" w:eastAsia="Arial" w:hAnsi="Arial" w:cs="Arial"/>
          <w:color w:val="000000"/>
          <w:sz w:val="20"/>
        </w:rPr>
        <w:t xml:space="preserve"> at 1048 (emphasis added). </w:t>
      </w:r>
      <w:bookmarkStart w:id="6074" w:name="Bookmark_I610RP402D6NC50030000400_2"/>
      <w:bookmarkEnd w:id="6074"/>
      <w:r>
        <w:rPr>
          <w:rFonts w:ascii="Arial" w:eastAsia="Arial" w:hAnsi="Arial" w:cs="Arial"/>
          <w:color w:val="000000"/>
          <w:sz w:val="20"/>
        </w:rPr>
        <w:t xml:space="preserve">Indeed, 28 C.F.R. § 36.405 requires qualified historic buildings to "comply to the maximum extent feasible with" the Americans with Disabilities Act Accessibility Guidelines for Buildings and Facilities, § 4.1.7 ("§ 4.1.7"). In turn, § 4.1.7 requires entities who own historic places of public accommodation to "consult with the State Historic Preservation Officer" if they "believe[] that compliance with the requirements would threaten or destroy the historic significance of the building." Therefore, the </w:t>
      </w:r>
      <w:r>
        <w:rPr>
          <w:rFonts w:ascii="Arial" w:eastAsia="Arial" w:hAnsi="Arial" w:cs="Arial"/>
          <w:i/>
          <w:color w:val="000000"/>
          <w:sz w:val="20"/>
        </w:rPr>
        <w:t>Molski</w:t>
      </w:r>
      <w:r>
        <w:rPr>
          <w:rFonts w:ascii="Arial" w:eastAsia="Arial" w:hAnsi="Arial" w:cs="Arial"/>
          <w:color w:val="000000"/>
          <w:sz w:val="20"/>
        </w:rPr>
        <w:t xml:space="preserve"> court concluded "§ 4.1.7 counsels in favor of placing the burden of production on the defendant." </w:t>
      </w:r>
      <w:bookmarkStart w:id="6075" w:name="Bookmark_I610RP402D6NC50020000400"/>
      <w:bookmarkEnd w:id="6075"/>
      <w:r>
        <w:rPr>
          <w:rFonts w:ascii="Arial" w:eastAsia="Arial" w:hAnsi="Arial" w:cs="Arial"/>
          <w:i/>
          <w:color w:val="000000"/>
          <w:sz w:val="20"/>
        </w:rPr>
        <w:t>Molski</w:t>
      </w:r>
      <w:r>
        <w:rPr>
          <w:rFonts w:ascii="Arial" w:eastAsia="Arial" w:hAnsi="Arial" w:cs="Arial"/>
          <w:color w:val="000000"/>
          <w:sz w:val="20"/>
        </w:rPr>
        <w:t>, 531 F.3d at 1048.</w:t>
      </w:r>
    </w:p>
    <w:p w14:paraId="2BA63F09" w14:textId="77777777" w:rsidR="002B10A6" w:rsidRDefault="00000000">
      <w:pPr>
        <w:pStyle w:val="Normal27"/>
        <w:widowControl w:val="0"/>
        <w:spacing w:before="200" w:line="260" w:lineRule="atLeast"/>
        <w:jc w:val="both"/>
      </w:pPr>
      <w:bookmarkStart w:id="6076" w:name="Bookmark_para_26_18"/>
      <w:bookmarkEnd w:id="6076"/>
      <w:r>
        <w:rPr>
          <w:rFonts w:ascii="Arial" w:eastAsia="Arial" w:hAnsi="Arial" w:cs="Arial"/>
          <w:i/>
          <w:color w:val="000000"/>
          <w:sz w:val="20"/>
        </w:rPr>
        <w:t>Molski</w:t>
      </w:r>
      <w:r>
        <w:rPr>
          <w:rFonts w:ascii="Arial" w:eastAsia="Arial" w:hAnsi="Arial" w:cs="Arial"/>
          <w:color w:val="000000"/>
          <w:sz w:val="20"/>
        </w:rPr>
        <w:t xml:space="preserve"> applies only to the removal of architectural barriers "in historic facilities." </w:t>
      </w:r>
      <w:r>
        <w:rPr>
          <w:rFonts w:ascii="Arial" w:eastAsia="Arial" w:hAnsi="Arial" w:cs="Arial"/>
          <w:i/>
          <w:color w:val="000000"/>
          <w:sz w:val="20"/>
        </w:rPr>
        <w:t>Id.</w:t>
      </w:r>
      <w:r>
        <w:rPr>
          <w:rFonts w:ascii="Arial" w:eastAsia="Arial" w:hAnsi="Arial" w:cs="Arial"/>
          <w:color w:val="000000"/>
          <w:sz w:val="20"/>
        </w:rPr>
        <w:t xml:space="preserve"> Notably, the plaintiff had identified the nature of the accommodation requested. We reasoned in </w:t>
      </w:r>
      <w:r>
        <w:rPr>
          <w:rFonts w:ascii="Arial" w:eastAsia="Arial" w:hAnsi="Arial" w:cs="Arial"/>
          <w:i/>
          <w:color w:val="000000"/>
          <w:sz w:val="20"/>
        </w:rPr>
        <w:t>Molski</w:t>
      </w:r>
      <w:r>
        <w:rPr>
          <w:rFonts w:ascii="Arial" w:eastAsia="Arial" w:hAnsi="Arial" w:cs="Arial"/>
          <w:color w:val="000000"/>
          <w:sz w:val="20"/>
        </w:rPr>
        <w:t xml:space="preserve"> that:</w:t>
      </w:r>
    </w:p>
    <w:p w14:paraId="23CD07B9" w14:textId="77777777" w:rsidR="002B10A6" w:rsidRDefault="00000000">
      <w:pPr>
        <w:pStyle w:val="Normal27"/>
        <w:widowControl w:val="0"/>
        <w:spacing w:before="200" w:line="260" w:lineRule="atLeast"/>
        <w:ind w:left="400"/>
        <w:jc w:val="both"/>
      </w:pPr>
      <w:bookmarkStart w:id="6077" w:name="Bookmark_para_27_18"/>
      <w:bookmarkEnd w:id="6077"/>
      <w:r>
        <w:rPr>
          <w:rFonts w:ascii="Arial" w:eastAsia="Arial" w:hAnsi="Arial" w:cs="Arial"/>
          <w:color w:val="000000"/>
          <w:sz w:val="20"/>
        </w:rPr>
        <w:t xml:space="preserve">The defendant sought the </w:t>
      </w:r>
      <w:r>
        <w:rPr>
          <w:rFonts w:ascii="Arial" w:eastAsia="Arial" w:hAnsi="Arial" w:cs="Arial"/>
          <w:i/>
          <w:color w:val="000000"/>
          <w:sz w:val="20"/>
        </w:rPr>
        <w:t>historical designation</w:t>
      </w:r>
      <w:r>
        <w:rPr>
          <w:rFonts w:ascii="Arial" w:eastAsia="Arial" w:hAnsi="Arial" w:cs="Arial"/>
          <w:color w:val="000000"/>
          <w:sz w:val="20"/>
        </w:rPr>
        <w:t xml:space="preserve"> in this case. Thus, the defendant possesses the best understanding of the circumstances under which that designation might be threatened. The defendant is also in the best position to discuss the matter with the Santa Barbara County Historic Landmarks Advisory Commission and to request an opinion [**17]  on proposed methods of barrier removal. As a result, the defendant is in a better position to introduce, as part of its affirmative defense, detailed evidence and expert testimony concerning whether the </w:t>
      </w:r>
      <w:r>
        <w:rPr>
          <w:rFonts w:ascii="Arial" w:eastAsia="Arial" w:hAnsi="Arial" w:cs="Arial"/>
          <w:i/>
          <w:color w:val="000000"/>
          <w:sz w:val="20"/>
        </w:rPr>
        <w:t>historic significance</w:t>
      </w:r>
      <w:r>
        <w:rPr>
          <w:rFonts w:ascii="Arial" w:eastAsia="Arial" w:hAnsi="Arial" w:cs="Arial"/>
          <w:color w:val="000000"/>
          <w:sz w:val="20"/>
        </w:rPr>
        <w:t xml:space="preserve"> of a structure would be threatened or destroyed by the proposed barrier removal plan.</w:t>
      </w:r>
    </w:p>
    <w:p w14:paraId="0BAE1AAE" w14:textId="77777777" w:rsidR="002B10A6" w:rsidRDefault="00000000">
      <w:pPr>
        <w:pStyle w:val="Normal27"/>
        <w:widowControl w:val="0"/>
        <w:spacing w:before="200" w:line="260" w:lineRule="atLeast"/>
        <w:jc w:val="both"/>
      </w:pPr>
      <w:bookmarkStart w:id="6078" w:name="Bookmark_I3P3281G3F700005YXN00006"/>
      <w:bookmarkStart w:id="6079" w:name="Bookmark_I610RP402D6NC50050000400"/>
      <w:bookmarkEnd w:id="6078"/>
      <w:bookmarkEnd w:id="6079"/>
      <w:r>
        <w:rPr>
          <w:rFonts w:ascii="Arial" w:eastAsia="Arial" w:hAnsi="Arial" w:cs="Arial"/>
          <w:i/>
          <w:color w:val="000000"/>
          <w:sz w:val="20"/>
        </w:rPr>
        <w:t>Id.</w:t>
      </w:r>
      <w:r>
        <w:rPr>
          <w:rFonts w:ascii="Arial" w:eastAsia="Arial" w:hAnsi="Arial" w:cs="Arial"/>
          <w:color w:val="000000"/>
          <w:sz w:val="20"/>
        </w:rPr>
        <w:t xml:space="preserve"> (emphases added). Here, by contrast, the Jet Cat Express is not a historic facility. Catalina need not consult with a historic preservation entity on proposed methods of barrier removal to evaluate how the alteration of the vessel's restroom door might threaten the vessel's historic significance.</w:t>
      </w:r>
      <w:bookmarkStart w:id="6080" w:name="Bookmark_I610RP402D6NC50040000400"/>
      <w:bookmarkEnd w:id="6080"/>
      <w:r>
        <w:rPr>
          <w:rFonts w:ascii="Arial" w:eastAsia="Arial" w:hAnsi="Arial" w:cs="Arial"/>
          <w:color w:val="000000"/>
          <w:sz w:val="20"/>
        </w:rPr>
        <w:t xml:space="preserve"> </w:t>
      </w:r>
      <w:r>
        <w:rPr>
          <w:rFonts w:ascii="Arial" w:eastAsia="Arial" w:hAnsi="Arial" w:cs="Arial"/>
          <w:i/>
          <w:color w:val="000000"/>
          <w:sz w:val="20"/>
        </w:rPr>
        <w:t>Molski</w:t>
      </w:r>
      <w:r>
        <w:rPr>
          <w:rFonts w:ascii="Arial" w:eastAsia="Arial" w:hAnsi="Arial" w:cs="Arial"/>
          <w:color w:val="000000"/>
          <w:sz w:val="20"/>
        </w:rPr>
        <w:t xml:space="preserve"> only applies in cases that involve removal of architectural barriers to historic facilities—it is the exception, not the rule.</w:t>
      </w:r>
      <w:r>
        <w:rPr>
          <w:rFonts w:ascii="Arial" w:eastAsia="Arial" w:hAnsi="Arial" w:cs="Arial"/>
          <w:vertAlign w:val="superscript"/>
        </w:rPr>
        <w:footnoteReference w:customMarkFollows="1" w:id="221"/>
        <w:t>5</w:t>
      </w:r>
    </w:p>
    <w:p w14:paraId="314229DA" w14:textId="77777777" w:rsidR="002B10A6" w:rsidRDefault="00000000">
      <w:pPr>
        <w:pStyle w:val="Normal27"/>
        <w:widowControl w:val="0"/>
        <w:spacing w:before="200" w:line="260" w:lineRule="atLeast"/>
        <w:jc w:val="both"/>
      </w:pPr>
      <w:bookmarkStart w:id="6090" w:name="Bookmark_para_28_18"/>
      <w:bookmarkStart w:id="6091" w:name="Bookmark_I3P3281FRGN00005YXN00003"/>
      <w:bookmarkStart w:id="6092" w:name="Bookmark_I3P3281FWPR00005YXN00004"/>
      <w:bookmarkStart w:id="6093" w:name="Bookmark_I3P3281G0RY00005YXN00005"/>
      <w:bookmarkStart w:id="6094" w:name="Bookmark_I610RP412SF7K20040000400"/>
      <w:bookmarkEnd w:id="6090"/>
      <w:bookmarkEnd w:id="6091"/>
      <w:bookmarkEnd w:id="6092"/>
      <w:bookmarkEnd w:id="6093"/>
      <w:bookmarkEnd w:id="6094"/>
      <w:r>
        <w:rPr>
          <w:rFonts w:ascii="Arial" w:eastAsia="Arial" w:hAnsi="Arial" w:cs="Arial"/>
          <w:color w:val="000000"/>
          <w:sz w:val="20"/>
        </w:rPr>
        <w:t xml:space="preserve"> [*1038]  Although every circuit applies a burden-shifting framework when addressing claims for removal of architectural barriers at summary judgment, the initial burden placed on plaintiffs varies. </w:t>
      </w:r>
      <w:bookmarkStart w:id="6095" w:name="Bookmark_I610RP412N1RDB0050000400"/>
      <w:bookmarkEnd w:id="6095"/>
      <w:r>
        <w:rPr>
          <w:rFonts w:ascii="Arial" w:eastAsia="Arial" w:hAnsi="Arial" w:cs="Arial"/>
          <w:color w:val="000000"/>
          <w:sz w:val="20"/>
        </w:rPr>
        <w:t xml:space="preserve">For example, the Tenth Circuit requires plaintiffs to provide "precise cost estimates" and "a specific design" regarding their proposed accommodation, </w:t>
      </w:r>
      <w:bookmarkStart w:id="6096" w:name="Bookmark_I610RP412SF7K20030000400"/>
      <w:bookmarkEnd w:id="6096"/>
      <w:r>
        <w:rPr>
          <w:rFonts w:ascii="Arial" w:eastAsia="Arial" w:hAnsi="Arial" w:cs="Arial"/>
          <w:i/>
          <w:color w:val="000000"/>
          <w:sz w:val="20"/>
        </w:rPr>
        <w:t>Colo. Cross</w:t>
      </w:r>
      <w:r>
        <w:rPr>
          <w:rFonts w:ascii="Arial" w:eastAsia="Arial" w:hAnsi="Arial" w:cs="Arial"/>
          <w:color w:val="000000"/>
          <w:sz w:val="20"/>
        </w:rPr>
        <w:t xml:space="preserve">, 264 F.3d at 1009, whereas </w:t>
      </w:r>
      <w:bookmarkStart w:id="6097" w:name="Bookmark_LNHNREFclscc9_18"/>
      <w:bookmarkEnd w:id="6097"/>
      <w:r>
        <w:rPr>
          <w:rFonts w:ascii="Arial" w:eastAsia="Arial" w:hAnsi="Arial" w:cs="Arial"/>
          <w:color w:val="000000"/>
          <w:sz w:val="20"/>
        </w:rPr>
        <w:t xml:space="preserve">the [**18]  Second Circuit requires plaintiffs only to "articulate a plausible proposal for barrier removal, 'the costs of which, facially, do not clearly exceed its benefits,'" </w:t>
      </w:r>
      <w:bookmarkStart w:id="6098" w:name="Bookmark_I610RP412SF7K20050000400"/>
      <w:bookmarkEnd w:id="6098"/>
      <w:r>
        <w:rPr>
          <w:rFonts w:ascii="Arial" w:eastAsia="Arial" w:hAnsi="Arial" w:cs="Arial"/>
          <w:i/>
          <w:color w:val="000000"/>
          <w:sz w:val="20"/>
        </w:rPr>
        <w:t>Roberts</w:t>
      </w:r>
      <w:r>
        <w:rPr>
          <w:rFonts w:ascii="Arial" w:eastAsia="Arial" w:hAnsi="Arial" w:cs="Arial"/>
          <w:color w:val="000000"/>
          <w:sz w:val="20"/>
        </w:rPr>
        <w:t xml:space="preserve">, 542 F.3d at 373 (quoting </w:t>
      </w:r>
      <w:bookmarkStart w:id="6099" w:name="Bookmark_I610RP412N1RDB0020000400"/>
      <w:bookmarkEnd w:id="6099"/>
      <w:r>
        <w:rPr>
          <w:rFonts w:ascii="Arial" w:eastAsia="Arial" w:hAnsi="Arial" w:cs="Arial"/>
          <w:i/>
          <w:color w:val="000000"/>
          <w:sz w:val="20"/>
        </w:rPr>
        <w:t>Borkowski v. Valley Cent. Sch. Dist.</w:t>
      </w:r>
      <w:r>
        <w:rPr>
          <w:rFonts w:ascii="Arial" w:eastAsia="Arial" w:hAnsi="Arial" w:cs="Arial"/>
          <w:color w:val="000000"/>
          <w:sz w:val="20"/>
        </w:rPr>
        <w:t xml:space="preserve">, 63 F.3d 131, 138 (2d Cir. 1995)). We believe that the Second Circuit's approach is most sensible because otherwise we would be asking too much of plaintiffs, especially considering that defendants have more knowledge and information regarding their own facilities, which allows them to quickly and easily counter implausible barrier-removal proposals. </w:t>
      </w:r>
      <w:bookmarkStart w:id="6100" w:name="Bookmark_I610RP412N1RDB0050000400_2"/>
      <w:bookmarkEnd w:id="6100"/>
      <w:r>
        <w:rPr>
          <w:rFonts w:ascii="Arial" w:eastAsia="Arial" w:hAnsi="Arial" w:cs="Arial"/>
          <w:i/>
          <w:color w:val="000000"/>
          <w:sz w:val="20"/>
        </w:rPr>
        <w:t xml:space="preserve">See </w:t>
      </w:r>
      <w:bookmarkStart w:id="6101" w:name="Bookmark_I610RP412N1RDB0040000400"/>
      <w:bookmarkEnd w:id="6101"/>
      <w:r>
        <w:rPr>
          <w:rFonts w:ascii="Arial" w:eastAsia="Arial" w:hAnsi="Arial" w:cs="Arial"/>
          <w:i/>
          <w:color w:val="000000"/>
          <w:sz w:val="20"/>
        </w:rPr>
        <w:t>Roberts</w:t>
      </w:r>
      <w:r>
        <w:rPr>
          <w:rFonts w:ascii="Arial" w:eastAsia="Arial" w:hAnsi="Arial" w:cs="Arial"/>
          <w:color w:val="000000"/>
          <w:sz w:val="20"/>
        </w:rPr>
        <w:t>, 542 F.3d at 373 ("Neither the estimates nor the proposal are required to be exact or detailed, for the defendant may counter the plaintiff's showing by meeting its own burden of persuasion and establishing that the costs of a plaintiff's proposal would in fact exceed the benefits."). Accordingly, we hold that to satisfy their initial burden, ADA plaintiffs must plausibly show how the cost of removing the architectural barrier at issue does not exceed the benefits under the circumstances.</w:t>
      </w:r>
    </w:p>
    <w:p w14:paraId="524C6337" w14:textId="77777777" w:rsidR="002B10A6" w:rsidRDefault="00000000">
      <w:pPr>
        <w:pStyle w:val="Normal27"/>
        <w:widowControl w:val="0"/>
        <w:spacing w:before="200" w:line="260" w:lineRule="atLeast"/>
        <w:jc w:val="both"/>
      </w:pPr>
      <w:bookmarkStart w:id="6102" w:name="Bookmark_para_29_18"/>
      <w:bookmarkStart w:id="6103" w:name="Bookmark_LNHNREFclscc10_17"/>
      <w:bookmarkEnd w:id="6102"/>
      <w:bookmarkEnd w:id="6103"/>
      <w:r>
        <w:rPr>
          <w:rFonts w:ascii="Arial" w:eastAsia="Arial" w:hAnsi="Arial" w:cs="Arial"/>
          <w:color w:val="000000"/>
          <w:sz w:val="20"/>
        </w:rPr>
        <w:t>Additionally, the ADA requires courts to consider four enumerated factors when "determining whether an action is readily achievable," including:</w:t>
      </w:r>
    </w:p>
    <w:p w14:paraId="578718B5" w14:textId="77777777" w:rsidR="002B10A6" w:rsidRDefault="00000000">
      <w:pPr>
        <w:pStyle w:val="Normal27"/>
        <w:widowControl w:val="0"/>
        <w:spacing w:line="260" w:lineRule="atLeast"/>
        <w:ind w:left="400"/>
        <w:jc w:val="both"/>
      </w:pPr>
      <w:bookmarkStart w:id="6104" w:name="Bookmark_para_30_17"/>
      <w:bookmarkEnd w:id="6104"/>
      <w:r>
        <w:rPr>
          <w:rFonts w:ascii="Arial" w:eastAsia="Arial" w:hAnsi="Arial" w:cs="Arial"/>
          <w:color w:val="000000"/>
          <w:sz w:val="20"/>
        </w:rPr>
        <w:t>(A) the nature and cost of the action needed [];</w:t>
      </w:r>
    </w:p>
    <w:p w14:paraId="74CBCEE3" w14:textId="77777777" w:rsidR="002B10A6" w:rsidRDefault="00000000">
      <w:pPr>
        <w:pStyle w:val="Normal27"/>
        <w:widowControl w:val="0"/>
        <w:spacing w:before="200" w:line="260" w:lineRule="atLeast"/>
        <w:ind w:left="400"/>
        <w:jc w:val="both"/>
      </w:pPr>
      <w:bookmarkStart w:id="6105" w:name="Bookmark_para_31_17"/>
      <w:bookmarkEnd w:id="6105"/>
      <w:r>
        <w:rPr>
          <w:rFonts w:ascii="Arial" w:eastAsia="Arial" w:hAnsi="Arial" w:cs="Arial"/>
          <w:color w:val="000000"/>
          <w:sz w:val="20"/>
        </w:rPr>
        <w:t>(B) the overall financial resources [**19]  of the facility or facilities involved in the action; the number of persons employed at such facility; the effect on expenses and resources, or the impact otherwise of such action upon the operation of the facility;</w:t>
      </w:r>
    </w:p>
    <w:p w14:paraId="49CCD353" w14:textId="77777777" w:rsidR="002B10A6" w:rsidRDefault="00000000">
      <w:pPr>
        <w:pStyle w:val="Normal27"/>
        <w:widowControl w:val="0"/>
        <w:spacing w:line="260" w:lineRule="atLeast"/>
        <w:ind w:left="400"/>
        <w:jc w:val="both"/>
      </w:pPr>
      <w:bookmarkStart w:id="6106" w:name="Bookmark_para_32_17"/>
      <w:bookmarkEnd w:id="6106"/>
      <w:r>
        <w:rPr>
          <w:rFonts w:ascii="Arial" w:eastAsia="Arial" w:hAnsi="Arial" w:cs="Arial"/>
          <w:color w:val="000000"/>
          <w:sz w:val="20"/>
        </w:rPr>
        <w:t>(C) the overall financial resources of the covered entity; the overall size of the business of a covered entity with respect to the number of its employees; the number, type, and location of its facilities; and</w:t>
      </w:r>
    </w:p>
    <w:p w14:paraId="51D3F08B" w14:textId="77777777" w:rsidR="002B10A6" w:rsidRDefault="00000000">
      <w:pPr>
        <w:pStyle w:val="Normal27"/>
        <w:widowControl w:val="0"/>
        <w:spacing w:line="260" w:lineRule="atLeast"/>
        <w:ind w:left="400"/>
        <w:jc w:val="both"/>
      </w:pPr>
      <w:bookmarkStart w:id="6107" w:name="Bookmark_para_33_16"/>
      <w:bookmarkEnd w:id="6107"/>
      <w:r>
        <w:rPr>
          <w:rFonts w:ascii="Arial" w:eastAsia="Arial" w:hAnsi="Arial" w:cs="Arial"/>
          <w:color w:val="000000"/>
          <w:sz w:val="20"/>
        </w:rPr>
        <w:t>(D) the type of operation or operations of the covered entity, including the composition, structure, and functions of the workforce of such entity; the geographic separateness, administrative or fiscal relationship of the facility or facilities in question to the covered entity.</w:t>
      </w:r>
    </w:p>
    <w:p w14:paraId="4ABFD2B9" w14:textId="77777777" w:rsidR="002B10A6" w:rsidRDefault="00000000">
      <w:pPr>
        <w:pStyle w:val="Normal27"/>
        <w:widowControl w:val="0"/>
        <w:spacing w:before="200" w:line="260" w:lineRule="atLeast"/>
        <w:jc w:val="both"/>
      </w:pPr>
      <w:r>
        <w:rPr>
          <w:rFonts w:ascii="Arial" w:eastAsia="Arial" w:hAnsi="Arial" w:cs="Arial"/>
          <w:color w:val="000000"/>
          <w:sz w:val="20"/>
        </w:rPr>
        <w:t xml:space="preserve">42 U.S.C. § 12181(9)(A)-(D). </w:t>
      </w:r>
      <w:bookmarkStart w:id="6108" w:name="Bookmark_I610RP412HM5T50020000400"/>
      <w:bookmarkEnd w:id="6108"/>
      <w:r>
        <w:rPr>
          <w:rFonts w:ascii="Arial" w:eastAsia="Arial" w:hAnsi="Arial" w:cs="Arial"/>
          <w:color w:val="000000"/>
          <w:sz w:val="20"/>
        </w:rPr>
        <w:t xml:space="preserve">Lopez argues that ADA plaintiffs will not have the information required by § 12181(9), but under the test we adopt, plaintiffs are not required to address in detail each of the four factors to meet their initial burden of plausibly explaining why it is readily achievable to remove an architectural barrier. </w:t>
      </w:r>
      <w:bookmarkStart w:id="6109" w:name="Bookmark_LNHNREFclscc11_17"/>
      <w:bookmarkEnd w:id="6109"/>
      <w:r>
        <w:rPr>
          <w:rFonts w:ascii="Arial" w:eastAsia="Arial" w:hAnsi="Arial" w:cs="Arial"/>
          <w:color w:val="000000"/>
          <w:sz w:val="20"/>
        </w:rPr>
        <w:t>If the plaintiff makes a plausible showing  [*1039]  that the requested accommodation is readily achievable, the burden shifts to the defendant to counter the plaintiff's initial showing, and at that point [**20]  the district court is required under the statute to weigh each of the § 12181(9) factors to determine whether removal of the architectural barrier is readily achievable or not. Therefore, it is in plaintiffs' best interest to submit as much evidence as possible pertaining to each of the § 12181(9) factors in their initial barrier-removal proposal, even if it is not required to satisfy their initial burden of plausibly showing how the costs of removal outweigh the benefits. Otherwise, plaintiffs risk meeting their initial burden but failing to ultimately prevail on summary judgment.</w:t>
      </w:r>
      <w:r>
        <w:rPr>
          <w:rFonts w:ascii="Arial" w:eastAsia="Arial" w:hAnsi="Arial" w:cs="Arial"/>
          <w:vertAlign w:val="superscript"/>
        </w:rPr>
        <w:footnoteReference w:customMarkFollows="1" w:id="222"/>
        <w:t>6</w:t>
      </w:r>
    </w:p>
    <w:p w14:paraId="3C03CEF6" w14:textId="77777777" w:rsidR="002B10A6" w:rsidRDefault="00000000">
      <w:pPr>
        <w:pStyle w:val="Normal27"/>
        <w:widowControl w:val="0"/>
        <w:spacing w:before="200" w:line="260" w:lineRule="atLeast"/>
        <w:jc w:val="both"/>
      </w:pPr>
      <w:bookmarkStart w:id="6114" w:name="Bookmark_para_34_15"/>
      <w:bookmarkEnd w:id="6114"/>
      <w:r>
        <w:rPr>
          <w:rFonts w:ascii="Arial" w:eastAsia="Arial" w:hAnsi="Arial" w:cs="Arial"/>
          <w:color w:val="000000"/>
          <w:sz w:val="20"/>
        </w:rPr>
        <w:t>In this case, the district court correctly found that Lopez not only failed to address the § 12181(9) factors, but that he also did not meet his initial burden of plausibly showing how the cost of widening the Jet Cat Express's restroom door does not exceed the benefits. The only evidence that Lopez submitted to that effect was a two-page declaration from Corey Taylor, a private investigator who conducted "an investigation" consisting of "taking photographs and measurements of the restroom at the Catalina Express Jet Cat Express." The extent of Taylor's testimony is that the restroom pocket [**21]  door at issue in this case "opens only 25 inches in width" but "could have opened 34 inches, if not blocked by the metal pin, located on the top of the sliding door." Taylor does not estimate why he is qualified to opine on this issue, or even how he reached his conclusion. Taylor also attaches three photographs of the door, none of which display any measurements, and one of which, construed generously, seems to depict what looks like a "pin" on the pocket door's top rail. The district court correctly concluded that, even if Taylor's statement that the pin is blocking the door from opening more widely is true, it "only identifies the problem; it does not bear on the question of whether remediating the problem is readily achievable." Nowhere does Lopez explain how much he thinks widening the door would cost, let alone why that cost does not exceed the potential benefits of a wider door. Therefore, Taylor's declaration is patently insufficient for Lopez to meet his initial burden.</w:t>
      </w:r>
    </w:p>
    <w:p w14:paraId="79277F57" w14:textId="77777777" w:rsidR="002B10A6" w:rsidRDefault="00000000">
      <w:pPr>
        <w:pStyle w:val="Normal27"/>
        <w:widowControl w:val="0"/>
        <w:spacing w:before="200" w:line="260" w:lineRule="atLeast"/>
        <w:jc w:val="both"/>
      </w:pPr>
      <w:bookmarkStart w:id="6115" w:name="Bookmark_para_35_15"/>
      <w:bookmarkEnd w:id="6115"/>
      <w:r>
        <w:rPr>
          <w:rFonts w:ascii="Arial" w:eastAsia="Arial" w:hAnsi="Arial" w:cs="Arial"/>
          <w:color w:val="000000"/>
          <w:sz w:val="20"/>
        </w:rPr>
        <w:t>Accordingly, we affirm the district court's conclusion that Lopez failed to meet his initial burden of plausibly showing that the costs of widening the Jet Cat Express's restroom door do not exceed the benefits [**22]  such that widening the door was shown to be "readily achievable."</w:t>
      </w:r>
    </w:p>
    <w:p w14:paraId="7B4D33D9" w14:textId="77777777" w:rsidR="002B10A6" w:rsidRDefault="00000000">
      <w:pPr>
        <w:pStyle w:val="Normal27"/>
        <w:widowControl w:val="0"/>
        <w:spacing w:before="240" w:line="260" w:lineRule="atLeast"/>
      </w:pPr>
      <w:r>
        <w:br/>
      </w:r>
      <w:r>
        <w:rPr>
          <w:rFonts w:ascii="Arial" w:eastAsia="Arial" w:hAnsi="Arial" w:cs="Arial"/>
          <w:b/>
          <w:color w:val="000000"/>
          <w:sz w:val="20"/>
        </w:rPr>
        <w:t>C. Alternative Methods</w:t>
      </w:r>
    </w:p>
    <w:p w14:paraId="5BCB06CA" w14:textId="77777777" w:rsidR="002B10A6" w:rsidRDefault="00000000">
      <w:pPr>
        <w:pStyle w:val="Normal27"/>
        <w:widowControl w:val="0"/>
        <w:spacing w:before="200" w:line="260" w:lineRule="atLeast"/>
        <w:jc w:val="both"/>
      </w:pPr>
      <w:bookmarkStart w:id="6116" w:name="Bookmark_para_36_15"/>
      <w:bookmarkEnd w:id="6116"/>
      <w:r>
        <w:rPr>
          <w:rFonts w:ascii="Arial" w:eastAsia="Arial" w:hAnsi="Arial" w:cs="Arial"/>
          <w:color w:val="000000"/>
          <w:sz w:val="20"/>
        </w:rPr>
        <w:t>Even if widening the Jet Cat Express's restroom door was not readily achievable, Lopez could still prevail on his Title III discrimination claim if he establishes that Catalina chose not to make the restroom available to him even though it could have done so through alternative methods without much difficulty or expense. 42 U.S.C. §§ 12182(b)(2)(A)(v).</w:t>
      </w:r>
    </w:p>
    <w:p w14:paraId="16D05012" w14:textId="77777777" w:rsidR="002B10A6" w:rsidRDefault="00000000">
      <w:pPr>
        <w:pStyle w:val="Normal27"/>
        <w:widowControl w:val="0"/>
        <w:spacing w:before="200" w:line="260" w:lineRule="atLeast"/>
        <w:jc w:val="both"/>
      </w:pPr>
      <w:bookmarkStart w:id="6117" w:name="Bookmark_para_37_14"/>
      <w:bookmarkEnd w:id="6117"/>
      <w:r>
        <w:rPr>
          <w:rFonts w:ascii="Arial" w:eastAsia="Arial" w:hAnsi="Arial" w:cs="Arial"/>
          <w:color w:val="000000"/>
          <w:sz w:val="20"/>
        </w:rPr>
        <w:t>On appeal, Catalina argues that it offers narrow wheelchairs to individuals with disabilities who need to use the restroom on the Jet Cat Express. Lopez does not dispute that evidence; rather, he argues that he was never offered a different wheelchair that would fit through the restroom's door. Lopez did testify, however, that he rejected Catalina's offer to transfer him from his wheelchair to the toilet directly:  [*1040]  "I'm a hefty guy, and I've had bad experiences with people trying to help me. They assume they can. I've been dropped, so I wouldn't." It is therefore unclear whether Lopez would have accepted an offer to use a narrower wheelchair or whether an offer to transfer him directly to the toilet would satisfy Catalina's duty to offer "alternative methods" to use the restroom. [**23]  In any case, the district court did not evaluate whether Catalina made the restroom available to Lopez through alternative methods.</w:t>
      </w:r>
      <w:r>
        <w:rPr>
          <w:rFonts w:ascii="Arial" w:eastAsia="Arial" w:hAnsi="Arial" w:cs="Arial"/>
          <w:vertAlign w:val="superscript"/>
        </w:rPr>
        <w:footnoteReference w:customMarkFollows="1" w:id="223"/>
        <w:t>7</w:t>
      </w:r>
    </w:p>
    <w:p w14:paraId="509C9077" w14:textId="77777777" w:rsidR="002B10A6" w:rsidRDefault="00000000">
      <w:pPr>
        <w:pStyle w:val="Normal27"/>
        <w:widowControl w:val="0"/>
        <w:spacing w:before="200" w:line="260" w:lineRule="atLeast"/>
        <w:jc w:val="both"/>
      </w:pPr>
      <w:bookmarkStart w:id="6119" w:name="Bookmark_para_38_13"/>
      <w:bookmarkEnd w:id="6119"/>
      <w:r>
        <w:rPr>
          <w:rFonts w:ascii="Arial" w:eastAsia="Arial" w:hAnsi="Arial" w:cs="Arial"/>
          <w:color w:val="000000"/>
          <w:sz w:val="20"/>
        </w:rPr>
        <w:t>Accordingly, we reverse the district court's grant of summary judgment to Catalina and remand for the district court to determine in the first instance whether there is sufficient evidence that Catalina made the restroom "available through alternative methods" pursuant to § 12182(b)(2)(A)(v).</w:t>
      </w:r>
    </w:p>
    <w:p w14:paraId="215EFB7A" w14:textId="77777777" w:rsidR="002B10A6" w:rsidRDefault="00000000">
      <w:pPr>
        <w:pStyle w:val="Normal27"/>
        <w:widowControl w:val="0"/>
        <w:spacing w:before="240" w:line="260" w:lineRule="atLeast"/>
      </w:pPr>
      <w:r>
        <w:br/>
      </w:r>
      <w:r>
        <w:rPr>
          <w:rFonts w:ascii="Arial" w:eastAsia="Arial" w:hAnsi="Arial" w:cs="Arial"/>
          <w:b/>
          <w:color w:val="000000"/>
          <w:sz w:val="20"/>
        </w:rPr>
        <w:t>IV. Conclusion</w:t>
      </w:r>
    </w:p>
    <w:p w14:paraId="53E22D6B" w14:textId="77777777" w:rsidR="002B10A6" w:rsidRDefault="00000000">
      <w:pPr>
        <w:pStyle w:val="Normal27"/>
        <w:widowControl w:val="0"/>
        <w:spacing w:before="200" w:line="260" w:lineRule="atLeast"/>
        <w:jc w:val="both"/>
      </w:pPr>
      <w:bookmarkStart w:id="6120" w:name="Bookmark_para_39_13"/>
      <w:bookmarkEnd w:id="6120"/>
      <w:r>
        <w:rPr>
          <w:rFonts w:ascii="Arial" w:eastAsia="Arial" w:hAnsi="Arial" w:cs="Arial"/>
          <w:color w:val="000000"/>
          <w:sz w:val="20"/>
        </w:rPr>
        <w:t xml:space="preserve">We affirm the district court's conclusion that Lopez failed to meet his initial burden of plausibly showing that widening the Jet Cat Express's restroom door was "readily achievable" under 42 U.S.C. §§ 12182(b)(2)(A)(iv). </w:t>
      </w:r>
      <w:bookmarkStart w:id="6121" w:name="Bookmark_LNHNREFclscc12_16"/>
      <w:bookmarkEnd w:id="6121"/>
      <w:r>
        <w:rPr>
          <w:rFonts w:ascii="Arial" w:eastAsia="Arial" w:hAnsi="Arial" w:cs="Arial"/>
          <w:color w:val="000000"/>
          <w:sz w:val="20"/>
        </w:rPr>
        <w:t>In doing so, we adopt a burden-shifting framework whereby plaintiffs have the initial burden at summary judgment of plausibly showing that the cost of removing an architectural barrier does not exceed the benefits under the particular circumstances. The defendant then bears the ultimate burden of persuasion that barrier removal is not readily achievable.</w:t>
      </w:r>
    </w:p>
    <w:p w14:paraId="26F54142" w14:textId="77777777" w:rsidR="002B10A6" w:rsidRDefault="00000000">
      <w:pPr>
        <w:pStyle w:val="Normal27"/>
        <w:widowControl w:val="0"/>
        <w:spacing w:before="200" w:line="260" w:lineRule="atLeast"/>
        <w:jc w:val="both"/>
      </w:pPr>
      <w:bookmarkStart w:id="6122" w:name="Bookmark_para_40_13"/>
      <w:bookmarkEnd w:id="6122"/>
      <w:r>
        <w:rPr>
          <w:rFonts w:ascii="Arial" w:eastAsia="Arial" w:hAnsi="Arial" w:cs="Arial"/>
          <w:color w:val="000000"/>
          <w:sz w:val="20"/>
        </w:rPr>
        <w:t>We reverse the district court's grant of summary judgment, however, because the district court did not evaluate whether Catalina made the restroom available to Lopez through "alternative methods." On remand, the district court should [**24]  determine in the first instance whether there is sufficient evidence that Catalina made the restroom "available through alternative methods" pursuant to § 12182(b)(2)(A)(v).</w:t>
      </w:r>
    </w:p>
    <w:p w14:paraId="29D53D38" w14:textId="77777777" w:rsidR="002B10A6" w:rsidRDefault="00000000">
      <w:pPr>
        <w:pStyle w:val="Normal27"/>
        <w:widowControl w:val="0"/>
        <w:spacing w:before="200" w:line="260" w:lineRule="atLeast"/>
        <w:jc w:val="both"/>
      </w:pPr>
      <w:bookmarkStart w:id="6123" w:name="Bookmark_para_41_13"/>
      <w:bookmarkEnd w:id="6123"/>
      <w:r>
        <w:rPr>
          <w:rFonts w:ascii="Arial" w:eastAsia="Arial" w:hAnsi="Arial" w:cs="Arial"/>
          <w:b/>
          <w:color w:val="000000"/>
          <w:sz w:val="20"/>
        </w:rPr>
        <w:t>REVERSED and REMANDED with instructions</w:t>
      </w:r>
      <w:r>
        <w:rPr>
          <w:rFonts w:ascii="Arial" w:eastAsia="Arial" w:hAnsi="Arial" w:cs="Arial"/>
          <w:color w:val="000000"/>
          <w:sz w:val="20"/>
        </w:rPr>
        <w:t>. Each party shall bear its own costs.</w:t>
      </w:r>
    </w:p>
    <w:p w14:paraId="749A68AE" w14:textId="77777777" w:rsidR="002B10A6" w:rsidRDefault="002B10A6">
      <w:pPr>
        <w:pStyle w:val="Normal27"/>
      </w:pPr>
    </w:p>
    <w:p w14:paraId="62AEC528" w14:textId="2EB6BCC6" w:rsidR="002B10A6" w:rsidRDefault="00000000">
      <w:pPr>
        <w:pStyle w:val="Normal27"/>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19680" behindDoc="0" locked="0" layoutInCell="1" allowOverlap="1" wp14:anchorId="1E6F6F79" wp14:editId="0A6062B0">
                <wp:simplePos x="0" y="0"/>
                <wp:positionH relativeFrom="column">
                  <wp:posOffset>0</wp:posOffset>
                </wp:positionH>
                <wp:positionV relativeFrom="paragraph">
                  <wp:posOffset>127000</wp:posOffset>
                </wp:positionV>
                <wp:extent cx="6502400" cy="0"/>
                <wp:effectExtent l="9525" t="12700" r="12700" b="6350"/>
                <wp:wrapNone/>
                <wp:docPr id="1144611509"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CE805" id="Line 61"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5CE89BD" w14:textId="77777777" w:rsidR="002B10A6" w:rsidRDefault="002B10A6">
      <w:pPr>
        <w:pStyle w:val="Normal28"/>
        <w:sectPr w:rsidR="002B10A6">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gutter="0"/>
          <w:cols w:space="720"/>
          <w:titlePg/>
        </w:sectPr>
      </w:pPr>
    </w:p>
    <w:p w14:paraId="3F86FB51" w14:textId="77777777" w:rsidR="002B10A6" w:rsidRDefault="002B10A6">
      <w:pPr>
        <w:pStyle w:val="Normal28"/>
      </w:pPr>
    </w:p>
    <w:p w14:paraId="38641C3B" w14:textId="77777777" w:rsidR="002B10A6" w:rsidRDefault="00000000">
      <w:pPr>
        <w:pStyle w:val="Heading127"/>
        <w:keepNext w:val="0"/>
        <w:widowControl w:val="0"/>
        <w:spacing w:after="200" w:line="340" w:lineRule="atLeast"/>
        <w:jc w:val="center"/>
      </w:pPr>
      <w:r>
        <w:rPr>
          <w:rFonts w:eastAsia="Arial"/>
          <w:color w:val="000000"/>
          <w:sz w:val="28"/>
        </w:rPr>
        <w:t>Norfleet v. Gaetz</w:t>
      </w:r>
    </w:p>
    <w:p w14:paraId="739BDA0C" w14:textId="77777777" w:rsidR="002B10A6" w:rsidRDefault="00000000">
      <w:pPr>
        <w:pStyle w:val="Normal28"/>
        <w:widowControl w:val="0"/>
        <w:spacing w:before="120" w:line="260" w:lineRule="atLeast"/>
        <w:jc w:val="center"/>
      </w:pPr>
      <w:r>
        <w:rPr>
          <w:rFonts w:ascii="Arial" w:eastAsia="Arial" w:hAnsi="Arial" w:cs="Arial"/>
          <w:color w:val="000000"/>
          <w:sz w:val="20"/>
        </w:rPr>
        <w:t>United States Court of Appeals for the Seventh Circuit</w:t>
      </w:r>
    </w:p>
    <w:p w14:paraId="3D08FDAA" w14:textId="77777777" w:rsidR="002B10A6" w:rsidRDefault="00000000">
      <w:pPr>
        <w:pStyle w:val="Normal28"/>
        <w:widowControl w:val="0"/>
        <w:spacing w:before="120" w:line="260" w:lineRule="atLeast"/>
        <w:jc w:val="center"/>
      </w:pPr>
      <w:r>
        <w:rPr>
          <w:rFonts w:ascii="Arial" w:eastAsia="Arial" w:hAnsi="Arial" w:cs="Arial"/>
          <w:color w:val="000000"/>
          <w:sz w:val="20"/>
        </w:rPr>
        <w:t>June 22, 2020</w:t>
      </w:r>
      <w:r>
        <w:rPr>
          <w:rFonts w:ascii="Arial" w:eastAsia="Arial" w:hAnsi="Arial" w:cs="Arial"/>
          <w:vertAlign w:val="superscript"/>
        </w:rPr>
        <w:footnoteReference w:customMarkFollows="1" w:id="224"/>
        <w:t>*</w:t>
      </w:r>
      <w:r>
        <w:rPr>
          <w:rFonts w:ascii="Arial" w:eastAsia="Arial" w:hAnsi="Arial" w:cs="Arial"/>
          <w:color w:val="000000"/>
          <w:sz w:val="20"/>
        </w:rPr>
        <w:t xml:space="preserve"> Submitted; July 13, 2020, Decided</w:t>
      </w:r>
    </w:p>
    <w:p w14:paraId="1CF82D9D" w14:textId="77777777" w:rsidR="002B10A6" w:rsidRDefault="00000000">
      <w:pPr>
        <w:pStyle w:val="Normal28"/>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18-3711</w:t>
      </w:r>
    </w:p>
    <w:p w14:paraId="77FAA51E" w14:textId="77777777" w:rsidR="002B10A6" w:rsidRDefault="002B10A6">
      <w:pPr>
        <w:pStyle w:val="Normal28"/>
        <w:widowControl w:val="0"/>
        <w:spacing w:line="240" w:lineRule="atLeast"/>
        <w:jc w:val="both"/>
      </w:pPr>
      <w:bookmarkStart w:id="6125" w:name="Bookmark_29"/>
      <w:bookmarkEnd w:id="6125"/>
    </w:p>
    <w:p w14:paraId="659D5BDE" w14:textId="77777777" w:rsidR="002B10A6" w:rsidRDefault="00000000">
      <w:pPr>
        <w:pStyle w:val="Normal28"/>
        <w:widowControl w:val="0"/>
        <w:spacing w:before="200" w:line="240" w:lineRule="atLeast"/>
      </w:pPr>
      <w:bookmarkStart w:id="6126" w:name="Reporter_27"/>
      <w:bookmarkEnd w:id="6126"/>
      <w:r>
        <w:rPr>
          <w:rFonts w:ascii="Arial" w:eastAsia="Arial" w:hAnsi="Arial" w:cs="Arial"/>
          <w:b/>
          <w:color w:val="000000"/>
          <w:sz w:val="18"/>
        </w:rPr>
        <w:t>Reporter</w:t>
      </w:r>
    </w:p>
    <w:p w14:paraId="60DA4A1C" w14:textId="77777777" w:rsidR="002B10A6" w:rsidRDefault="00000000">
      <w:pPr>
        <w:pStyle w:val="Normal28"/>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820 Fed. Appx. 464 *; 2020 U.S. App. LEXIS 21621 **</w:t>
      </w:r>
    </w:p>
    <w:p w14:paraId="3159F4AE" w14:textId="77777777" w:rsidR="002B10A6" w:rsidRDefault="00000000">
      <w:pPr>
        <w:pStyle w:val="Normal28"/>
        <w:widowControl w:val="0"/>
        <w:spacing w:before="120" w:line="260" w:lineRule="atLeast"/>
      </w:pPr>
      <w:r>
        <w:rPr>
          <w:rFonts w:ascii="Arial" w:eastAsia="Arial" w:hAnsi="Arial" w:cs="Arial"/>
          <w:color w:val="000000"/>
          <w:sz w:val="20"/>
        </w:rPr>
        <w:t>MARC NORFLEET, Plaintiff-Appellant, v. DONALD GAETZ, et al., Defendants-Appellees.</w:t>
      </w:r>
    </w:p>
    <w:p w14:paraId="630C8F40" w14:textId="77777777" w:rsidR="002B10A6" w:rsidRDefault="00000000">
      <w:pPr>
        <w:pStyle w:val="Normal28"/>
        <w:widowControl w:val="0"/>
        <w:spacing w:before="240" w:line="260" w:lineRule="atLeast"/>
      </w:pPr>
      <w:bookmarkStart w:id="6127" w:name="Subsequent_History_9"/>
      <w:bookmarkEnd w:id="6127"/>
      <w:r>
        <w:rPr>
          <w:rFonts w:ascii="Arial" w:eastAsia="Arial" w:hAnsi="Arial" w:cs="Arial"/>
          <w:b/>
          <w:color w:val="000000"/>
          <w:sz w:val="20"/>
        </w:rPr>
        <w:t>Subsequent History:</w:t>
      </w:r>
      <w:r>
        <w:rPr>
          <w:rFonts w:ascii="Arial" w:eastAsia="Arial" w:hAnsi="Arial" w:cs="Arial"/>
          <w:color w:val="000000"/>
          <w:sz w:val="20"/>
        </w:rPr>
        <w:t> Rehearing denied by Norfleet v. Gaetz, 2020 U.S. App. LEXIS 31300 (7th Cir. Ill., Oct. 1, 2020)</w:t>
      </w:r>
    </w:p>
    <w:p w14:paraId="73E0747F" w14:textId="77777777" w:rsidR="002B10A6" w:rsidRDefault="00000000">
      <w:pPr>
        <w:pStyle w:val="Normal28"/>
        <w:widowControl w:val="0"/>
        <w:spacing w:before="240" w:line="260" w:lineRule="atLeast"/>
        <w:jc w:val="both"/>
      </w:pPr>
      <w:bookmarkStart w:id="6128" w:name="Prior_History_27"/>
      <w:bookmarkEnd w:id="6128"/>
      <w:r>
        <w:rPr>
          <w:rFonts w:ascii="Arial" w:eastAsia="Arial" w:hAnsi="Arial" w:cs="Arial"/>
          <w:b/>
          <w:color w:val="000000"/>
          <w:sz w:val="20"/>
        </w:rPr>
        <w:t>Prior History:</w:t>
      </w:r>
      <w:r>
        <w:rPr>
          <w:rFonts w:ascii="Arial" w:eastAsia="Arial" w:hAnsi="Arial" w:cs="Arial"/>
          <w:color w:val="000000"/>
          <w:sz w:val="20"/>
        </w:rPr>
        <w:t> </w:t>
      </w:r>
      <w:bookmarkStart w:id="6129" w:name="Bookmark_para_1_27"/>
      <w:bookmarkEnd w:id="6129"/>
      <w:r>
        <w:rPr>
          <w:rFonts w:ascii="Arial" w:eastAsia="Arial" w:hAnsi="Arial" w:cs="Arial"/>
          <w:color w:val="000000"/>
          <w:sz w:val="20"/>
        </w:rPr>
        <w:t> [**1] Appeal from the United States District Court for the Southern District of Illinois. No. 3:15-cv-00160-SCW. Stephen C. Williams, Magistrate Judge.</w:t>
      </w:r>
    </w:p>
    <w:p w14:paraId="04E21BB5" w14:textId="77777777" w:rsidR="002B10A6" w:rsidRDefault="00000000">
      <w:pPr>
        <w:pStyle w:val="Normal28"/>
        <w:widowControl w:val="0"/>
        <w:spacing w:before="120" w:line="260" w:lineRule="atLeast"/>
      </w:pPr>
      <w:r>
        <w:rPr>
          <w:rFonts w:ascii="Arial" w:eastAsia="Arial" w:hAnsi="Arial" w:cs="Arial"/>
          <w:color w:val="000000"/>
          <w:sz w:val="20"/>
        </w:rPr>
        <w:t>Norfleet v. Gaetz, 2017 U.S. Dist. LEXIS 145743, 2017 WL 3970964 (S.D. Ill., Sept. 8, 2017)</w:t>
      </w:r>
    </w:p>
    <w:p w14:paraId="714DB40F" w14:textId="77777777" w:rsidR="002B10A6" w:rsidRDefault="00000000">
      <w:pPr>
        <w:pStyle w:val="Normal28"/>
        <w:widowControl w:val="0"/>
        <w:spacing w:before="240" w:line="260" w:lineRule="atLeast"/>
        <w:jc w:val="both"/>
      </w:pPr>
      <w:bookmarkStart w:id="6130" w:name="Disposition_10"/>
      <w:bookmarkEnd w:id="6130"/>
      <w:r>
        <w:rPr>
          <w:rFonts w:ascii="Arial" w:eastAsia="Arial" w:hAnsi="Arial" w:cs="Arial"/>
          <w:b/>
          <w:color w:val="000000"/>
          <w:sz w:val="20"/>
        </w:rPr>
        <w:t>Disposition:</w:t>
      </w:r>
      <w:r>
        <w:rPr>
          <w:rFonts w:ascii="Arial" w:eastAsia="Arial" w:hAnsi="Arial" w:cs="Arial"/>
          <w:color w:val="000000"/>
          <w:sz w:val="20"/>
        </w:rPr>
        <w:t> </w:t>
      </w:r>
      <w:bookmarkStart w:id="6131" w:name="Bookmark_clspara_1_0"/>
      <w:bookmarkEnd w:id="6131"/>
      <w:r>
        <w:rPr>
          <w:rFonts w:ascii="Arial" w:eastAsia="Arial" w:hAnsi="Arial" w:cs="Arial"/>
          <w:color w:val="000000"/>
          <w:sz w:val="20"/>
        </w:rPr>
        <w:t>AFFIRMED.</w:t>
      </w:r>
    </w:p>
    <w:p w14:paraId="4D01A453" w14:textId="77777777" w:rsidR="002B10A6" w:rsidRDefault="00000000">
      <w:pPr>
        <w:pStyle w:val="Normal28"/>
        <w:widowControl w:val="0"/>
        <w:spacing w:before="240" w:line="260" w:lineRule="atLeast"/>
      </w:pPr>
      <w:bookmarkStart w:id="6132" w:name="Counsel_27"/>
      <w:bookmarkEnd w:id="6132"/>
      <w:r>
        <w:rPr>
          <w:rFonts w:ascii="Arial" w:eastAsia="Arial" w:hAnsi="Arial" w:cs="Arial"/>
          <w:b/>
          <w:color w:val="000000"/>
          <w:sz w:val="20"/>
        </w:rPr>
        <w:t>Counsel:</w:t>
      </w:r>
      <w:r>
        <w:rPr>
          <w:rFonts w:ascii="Arial" w:eastAsia="Arial" w:hAnsi="Arial" w:cs="Arial"/>
          <w:color w:val="000000"/>
          <w:sz w:val="20"/>
        </w:rPr>
        <w:t> Marc Norfleet, Plaintiff - Appellant, Pro se, Menard, IL.</w:t>
      </w:r>
    </w:p>
    <w:p w14:paraId="5309EE2D" w14:textId="77777777" w:rsidR="002B10A6" w:rsidRDefault="00000000">
      <w:pPr>
        <w:pStyle w:val="Normal28"/>
        <w:widowControl w:val="0"/>
        <w:spacing w:before="120" w:line="260" w:lineRule="atLeast"/>
      </w:pPr>
      <w:r>
        <w:rPr>
          <w:rFonts w:ascii="Arial" w:eastAsia="Arial" w:hAnsi="Arial" w:cs="Arial"/>
          <w:color w:val="000000"/>
          <w:sz w:val="20"/>
        </w:rPr>
        <w:t>For Kimberly Butler, Defendant - Appellee: Katelin B. Buell, Assistant Attorney General, Nadine J. Wichern, Attorney, Office of The Attorney General, Chicago, IL.</w:t>
      </w:r>
    </w:p>
    <w:p w14:paraId="3F030F03" w14:textId="77777777" w:rsidR="002B10A6" w:rsidRDefault="00000000">
      <w:pPr>
        <w:pStyle w:val="Normal28"/>
        <w:widowControl w:val="0"/>
        <w:spacing w:before="120" w:line="260" w:lineRule="atLeast"/>
      </w:pPr>
      <w:r>
        <w:rPr>
          <w:rFonts w:ascii="Arial" w:eastAsia="Arial" w:hAnsi="Arial" w:cs="Arial"/>
          <w:color w:val="000000"/>
          <w:sz w:val="20"/>
        </w:rPr>
        <w:t>For Donald Gaetz, Thomas A. Spiller, Christine Brown, Michael Edwards, Patrick Keane, Defendants - Appellees: Christina T. Hansen, Attorney, Office of The Attorney General, Chicago, IL.</w:t>
      </w:r>
    </w:p>
    <w:p w14:paraId="7363B7AF" w14:textId="77777777" w:rsidR="002B10A6" w:rsidRDefault="00000000">
      <w:pPr>
        <w:pStyle w:val="Normal28"/>
        <w:widowControl w:val="0"/>
        <w:spacing w:before="240" w:line="260" w:lineRule="atLeast"/>
      </w:pPr>
      <w:bookmarkStart w:id="6133" w:name="Judges_27"/>
      <w:bookmarkEnd w:id="6133"/>
      <w:r>
        <w:rPr>
          <w:rFonts w:ascii="Arial" w:eastAsia="Arial" w:hAnsi="Arial" w:cs="Arial"/>
          <w:b/>
          <w:color w:val="000000"/>
          <w:sz w:val="20"/>
        </w:rPr>
        <w:t>Judges:</w:t>
      </w:r>
      <w:r>
        <w:rPr>
          <w:rFonts w:ascii="Arial" w:eastAsia="Arial" w:hAnsi="Arial" w:cs="Arial"/>
          <w:color w:val="000000"/>
          <w:sz w:val="20"/>
        </w:rPr>
        <w:t> Before KENNETH F. RIPPLE, Circuit Judge; DAVID F. HAMILTON, Circuit Judge; MICHAEL Y. SCUDDER, Circuit Judge.</w:t>
      </w:r>
    </w:p>
    <w:p w14:paraId="538AAD5C" w14:textId="77777777" w:rsidR="002B10A6" w:rsidRDefault="00000000">
      <w:pPr>
        <w:pStyle w:val="Normal28"/>
        <w:keepNext/>
        <w:widowControl w:val="0"/>
        <w:spacing w:before="240" w:line="340" w:lineRule="atLeast"/>
      </w:pPr>
      <w:bookmarkStart w:id="6134" w:name="Opinion_27"/>
      <w:bookmarkEnd w:id="6134"/>
      <w:r>
        <w:rPr>
          <w:rFonts w:ascii="Arial" w:eastAsia="Arial" w:hAnsi="Arial" w:cs="Arial"/>
          <w:b/>
          <w:color w:val="000000"/>
          <w:sz w:val="28"/>
        </w:rPr>
        <w:t>Opinion</w:t>
      </w:r>
    </w:p>
    <w:p w14:paraId="0A2974C6" w14:textId="7F322524" w:rsidR="002B10A6" w:rsidRDefault="002D6974">
      <w:pPr>
        <w:pStyle w:val="Normal28"/>
        <w:spacing w:line="60" w:lineRule="exact"/>
      </w:pPr>
      <w:r>
        <w:rPr>
          <w:noProof/>
        </w:rPr>
        <mc:AlternateContent>
          <mc:Choice Requires="wps">
            <w:drawing>
              <wp:anchor distT="0" distB="0" distL="114300" distR="114300" simplePos="0" relativeHeight="251720704" behindDoc="0" locked="0" layoutInCell="1" allowOverlap="1" wp14:anchorId="34143DB7" wp14:editId="5340FCE1">
                <wp:simplePos x="0" y="0"/>
                <wp:positionH relativeFrom="column">
                  <wp:posOffset>0</wp:posOffset>
                </wp:positionH>
                <wp:positionV relativeFrom="paragraph">
                  <wp:posOffset>25400</wp:posOffset>
                </wp:positionV>
                <wp:extent cx="3187700" cy="0"/>
                <wp:effectExtent l="19050" t="15875" r="12700" b="12700"/>
                <wp:wrapTopAndBottom/>
                <wp:docPr id="523089882"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3A02C7"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37174F1" w14:textId="77777777" w:rsidR="002B10A6" w:rsidRDefault="002B10A6">
      <w:pPr>
        <w:pStyle w:val="Normal28"/>
        <w:spacing w:line="120" w:lineRule="exact"/>
      </w:pPr>
    </w:p>
    <w:p w14:paraId="62A03769" w14:textId="77777777" w:rsidR="002B10A6" w:rsidRDefault="00000000">
      <w:pPr>
        <w:pStyle w:val="Normal28"/>
        <w:widowControl w:val="0"/>
        <w:spacing w:before="240" w:line="260" w:lineRule="atLeast"/>
      </w:pPr>
      <w:r>
        <w:br/>
      </w:r>
      <w:r>
        <w:rPr>
          <w:rFonts w:ascii="Arial" w:eastAsia="Arial" w:hAnsi="Arial" w:cs="Arial"/>
          <w:color w:val="000000"/>
          <w:sz w:val="20"/>
        </w:rPr>
        <w:t xml:space="preserve"> [*465]  </w:t>
      </w:r>
      <w:r>
        <w:rPr>
          <w:rFonts w:ascii="Arial" w:eastAsia="Arial" w:hAnsi="Arial" w:cs="Arial"/>
          <w:b/>
          <w:color w:val="000000"/>
          <w:sz w:val="20"/>
        </w:rPr>
        <w:t>ORDER</w:t>
      </w:r>
    </w:p>
    <w:p w14:paraId="377AACB5" w14:textId="77777777" w:rsidR="002B10A6" w:rsidRDefault="00000000">
      <w:pPr>
        <w:pStyle w:val="Normal28"/>
        <w:widowControl w:val="0"/>
        <w:spacing w:before="200" w:line="260" w:lineRule="atLeast"/>
        <w:jc w:val="both"/>
      </w:pPr>
      <w:bookmarkStart w:id="6135" w:name="Bookmark_para_2_27"/>
      <w:bookmarkEnd w:id="6135"/>
      <w:r>
        <w:rPr>
          <w:rFonts w:ascii="Arial" w:eastAsia="Arial" w:hAnsi="Arial" w:cs="Arial"/>
          <w:color w:val="000000"/>
          <w:sz w:val="20"/>
        </w:rPr>
        <w:t>Marc Norfleet, an inmate who uses a wheelchair, says he was denied access to equipment that he needs to exercise meaningfully, including free weights, a sports wheelchair, and palm-padded gloves. He filed this action against corrections officials and the Illinois Department of Corrections (IDOC) for violating the Americans with Disabilities Act, 42 U.S.C. § 12132, the Rehabilitation Act, 29 U.S.C. § 794, and the First and Eighth Amendments. The district court entered summary judgment for the defendants, finding that Mr. Norfleet had not offered evidence that his requested accommodations [**2]  were necessary, that defendants denied him access to exercise, or that defendants took an adverse action against him. We affirm.</w:t>
      </w:r>
    </w:p>
    <w:p w14:paraId="7840755D" w14:textId="77777777" w:rsidR="002B10A6" w:rsidRDefault="00000000">
      <w:pPr>
        <w:pStyle w:val="Normal28"/>
        <w:widowControl w:val="0"/>
        <w:spacing w:before="200" w:line="260" w:lineRule="atLeast"/>
        <w:jc w:val="both"/>
      </w:pPr>
      <w:bookmarkStart w:id="6136" w:name="Bookmark_para_3_27"/>
      <w:bookmarkEnd w:id="6136"/>
      <w:r>
        <w:rPr>
          <w:rFonts w:ascii="Arial" w:eastAsia="Arial" w:hAnsi="Arial" w:cs="Arial"/>
          <w:color w:val="000000"/>
          <w:sz w:val="20"/>
        </w:rPr>
        <w:t> [*466]  Mr. Norfleet suffers from two conditions that seriously limit his mobility: a severe back impairment (pre-dating his incarceration) that confines him to a wheelchair, and shoulder pain and stiffness that he attributes to lack of exercise.</w:t>
      </w:r>
      <w:r>
        <w:rPr>
          <w:rFonts w:ascii="Arial" w:eastAsia="Arial" w:hAnsi="Arial" w:cs="Arial"/>
          <w:vertAlign w:val="superscript"/>
        </w:rPr>
        <w:footnoteReference w:customMarkFollows="1" w:id="225"/>
        <w:t>1</w:t>
      </w:r>
      <w:r>
        <w:rPr>
          <w:rFonts w:ascii="Arial" w:eastAsia="Arial" w:hAnsi="Arial" w:cs="Arial"/>
          <w:color w:val="000000"/>
          <w:sz w:val="20"/>
        </w:rPr>
        <w:t xml:space="preserve"> In 2012, Mr. Norfleet was transferred to Pinckneyville Corrections Center, a designated ADA-compliant facility, where, he alleges, he was not afforded meaningful exercise opportunities, leading to arthritis, chest pain, stomach cramps, constipation, and migraines.</w:t>
      </w:r>
      <w:r>
        <w:rPr>
          <w:rFonts w:ascii="Arial" w:eastAsia="Arial" w:hAnsi="Arial" w:cs="Arial"/>
          <w:vertAlign w:val="superscript"/>
        </w:rPr>
        <w:footnoteReference w:customMarkFollows="1" w:id="226"/>
        <w:t>2</w:t>
      </w:r>
    </w:p>
    <w:p w14:paraId="5BE37A47" w14:textId="77777777" w:rsidR="002B10A6" w:rsidRDefault="00000000">
      <w:pPr>
        <w:pStyle w:val="Normal28"/>
        <w:widowControl w:val="0"/>
        <w:spacing w:before="200" w:line="260" w:lineRule="atLeast"/>
        <w:jc w:val="both"/>
      </w:pPr>
      <w:bookmarkStart w:id="6139" w:name="Bookmark_para_4_27"/>
      <w:bookmarkEnd w:id="6139"/>
      <w:r>
        <w:rPr>
          <w:rFonts w:ascii="Arial" w:eastAsia="Arial" w:hAnsi="Arial" w:cs="Arial"/>
          <w:color w:val="000000"/>
          <w:sz w:val="20"/>
        </w:rPr>
        <w:t>Mr. Norfleet's limited range of motion and pain in his shoulders, coupled with his confinement to a wheelchair, prevented him from using any of the weight-bearing exercise equipment in Pinckneyville's gym, to which he had access once a week.</w:t>
      </w:r>
      <w:r>
        <w:rPr>
          <w:rFonts w:ascii="Arial" w:eastAsia="Arial" w:hAnsi="Arial" w:cs="Arial"/>
          <w:vertAlign w:val="superscript"/>
        </w:rPr>
        <w:footnoteReference w:customMarkFollows="1" w:id="227"/>
        <w:t>3</w:t>
      </w:r>
      <w:r>
        <w:rPr>
          <w:rFonts w:ascii="Arial" w:eastAsia="Arial" w:hAnsi="Arial" w:cs="Arial"/>
          <w:color w:val="000000"/>
          <w:sz w:val="20"/>
        </w:rPr>
        <w:t xml:space="preserve"> Because he could not use the equipment, Mr. Norfleet resorted to the prison's grievance system to gain access to free weights.</w:t>
      </w:r>
      <w:r>
        <w:rPr>
          <w:rFonts w:ascii="Arial" w:eastAsia="Arial" w:hAnsi="Arial" w:cs="Arial"/>
          <w:vertAlign w:val="superscript"/>
        </w:rPr>
        <w:footnoteReference w:customMarkFollows="1" w:id="228"/>
        <w:t>4</w:t>
      </w:r>
      <w:r>
        <w:rPr>
          <w:rFonts w:ascii="Arial" w:eastAsia="Arial" w:hAnsi="Arial" w:cs="Arial"/>
          <w:color w:val="000000"/>
          <w:sz w:val="20"/>
        </w:rPr>
        <w:t xml:space="preserve"> Swinging the weights at his side, he believed, could improve his range of motion, build his strength, and increase his heart rate.</w:t>
      </w:r>
      <w:r>
        <w:rPr>
          <w:rFonts w:ascii="Arial" w:eastAsia="Arial" w:hAnsi="Arial" w:cs="Arial"/>
          <w:vertAlign w:val="superscript"/>
        </w:rPr>
        <w:footnoteReference w:customMarkFollows="1" w:id="229"/>
        <w:t>5</w:t>
      </w:r>
      <w:r>
        <w:rPr>
          <w:rFonts w:ascii="Arial" w:eastAsia="Arial" w:hAnsi="Arial" w:cs="Arial"/>
          <w:color w:val="000000"/>
          <w:sz w:val="20"/>
        </w:rPr>
        <w:t xml:space="preserve"> Defendants denied his requests on grounds that free weights posed a security [**3]  risk.</w:t>
      </w:r>
      <w:r>
        <w:rPr>
          <w:rFonts w:ascii="Arial" w:eastAsia="Arial" w:hAnsi="Arial" w:cs="Arial"/>
          <w:vertAlign w:val="superscript"/>
        </w:rPr>
        <w:footnoteReference w:customMarkFollows="1" w:id="230"/>
        <w:t>6</w:t>
      </w:r>
    </w:p>
    <w:p w14:paraId="40D6DB9F" w14:textId="77777777" w:rsidR="002B10A6" w:rsidRDefault="00000000">
      <w:pPr>
        <w:pStyle w:val="Normal28"/>
        <w:widowControl w:val="0"/>
        <w:spacing w:before="200" w:line="260" w:lineRule="atLeast"/>
        <w:jc w:val="both"/>
      </w:pPr>
      <w:bookmarkStart w:id="6144" w:name="Bookmark_para_5_27"/>
      <w:bookmarkEnd w:id="6144"/>
      <w:r>
        <w:rPr>
          <w:rFonts w:ascii="Arial" w:eastAsia="Arial" w:hAnsi="Arial" w:cs="Arial"/>
          <w:color w:val="000000"/>
          <w:sz w:val="20"/>
        </w:rPr>
        <w:t>Mr. Norfleet also maintained that his wheelchair was not sturdy enough to achieve meaningful exercise in the prison yards, which he could use seven hours a week.</w:t>
      </w:r>
      <w:r>
        <w:rPr>
          <w:rFonts w:ascii="Arial" w:eastAsia="Arial" w:hAnsi="Arial" w:cs="Arial"/>
          <w:vertAlign w:val="superscript"/>
        </w:rPr>
        <w:footnoteReference w:customMarkFollows="1" w:id="231"/>
        <w:t>7</w:t>
      </w:r>
      <w:r>
        <w:rPr>
          <w:rFonts w:ascii="Arial" w:eastAsia="Arial" w:hAnsi="Arial" w:cs="Arial"/>
          <w:color w:val="000000"/>
          <w:sz w:val="20"/>
        </w:rPr>
        <w:t xml:space="preserve"> Although Mr. Norfleet could wheel himself around the yards in certain spaces (sidewalks, basketball and handball courts, and a "lumpy" track), he said that he needed a sports wheelchair to avoid tipping over and to achieve true cardiovascular exercise.</w:t>
      </w:r>
      <w:r>
        <w:rPr>
          <w:rFonts w:ascii="Arial" w:eastAsia="Arial" w:hAnsi="Arial" w:cs="Arial"/>
          <w:vertAlign w:val="superscript"/>
        </w:rPr>
        <w:footnoteReference w:customMarkFollows="1" w:id="232"/>
        <w:t>8</w:t>
      </w:r>
      <w:r>
        <w:rPr>
          <w:rFonts w:ascii="Arial" w:eastAsia="Arial" w:hAnsi="Arial" w:cs="Arial"/>
          <w:color w:val="000000"/>
          <w:sz w:val="20"/>
        </w:rPr>
        <w:t xml:space="preserve"> Mr. Norfleet said he could not move his own chair quickly enough to raise his heart rate because the wheels and legs repeatedly broke down (he attested that they fell off approximately nine times between 2012 and 2017).</w:t>
      </w:r>
      <w:r>
        <w:rPr>
          <w:rFonts w:ascii="Arial" w:eastAsia="Arial" w:hAnsi="Arial" w:cs="Arial"/>
          <w:vertAlign w:val="superscript"/>
        </w:rPr>
        <w:footnoteReference w:customMarkFollows="1" w:id="233"/>
        <w:t>9</w:t>
      </w:r>
      <w:r>
        <w:rPr>
          <w:rFonts w:ascii="Arial" w:eastAsia="Arial" w:hAnsi="Arial" w:cs="Arial"/>
          <w:color w:val="000000"/>
          <w:sz w:val="20"/>
        </w:rPr>
        <w:t xml:space="preserve"> He submitted grievances requesting a new wheelchair, but each time defendants repaired the chair instead of upgrading it.</w:t>
      </w:r>
      <w:r>
        <w:rPr>
          <w:rFonts w:ascii="Arial" w:eastAsia="Arial" w:hAnsi="Arial" w:cs="Arial"/>
          <w:vertAlign w:val="superscript"/>
        </w:rPr>
        <w:footnoteReference w:customMarkFollows="1" w:id="234"/>
        <w:t>10</w:t>
      </w:r>
    </w:p>
    <w:p w14:paraId="0DB436D6" w14:textId="77777777" w:rsidR="002B10A6" w:rsidRDefault="00000000">
      <w:pPr>
        <w:pStyle w:val="Normal28"/>
        <w:widowControl w:val="0"/>
        <w:spacing w:before="200" w:line="260" w:lineRule="atLeast"/>
        <w:jc w:val="both"/>
      </w:pPr>
      <w:bookmarkStart w:id="6149" w:name="Bookmark_para_6_27"/>
      <w:bookmarkEnd w:id="6149"/>
      <w:r>
        <w:rPr>
          <w:rFonts w:ascii="Arial" w:eastAsia="Arial" w:hAnsi="Arial" w:cs="Arial"/>
          <w:color w:val="000000"/>
          <w:sz w:val="20"/>
        </w:rPr>
        <w:t>Last, Mr. Norfleet requested palm-padded gloves to help him avoid painful blisters that developed when he pushed himself in his wheelchair to exercise.</w:t>
      </w:r>
      <w:r>
        <w:rPr>
          <w:rFonts w:ascii="Arial" w:eastAsia="Arial" w:hAnsi="Arial" w:cs="Arial"/>
          <w:vertAlign w:val="superscript"/>
        </w:rPr>
        <w:footnoteReference w:customMarkFollows="1" w:id="235"/>
        <w:t>11</w:t>
      </w:r>
      <w:r>
        <w:rPr>
          <w:rFonts w:ascii="Arial" w:eastAsia="Arial" w:hAnsi="Arial" w:cs="Arial"/>
          <w:color w:val="000000"/>
          <w:sz w:val="20"/>
        </w:rPr>
        <w:t xml:space="preserve"> Defendants denied this request, stating that he was offered gloves (which he refused because they were too slippery to use for exercise).</w:t>
      </w:r>
      <w:r>
        <w:rPr>
          <w:rFonts w:ascii="Arial" w:eastAsia="Arial" w:hAnsi="Arial" w:cs="Arial"/>
          <w:vertAlign w:val="superscript"/>
        </w:rPr>
        <w:footnoteReference w:customMarkFollows="1" w:id="236"/>
        <w:t>12</w:t>
      </w:r>
    </w:p>
    <w:p w14:paraId="55A85B93" w14:textId="77777777" w:rsidR="002B10A6" w:rsidRDefault="00000000">
      <w:pPr>
        <w:pStyle w:val="Normal28"/>
        <w:widowControl w:val="0"/>
        <w:spacing w:before="200" w:line="260" w:lineRule="atLeast"/>
        <w:jc w:val="both"/>
      </w:pPr>
      <w:bookmarkStart w:id="6152" w:name="Bookmark_para_7_27"/>
      <w:bookmarkEnd w:id="6152"/>
      <w:r>
        <w:rPr>
          <w:rFonts w:ascii="Arial" w:eastAsia="Arial" w:hAnsi="Arial" w:cs="Arial"/>
          <w:color w:val="000000"/>
          <w:sz w:val="20"/>
        </w:rPr>
        <w:t>In addition to being denied essential equipment, Mr. Norfleet also believes that he was subjected to retaliation.</w:t>
      </w:r>
      <w:r>
        <w:rPr>
          <w:rFonts w:ascii="Arial" w:eastAsia="Arial" w:hAnsi="Arial" w:cs="Arial"/>
          <w:vertAlign w:val="superscript"/>
        </w:rPr>
        <w:footnoteReference w:customMarkFollows="1" w:id="237"/>
        <w:t>13</w:t>
      </w:r>
      <w:r>
        <w:rPr>
          <w:rFonts w:ascii="Arial" w:eastAsia="Arial" w:hAnsi="Arial" w:cs="Arial"/>
          <w:color w:val="000000"/>
          <w:sz w:val="20"/>
        </w:rPr>
        <w:t xml:space="preserve"> He asserts that his requests for accommodations [**4]  were rebuffed at the direction of IDOC's ADA coordinator in retaliation for being put to the trouble of testifying in connection  [*467]  with one of his prior suits.</w:t>
      </w:r>
      <w:r>
        <w:rPr>
          <w:rFonts w:ascii="Arial" w:eastAsia="Arial" w:hAnsi="Arial" w:cs="Arial"/>
          <w:vertAlign w:val="superscript"/>
        </w:rPr>
        <w:footnoteReference w:customMarkFollows="1" w:id="238"/>
        <w:t>14</w:t>
      </w:r>
      <w:r>
        <w:rPr>
          <w:rFonts w:ascii="Arial" w:eastAsia="Arial" w:hAnsi="Arial" w:cs="Arial"/>
          <w:color w:val="000000"/>
          <w:sz w:val="20"/>
        </w:rPr>
        <w:t xml:space="preserve"> As evidence of retaliatory intent, Mr. Norfleet highlights the coordinator's deposition testimony that IDOC's responsibilities under the ADA require it to provide only "access to recreation," and not to "ensure that a wheelchair-bound offender could access or use" a particular piece of exercise equipment.</w:t>
      </w:r>
      <w:r>
        <w:rPr>
          <w:rFonts w:ascii="Arial" w:eastAsia="Arial" w:hAnsi="Arial" w:cs="Arial"/>
          <w:vertAlign w:val="superscript"/>
        </w:rPr>
        <w:footnoteReference w:customMarkFollows="1" w:id="239"/>
        <w:t>15</w:t>
      </w:r>
    </w:p>
    <w:p w14:paraId="36CDFA35" w14:textId="77777777" w:rsidR="002B10A6" w:rsidRDefault="00000000">
      <w:pPr>
        <w:pStyle w:val="Normal28"/>
        <w:widowControl w:val="0"/>
        <w:spacing w:before="200" w:line="260" w:lineRule="atLeast"/>
        <w:jc w:val="both"/>
      </w:pPr>
      <w:bookmarkStart w:id="6156" w:name="Bookmark_para_8_27"/>
      <w:bookmarkEnd w:id="6156"/>
      <w:r>
        <w:rPr>
          <w:rFonts w:ascii="Arial" w:eastAsia="Arial" w:hAnsi="Arial" w:cs="Arial"/>
          <w:color w:val="000000"/>
          <w:sz w:val="20"/>
        </w:rPr>
        <w:t>Mr. Norfleet filed this action against IDOC and various corrections officials for violations of the ADA and Rehabilitation Act, as well as the First and Eighth Amendments.</w:t>
      </w:r>
      <w:r>
        <w:rPr>
          <w:rFonts w:ascii="Arial" w:eastAsia="Arial" w:hAnsi="Arial" w:cs="Arial"/>
          <w:vertAlign w:val="superscript"/>
        </w:rPr>
        <w:footnoteReference w:customMarkFollows="1" w:id="240"/>
        <w:t>16</w:t>
      </w:r>
      <w:r>
        <w:rPr>
          <w:rFonts w:ascii="Arial" w:eastAsia="Arial" w:hAnsi="Arial" w:cs="Arial"/>
          <w:color w:val="000000"/>
          <w:sz w:val="20"/>
        </w:rPr>
        <w:t xml:space="preserve"> He sought injunctive relief to gain access to free weights, a sports wheelchair, and padded gloves, as well as declaratory relief and punitive damages.</w:t>
      </w:r>
      <w:r>
        <w:rPr>
          <w:rFonts w:ascii="Arial" w:eastAsia="Arial" w:hAnsi="Arial" w:cs="Arial"/>
          <w:vertAlign w:val="superscript"/>
        </w:rPr>
        <w:footnoteReference w:customMarkFollows="1" w:id="241"/>
        <w:t>17</w:t>
      </w:r>
      <w:r>
        <w:rPr>
          <w:rFonts w:ascii="Arial" w:eastAsia="Arial" w:hAnsi="Arial" w:cs="Arial"/>
          <w:color w:val="000000"/>
          <w:sz w:val="20"/>
        </w:rPr>
        <w:t xml:space="preserve"> The district court screened his complaint, </w:t>
      </w:r>
      <w:r>
        <w:rPr>
          <w:rFonts w:ascii="Arial" w:eastAsia="Arial" w:hAnsi="Arial" w:cs="Arial"/>
          <w:i/>
          <w:color w:val="000000"/>
          <w:sz w:val="20"/>
        </w:rPr>
        <w:t>see</w:t>
      </w:r>
      <w:r>
        <w:rPr>
          <w:rFonts w:ascii="Arial" w:eastAsia="Arial" w:hAnsi="Arial" w:cs="Arial"/>
          <w:color w:val="000000"/>
          <w:sz w:val="20"/>
        </w:rPr>
        <w:t xml:space="preserve"> 28 U.S.C. § 1915A, and allowed him to proceed on a retaliation claim against the ADA coordinator; an ADA and Rehabilitation Act claim against IDOC for denying his requested accommodations; and an Eighth Amendment claim against several corrections officials for deliberate indifference towards his need for exercise.</w:t>
      </w:r>
      <w:r>
        <w:rPr>
          <w:rFonts w:ascii="Arial" w:eastAsia="Arial" w:hAnsi="Arial" w:cs="Arial"/>
          <w:vertAlign w:val="superscript"/>
        </w:rPr>
        <w:footnoteReference w:customMarkFollows="1" w:id="242"/>
        <w:t>18</w:t>
      </w:r>
    </w:p>
    <w:p w14:paraId="17049AFF" w14:textId="77777777" w:rsidR="002B10A6" w:rsidRDefault="00000000">
      <w:pPr>
        <w:pStyle w:val="Normal28"/>
        <w:widowControl w:val="0"/>
        <w:spacing w:before="200" w:line="260" w:lineRule="atLeast"/>
        <w:jc w:val="both"/>
      </w:pPr>
      <w:bookmarkStart w:id="6160" w:name="Bookmark_para_9_27"/>
      <w:bookmarkEnd w:id="6160"/>
      <w:r>
        <w:rPr>
          <w:rFonts w:ascii="Arial" w:eastAsia="Arial" w:hAnsi="Arial" w:cs="Arial"/>
          <w:color w:val="000000"/>
          <w:sz w:val="20"/>
        </w:rPr>
        <w:t>The defendants moved for summary judgment, which the district court granted in part and denied in part. [**5] </w:t>
      </w:r>
      <w:r>
        <w:rPr>
          <w:rFonts w:ascii="Arial" w:eastAsia="Arial" w:hAnsi="Arial" w:cs="Arial"/>
          <w:vertAlign w:val="superscript"/>
        </w:rPr>
        <w:footnoteReference w:customMarkFollows="1" w:id="243"/>
        <w:t>19</w:t>
      </w:r>
      <w:r>
        <w:rPr>
          <w:rFonts w:ascii="Arial" w:eastAsia="Arial" w:hAnsi="Arial" w:cs="Arial"/>
          <w:color w:val="000000"/>
          <w:sz w:val="20"/>
        </w:rPr>
        <w:t xml:space="preserve"> With regard to the retaliation and deliberate-indifference claims, the court found that Mr. Norfleet had offered no evidence that the ADA coordinator had taken an adverse action against him or that defendants deprived him of exercise opportunities.</w:t>
      </w:r>
      <w:r>
        <w:rPr>
          <w:rFonts w:ascii="Arial" w:eastAsia="Arial" w:hAnsi="Arial" w:cs="Arial"/>
          <w:vertAlign w:val="superscript"/>
        </w:rPr>
        <w:footnoteReference w:customMarkFollows="1" w:id="244"/>
        <w:t>20</w:t>
      </w:r>
      <w:r>
        <w:rPr>
          <w:rFonts w:ascii="Arial" w:eastAsia="Arial" w:hAnsi="Arial" w:cs="Arial"/>
          <w:color w:val="000000"/>
          <w:sz w:val="20"/>
        </w:rPr>
        <w:t xml:space="preserve"> The court, however, denied summary judgment on the ADA and Rehabilitation Act claim seeking injunctive relief against IDOC with regard to Mr. Norfleet's request for padded gloves.</w:t>
      </w:r>
      <w:r>
        <w:rPr>
          <w:rFonts w:ascii="Arial" w:eastAsia="Arial" w:hAnsi="Arial" w:cs="Arial"/>
          <w:vertAlign w:val="superscript"/>
        </w:rPr>
        <w:footnoteReference w:customMarkFollows="1" w:id="245"/>
        <w:t>21</w:t>
      </w:r>
      <w:r>
        <w:rPr>
          <w:rFonts w:ascii="Arial" w:eastAsia="Arial" w:hAnsi="Arial" w:cs="Arial"/>
          <w:color w:val="000000"/>
          <w:sz w:val="20"/>
        </w:rPr>
        <w:t xml:space="preserve"> The court found that a fact issue remained over whether Mr. Norfleet required specialized gloves to push himself while exercising, given his testimony that he gets blisters when he exercises without palm-padded gloves.</w:t>
      </w:r>
      <w:r>
        <w:rPr>
          <w:rFonts w:ascii="Arial" w:eastAsia="Arial" w:hAnsi="Arial" w:cs="Arial"/>
          <w:vertAlign w:val="superscript"/>
        </w:rPr>
        <w:footnoteReference w:customMarkFollows="1" w:id="246"/>
        <w:t>22</w:t>
      </w:r>
      <w:r>
        <w:rPr>
          <w:rFonts w:ascii="Arial" w:eastAsia="Arial" w:hAnsi="Arial" w:cs="Arial"/>
          <w:color w:val="000000"/>
          <w:sz w:val="20"/>
        </w:rPr>
        <w:t xml:space="preserve"> The court set that claim for trial and recruited counsel for Mr. Norfleet.</w:t>
      </w:r>
      <w:r>
        <w:rPr>
          <w:rFonts w:ascii="Arial" w:eastAsia="Arial" w:hAnsi="Arial" w:cs="Arial"/>
          <w:vertAlign w:val="superscript"/>
        </w:rPr>
        <w:footnoteReference w:customMarkFollows="1" w:id="247"/>
        <w:t>23</w:t>
      </w:r>
    </w:p>
    <w:p w14:paraId="26BAF703" w14:textId="77777777" w:rsidR="002B10A6" w:rsidRDefault="00000000">
      <w:pPr>
        <w:pStyle w:val="Normal28"/>
        <w:widowControl w:val="0"/>
        <w:spacing w:before="200" w:line="260" w:lineRule="atLeast"/>
        <w:jc w:val="both"/>
      </w:pPr>
      <w:bookmarkStart w:id="6166" w:name="Bookmark_para_10_27"/>
      <w:bookmarkEnd w:id="6166"/>
      <w:r>
        <w:rPr>
          <w:rFonts w:ascii="Arial" w:eastAsia="Arial" w:hAnsi="Arial" w:cs="Arial"/>
          <w:color w:val="000000"/>
          <w:sz w:val="20"/>
        </w:rPr>
        <w:t>Mr. Norfleet promptly filed a pro se motion for reconsideration, arguing that the district court's inquiry too narrowly examined whether he had access to exercise rather than whether this exercise was "beneficial and meaningful."</w:t>
      </w:r>
      <w:r>
        <w:rPr>
          <w:rFonts w:ascii="Arial" w:eastAsia="Arial" w:hAnsi="Arial" w:cs="Arial"/>
          <w:vertAlign w:val="superscript"/>
        </w:rPr>
        <w:footnoteReference w:customMarkFollows="1" w:id="248"/>
        <w:t>24</w:t>
      </w:r>
      <w:r>
        <w:rPr>
          <w:rFonts w:ascii="Arial" w:eastAsia="Arial" w:hAnsi="Arial" w:cs="Arial"/>
          <w:color w:val="000000"/>
          <w:sz w:val="20"/>
        </w:rPr>
        <w:t xml:space="preserve"> The district court struck that motion because Mr. Norfleet was counseled and no longer proceeding pro se.</w:t>
      </w:r>
      <w:r>
        <w:rPr>
          <w:rFonts w:ascii="Arial" w:eastAsia="Arial" w:hAnsi="Arial" w:cs="Arial"/>
          <w:vertAlign w:val="superscript"/>
        </w:rPr>
        <w:footnoteReference w:customMarkFollows="1" w:id="249"/>
        <w:t>25</w:t>
      </w:r>
      <w:r>
        <w:rPr>
          <w:rFonts w:ascii="Arial" w:eastAsia="Arial" w:hAnsi="Arial" w:cs="Arial"/>
          <w:color w:val="000000"/>
          <w:sz w:val="20"/>
        </w:rPr>
        <w:t xml:space="preserve"> Mr. Norfleet then asked the court to terminate counsel's representation and filed a second pro se motion for reconsideration.</w:t>
      </w:r>
      <w:r>
        <w:rPr>
          <w:rFonts w:ascii="Arial" w:eastAsia="Arial" w:hAnsi="Arial" w:cs="Arial"/>
          <w:vertAlign w:val="superscript"/>
        </w:rPr>
        <w:footnoteReference w:customMarkFollows="1" w:id="250"/>
        <w:t>26</w:t>
      </w:r>
      <w:r>
        <w:rPr>
          <w:rFonts w:ascii="Arial" w:eastAsia="Arial" w:hAnsi="Arial" w:cs="Arial"/>
          <w:color w:val="000000"/>
          <w:sz w:val="20"/>
        </w:rPr>
        <w:t xml:space="preserve"> The court agreed [**6]  to let Mr. Norfleet proceed on his own but ultimately denied the second motion because he had not identified any legal error.</w:t>
      </w:r>
      <w:r>
        <w:rPr>
          <w:rFonts w:ascii="Arial" w:eastAsia="Arial" w:hAnsi="Arial" w:cs="Arial"/>
          <w:vertAlign w:val="superscript"/>
        </w:rPr>
        <w:footnoteReference w:customMarkFollows="1" w:id="251"/>
        <w:t>27</w:t>
      </w:r>
    </w:p>
    <w:p w14:paraId="6DA307C7" w14:textId="77777777" w:rsidR="002B10A6" w:rsidRDefault="00000000">
      <w:pPr>
        <w:pStyle w:val="Normal28"/>
        <w:widowControl w:val="0"/>
        <w:spacing w:before="200" w:line="260" w:lineRule="atLeast"/>
        <w:jc w:val="both"/>
      </w:pPr>
      <w:bookmarkStart w:id="6171" w:name="Bookmark_para_11_24"/>
      <w:bookmarkEnd w:id="6171"/>
      <w:r>
        <w:rPr>
          <w:rFonts w:ascii="Arial" w:eastAsia="Arial" w:hAnsi="Arial" w:cs="Arial"/>
          <w:color w:val="000000"/>
          <w:sz w:val="20"/>
        </w:rPr>
        <w:t> [*468]  At a status hearing in December 2018, Mr. Norfleet voluntarily dismissed without prejudice his outstanding ADA and Rehabilitation Act claim concerning the gloves.</w:t>
      </w:r>
      <w:r>
        <w:rPr>
          <w:rFonts w:ascii="Arial" w:eastAsia="Arial" w:hAnsi="Arial" w:cs="Arial"/>
          <w:vertAlign w:val="superscript"/>
        </w:rPr>
        <w:footnoteReference w:customMarkFollows="1" w:id="252"/>
        <w:t>28</w:t>
      </w:r>
      <w:r>
        <w:rPr>
          <w:rFonts w:ascii="Arial" w:eastAsia="Arial" w:hAnsi="Arial" w:cs="Arial"/>
          <w:color w:val="000000"/>
          <w:sz w:val="20"/>
        </w:rPr>
        <w:t xml:space="preserve"> Mr. Norfleet says that he did so to make his case immediately appealable.</w:t>
      </w:r>
      <w:r>
        <w:rPr>
          <w:rFonts w:ascii="Arial" w:eastAsia="Arial" w:hAnsi="Arial" w:cs="Arial"/>
          <w:vertAlign w:val="superscript"/>
        </w:rPr>
        <w:footnoteReference w:customMarkFollows="1" w:id="253"/>
        <w:t>29</w:t>
      </w:r>
    </w:p>
    <w:p w14:paraId="226E4765" w14:textId="77777777" w:rsidR="002B10A6" w:rsidRDefault="00000000">
      <w:pPr>
        <w:pStyle w:val="Normal28"/>
        <w:widowControl w:val="0"/>
        <w:spacing w:before="200" w:line="260" w:lineRule="atLeast"/>
        <w:jc w:val="both"/>
      </w:pPr>
      <w:bookmarkStart w:id="6174" w:name="Bookmark_para_12_23"/>
      <w:bookmarkEnd w:id="6174"/>
      <w:r>
        <w:rPr>
          <w:rFonts w:ascii="Arial" w:eastAsia="Arial" w:hAnsi="Arial" w:cs="Arial"/>
          <w:color w:val="000000"/>
          <w:sz w:val="20"/>
        </w:rPr>
        <w:t xml:space="preserve">Mr. Norfleet then appealed, but we directed the parties to submit memoranda clarifying the basis of our jurisdiction in light of Mr. Norfleet's voluntary dismissal of his remaining claim. As we explained, the judgment reflected that this claim had been dismissed </w:t>
      </w:r>
      <w:r>
        <w:rPr>
          <w:rFonts w:ascii="Arial" w:eastAsia="Arial" w:hAnsi="Arial" w:cs="Arial"/>
          <w:i/>
          <w:color w:val="000000"/>
          <w:sz w:val="20"/>
        </w:rPr>
        <w:t>without</w:t>
      </w:r>
      <w:r>
        <w:rPr>
          <w:rFonts w:ascii="Arial" w:eastAsia="Arial" w:hAnsi="Arial" w:cs="Arial"/>
          <w:color w:val="000000"/>
          <w:sz w:val="20"/>
        </w:rPr>
        <w:t xml:space="preserve"> prejudice, and such judgments normally do not qualify as final and appealable because the plaintiff is free to re-file the claim.</w:t>
      </w:r>
      <w:r>
        <w:rPr>
          <w:rFonts w:ascii="Arial" w:eastAsia="Arial" w:hAnsi="Arial" w:cs="Arial"/>
          <w:vertAlign w:val="superscript"/>
        </w:rPr>
        <w:footnoteReference w:customMarkFollows="1" w:id="254"/>
        <w:t>30</w:t>
      </w:r>
      <w:r>
        <w:rPr>
          <w:rFonts w:ascii="Arial" w:eastAsia="Arial" w:hAnsi="Arial" w:cs="Arial"/>
          <w:color w:val="000000"/>
          <w:sz w:val="20"/>
        </w:rPr>
        <w:t xml:space="preserve"> After the parties responded, we ordered Mr. Norfleet to advise us whether he would dismiss his remaining claim </w:t>
      </w:r>
      <w:r>
        <w:rPr>
          <w:rFonts w:ascii="Arial" w:eastAsia="Arial" w:hAnsi="Arial" w:cs="Arial"/>
          <w:i/>
          <w:color w:val="000000"/>
          <w:sz w:val="20"/>
        </w:rPr>
        <w:t>with</w:t>
      </w:r>
      <w:r>
        <w:rPr>
          <w:rFonts w:ascii="Arial" w:eastAsia="Arial" w:hAnsi="Arial" w:cs="Arial"/>
          <w:color w:val="000000"/>
          <w:sz w:val="20"/>
        </w:rPr>
        <w:t xml:space="preserve"> prejudice, warning him that his failure to do so could result in the dismissal of his appeal.</w:t>
      </w:r>
      <w:r>
        <w:rPr>
          <w:rFonts w:ascii="Arial" w:eastAsia="Arial" w:hAnsi="Arial" w:cs="Arial"/>
          <w:vertAlign w:val="superscript"/>
        </w:rPr>
        <w:footnoteReference w:customMarkFollows="1" w:id="255"/>
        <w:t>31</w:t>
      </w:r>
    </w:p>
    <w:p w14:paraId="7BB5A8F5" w14:textId="77777777" w:rsidR="002B10A6" w:rsidRDefault="00000000">
      <w:pPr>
        <w:pStyle w:val="Normal28"/>
        <w:widowControl w:val="0"/>
        <w:spacing w:before="200" w:line="260" w:lineRule="atLeast"/>
        <w:jc w:val="both"/>
      </w:pPr>
      <w:bookmarkStart w:id="6177" w:name="Bookmark_para_13_23"/>
      <w:bookmarkStart w:id="6178" w:name="Bookmark_I61B4TK42HM64Y0020000400"/>
      <w:bookmarkEnd w:id="6177"/>
      <w:bookmarkEnd w:id="6178"/>
      <w:r>
        <w:rPr>
          <w:rFonts w:ascii="Arial" w:eastAsia="Arial" w:hAnsi="Arial" w:cs="Arial"/>
          <w:color w:val="000000"/>
          <w:sz w:val="20"/>
        </w:rPr>
        <w:t>Mr. Norfleet's response did not acknowledge our inquiry and instead addressed an order that we had issued in another appeal three weeks earlier.</w:t>
      </w:r>
      <w:r>
        <w:rPr>
          <w:rFonts w:ascii="Arial" w:eastAsia="Arial" w:hAnsi="Arial" w:cs="Arial"/>
          <w:vertAlign w:val="superscript"/>
        </w:rPr>
        <w:footnoteReference w:customMarkFollows="1" w:id="256"/>
        <w:t>32</w:t>
      </w:r>
      <w:r>
        <w:rPr>
          <w:rFonts w:ascii="Arial" w:eastAsia="Arial" w:hAnsi="Arial" w:cs="Arial"/>
          <w:color w:val="000000"/>
          <w:sz w:val="20"/>
        </w:rPr>
        <w:t xml:space="preserve"> Alluding to our statement in the other appeal that he was subject to a three-strikes [**7]  filing bar that could "be reexamined in two years,"</w:t>
      </w:r>
      <w:r>
        <w:rPr>
          <w:rFonts w:ascii="Arial" w:eastAsia="Arial" w:hAnsi="Arial" w:cs="Arial"/>
          <w:vertAlign w:val="superscript"/>
        </w:rPr>
        <w:footnoteReference w:customMarkFollows="1" w:id="257"/>
        <w:t>33</w:t>
      </w:r>
      <w:r>
        <w:rPr>
          <w:rFonts w:ascii="Arial" w:eastAsia="Arial" w:hAnsi="Arial" w:cs="Arial"/>
          <w:color w:val="000000"/>
          <w:sz w:val="20"/>
        </w:rPr>
        <w:t xml:space="preserve"> Mr. Norfleet wrote that he would "not file any additional new 42 U.S.C. § 1983 claims in this Seventh Circuit as of April 9, 2019 throughout April 9, 2021."</w:t>
      </w:r>
      <w:r>
        <w:rPr>
          <w:rFonts w:ascii="Arial" w:eastAsia="Arial" w:hAnsi="Arial" w:cs="Arial"/>
          <w:vertAlign w:val="superscript"/>
        </w:rPr>
        <w:footnoteReference w:customMarkFollows="1" w:id="258"/>
        <w:t>34</w:t>
      </w:r>
      <w:r>
        <w:rPr>
          <w:rFonts w:ascii="Arial" w:eastAsia="Arial" w:hAnsi="Arial" w:cs="Arial"/>
          <w:color w:val="000000"/>
          <w:sz w:val="20"/>
        </w:rPr>
        <w:t xml:space="preserve"> We construed this statement, along with defendants' observation that Mr. Norfleet had only one year to re-file his claim regarding the palm-padded gloves, to mean that his claim was "effectively at an end," and we allowed the appeal to proceed to briefing.</w:t>
      </w:r>
      <w:r>
        <w:rPr>
          <w:rFonts w:ascii="Arial" w:eastAsia="Arial" w:hAnsi="Arial" w:cs="Arial"/>
          <w:vertAlign w:val="superscript"/>
        </w:rPr>
        <w:footnoteReference w:customMarkFollows="1" w:id="259"/>
        <w:t>35</w:t>
      </w:r>
    </w:p>
    <w:p w14:paraId="031FB2D9" w14:textId="77777777" w:rsidR="002B10A6" w:rsidRDefault="00000000">
      <w:pPr>
        <w:pStyle w:val="Normal28"/>
        <w:widowControl w:val="0"/>
        <w:spacing w:before="200" w:line="260" w:lineRule="atLeast"/>
        <w:jc w:val="both"/>
      </w:pPr>
      <w:bookmarkStart w:id="6184" w:name="Bookmark_para_14_23"/>
      <w:bookmarkEnd w:id="6184"/>
      <w:r>
        <w:rPr>
          <w:rFonts w:ascii="Arial" w:eastAsia="Arial" w:hAnsi="Arial" w:cs="Arial"/>
          <w:color w:val="000000"/>
          <w:sz w:val="20"/>
        </w:rPr>
        <w:t>In his briefs on appeal, Mr. Norfleet now objects to the manner in which the voluntary dismissal of his remaining claim was carried out.</w:t>
      </w:r>
      <w:r>
        <w:rPr>
          <w:rFonts w:ascii="Arial" w:eastAsia="Arial" w:hAnsi="Arial" w:cs="Arial"/>
          <w:vertAlign w:val="superscript"/>
        </w:rPr>
        <w:footnoteReference w:customMarkFollows="1" w:id="260"/>
        <w:t>36</w:t>
      </w:r>
      <w:r>
        <w:rPr>
          <w:rFonts w:ascii="Arial" w:eastAsia="Arial" w:hAnsi="Arial" w:cs="Arial"/>
          <w:color w:val="000000"/>
          <w:sz w:val="20"/>
        </w:rPr>
        <w:t xml:space="preserve"> He asserts that he would not have proceeded with this appeal had he known that doing so would come at the expense of abandoning that claim.</w:t>
      </w:r>
      <w:r>
        <w:rPr>
          <w:rFonts w:ascii="Arial" w:eastAsia="Arial" w:hAnsi="Arial" w:cs="Arial"/>
          <w:vertAlign w:val="superscript"/>
        </w:rPr>
        <w:footnoteReference w:customMarkFollows="1" w:id="261"/>
        <w:t>37</w:t>
      </w:r>
    </w:p>
    <w:p w14:paraId="721CDB69" w14:textId="77777777" w:rsidR="002B10A6" w:rsidRDefault="00000000">
      <w:pPr>
        <w:pStyle w:val="Normal28"/>
        <w:widowControl w:val="0"/>
        <w:spacing w:before="200" w:line="260" w:lineRule="atLeast"/>
        <w:jc w:val="both"/>
      </w:pPr>
      <w:bookmarkStart w:id="6187" w:name="Bookmark_para_15_23"/>
      <w:bookmarkStart w:id="6188" w:name="Bookmark_I61B4TK42HM64Y0040000400"/>
      <w:bookmarkEnd w:id="6187"/>
      <w:bookmarkEnd w:id="6188"/>
      <w:r>
        <w:rPr>
          <w:rFonts w:ascii="Arial" w:eastAsia="Arial" w:hAnsi="Arial" w:cs="Arial"/>
          <w:color w:val="000000"/>
          <w:sz w:val="20"/>
        </w:rPr>
        <w:t xml:space="preserve">Mr. Norfleet's opportunity for pursuing this claim, however, comes too late and now is time-barred under Illinois's one-year statute of limitations for refiling a voluntarily dismissed claim. </w:t>
      </w:r>
      <w:r>
        <w:rPr>
          <w:rFonts w:ascii="Arial" w:eastAsia="Arial" w:hAnsi="Arial" w:cs="Arial"/>
          <w:i/>
          <w:color w:val="000000"/>
          <w:sz w:val="20"/>
        </w:rPr>
        <w:t>See</w:t>
      </w:r>
      <w:r>
        <w:rPr>
          <w:rFonts w:ascii="Arial" w:eastAsia="Arial" w:hAnsi="Arial" w:cs="Arial"/>
          <w:color w:val="000000"/>
          <w:sz w:val="20"/>
        </w:rPr>
        <w:t xml:space="preserve"> 735 ILL. COMP. STAT. 5/13-217; </w:t>
      </w:r>
      <w:r>
        <w:rPr>
          <w:rFonts w:ascii="Arial" w:eastAsia="Arial" w:hAnsi="Arial" w:cs="Arial"/>
          <w:i/>
          <w:color w:val="000000"/>
          <w:sz w:val="20"/>
        </w:rPr>
        <w:t xml:space="preserve">see also </w:t>
      </w:r>
      <w:bookmarkStart w:id="6189" w:name="Bookmark_I61B4TK42HM64Y0030000400"/>
      <w:bookmarkEnd w:id="6189"/>
      <w:r>
        <w:rPr>
          <w:rFonts w:ascii="Arial" w:eastAsia="Arial" w:hAnsi="Arial" w:cs="Arial"/>
          <w:i/>
          <w:color w:val="000000"/>
          <w:sz w:val="20"/>
        </w:rPr>
        <w:t>Soignier v. Am. Bd. of Plastic Surgery</w:t>
      </w:r>
      <w:r>
        <w:rPr>
          <w:rFonts w:ascii="Arial" w:eastAsia="Arial" w:hAnsi="Arial" w:cs="Arial"/>
          <w:color w:val="000000"/>
          <w:sz w:val="20"/>
        </w:rPr>
        <w:t xml:space="preserve">, 92 F.3d 547, 550 (7th Cir. 1996) ("The ADA, like many federal civil rights statutes, does not contain a specific statute of limitations. </w:t>
      </w:r>
      <w:bookmarkStart w:id="6190" w:name="Bookmark_I61B4TK62N1RSF0010000400"/>
      <w:bookmarkEnd w:id="6190"/>
      <w:r>
        <w:rPr>
          <w:rFonts w:ascii="Arial" w:eastAsia="Arial" w:hAnsi="Arial" w:cs="Arial"/>
          <w:color w:val="000000"/>
          <w:sz w:val="20"/>
        </w:rPr>
        <w:t xml:space="preserve">Thus, the most appropriate state limitations period applies."). </w:t>
      </w:r>
      <w:bookmarkStart w:id="6191" w:name="Bookmark_I61B4TK62N1RSF0010000400_2"/>
      <w:bookmarkEnd w:id="6191"/>
      <w:r>
        <w:rPr>
          <w:rFonts w:ascii="Arial" w:eastAsia="Arial" w:hAnsi="Arial" w:cs="Arial"/>
          <w:color w:val="000000"/>
          <w:sz w:val="20"/>
        </w:rPr>
        <w:t xml:space="preserve">Mr. Norfleet voluntarily dismissed his outstanding claim about the padded gloves [**8]  in December 2018. </w:t>
      </w:r>
      <w:bookmarkStart w:id="6192" w:name="Bookmark_I61B4TK62N1RSF0050000400"/>
      <w:bookmarkEnd w:id="6192"/>
      <w:r>
        <w:rPr>
          <w:rFonts w:ascii="Arial" w:eastAsia="Arial" w:hAnsi="Arial" w:cs="Arial"/>
          <w:color w:val="000000"/>
          <w:sz w:val="20"/>
        </w:rPr>
        <w:t xml:space="preserve">"[W]hen an otherwise revivable claim cannot be refiled because the statute of limitations has run, its dismissal without prejudice does not preclude appellate jurisdiction." </w:t>
      </w:r>
      <w:bookmarkStart w:id="6193" w:name="Bookmark_I61B4TK42HM64Y0050000400"/>
      <w:bookmarkEnd w:id="6193"/>
      <w:r>
        <w:rPr>
          <w:rFonts w:ascii="Arial" w:eastAsia="Arial" w:hAnsi="Arial" w:cs="Arial"/>
          <w:i/>
          <w:color w:val="000000"/>
          <w:sz w:val="20"/>
        </w:rPr>
        <w:t>Palka v. City of Chicago</w:t>
      </w:r>
      <w:r>
        <w:rPr>
          <w:rFonts w:ascii="Arial" w:eastAsia="Arial" w:hAnsi="Arial" w:cs="Arial"/>
          <w:color w:val="000000"/>
          <w:sz w:val="20"/>
        </w:rPr>
        <w:t xml:space="preserve">, 662 F.3d 428, 433 (7th Cir. 2011); </w:t>
      </w:r>
      <w:r>
        <w:rPr>
          <w:rFonts w:ascii="Arial" w:eastAsia="Arial" w:hAnsi="Arial" w:cs="Arial"/>
          <w:i/>
          <w:color w:val="000000"/>
          <w:sz w:val="20"/>
        </w:rPr>
        <w:t xml:space="preserve">see also </w:t>
      </w:r>
      <w:bookmarkStart w:id="6194" w:name="Bookmark_I61B4TK62N1RSF0020000400"/>
      <w:bookmarkEnd w:id="6194"/>
      <w:r>
        <w:rPr>
          <w:rFonts w:ascii="Arial" w:eastAsia="Arial" w:hAnsi="Arial" w:cs="Arial"/>
          <w:i/>
          <w:color w:val="000000"/>
          <w:sz w:val="20"/>
        </w:rPr>
        <w:t>Anderson v. Catholic Bishop of Chicago</w:t>
      </w:r>
      <w:r>
        <w:rPr>
          <w:rFonts w:ascii="Arial" w:eastAsia="Arial" w:hAnsi="Arial" w:cs="Arial"/>
          <w:color w:val="000000"/>
          <w:sz w:val="20"/>
        </w:rPr>
        <w:t xml:space="preserve">, 759 F.3d 645, 649 (7th Cir. 2014). </w:t>
      </w:r>
      <w:bookmarkStart w:id="6195" w:name="Bookmark_I61B4TK62N1RSF0050000400_2"/>
      <w:bookmarkEnd w:id="6195"/>
      <w:r>
        <w:rPr>
          <w:rFonts w:ascii="Arial" w:eastAsia="Arial" w:hAnsi="Arial" w:cs="Arial"/>
          <w:color w:val="000000"/>
          <w:sz w:val="20"/>
        </w:rPr>
        <w:t xml:space="preserve">That is so even where the statute of limitations has run following an otherwise premature notice of appeal. </w:t>
      </w:r>
      <w:r>
        <w:rPr>
          <w:rFonts w:ascii="Arial" w:eastAsia="Arial" w:hAnsi="Arial" w:cs="Arial"/>
          <w:i/>
          <w:color w:val="000000"/>
          <w:sz w:val="20"/>
        </w:rPr>
        <w:t xml:space="preserve">See </w:t>
      </w:r>
      <w:bookmarkStart w:id="6196" w:name="Bookmark_I61B4TK62N1RSF0040000400"/>
      <w:bookmarkEnd w:id="6196"/>
      <w:r>
        <w:rPr>
          <w:rFonts w:ascii="Arial" w:eastAsia="Arial" w:hAnsi="Arial" w:cs="Arial"/>
          <w:i/>
          <w:color w:val="000000"/>
          <w:sz w:val="20"/>
        </w:rPr>
        <w:t>Palka</w:t>
      </w:r>
      <w:r>
        <w:rPr>
          <w:rFonts w:ascii="Arial" w:eastAsia="Arial" w:hAnsi="Arial" w:cs="Arial"/>
          <w:color w:val="000000"/>
          <w:sz w:val="20"/>
        </w:rPr>
        <w:t xml:space="preserve">, 662 F.3d at 432 n.1, 433-34 (noting that the expiration of the statute of limitations "remove[d] any jurisdictional barrier"); </w:t>
      </w:r>
      <w:r>
        <w:rPr>
          <w:rFonts w:ascii="Arial" w:eastAsia="Arial" w:hAnsi="Arial" w:cs="Arial"/>
          <w:i/>
          <w:color w:val="000000"/>
          <w:sz w:val="20"/>
        </w:rPr>
        <w:t xml:space="preserve">see also </w:t>
      </w:r>
      <w:bookmarkStart w:id="6197" w:name="Bookmark_I61B4TK628T49F0010000400"/>
      <w:bookmarkEnd w:id="6197"/>
      <w:r>
        <w:rPr>
          <w:rFonts w:ascii="Arial" w:eastAsia="Arial" w:hAnsi="Arial" w:cs="Arial"/>
          <w:i/>
          <w:color w:val="000000"/>
          <w:sz w:val="20"/>
        </w:rPr>
        <w:t>India Breweries, Inc. v. Miller  [*469]  Brewing Co.</w:t>
      </w:r>
      <w:r>
        <w:rPr>
          <w:rFonts w:ascii="Arial" w:eastAsia="Arial" w:hAnsi="Arial" w:cs="Arial"/>
          <w:color w:val="000000"/>
          <w:sz w:val="20"/>
        </w:rPr>
        <w:t>, 612 F.3d 651, 657 (7th Cir. 2010) (allowing a litigant to manufacture appellate jurisdiction by dismissing with prejudice revivable claims at oral argument). Thus our jurisdiction over this appeal is secure.</w:t>
      </w:r>
    </w:p>
    <w:p w14:paraId="581A4E45" w14:textId="77777777" w:rsidR="002B10A6" w:rsidRDefault="00000000">
      <w:pPr>
        <w:pStyle w:val="Normal28"/>
        <w:widowControl w:val="0"/>
        <w:spacing w:before="200" w:line="260" w:lineRule="atLeast"/>
        <w:jc w:val="both"/>
      </w:pPr>
      <w:bookmarkStart w:id="6198" w:name="Bookmark_para_16_21"/>
      <w:bookmarkStart w:id="6199" w:name="Bookmark_I61B4TK628T49F0040000400"/>
      <w:bookmarkStart w:id="6200" w:name="Bookmark_I61B4TK72SF7Y60010000400"/>
      <w:bookmarkEnd w:id="6198"/>
      <w:bookmarkEnd w:id="6199"/>
      <w:bookmarkEnd w:id="6200"/>
      <w:r>
        <w:rPr>
          <w:rFonts w:ascii="Arial" w:eastAsia="Arial" w:hAnsi="Arial" w:cs="Arial"/>
          <w:color w:val="000000"/>
          <w:sz w:val="20"/>
        </w:rPr>
        <w:t xml:space="preserve">As for the merits of his appeal, Mr. Norfleet generally challenges the district court's entry of summary judgment on all his claims. Construing his pro se brief liberally, </w:t>
      </w:r>
      <w:r>
        <w:rPr>
          <w:rFonts w:ascii="Arial" w:eastAsia="Arial" w:hAnsi="Arial" w:cs="Arial"/>
          <w:i/>
          <w:color w:val="000000"/>
          <w:sz w:val="20"/>
        </w:rPr>
        <w:t xml:space="preserve">see </w:t>
      </w:r>
      <w:bookmarkStart w:id="6201" w:name="Bookmark_I61B4TK628T49F0030000400"/>
      <w:bookmarkEnd w:id="6201"/>
      <w:r>
        <w:rPr>
          <w:rFonts w:ascii="Arial" w:eastAsia="Arial" w:hAnsi="Arial" w:cs="Arial"/>
          <w:i/>
          <w:color w:val="000000"/>
          <w:sz w:val="20"/>
        </w:rPr>
        <w:t>Parker v. Four Seasons Hotels, Ltd.</w:t>
      </w:r>
      <w:r>
        <w:rPr>
          <w:rFonts w:ascii="Arial" w:eastAsia="Arial" w:hAnsi="Arial" w:cs="Arial"/>
          <w:color w:val="000000"/>
          <w:sz w:val="20"/>
        </w:rPr>
        <w:t xml:space="preserve">, 845 F.3d 807, 811 (7th Cir. 2017), we understand him to take issue with the district court's conclusions that he had not created a material issue of fact with respect to his claims regarding reasonable accommodations, retaliation, and deliberate indifference. We review each of those claims de novo. </w:t>
      </w:r>
      <w:bookmarkStart w:id="6202" w:name="Bookmark_I61B4TK628T49F0050000400"/>
      <w:bookmarkEnd w:id="6202"/>
      <w:r>
        <w:rPr>
          <w:rFonts w:ascii="Arial" w:eastAsia="Arial" w:hAnsi="Arial" w:cs="Arial"/>
          <w:i/>
          <w:color w:val="000000"/>
          <w:sz w:val="20"/>
        </w:rPr>
        <w:t>Clarendon Nat'l Ins. Co. v. Medina</w:t>
      </w:r>
      <w:r>
        <w:rPr>
          <w:rFonts w:ascii="Arial" w:eastAsia="Arial" w:hAnsi="Arial" w:cs="Arial"/>
          <w:color w:val="000000"/>
          <w:sz w:val="20"/>
        </w:rPr>
        <w:t>, 645 F.3d 928, 933 (7th Cir. 2011).</w:t>
      </w:r>
    </w:p>
    <w:p w14:paraId="0439990B" w14:textId="77777777" w:rsidR="002B10A6" w:rsidRDefault="00000000">
      <w:pPr>
        <w:pStyle w:val="Normal28"/>
        <w:widowControl w:val="0"/>
        <w:spacing w:before="200" w:line="260" w:lineRule="atLeast"/>
        <w:jc w:val="both"/>
      </w:pPr>
      <w:bookmarkStart w:id="6203" w:name="Bookmark_para_17_21"/>
      <w:bookmarkStart w:id="6204" w:name="Bookmark_I61B4TK72SF7Y60030000400"/>
      <w:bookmarkEnd w:id="6203"/>
      <w:bookmarkEnd w:id="6204"/>
      <w:r>
        <w:rPr>
          <w:rFonts w:ascii="Arial" w:eastAsia="Arial" w:hAnsi="Arial" w:cs="Arial"/>
          <w:color w:val="000000"/>
          <w:sz w:val="20"/>
        </w:rPr>
        <w:t xml:space="preserve">We begin with Mr. Norfleet's reasonable accommodation claims. </w:t>
      </w:r>
      <w:bookmarkStart w:id="6205" w:name="Bookmark_I61B4TK72SF7Y60050000400"/>
      <w:bookmarkEnd w:id="6205"/>
      <w:r>
        <w:rPr>
          <w:rFonts w:ascii="Arial" w:eastAsia="Arial" w:hAnsi="Arial" w:cs="Arial"/>
          <w:color w:val="000000"/>
          <w:sz w:val="20"/>
        </w:rPr>
        <w:t xml:space="preserve">The analysis governing the ADA, 42 U.S.C. § 12132, and the Rehabilitation Act, 29 U.S.C. § 794, is the same, "except that the [**9]  Rehabilitation Act includes as an additional element the receipt of federal funds, which all states accept for their prisons." </w:t>
      </w:r>
      <w:bookmarkStart w:id="6206" w:name="Bookmark_I61B4TK72SF7Y60020000400"/>
      <w:bookmarkEnd w:id="6206"/>
      <w:r>
        <w:rPr>
          <w:rFonts w:ascii="Arial" w:eastAsia="Arial" w:hAnsi="Arial" w:cs="Arial"/>
          <w:i/>
          <w:color w:val="000000"/>
          <w:sz w:val="20"/>
        </w:rPr>
        <w:t>Jaros v. Ill. Dep't of Corrs.</w:t>
      </w:r>
      <w:r>
        <w:rPr>
          <w:rFonts w:ascii="Arial" w:eastAsia="Arial" w:hAnsi="Arial" w:cs="Arial"/>
          <w:color w:val="000000"/>
          <w:sz w:val="20"/>
        </w:rPr>
        <w:t xml:space="preserve">, 684 F.3d 667, 671 (7th Cir. 2012). To defeat summary judgment, Mr. Norfleet needed to introduce evidence from which a jury could find that he is a qualified individual with a disability (which is not disputed here) and that IDOC denied him the benefits of the prison's exercise and recreation programs because of his disability. </w:t>
      </w:r>
      <w:bookmarkStart w:id="6207" w:name="Bookmark_I61B4TK72SF7Y60050000400_2"/>
      <w:bookmarkStart w:id="6208" w:name="Bookmark_I61B4TK72N1RSR0020000400"/>
      <w:bookmarkStart w:id="6209" w:name="Bookmark_I61B4TK72SF7Y60040000400"/>
      <w:bookmarkEnd w:id="6207"/>
      <w:bookmarkEnd w:id="6208"/>
      <w:bookmarkEnd w:id="6209"/>
      <w:r>
        <w:rPr>
          <w:rFonts w:ascii="Arial" w:eastAsia="Arial" w:hAnsi="Arial" w:cs="Arial"/>
          <w:i/>
          <w:color w:val="000000"/>
          <w:sz w:val="20"/>
        </w:rPr>
        <w:t>Id.</w:t>
      </w:r>
      <w:r>
        <w:rPr>
          <w:rFonts w:ascii="Arial" w:eastAsia="Arial" w:hAnsi="Arial" w:cs="Arial"/>
          <w:color w:val="000000"/>
          <w:sz w:val="20"/>
        </w:rPr>
        <w:t xml:space="preserve"> at 672. </w:t>
      </w:r>
      <w:bookmarkStart w:id="6210" w:name="Bookmark_I61B4TK72N1RSR0020000400_2"/>
      <w:bookmarkEnd w:id="6210"/>
      <w:r>
        <w:rPr>
          <w:rFonts w:ascii="Arial" w:eastAsia="Arial" w:hAnsi="Arial" w:cs="Arial"/>
          <w:color w:val="000000"/>
          <w:sz w:val="20"/>
        </w:rPr>
        <w:t xml:space="preserve">A refusal to provide reasonable accommodations that would enable a disabled prisoner to participate meaningfully in exercise programs would violate both statutes. </w:t>
      </w:r>
      <w:r>
        <w:rPr>
          <w:rFonts w:ascii="Arial" w:eastAsia="Arial" w:hAnsi="Arial" w:cs="Arial"/>
          <w:i/>
          <w:color w:val="000000"/>
          <w:sz w:val="20"/>
        </w:rPr>
        <w:t xml:space="preserve">See </w:t>
      </w:r>
      <w:bookmarkStart w:id="6211" w:name="Bookmark_I61B4TK72N1RSR0010000400"/>
      <w:bookmarkEnd w:id="6211"/>
      <w:r>
        <w:rPr>
          <w:rFonts w:ascii="Arial" w:eastAsia="Arial" w:hAnsi="Arial" w:cs="Arial"/>
          <w:i/>
          <w:color w:val="000000"/>
          <w:sz w:val="20"/>
        </w:rPr>
        <w:t>id.</w:t>
      </w:r>
      <w:r>
        <w:rPr>
          <w:rFonts w:ascii="Arial" w:eastAsia="Arial" w:hAnsi="Arial" w:cs="Arial"/>
          <w:color w:val="000000"/>
          <w:sz w:val="20"/>
        </w:rPr>
        <w:t>, at 671-72.</w:t>
      </w:r>
    </w:p>
    <w:p w14:paraId="30B0E4A8" w14:textId="77777777" w:rsidR="002B10A6" w:rsidRDefault="00000000">
      <w:pPr>
        <w:pStyle w:val="Normal28"/>
        <w:widowControl w:val="0"/>
        <w:spacing w:before="200" w:line="260" w:lineRule="atLeast"/>
        <w:jc w:val="both"/>
      </w:pPr>
      <w:bookmarkStart w:id="6212" w:name="Bookmark_para_18_21"/>
      <w:bookmarkStart w:id="6213" w:name="Bookmark_I61B4TK72N1RSR0040000400"/>
      <w:bookmarkEnd w:id="6212"/>
      <w:bookmarkEnd w:id="6213"/>
      <w:r>
        <w:rPr>
          <w:rFonts w:ascii="Arial" w:eastAsia="Arial" w:hAnsi="Arial" w:cs="Arial"/>
          <w:color w:val="000000"/>
          <w:sz w:val="20"/>
        </w:rPr>
        <w:t xml:space="preserve">Mr. Norfleet argues that a material issue of fact remains over whether IDOC was required under the ADA and the Rehabilitation Act to provide him both free weights and a sports wheelchair as reasonable accommodations for exercise. As for the free weights, Mr. Norfleet needed to adduce evidence that they were necessary and would "affirmatively enhance [his] quality of life by ameliorating the effects of [his] disability." </w:t>
      </w:r>
      <w:bookmarkStart w:id="6214" w:name="Bookmark_I61B4TK72N1RSR0030000400"/>
      <w:bookmarkEnd w:id="6214"/>
      <w:r>
        <w:rPr>
          <w:rFonts w:ascii="Arial" w:eastAsia="Arial" w:hAnsi="Arial" w:cs="Arial"/>
          <w:i/>
          <w:color w:val="000000"/>
          <w:sz w:val="20"/>
        </w:rPr>
        <w:t>Dadian v. Vill. of Wilmette</w:t>
      </w:r>
      <w:r>
        <w:rPr>
          <w:rFonts w:ascii="Arial" w:eastAsia="Arial" w:hAnsi="Arial" w:cs="Arial"/>
          <w:color w:val="000000"/>
          <w:sz w:val="20"/>
        </w:rPr>
        <w:t xml:space="preserve">, 269 F.3d 831, 838 (7th Cir. 2001) (quoting </w:t>
      </w:r>
      <w:bookmarkStart w:id="6215" w:name="Bookmark_I61B4TK72N1RSR0050000400"/>
      <w:bookmarkEnd w:id="6215"/>
      <w:r>
        <w:rPr>
          <w:rFonts w:ascii="Arial" w:eastAsia="Arial" w:hAnsi="Arial" w:cs="Arial"/>
          <w:i/>
          <w:color w:val="000000"/>
          <w:sz w:val="20"/>
        </w:rPr>
        <w:t>Bronk v. Ineichen</w:t>
      </w:r>
      <w:r>
        <w:rPr>
          <w:rFonts w:ascii="Arial" w:eastAsia="Arial" w:hAnsi="Arial" w:cs="Arial"/>
          <w:color w:val="000000"/>
          <w:sz w:val="20"/>
        </w:rPr>
        <w:t>, 54 F.3d 425, 429 (7th Cir. 1995)). Mr. Norfleet, however, offered nothing beyond his own opinion that swinging free weights at his side would improve his strength, raise his heart rate, or improve his range [**10]  of motion. In fact, Mr. Norfleet testified about his physical therapist's suggestion that his shoulders would benefit from range-of-motion exercises that do not require weights.</w:t>
      </w:r>
      <w:r>
        <w:rPr>
          <w:rFonts w:ascii="Arial" w:eastAsia="Arial" w:hAnsi="Arial" w:cs="Arial"/>
          <w:vertAlign w:val="superscript"/>
        </w:rPr>
        <w:footnoteReference w:customMarkFollows="1" w:id="262"/>
        <w:t>38</w:t>
      </w:r>
      <w:r>
        <w:rPr>
          <w:rFonts w:ascii="Arial" w:eastAsia="Arial" w:hAnsi="Arial" w:cs="Arial"/>
          <w:color w:val="000000"/>
          <w:sz w:val="20"/>
        </w:rPr>
        <w:t xml:space="preserve"> A reasonable juror could not conclude from the record that free weights would ameliorate the effects of his disability.</w:t>
      </w:r>
    </w:p>
    <w:p w14:paraId="0D40DA93" w14:textId="77777777" w:rsidR="002B10A6" w:rsidRDefault="00000000">
      <w:pPr>
        <w:pStyle w:val="Normal28"/>
        <w:widowControl w:val="0"/>
        <w:spacing w:before="200" w:line="260" w:lineRule="atLeast"/>
        <w:jc w:val="both"/>
      </w:pPr>
      <w:bookmarkStart w:id="6217" w:name="Bookmark_para_19_20"/>
      <w:bookmarkEnd w:id="6217"/>
      <w:r>
        <w:rPr>
          <w:rFonts w:ascii="Arial" w:eastAsia="Arial" w:hAnsi="Arial" w:cs="Arial"/>
          <w:color w:val="000000"/>
          <w:sz w:val="20"/>
        </w:rPr>
        <w:t xml:space="preserve">Nor can Mr. Norfleet prevail on his argument that a sports wheelchair was a necessary and reasonable accommodation. </w:t>
      </w:r>
      <w:bookmarkStart w:id="6218" w:name="Bookmark_I61B4TK72N1RSS0030000400"/>
      <w:bookmarkEnd w:id="6218"/>
      <w:r>
        <w:rPr>
          <w:rFonts w:ascii="Arial" w:eastAsia="Arial" w:hAnsi="Arial" w:cs="Arial"/>
          <w:color w:val="000000"/>
          <w:sz w:val="20"/>
        </w:rPr>
        <w:t xml:space="preserve">He urges that exercising in his wheelchair was impossible because it broke down on occasion (nine times over five years) and he continued to worry that it would break or tip over. As the district court observed, however, Mr. Norfleet testified that he was able to maneuver his wheelchair in the yards along the sidewalks, around three-fourths of the track, and across the basketball and racquetball courts. IDOC was not required to provide a perfect accommodation, or the one preferred by Mr. Norfleet; it needed to provide only effective access to meaningful exercise. </w:t>
      </w:r>
      <w:r>
        <w:rPr>
          <w:rFonts w:ascii="Arial" w:eastAsia="Arial" w:hAnsi="Arial" w:cs="Arial"/>
          <w:i/>
          <w:color w:val="000000"/>
          <w:sz w:val="20"/>
        </w:rPr>
        <w:t xml:space="preserve">See </w:t>
      </w:r>
      <w:bookmarkStart w:id="6219" w:name="Bookmark_I61B4TK72N1RSS0020000400"/>
      <w:bookmarkEnd w:id="6219"/>
      <w:r>
        <w:rPr>
          <w:rFonts w:ascii="Arial" w:eastAsia="Arial" w:hAnsi="Arial" w:cs="Arial"/>
          <w:i/>
          <w:color w:val="000000"/>
          <w:sz w:val="20"/>
        </w:rPr>
        <w:t>Wright v. N. Y. State Dep't of Corrs.</w:t>
      </w:r>
      <w:r>
        <w:rPr>
          <w:rFonts w:ascii="Arial" w:eastAsia="Arial" w:hAnsi="Arial" w:cs="Arial"/>
          <w:color w:val="000000"/>
          <w:sz w:val="20"/>
        </w:rPr>
        <w:t>, 831 F.3d 64, 72 (2d Cir. 2016). We sympathize with Mr. Norfleet's concerns about his wheelchair's durability, but he has not introduced sufficient evidence to call into question whether it  [*470]  deprived him of the opportunity for meaningful exercise. [**11] </w:t>
      </w:r>
    </w:p>
    <w:p w14:paraId="0C0DEF34" w14:textId="77777777" w:rsidR="002B10A6" w:rsidRDefault="00000000">
      <w:pPr>
        <w:pStyle w:val="Normal28"/>
        <w:widowControl w:val="0"/>
        <w:spacing w:before="200" w:line="260" w:lineRule="atLeast"/>
        <w:jc w:val="both"/>
      </w:pPr>
      <w:bookmarkStart w:id="6220" w:name="Bookmark_para_20_20"/>
      <w:bookmarkEnd w:id="6220"/>
      <w:r>
        <w:rPr>
          <w:rFonts w:ascii="Arial" w:eastAsia="Arial" w:hAnsi="Arial" w:cs="Arial"/>
          <w:color w:val="000000"/>
          <w:sz w:val="20"/>
        </w:rPr>
        <w:t xml:space="preserve">Mr. Norfleet next asserts that a fact question exists with regard to the impetus for the retaliatory actions of IDOC's ADA coordinator—actions that, he believes, triggered the refusal of his requests for accommodations. </w:t>
      </w:r>
      <w:bookmarkStart w:id="6221" w:name="Bookmark_I61B4TK72N1RSS0050000400"/>
      <w:bookmarkEnd w:id="6221"/>
      <w:r>
        <w:rPr>
          <w:rFonts w:ascii="Arial" w:eastAsia="Arial" w:hAnsi="Arial" w:cs="Arial"/>
          <w:color w:val="000000"/>
          <w:sz w:val="20"/>
        </w:rPr>
        <w:t xml:space="preserve">According to Mr. Norfleet, the source of the retaliation can be traced to the deposition testimony that the ADA coordinator was forced to provide in a previous lawsuit he filed. </w:t>
      </w:r>
      <w:bookmarkStart w:id="6222" w:name="Bookmark_I61B4TK82SF7YG0020000400"/>
      <w:bookmarkEnd w:id="6222"/>
      <w:r>
        <w:rPr>
          <w:rFonts w:ascii="Arial" w:eastAsia="Arial" w:hAnsi="Arial" w:cs="Arial"/>
          <w:color w:val="000000"/>
          <w:sz w:val="20"/>
        </w:rPr>
        <w:t xml:space="preserve">As the district court explained, however, Mr. Norfleet failed to introduce any evidence from which a reasonable jury could infer any adverse action on the coordinator's part—an essential element of the prima facie case for retaliation. </w:t>
      </w:r>
      <w:r>
        <w:rPr>
          <w:rFonts w:ascii="Arial" w:eastAsia="Arial" w:hAnsi="Arial" w:cs="Arial"/>
          <w:i/>
          <w:color w:val="000000"/>
          <w:sz w:val="20"/>
        </w:rPr>
        <w:t xml:space="preserve">See </w:t>
      </w:r>
      <w:bookmarkStart w:id="6223" w:name="Bookmark_I61B4TK72N1RSS0040000400"/>
      <w:bookmarkEnd w:id="6223"/>
      <w:r>
        <w:rPr>
          <w:rFonts w:ascii="Arial" w:eastAsia="Arial" w:hAnsi="Arial" w:cs="Arial"/>
          <w:i/>
          <w:color w:val="000000"/>
          <w:sz w:val="20"/>
        </w:rPr>
        <w:t>Holleman v. Zatecky</w:t>
      </w:r>
      <w:r>
        <w:rPr>
          <w:rFonts w:ascii="Arial" w:eastAsia="Arial" w:hAnsi="Arial" w:cs="Arial"/>
          <w:color w:val="000000"/>
          <w:sz w:val="20"/>
        </w:rPr>
        <w:t xml:space="preserve">, 951 F.3d 873, 880 (7th Cir. 2020). </w:t>
      </w:r>
      <w:bookmarkStart w:id="6224" w:name="Bookmark_I61B4TK82SF7YG0020000400_2"/>
      <w:bookmarkEnd w:id="6224"/>
      <w:r>
        <w:rPr>
          <w:rFonts w:ascii="Arial" w:eastAsia="Arial" w:hAnsi="Arial" w:cs="Arial"/>
          <w:color w:val="000000"/>
          <w:sz w:val="20"/>
        </w:rPr>
        <w:t xml:space="preserve">Speculation is insufficient to defeat summary judgment, </w:t>
      </w:r>
      <w:r>
        <w:rPr>
          <w:rFonts w:ascii="Arial" w:eastAsia="Arial" w:hAnsi="Arial" w:cs="Arial"/>
          <w:i/>
          <w:color w:val="000000"/>
          <w:sz w:val="20"/>
        </w:rPr>
        <w:t xml:space="preserve">see </w:t>
      </w:r>
      <w:bookmarkStart w:id="6225" w:name="Bookmark_I61B4TK82SF7YG0010000400"/>
      <w:bookmarkEnd w:id="6225"/>
      <w:r>
        <w:rPr>
          <w:rFonts w:ascii="Arial" w:eastAsia="Arial" w:hAnsi="Arial" w:cs="Arial"/>
          <w:i/>
          <w:color w:val="000000"/>
          <w:sz w:val="20"/>
        </w:rPr>
        <w:t>Singer v. Raemisch</w:t>
      </w:r>
      <w:r>
        <w:rPr>
          <w:rFonts w:ascii="Arial" w:eastAsia="Arial" w:hAnsi="Arial" w:cs="Arial"/>
          <w:color w:val="000000"/>
          <w:sz w:val="20"/>
        </w:rPr>
        <w:t>, 593 F.3d 529, 533 (7th Cir. 2010), and Mr. Norfleet offered no evidence beyond his own speculation to suggest that the coordinator personally denied any of his requests for accommodations or that he instructed prison staff to deny them.</w:t>
      </w:r>
    </w:p>
    <w:p w14:paraId="0D9E6168" w14:textId="77777777" w:rsidR="002B10A6" w:rsidRDefault="00000000">
      <w:pPr>
        <w:pStyle w:val="Normal28"/>
        <w:widowControl w:val="0"/>
        <w:spacing w:before="200" w:line="260" w:lineRule="atLeast"/>
        <w:jc w:val="both"/>
      </w:pPr>
      <w:bookmarkStart w:id="6226" w:name="Bookmark_para_21_20"/>
      <w:bookmarkStart w:id="6227" w:name="Bookmark_I61B4TK82SF7YG0040000400"/>
      <w:bookmarkEnd w:id="6226"/>
      <w:bookmarkEnd w:id="6227"/>
      <w:r>
        <w:rPr>
          <w:rFonts w:ascii="Arial" w:eastAsia="Arial" w:hAnsi="Arial" w:cs="Arial"/>
          <w:color w:val="000000"/>
          <w:sz w:val="20"/>
        </w:rPr>
        <w:t xml:space="preserve">Finally, Mr. Norfleet asserts that a fact issue remained over whether defendants were deliberately indifferent to his need for physical exercise, given the onset of subsequent shoulder problems, constipation, stomach cramps, chest pain, and migraines. </w:t>
      </w:r>
      <w:bookmarkStart w:id="6228" w:name="Bookmark_I61B4TK82N1RT00010000400"/>
      <w:bookmarkEnd w:id="6228"/>
      <w:r>
        <w:rPr>
          <w:rFonts w:ascii="Arial" w:eastAsia="Arial" w:hAnsi="Arial" w:cs="Arial"/>
          <w:color w:val="000000"/>
          <w:sz w:val="20"/>
        </w:rPr>
        <w:t xml:space="preserve">To stave off summary judgment, however, Mr. Norfleet [**12]  had to offer evidence from which a jury could infer that he suffered an objectively serious deprivation and that defendants were deliberately indifferent to that deprivation. </w:t>
      </w:r>
      <w:r>
        <w:rPr>
          <w:rFonts w:ascii="Arial" w:eastAsia="Arial" w:hAnsi="Arial" w:cs="Arial"/>
          <w:i/>
          <w:color w:val="000000"/>
          <w:sz w:val="20"/>
        </w:rPr>
        <w:t xml:space="preserve">See </w:t>
      </w:r>
      <w:bookmarkStart w:id="6229" w:name="Bookmark_I61B4TK82SF7YG0030000400"/>
      <w:bookmarkEnd w:id="6229"/>
      <w:r>
        <w:rPr>
          <w:rFonts w:ascii="Arial" w:eastAsia="Arial" w:hAnsi="Arial" w:cs="Arial"/>
          <w:i/>
          <w:color w:val="000000"/>
          <w:sz w:val="20"/>
        </w:rPr>
        <w:t>Farmer v. Brennan</w:t>
      </w:r>
      <w:r>
        <w:rPr>
          <w:rFonts w:ascii="Arial" w:eastAsia="Arial" w:hAnsi="Arial" w:cs="Arial"/>
          <w:color w:val="000000"/>
          <w:sz w:val="20"/>
        </w:rPr>
        <w:t xml:space="preserve">, 511 U.S. 825, 834, 114 S. Ct. 1970, 128 L. Ed. 2d 811 (1994). </w:t>
      </w:r>
      <w:bookmarkStart w:id="6230" w:name="Bookmark_I61B4TK82N1RT00010000400_2"/>
      <w:bookmarkEnd w:id="6230"/>
      <w:r>
        <w:rPr>
          <w:rFonts w:ascii="Arial" w:eastAsia="Arial" w:hAnsi="Arial" w:cs="Arial"/>
          <w:color w:val="000000"/>
          <w:sz w:val="20"/>
        </w:rPr>
        <w:t xml:space="preserve">Physical exercise may be "a necessary requirement for physical and mental well-being," </w:t>
      </w:r>
      <w:bookmarkStart w:id="6231" w:name="Bookmark_I61B4TK82SF7YG0050000400"/>
      <w:bookmarkEnd w:id="6231"/>
      <w:r>
        <w:rPr>
          <w:rFonts w:ascii="Arial" w:eastAsia="Arial" w:hAnsi="Arial" w:cs="Arial"/>
          <w:i/>
          <w:color w:val="000000"/>
          <w:sz w:val="20"/>
        </w:rPr>
        <w:t>Delaney v. DeTella</w:t>
      </w:r>
      <w:r>
        <w:rPr>
          <w:rFonts w:ascii="Arial" w:eastAsia="Arial" w:hAnsi="Arial" w:cs="Arial"/>
          <w:color w:val="000000"/>
          <w:sz w:val="20"/>
        </w:rPr>
        <w:t>, 256 F.3d 679, 683 (7th Cir. 2001), but, as the district court appropriately concluded, Mr. Norfleet did not introduce evidence of an objectively serious deprivation of exercise. To the contrary, he testified that he had regular access to the prison yards, where he could maneuver his wheelchair in various spaces for exercise. And, although Mr. Norfleet attributes his health problems to insufficient exercise, he presented no medical evidence in support.</w:t>
      </w:r>
    </w:p>
    <w:p w14:paraId="100B7926" w14:textId="77777777" w:rsidR="002B10A6" w:rsidRDefault="00000000">
      <w:pPr>
        <w:pStyle w:val="Normal28"/>
        <w:widowControl w:val="0"/>
        <w:spacing w:before="200" w:line="260" w:lineRule="atLeast"/>
        <w:jc w:val="both"/>
      </w:pPr>
      <w:bookmarkStart w:id="6232" w:name="Bookmark_para_22_19"/>
      <w:bookmarkEnd w:id="6232"/>
      <w:r>
        <w:rPr>
          <w:rFonts w:ascii="Arial" w:eastAsia="Arial" w:hAnsi="Arial" w:cs="Arial"/>
          <w:color w:val="000000"/>
          <w:sz w:val="20"/>
        </w:rPr>
        <w:t>AFFIRMED</w:t>
      </w:r>
    </w:p>
    <w:p w14:paraId="23335A48" w14:textId="77777777" w:rsidR="002B10A6" w:rsidRDefault="002B10A6">
      <w:pPr>
        <w:pStyle w:val="Normal28"/>
      </w:pPr>
    </w:p>
    <w:p w14:paraId="041B4DD5" w14:textId="6F5ACE39" w:rsidR="002B10A6" w:rsidRDefault="00000000">
      <w:pPr>
        <w:pStyle w:val="Normal28"/>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21728" behindDoc="0" locked="0" layoutInCell="1" allowOverlap="1" wp14:anchorId="07905745" wp14:editId="26A3A76D">
                <wp:simplePos x="0" y="0"/>
                <wp:positionH relativeFrom="column">
                  <wp:posOffset>0</wp:posOffset>
                </wp:positionH>
                <wp:positionV relativeFrom="paragraph">
                  <wp:posOffset>127000</wp:posOffset>
                </wp:positionV>
                <wp:extent cx="6502400" cy="0"/>
                <wp:effectExtent l="9525" t="12700" r="12700" b="6350"/>
                <wp:wrapNone/>
                <wp:docPr id="2096040546"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7DAE4" id="Line 63"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6859768" w14:textId="77777777" w:rsidR="002B10A6" w:rsidRDefault="002B10A6">
      <w:pPr>
        <w:pStyle w:val="Normal29"/>
        <w:sectPr w:rsidR="002B10A6">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gutter="0"/>
          <w:cols w:space="720"/>
          <w:titlePg/>
        </w:sectPr>
      </w:pPr>
    </w:p>
    <w:p w14:paraId="6E0E3F01" w14:textId="77777777" w:rsidR="002B10A6" w:rsidRDefault="002B10A6">
      <w:pPr>
        <w:pStyle w:val="Normal29"/>
      </w:pPr>
    </w:p>
    <w:p w14:paraId="3393FB7B" w14:textId="77777777" w:rsidR="002B10A6" w:rsidRDefault="00000000">
      <w:pPr>
        <w:pStyle w:val="Heading128"/>
        <w:keepNext w:val="0"/>
        <w:widowControl w:val="0"/>
        <w:spacing w:after="200" w:line="340" w:lineRule="atLeast"/>
        <w:jc w:val="center"/>
      </w:pPr>
      <w:r>
        <w:rPr>
          <w:rFonts w:eastAsia="Arial"/>
          <w:color w:val="000000"/>
          <w:sz w:val="28"/>
        </w:rPr>
        <w:t>Rosales v. Bellagio, LLC</w:t>
      </w:r>
    </w:p>
    <w:p w14:paraId="4F2369BC" w14:textId="77777777" w:rsidR="002B10A6" w:rsidRDefault="00000000">
      <w:pPr>
        <w:pStyle w:val="Normal29"/>
        <w:widowControl w:val="0"/>
        <w:spacing w:before="120" w:line="260" w:lineRule="atLeast"/>
        <w:jc w:val="center"/>
      </w:pPr>
      <w:r>
        <w:rPr>
          <w:rFonts w:ascii="Arial" w:eastAsia="Arial" w:hAnsi="Arial" w:cs="Arial"/>
          <w:color w:val="000000"/>
          <w:sz w:val="20"/>
        </w:rPr>
        <w:t>United States Court of Appeals for the Ninth Circuit</w:t>
      </w:r>
    </w:p>
    <w:p w14:paraId="1C9C3926" w14:textId="77777777" w:rsidR="002B10A6" w:rsidRDefault="00000000">
      <w:pPr>
        <w:pStyle w:val="Normal29"/>
        <w:widowControl w:val="0"/>
        <w:spacing w:before="120" w:line="260" w:lineRule="atLeast"/>
        <w:jc w:val="center"/>
      </w:pPr>
      <w:r>
        <w:rPr>
          <w:rFonts w:ascii="Arial" w:eastAsia="Arial" w:hAnsi="Arial" w:cs="Arial"/>
          <w:color w:val="000000"/>
          <w:sz w:val="20"/>
        </w:rPr>
        <w:t>June 10, 2020, Argued and Submitted, San Francisco, California; July 2, 2020, Filed</w:t>
      </w:r>
    </w:p>
    <w:p w14:paraId="30493734" w14:textId="77777777" w:rsidR="002B10A6" w:rsidRDefault="00000000">
      <w:pPr>
        <w:pStyle w:val="Normal29"/>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19-15574</w:t>
      </w:r>
    </w:p>
    <w:p w14:paraId="03D79BEA" w14:textId="77777777" w:rsidR="002B10A6" w:rsidRDefault="002B10A6">
      <w:pPr>
        <w:pStyle w:val="Normal29"/>
        <w:widowControl w:val="0"/>
        <w:spacing w:line="240" w:lineRule="atLeast"/>
        <w:jc w:val="both"/>
      </w:pPr>
      <w:bookmarkStart w:id="6233" w:name="Bookmark_30"/>
      <w:bookmarkEnd w:id="6233"/>
    </w:p>
    <w:p w14:paraId="01850135" w14:textId="77777777" w:rsidR="002B10A6" w:rsidRDefault="00000000">
      <w:pPr>
        <w:pStyle w:val="Normal29"/>
        <w:widowControl w:val="0"/>
        <w:spacing w:before="200" w:line="240" w:lineRule="atLeast"/>
      </w:pPr>
      <w:bookmarkStart w:id="6234" w:name="Reporter_28"/>
      <w:bookmarkEnd w:id="6234"/>
      <w:r>
        <w:rPr>
          <w:rFonts w:ascii="Arial" w:eastAsia="Arial" w:hAnsi="Arial" w:cs="Arial"/>
          <w:b/>
          <w:color w:val="000000"/>
          <w:sz w:val="18"/>
        </w:rPr>
        <w:t>Reporter</w:t>
      </w:r>
    </w:p>
    <w:p w14:paraId="668BED46" w14:textId="77777777" w:rsidR="002B10A6" w:rsidRDefault="00000000">
      <w:pPr>
        <w:pStyle w:val="Normal29"/>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811 Fed. Appx. 438 *; 2020 U.S. App. LEXIS 20816 **; 19 Accom. Disabilities Dec. (CCH) P19-081; 2020 WL 3605944</w:t>
      </w:r>
    </w:p>
    <w:p w14:paraId="211A77EA" w14:textId="77777777" w:rsidR="002B10A6" w:rsidRDefault="00000000">
      <w:pPr>
        <w:pStyle w:val="Normal29"/>
        <w:widowControl w:val="0"/>
        <w:spacing w:before="120" w:line="260" w:lineRule="atLeast"/>
      </w:pPr>
      <w:r>
        <w:rPr>
          <w:rFonts w:ascii="Arial" w:eastAsia="Arial" w:hAnsi="Arial" w:cs="Arial"/>
          <w:color w:val="000000"/>
          <w:sz w:val="20"/>
        </w:rPr>
        <w:t>JORGE ROSALES, Plaintiff-Appellant, v. BELLAGIO, LLC, Defendant-Appellee.</w:t>
      </w:r>
    </w:p>
    <w:p w14:paraId="0F771704" w14:textId="77777777" w:rsidR="002B10A6" w:rsidRDefault="00000000">
      <w:pPr>
        <w:pStyle w:val="Normal29"/>
        <w:widowControl w:val="0"/>
        <w:spacing w:before="240" w:line="260" w:lineRule="atLeast"/>
        <w:jc w:val="both"/>
      </w:pPr>
      <w:bookmarkStart w:id="6235" w:name="Notice_8"/>
      <w:bookmarkEnd w:id="6235"/>
      <w:r>
        <w:rPr>
          <w:rFonts w:ascii="Arial" w:eastAsia="Arial" w:hAnsi="Arial" w:cs="Arial"/>
          <w:b/>
          <w:color w:val="000000"/>
          <w:sz w:val="20"/>
        </w:rPr>
        <w:t>Notice:</w:t>
      </w:r>
      <w:r>
        <w:rPr>
          <w:rFonts w:ascii="Arial" w:eastAsia="Arial" w:hAnsi="Arial" w:cs="Arial"/>
          <w:color w:val="000000"/>
          <w:sz w:val="20"/>
        </w:rPr>
        <w:t> </w:t>
      </w:r>
      <w:bookmarkStart w:id="6236" w:name="Bookmark_para_1_28"/>
      <w:bookmarkEnd w:id="6236"/>
      <w:r>
        <w:rPr>
          <w:rFonts w:ascii="Arial" w:eastAsia="Arial" w:hAnsi="Arial" w:cs="Arial"/>
          <w:color w:val="000000"/>
          <w:sz w:val="20"/>
        </w:rPr>
        <w:t>PLEASE REFER TO FEDERAL RULES OF APPELLATE PROCEDURE RULE 32.1 GOVERNING THE CITATION TO UNPUBLISHED OPINIONS.</w:t>
      </w:r>
    </w:p>
    <w:p w14:paraId="66BAA11C" w14:textId="77777777" w:rsidR="002B10A6" w:rsidRDefault="00000000">
      <w:pPr>
        <w:pStyle w:val="Normal29"/>
        <w:widowControl w:val="0"/>
        <w:spacing w:before="240" w:line="260" w:lineRule="atLeast"/>
        <w:jc w:val="both"/>
      </w:pPr>
      <w:bookmarkStart w:id="6237" w:name="Prior_History_28"/>
      <w:bookmarkEnd w:id="6237"/>
      <w:r>
        <w:rPr>
          <w:rFonts w:ascii="Arial" w:eastAsia="Arial" w:hAnsi="Arial" w:cs="Arial"/>
          <w:b/>
          <w:color w:val="000000"/>
          <w:sz w:val="20"/>
        </w:rPr>
        <w:t>Prior History:</w:t>
      </w:r>
      <w:r>
        <w:rPr>
          <w:rFonts w:ascii="Arial" w:eastAsia="Arial" w:hAnsi="Arial" w:cs="Arial"/>
          <w:color w:val="000000"/>
          <w:sz w:val="20"/>
        </w:rPr>
        <w:t> </w:t>
      </w:r>
      <w:bookmarkStart w:id="6238" w:name="Bookmark_para_2_28"/>
      <w:bookmarkEnd w:id="6238"/>
      <w:r>
        <w:rPr>
          <w:rFonts w:ascii="Arial" w:eastAsia="Arial" w:hAnsi="Arial" w:cs="Arial"/>
          <w:color w:val="000000"/>
          <w:sz w:val="20"/>
        </w:rPr>
        <w:t> [**1] Appeal from the United States District Court for the District of Nevada. D.C. No. 2:17-cv-03117-JCM-GWF. James C. Mahan, District Judge, Presiding.</w:t>
      </w:r>
    </w:p>
    <w:p w14:paraId="20C392E7" w14:textId="77777777" w:rsidR="002B10A6" w:rsidRDefault="00000000">
      <w:pPr>
        <w:pStyle w:val="Normal29"/>
        <w:widowControl w:val="0"/>
        <w:spacing w:before="120" w:line="260" w:lineRule="atLeast"/>
      </w:pPr>
      <w:r>
        <w:rPr>
          <w:rFonts w:ascii="Arial" w:eastAsia="Arial" w:hAnsi="Arial" w:cs="Arial"/>
          <w:color w:val="000000"/>
          <w:sz w:val="20"/>
        </w:rPr>
        <w:t>Rosales v. Bellagio, LLC, 2019 U.S. Dist. LEXIS 51297 (D. Nev., Mar. 27, 2019)</w:t>
      </w:r>
    </w:p>
    <w:p w14:paraId="09E778B2" w14:textId="77777777" w:rsidR="002B10A6" w:rsidRDefault="00000000">
      <w:pPr>
        <w:pStyle w:val="Normal29"/>
        <w:widowControl w:val="0"/>
        <w:spacing w:before="240" w:line="260" w:lineRule="atLeast"/>
      </w:pPr>
      <w:bookmarkStart w:id="6239" w:name="Counsel_28"/>
      <w:bookmarkEnd w:id="6239"/>
      <w:r>
        <w:rPr>
          <w:rFonts w:ascii="Arial" w:eastAsia="Arial" w:hAnsi="Arial" w:cs="Arial"/>
          <w:b/>
          <w:color w:val="000000"/>
          <w:sz w:val="20"/>
        </w:rPr>
        <w:t>Counsel:</w:t>
      </w:r>
      <w:r>
        <w:rPr>
          <w:rFonts w:ascii="Arial" w:eastAsia="Arial" w:hAnsi="Arial" w:cs="Arial"/>
          <w:color w:val="000000"/>
          <w:sz w:val="20"/>
        </w:rPr>
        <w:t> For Jorge Rosales, Plaintiff - Appellant: James P. Kemp, Victoria L. Neal, Kemp &amp; Kemp, Las Vegas, NV.</w:t>
      </w:r>
    </w:p>
    <w:p w14:paraId="100DF0CD" w14:textId="77777777" w:rsidR="002B10A6" w:rsidRDefault="00000000">
      <w:pPr>
        <w:pStyle w:val="Normal29"/>
        <w:widowControl w:val="0"/>
        <w:spacing w:before="120" w:line="260" w:lineRule="atLeast"/>
      </w:pPr>
      <w:r>
        <w:rPr>
          <w:rFonts w:ascii="Arial" w:eastAsia="Arial" w:hAnsi="Arial" w:cs="Arial"/>
          <w:color w:val="000000"/>
          <w:sz w:val="20"/>
        </w:rPr>
        <w:t>For Bellagio, Llc, Defendant - Appellee: Deverie J. Christensen, Jackson Lewis P.C., Las Vegas, NV.</w:t>
      </w:r>
    </w:p>
    <w:p w14:paraId="01DB9B6E" w14:textId="77777777" w:rsidR="002B10A6" w:rsidRDefault="00000000">
      <w:pPr>
        <w:pStyle w:val="Normal29"/>
        <w:widowControl w:val="0"/>
        <w:spacing w:before="240" w:line="260" w:lineRule="atLeast"/>
      </w:pPr>
      <w:bookmarkStart w:id="6240" w:name="Judges_28"/>
      <w:bookmarkEnd w:id="6240"/>
      <w:r>
        <w:rPr>
          <w:rFonts w:ascii="Arial" w:eastAsia="Arial" w:hAnsi="Arial" w:cs="Arial"/>
          <w:b/>
          <w:color w:val="000000"/>
          <w:sz w:val="20"/>
        </w:rPr>
        <w:t>Judges:</w:t>
      </w:r>
      <w:r>
        <w:rPr>
          <w:rFonts w:ascii="Arial" w:eastAsia="Arial" w:hAnsi="Arial" w:cs="Arial"/>
          <w:color w:val="000000"/>
          <w:sz w:val="20"/>
        </w:rPr>
        <w:t> Before: THOMAS, Chief Judge, and SCHROEDER and BUMATAY, Circuit Judges.</w:t>
      </w:r>
    </w:p>
    <w:p w14:paraId="60E66BDA" w14:textId="77777777" w:rsidR="002B10A6" w:rsidRDefault="00000000">
      <w:pPr>
        <w:pStyle w:val="Normal29"/>
        <w:widowControl w:val="0"/>
        <w:spacing w:before="240" w:line="260" w:lineRule="atLeast"/>
      </w:pPr>
      <w:bookmarkStart w:id="6241" w:name="Opinion_by_21"/>
      <w:bookmarkEnd w:id="6241"/>
      <w:r>
        <w:rPr>
          <w:rFonts w:ascii="Arial" w:eastAsia="Arial" w:hAnsi="Arial" w:cs="Arial"/>
          <w:b/>
          <w:color w:val="000000"/>
          <w:sz w:val="20"/>
        </w:rPr>
        <w:t>Opinion by:</w:t>
      </w:r>
      <w:r>
        <w:rPr>
          <w:rFonts w:ascii="Arial" w:eastAsia="Arial" w:hAnsi="Arial" w:cs="Arial"/>
          <w:color w:val="000000"/>
          <w:sz w:val="20"/>
        </w:rPr>
        <w:t> THOMAS</w:t>
      </w:r>
    </w:p>
    <w:p w14:paraId="02C48070" w14:textId="77777777" w:rsidR="002B10A6" w:rsidRDefault="00000000">
      <w:pPr>
        <w:pStyle w:val="Normal29"/>
        <w:keepNext/>
        <w:widowControl w:val="0"/>
        <w:spacing w:before="240" w:line="340" w:lineRule="atLeast"/>
      </w:pPr>
      <w:bookmarkStart w:id="6242" w:name="Opinion_28"/>
      <w:bookmarkEnd w:id="6242"/>
      <w:r>
        <w:rPr>
          <w:rFonts w:ascii="Arial" w:eastAsia="Arial" w:hAnsi="Arial" w:cs="Arial"/>
          <w:b/>
          <w:color w:val="000000"/>
          <w:sz w:val="28"/>
        </w:rPr>
        <w:t>Opinion</w:t>
      </w:r>
    </w:p>
    <w:p w14:paraId="478004EE" w14:textId="677BFA16" w:rsidR="002B10A6" w:rsidRDefault="002D6974">
      <w:pPr>
        <w:pStyle w:val="Normal29"/>
        <w:spacing w:line="60" w:lineRule="exact"/>
      </w:pPr>
      <w:r>
        <w:rPr>
          <w:noProof/>
        </w:rPr>
        <mc:AlternateContent>
          <mc:Choice Requires="wps">
            <w:drawing>
              <wp:anchor distT="0" distB="0" distL="114300" distR="114300" simplePos="0" relativeHeight="251722752" behindDoc="0" locked="0" layoutInCell="1" allowOverlap="1" wp14:anchorId="4770B7F9" wp14:editId="1849EFAA">
                <wp:simplePos x="0" y="0"/>
                <wp:positionH relativeFrom="column">
                  <wp:posOffset>0</wp:posOffset>
                </wp:positionH>
                <wp:positionV relativeFrom="paragraph">
                  <wp:posOffset>25400</wp:posOffset>
                </wp:positionV>
                <wp:extent cx="3187700" cy="0"/>
                <wp:effectExtent l="19050" t="15875" r="12700" b="12700"/>
                <wp:wrapTopAndBottom/>
                <wp:docPr id="196069927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27664"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549F9CE" w14:textId="77777777" w:rsidR="002B10A6" w:rsidRDefault="002B10A6">
      <w:pPr>
        <w:pStyle w:val="Normal29"/>
        <w:spacing w:line="120" w:lineRule="exact"/>
      </w:pPr>
    </w:p>
    <w:p w14:paraId="5201080F" w14:textId="77777777" w:rsidR="002B10A6" w:rsidRDefault="00000000">
      <w:pPr>
        <w:pStyle w:val="Normal29"/>
        <w:widowControl w:val="0"/>
        <w:spacing w:before="240" w:line="260" w:lineRule="atLeast"/>
      </w:pPr>
      <w:r>
        <w:br/>
      </w:r>
      <w:r>
        <w:rPr>
          <w:rFonts w:ascii="Arial" w:eastAsia="Arial" w:hAnsi="Arial" w:cs="Arial"/>
          <w:color w:val="000000"/>
          <w:sz w:val="20"/>
        </w:rPr>
        <w:t> [*438]  MEMORANDUM</w:t>
      </w:r>
      <w:r>
        <w:rPr>
          <w:rFonts w:ascii="Arial" w:eastAsia="Arial" w:hAnsi="Arial" w:cs="Arial"/>
          <w:vertAlign w:val="superscript"/>
        </w:rPr>
        <w:footnoteReference w:customMarkFollows="1" w:id="263"/>
        <w:t>*</w:t>
      </w:r>
    </w:p>
    <w:p w14:paraId="0C9F1872" w14:textId="77777777" w:rsidR="002B10A6" w:rsidRDefault="00000000">
      <w:pPr>
        <w:pStyle w:val="Normal29"/>
        <w:widowControl w:val="0"/>
        <w:spacing w:before="200" w:line="260" w:lineRule="atLeast"/>
        <w:jc w:val="both"/>
      </w:pPr>
      <w:bookmarkStart w:id="6244" w:name="Bookmark_para_3_28"/>
      <w:bookmarkStart w:id="6245" w:name="Bookmark_68R2WJTTF80000FKBS00001"/>
      <w:bookmarkEnd w:id="6244"/>
      <w:bookmarkEnd w:id="6245"/>
      <w:r>
        <w:rPr>
          <w:rFonts w:ascii="Arial" w:eastAsia="Arial" w:hAnsi="Arial" w:cs="Arial"/>
          <w:color w:val="000000"/>
          <w:sz w:val="20"/>
        </w:rPr>
        <w:t>Jorge Rosales appeals the district court's grant of summary judgment to Bellagio, LLC on Rosales' claim that Bellagio violated the Americans with Disability Act (ADA) when it terminated Rosales from his job as a room service food server. Because the district court applied the wrong legal standard when evaluating Rosales' ADA claim, we reverse and remand.</w:t>
      </w:r>
    </w:p>
    <w:p w14:paraId="4E797D98" w14:textId="77777777" w:rsidR="002B10A6" w:rsidRDefault="00000000">
      <w:pPr>
        <w:pStyle w:val="Normal29"/>
        <w:widowControl w:val="0"/>
        <w:spacing w:before="200" w:line="260" w:lineRule="atLeast"/>
        <w:jc w:val="both"/>
      </w:pPr>
      <w:bookmarkStart w:id="6246" w:name="Bookmark_para_4_28"/>
      <w:bookmarkEnd w:id="6246"/>
      <w:r>
        <w:rPr>
          <w:rFonts w:ascii="Arial" w:eastAsia="Arial" w:hAnsi="Arial" w:cs="Arial"/>
          <w:color w:val="000000"/>
          <w:sz w:val="20"/>
        </w:rPr>
        <w:t xml:space="preserve">Rosales initially filed a complaint in Nevada state court alleging, </w:t>
      </w:r>
      <w:r>
        <w:rPr>
          <w:rFonts w:ascii="Arial" w:eastAsia="Arial" w:hAnsi="Arial" w:cs="Arial"/>
          <w:i/>
          <w:color w:val="000000"/>
          <w:sz w:val="20"/>
        </w:rPr>
        <w:t>inter alia</w:t>
      </w:r>
      <w:r>
        <w:rPr>
          <w:rFonts w:ascii="Arial" w:eastAsia="Arial" w:hAnsi="Arial" w:cs="Arial"/>
          <w:color w:val="000000"/>
          <w:sz w:val="20"/>
        </w:rPr>
        <w:t>, discrimination in violation of the ADA for failure to provide a reasonable accommodation. Bellagio removed the case to federal court and then moved for summary judgment. In its motion, Bellagio contended that Rosales admitted that he could not perform his essential job functions with a reasonable accommodation, and that Bellagio [**2]  complied with the ADA by engaging in the interactive process in good faith in reaching that conclusion. In response, Rosales argued that he could perform the essential job functions, and that Bellagio reached its conclusion that he could not do  [*439]  so prior to any discussion with Rosales, which violates ADA's interactive process requirement. The parties thus briefed the case to the district court on the issue of reasonable accommodation and whether the employer had engaged in the required interactive process.</w:t>
      </w:r>
    </w:p>
    <w:p w14:paraId="25D40231" w14:textId="77777777" w:rsidR="002B10A6" w:rsidRDefault="00000000">
      <w:pPr>
        <w:pStyle w:val="Normal29"/>
        <w:widowControl w:val="0"/>
        <w:spacing w:before="200" w:line="260" w:lineRule="atLeast"/>
        <w:jc w:val="both"/>
      </w:pPr>
      <w:bookmarkStart w:id="6247" w:name="Bookmark_para_5_28"/>
      <w:bookmarkEnd w:id="6247"/>
      <w:r>
        <w:rPr>
          <w:rFonts w:ascii="Arial" w:eastAsia="Arial" w:hAnsi="Arial" w:cs="Arial"/>
          <w:color w:val="000000"/>
          <w:sz w:val="20"/>
        </w:rPr>
        <w:t xml:space="preserve">The district court granted summary judgment to Bellagio. The district court decided the case on the issue of disparate treatment, and, applying the </w:t>
      </w:r>
      <w:r>
        <w:rPr>
          <w:rFonts w:ascii="Arial" w:eastAsia="Arial" w:hAnsi="Arial" w:cs="Arial"/>
          <w:i/>
          <w:color w:val="000000"/>
          <w:sz w:val="20"/>
        </w:rPr>
        <w:t>McDonnell Douglas</w:t>
      </w:r>
      <w:r>
        <w:rPr>
          <w:rFonts w:ascii="Arial" w:eastAsia="Arial" w:hAnsi="Arial" w:cs="Arial"/>
          <w:color w:val="000000"/>
          <w:sz w:val="20"/>
        </w:rPr>
        <w:t xml:space="preserve"> burden-shifting framework, held that Rosales failed to raise a triable issue of material fact as to pretext. It granted summary judgment for Bellagio. </w:t>
      </w:r>
      <w:bookmarkStart w:id="6248" w:name="Bookmark_I61B4T8G2SF8CJ0020000400"/>
      <w:bookmarkEnd w:id="6248"/>
      <w:r>
        <w:rPr>
          <w:rFonts w:ascii="Arial" w:eastAsia="Arial" w:hAnsi="Arial" w:cs="Arial"/>
          <w:color w:val="000000"/>
          <w:sz w:val="20"/>
        </w:rPr>
        <w:t xml:space="preserve">At the same time, however, the district court ruled that Bellagio had not engaged in the interactive process in good faith, and that the record allowed the court to infer that there was a reasonable accommodation that would allow Rosales to work as a server. The Court's decision to grant summary judgment thus does not appear to be internally consistent. </w:t>
      </w:r>
      <w:r>
        <w:rPr>
          <w:rFonts w:ascii="Arial" w:eastAsia="Arial" w:hAnsi="Arial" w:cs="Arial"/>
          <w:i/>
          <w:color w:val="000000"/>
          <w:sz w:val="20"/>
        </w:rPr>
        <w:t xml:space="preserve">See </w:t>
      </w:r>
      <w:bookmarkStart w:id="6249" w:name="Bookmark_I61B4T8G2SF8CJ0010000400"/>
      <w:bookmarkEnd w:id="6249"/>
      <w:r>
        <w:rPr>
          <w:rFonts w:ascii="Arial" w:eastAsia="Arial" w:hAnsi="Arial" w:cs="Arial"/>
          <w:i/>
          <w:color w:val="000000"/>
          <w:sz w:val="20"/>
        </w:rPr>
        <w:t>Barnett v. U.S. Air, Inc.</w:t>
      </w:r>
      <w:r>
        <w:rPr>
          <w:rFonts w:ascii="Arial" w:eastAsia="Arial" w:hAnsi="Arial" w:cs="Arial"/>
          <w:color w:val="000000"/>
          <w:sz w:val="20"/>
        </w:rPr>
        <w:t xml:space="preserve">, 228 F.3d 1105, 1113 (9th Cir. 2000) (en banc), </w:t>
      </w:r>
      <w:r>
        <w:rPr>
          <w:rFonts w:ascii="Arial" w:eastAsia="Arial" w:hAnsi="Arial" w:cs="Arial"/>
          <w:i/>
          <w:color w:val="000000"/>
          <w:sz w:val="20"/>
        </w:rPr>
        <w:t> [**3] vacated on other grounds sub. nom</w:t>
      </w:r>
      <w:r>
        <w:rPr>
          <w:rFonts w:ascii="Arial" w:eastAsia="Arial" w:hAnsi="Arial" w:cs="Arial"/>
          <w:color w:val="000000"/>
          <w:sz w:val="20"/>
        </w:rPr>
        <w:t>., 535 U.S. 391, 122 S. Ct. 1516, 152 L. Ed. 2d 589 (2002) ("[E]mployers, who fail to engage in the interactive process in good faith, face liability . . . if a reasonable accommodation would have been possible. . . . [A]n employer cannot prevail at the summary judgment state if there is a genuine dispute as to whether the employer engaged in good faith in the interactive process."). It also does not appear to be congruent with the arguments of the parties. Rosales appealed, contending that the district court applied the wrong legal standard. We agree. We therefore reverse and remand for proper resolution of Rosales' ADA failure to accommodate claim.</w:t>
      </w:r>
    </w:p>
    <w:p w14:paraId="5164E0B3" w14:textId="77777777" w:rsidR="002B10A6" w:rsidRDefault="00000000">
      <w:pPr>
        <w:pStyle w:val="Normal29"/>
        <w:widowControl w:val="0"/>
        <w:spacing w:before="200" w:line="260" w:lineRule="atLeast"/>
        <w:jc w:val="both"/>
      </w:pPr>
      <w:bookmarkStart w:id="6250" w:name="Bookmark_para_6_28"/>
      <w:bookmarkEnd w:id="6250"/>
      <w:r>
        <w:rPr>
          <w:rFonts w:ascii="Arial" w:eastAsia="Arial" w:hAnsi="Arial" w:cs="Arial"/>
          <w:b/>
          <w:color w:val="000000"/>
          <w:sz w:val="20"/>
        </w:rPr>
        <w:t>REVERSED AND REMANDED</w:t>
      </w:r>
      <w:r>
        <w:rPr>
          <w:rFonts w:ascii="Arial" w:eastAsia="Arial" w:hAnsi="Arial" w:cs="Arial"/>
          <w:color w:val="000000"/>
          <w:sz w:val="20"/>
        </w:rPr>
        <w:t>.</w:t>
      </w:r>
    </w:p>
    <w:p w14:paraId="260D1722" w14:textId="77777777" w:rsidR="002B10A6" w:rsidRDefault="00000000">
      <w:pPr>
        <w:pStyle w:val="Normal29"/>
        <w:widowControl w:val="0"/>
        <w:spacing w:before="240" w:line="260" w:lineRule="atLeast"/>
      </w:pPr>
      <w:bookmarkStart w:id="6251" w:name="Dissent_by_3"/>
      <w:bookmarkEnd w:id="6251"/>
      <w:r>
        <w:rPr>
          <w:rFonts w:ascii="Arial" w:eastAsia="Arial" w:hAnsi="Arial" w:cs="Arial"/>
          <w:b/>
          <w:color w:val="000000"/>
          <w:sz w:val="20"/>
        </w:rPr>
        <w:t>Dissent by:</w:t>
      </w:r>
      <w:r>
        <w:rPr>
          <w:rFonts w:ascii="Arial" w:eastAsia="Arial" w:hAnsi="Arial" w:cs="Arial"/>
          <w:color w:val="000000"/>
          <w:sz w:val="20"/>
        </w:rPr>
        <w:t> BUMATAY</w:t>
      </w:r>
    </w:p>
    <w:p w14:paraId="5F3D409A" w14:textId="77777777" w:rsidR="002B10A6" w:rsidRDefault="00000000">
      <w:pPr>
        <w:pStyle w:val="Normal29"/>
        <w:keepNext/>
        <w:widowControl w:val="0"/>
        <w:spacing w:before="240" w:line="340" w:lineRule="atLeast"/>
      </w:pPr>
      <w:bookmarkStart w:id="6252" w:name="Dissent_3"/>
      <w:bookmarkEnd w:id="6252"/>
      <w:r>
        <w:rPr>
          <w:rFonts w:ascii="Arial" w:eastAsia="Arial" w:hAnsi="Arial" w:cs="Arial"/>
          <w:b/>
          <w:color w:val="000000"/>
          <w:sz w:val="28"/>
        </w:rPr>
        <w:t>Dissent</w:t>
      </w:r>
    </w:p>
    <w:p w14:paraId="4BE43833" w14:textId="42074E43" w:rsidR="002B10A6" w:rsidRDefault="002D6974">
      <w:pPr>
        <w:pStyle w:val="Normal29"/>
        <w:spacing w:line="60" w:lineRule="exact"/>
      </w:pPr>
      <w:r>
        <w:rPr>
          <w:noProof/>
        </w:rPr>
        <mc:AlternateContent>
          <mc:Choice Requires="wps">
            <w:drawing>
              <wp:anchor distT="0" distB="0" distL="114300" distR="114300" simplePos="0" relativeHeight="251723776" behindDoc="0" locked="0" layoutInCell="1" allowOverlap="1" wp14:anchorId="4A4EB75A" wp14:editId="1921D579">
                <wp:simplePos x="0" y="0"/>
                <wp:positionH relativeFrom="column">
                  <wp:posOffset>0</wp:posOffset>
                </wp:positionH>
                <wp:positionV relativeFrom="paragraph">
                  <wp:posOffset>25400</wp:posOffset>
                </wp:positionV>
                <wp:extent cx="3187700" cy="0"/>
                <wp:effectExtent l="19050" t="15875" r="12700" b="12700"/>
                <wp:wrapTopAndBottom/>
                <wp:docPr id="1080647944"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9C791" id="Line 65"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D4CD7B8" w14:textId="77777777" w:rsidR="002B10A6" w:rsidRDefault="002B10A6">
      <w:pPr>
        <w:pStyle w:val="Normal29"/>
      </w:pPr>
    </w:p>
    <w:p w14:paraId="57FC637E" w14:textId="77777777" w:rsidR="002B10A6" w:rsidRDefault="00000000">
      <w:pPr>
        <w:pStyle w:val="Normal29"/>
        <w:widowControl w:val="0"/>
        <w:spacing w:before="200" w:line="260" w:lineRule="atLeast"/>
        <w:jc w:val="both"/>
      </w:pPr>
      <w:bookmarkStart w:id="6253" w:name="Bookmark_para_7_28"/>
      <w:bookmarkEnd w:id="6253"/>
      <w:r>
        <w:rPr>
          <w:rFonts w:ascii="Arial" w:eastAsia="Arial" w:hAnsi="Arial" w:cs="Arial"/>
          <w:color w:val="000000"/>
          <w:sz w:val="20"/>
        </w:rPr>
        <w:t>BUMATAY, Circuit Judge, dissenting:</w:t>
      </w:r>
    </w:p>
    <w:p w14:paraId="0881B4B7" w14:textId="77777777" w:rsidR="002B10A6" w:rsidRDefault="00000000">
      <w:pPr>
        <w:pStyle w:val="Normal29"/>
        <w:widowControl w:val="0"/>
        <w:spacing w:before="200" w:line="260" w:lineRule="atLeast"/>
        <w:jc w:val="both"/>
      </w:pPr>
      <w:bookmarkStart w:id="6254" w:name="Bookmark_para_8_28"/>
      <w:bookmarkEnd w:id="6254"/>
      <w:r>
        <w:rPr>
          <w:rFonts w:ascii="Arial" w:eastAsia="Arial" w:hAnsi="Arial" w:cs="Arial"/>
          <w:color w:val="000000"/>
          <w:sz w:val="20"/>
        </w:rPr>
        <w:t xml:space="preserve">I agree with the majority: the district court applied the wrong legal standard to Bellagio's motion for summary judgment. </w:t>
      </w:r>
      <w:bookmarkStart w:id="6255" w:name="Bookmark_I23SWDJNNYY00000K2G0000R"/>
      <w:bookmarkStart w:id="6256" w:name="Bookmark_I61B4T8G2SF8CJ0040000400"/>
      <w:bookmarkEnd w:id="6255"/>
      <w:bookmarkEnd w:id="6256"/>
      <w:r>
        <w:rPr>
          <w:rFonts w:ascii="Arial" w:eastAsia="Arial" w:hAnsi="Arial" w:cs="Arial"/>
          <w:color w:val="000000"/>
          <w:sz w:val="20"/>
        </w:rPr>
        <w:t xml:space="preserve">But that doesn't end our inquiry. When reviewing a grant of summary judgment, we may affirm on any basis supported by the record—even when the district court errs in the first instance. </w:t>
      </w:r>
      <w:bookmarkStart w:id="6257" w:name="Bookmark_I61B4T8G2SF8CJ0030000400"/>
      <w:bookmarkEnd w:id="6257"/>
      <w:r>
        <w:rPr>
          <w:rFonts w:ascii="Arial" w:eastAsia="Arial" w:hAnsi="Arial" w:cs="Arial"/>
          <w:i/>
          <w:color w:val="000000"/>
          <w:sz w:val="20"/>
        </w:rPr>
        <w:t>USA Petroleum Co. v. Atl. Richfield Co.</w:t>
      </w:r>
      <w:r>
        <w:rPr>
          <w:rFonts w:ascii="Arial" w:eastAsia="Arial" w:hAnsi="Arial" w:cs="Arial"/>
          <w:color w:val="000000"/>
          <w:sz w:val="20"/>
        </w:rPr>
        <w:t>, 13 F.3d 1276, 1279 (9th Cir. 1994). Applying the appropriate standard for a failure-to-accommodate claim leads Rosales's case to the same dead end: Bellagio is entitled to summary judgment.</w:t>
      </w:r>
    </w:p>
    <w:p w14:paraId="72FE7F15" w14:textId="77777777" w:rsidR="002B10A6" w:rsidRDefault="00000000">
      <w:pPr>
        <w:pStyle w:val="Normal29"/>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285E4815" w14:textId="77777777" w:rsidR="002B10A6" w:rsidRDefault="00000000">
      <w:pPr>
        <w:pStyle w:val="Normal29"/>
        <w:widowControl w:val="0"/>
        <w:spacing w:before="200" w:line="260" w:lineRule="atLeast"/>
        <w:jc w:val="both"/>
      </w:pPr>
      <w:bookmarkStart w:id="6258" w:name="Bookmark_para_9_28"/>
      <w:bookmarkStart w:id="6259" w:name="Bookmark_I23SWDJNRM100000K2G0000S"/>
      <w:bookmarkStart w:id="6260" w:name="Bookmark_I61B4T8H2D6MX70010000400"/>
      <w:bookmarkEnd w:id="6258"/>
      <w:bookmarkEnd w:id="6259"/>
      <w:bookmarkEnd w:id="6260"/>
      <w:r>
        <w:rPr>
          <w:rFonts w:ascii="Arial" w:eastAsia="Arial" w:hAnsi="Arial" w:cs="Arial"/>
          <w:color w:val="000000"/>
          <w:sz w:val="20"/>
        </w:rPr>
        <w:t xml:space="preserve">The Americans with Disabilities Act [**4]  prohibits employment discrimination "on the basis of disability." 42 U.S.C. § 12112(a). </w:t>
      </w:r>
      <w:bookmarkStart w:id="6261" w:name="Bookmark_I23SWDJNT2Y00000K2G0000T"/>
      <w:bookmarkStart w:id="6262" w:name="Bookmark_I61B4T8H2D6MX70030000400"/>
      <w:bookmarkEnd w:id="6261"/>
      <w:bookmarkEnd w:id="6262"/>
      <w:r>
        <w:rPr>
          <w:rFonts w:ascii="Arial" w:eastAsia="Arial" w:hAnsi="Arial" w:cs="Arial"/>
          <w:color w:val="000000"/>
          <w:sz w:val="20"/>
        </w:rPr>
        <w:t xml:space="preserve">Prohibited discrimination includes a failure to make "reasonable accommodations" for "an otherwise qualified individual with a disability." 42 U.S.C. § 12112(b); </w:t>
      </w:r>
      <w:r>
        <w:rPr>
          <w:rFonts w:ascii="Arial" w:eastAsia="Arial" w:hAnsi="Arial" w:cs="Arial"/>
          <w:i/>
          <w:color w:val="000000"/>
          <w:sz w:val="20"/>
        </w:rPr>
        <w:t xml:space="preserve">see </w:t>
      </w:r>
      <w:bookmarkStart w:id="6263" w:name="Bookmark_I61B4T8G2SF8CJ0050000400"/>
      <w:bookmarkEnd w:id="6263"/>
      <w:r>
        <w:rPr>
          <w:rFonts w:ascii="Arial" w:eastAsia="Arial" w:hAnsi="Arial" w:cs="Arial"/>
          <w:i/>
          <w:color w:val="000000"/>
          <w:sz w:val="20"/>
        </w:rPr>
        <w:t>Dunlap v. Liberty Natural Prods., Inc.</w:t>
      </w:r>
      <w:r>
        <w:rPr>
          <w:rFonts w:ascii="Arial" w:eastAsia="Arial" w:hAnsi="Arial" w:cs="Arial"/>
          <w:color w:val="000000"/>
          <w:sz w:val="20"/>
        </w:rPr>
        <w:t xml:space="preserve">, 878 F.3d 794, 798 (9th Cir. 2017). To prevail on his failure-to-accommodate claim, Rosales bears the burden of showing that he is a qualified individual able to perform the essential functions of the job with or without a reasonable accommodation. </w:t>
      </w:r>
      <w:bookmarkStart w:id="6264" w:name="Bookmark_I61B4T8H2D6MX70030000400_2"/>
      <w:bookmarkStart w:id="6265" w:name="Bookmark_I61B4T8H2D6MX70020000400"/>
      <w:bookmarkEnd w:id="6264"/>
      <w:bookmarkEnd w:id="6265"/>
      <w:r>
        <w:rPr>
          <w:rFonts w:ascii="Arial" w:eastAsia="Arial" w:hAnsi="Arial" w:cs="Arial"/>
          <w:i/>
          <w:color w:val="000000"/>
          <w:sz w:val="20"/>
        </w:rPr>
        <w:t>Dark v. Curry Cnty.</w:t>
      </w:r>
      <w:r>
        <w:rPr>
          <w:rFonts w:ascii="Arial" w:eastAsia="Arial" w:hAnsi="Arial" w:cs="Arial"/>
          <w:color w:val="000000"/>
          <w:sz w:val="20"/>
        </w:rPr>
        <w:t>, 451 F.3d 1078, 1086 (9th Cir. 2006).</w:t>
      </w:r>
    </w:p>
    <w:p w14:paraId="4400266B" w14:textId="77777777" w:rsidR="002B10A6" w:rsidRDefault="00000000">
      <w:pPr>
        <w:pStyle w:val="Normal29"/>
        <w:widowControl w:val="0"/>
        <w:spacing w:before="200" w:line="260" w:lineRule="atLeast"/>
        <w:jc w:val="both"/>
      </w:pPr>
      <w:bookmarkStart w:id="6266" w:name="Bookmark_para_10_28"/>
      <w:bookmarkEnd w:id="6266"/>
      <w:r>
        <w:rPr>
          <w:rFonts w:ascii="Arial" w:eastAsia="Arial" w:hAnsi="Arial" w:cs="Arial"/>
          <w:color w:val="000000"/>
          <w:sz w:val="20"/>
        </w:rPr>
        <w:t xml:space="preserve">Rosales undoubtedly finds himself in an unfortunate situation, unable to work after 18 years of loyal service to Bellagio because of an injury he sustained while working. But the ADA requires only </w:t>
      </w:r>
      <w:r>
        <w:rPr>
          <w:rFonts w:ascii="Arial" w:eastAsia="Arial" w:hAnsi="Arial" w:cs="Arial"/>
          <w:i/>
          <w:color w:val="000000"/>
          <w:sz w:val="20"/>
        </w:rPr>
        <w:t>reasonable</w:t>
      </w:r>
      <w:r>
        <w:rPr>
          <w:rFonts w:ascii="Arial" w:eastAsia="Arial" w:hAnsi="Arial" w:cs="Arial"/>
          <w:color w:val="000000"/>
          <w:sz w:val="20"/>
        </w:rPr>
        <w:t xml:space="preserve"> accommodations; it does not require employers to make fundamental changes to the tasks required by the job. At summary judgment, Bellagio has demonstrated that Rosales could not perform the essential functions of his job, and that there was no accommodation available to change that fact.</w:t>
      </w:r>
    </w:p>
    <w:p w14:paraId="54CEBA13" w14:textId="77777777" w:rsidR="002B10A6" w:rsidRDefault="00000000">
      <w:pPr>
        <w:pStyle w:val="Normal29"/>
        <w:widowControl w:val="0"/>
        <w:spacing w:before="200" w:line="260" w:lineRule="atLeast"/>
        <w:jc w:val="both"/>
      </w:pPr>
      <w:bookmarkStart w:id="6267" w:name="Bookmark_para_11_25"/>
      <w:bookmarkEnd w:id="6267"/>
      <w:r>
        <w:rPr>
          <w:rFonts w:ascii="Arial" w:eastAsia="Arial" w:hAnsi="Arial" w:cs="Arial"/>
          <w:color w:val="000000"/>
          <w:sz w:val="20"/>
        </w:rPr>
        <w:t>After his injury, Rosales was subject to permanent restrictions from his doctor.  [*440]  Rosales couldn't lift more than 36 pounds and needed to avoid "repetitive movements of the neck and . . . reaching overhead on the right side." Yet the essential functions of Rosales's job required [**5]  exactly this. For example, the job description for food servers like Rosales indicates that flexibility, kneeling, and reaching were essential functions of the job. Servers also had to carry hot boxes that weighed approximately 36 pounds, apparently while empty. Rosales himself testified that his job demanded a lot of neck movement and that there were various parts of the job he could no longer do.</w:t>
      </w:r>
      <w:r>
        <w:rPr>
          <w:rFonts w:ascii="Arial" w:eastAsia="Arial" w:hAnsi="Arial" w:cs="Arial"/>
          <w:vertAlign w:val="superscript"/>
        </w:rPr>
        <w:footnoteReference w:customMarkFollows="1" w:id="264"/>
        <w:t>1</w:t>
      </w:r>
      <w:r>
        <w:rPr>
          <w:rFonts w:ascii="Arial" w:eastAsia="Arial" w:hAnsi="Arial" w:cs="Arial"/>
          <w:color w:val="000000"/>
          <w:sz w:val="20"/>
        </w:rPr>
        <w:t xml:space="preserve"> Put simply, there's no genuine dispute that Rosales could no longer do the essential functions of the job.</w:t>
      </w:r>
    </w:p>
    <w:p w14:paraId="19C557A0" w14:textId="77777777" w:rsidR="002B10A6" w:rsidRDefault="00000000">
      <w:pPr>
        <w:pStyle w:val="Normal29"/>
        <w:widowControl w:val="0"/>
        <w:spacing w:before="200" w:line="260" w:lineRule="atLeast"/>
        <w:jc w:val="both"/>
      </w:pPr>
      <w:bookmarkStart w:id="6269" w:name="Bookmark_para_12_24"/>
      <w:bookmarkStart w:id="6270" w:name="Bookmark_I23SWDJNX9400000K2G0000W"/>
      <w:bookmarkStart w:id="6271" w:name="Bookmark_I61B4T8H2D6MX70050000400"/>
      <w:bookmarkEnd w:id="6269"/>
      <w:bookmarkEnd w:id="6270"/>
      <w:bookmarkEnd w:id="6271"/>
      <w:r>
        <w:rPr>
          <w:rFonts w:ascii="Arial" w:eastAsia="Arial" w:hAnsi="Arial" w:cs="Arial"/>
          <w:color w:val="000000"/>
          <w:sz w:val="20"/>
        </w:rPr>
        <w:t xml:space="preserve">Rosales contends that he </w:t>
      </w:r>
      <w:r>
        <w:rPr>
          <w:rFonts w:ascii="Arial" w:eastAsia="Arial" w:hAnsi="Arial" w:cs="Arial"/>
          <w:i/>
          <w:color w:val="000000"/>
          <w:sz w:val="20"/>
        </w:rPr>
        <w:t>could</w:t>
      </w:r>
      <w:r>
        <w:rPr>
          <w:rFonts w:ascii="Arial" w:eastAsia="Arial" w:hAnsi="Arial" w:cs="Arial"/>
          <w:color w:val="000000"/>
          <w:sz w:val="20"/>
        </w:rPr>
        <w:t xml:space="preserve"> perform the essential functions of the job—all he needed was an accommodation. Yet Rosales can't show that any reasonable accommodation was available that would've enabled him to do the job. </w:t>
      </w:r>
      <w:r>
        <w:rPr>
          <w:rFonts w:ascii="Arial" w:eastAsia="Arial" w:hAnsi="Arial" w:cs="Arial"/>
          <w:i/>
          <w:color w:val="000000"/>
          <w:sz w:val="20"/>
        </w:rPr>
        <w:t xml:space="preserve">See </w:t>
      </w:r>
      <w:bookmarkStart w:id="6272" w:name="Bookmark_I61B4T8H2D6MX70040000400"/>
      <w:bookmarkEnd w:id="6272"/>
      <w:r>
        <w:rPr>
          <w:rFonts w:ascii="Arial" w:eastAsia="Arial" w:hAnsi="Arial" w:cs="Arial"/>
          <w:i/>
          <w:color w:val="000000"/>
          <w:sz w:val="20"/>
        </w:rPr>
        <w:t>Dark</w:t>
      </w:r>
      <w:r>
        <w:rPr>
          <w:rFonts w:ascii="Arial" w:eastAsia="Arial" w:hAnsi="Arial" w:cs="Arial"/>
          <w:color w:val="000000"/>
          <w:sz w:val="20"/>
        </w:rPr>
        <w:t xml:space="preserve">, 451 F.3d at 1088 (recognizing that at summary judgment an employee must identify the existence of an accommodation that at least seems reasonable on its face). </w:t>
      </w:r>
      <w:bookmarkStart w:id="6273" w:name="Bookmark_I23SWDJNYV600000K2G0000X"/>
      <w:bookmarkStart w:id="6274" w:name="Bookmark_I23SWDJP2KS00000K2G00010"/>
      <w:bookmarkStart w:id="6275" w:name="Bookmark_I61B4T8J2D6MX80020000400"/>
      <w:bookmarkEnd w:id="6273"/>
      <w:bookmarkEnd w:id="6274"/>
      <w:bookmarkEnd w:id="6275"/>
      <w:r>
        <w:rPr>
          <w:rFonts w:ascii="Arial" w:eastAsia="Arial" w:hAnsi="Arial" w:cs="Arial"/>
          <w:color w:val="000000"/>
          <w:sz w:val="20"/>
        </w:rPr>
        <w:t xml:space="preserve">During his meeting with Bellagio, and throughout these proceedings, Rosales has suggested a single possible accommodation: being allowed to just do "light work," meaning handling "[c]offee orders, regular orders, amenities, which are very light." Thus, Rosales was asking for a permanent "modified/light work" version of his [**6]  job, in which his coworkers would be expected to pick up the slack. </w:t>
      </w:r>
      <w:bookmarkStart w:id="6276" w:name="Bookmark_I61B4T8J2D6MX80020000400_2"/>
      <w:bookmarkEnd w:id="6276"/>
      <w:r>
        <w:rPr>
          <w:rFonts w:ascii="Arial" w:eastAsia="Arial" w:hAnsi="Arial" w:cs="Arial"/>
          <w:color w:val="000000"/>
          <w:sz w:val="20"/>
        </w:rPr>
        <w:t xml:space="preserve">Bellagio was under no obligation to create such a light-duty position where none exists. </w:t>
      </w:r>
      <w:bookmarkStart w:id="6277" w:name="Bookmark_I61B4T8J2D6MX80010000400"/>
      <w:bookmarkEnd w:id="6277"/>
      <w:r>
        <w:rPr>
          <w:rFonts w:ascii="Arial" w:eastAsia="Arial" w:hAnsi="Arial" w:cs="Arial"/>
          <w:i/>
          <w:color w:val="000000"/>
          <w:sz w:val="20"/>
        </w:rPr>
        <w:t>Id.</w:t>
      </w:r>
      <w:r>
        <w:rPr>
          <w:rFonts w:ascii="Arial" w:eastAsia="Arial" w:hAnsi="Arial" w:cs="Arial"/>
          <w:color w:val="000000"/>
          <w:sz w:val="20"/>
        </w:rPr>
        <w:t xml:space="preserve"> at 1089 ("The ADA does not require an employer to exempt an employee from performing essential functions or to reallocate essential functions to other employees."); </w:t>
      </w:r>
      <w:bookmarkStart w:id="6278" w:name="Bookmark_I61B4T8J2D6MX80030000400"/>
      <w:bookmarkEnd w:id="6278"/>
      <w:r>
        <w:rPr>
          <w:rFonts w:ascii="Arial" w:eastAsia="Arial" w:hAnsi="Arial" w:cs="Arial"/>
          <w:i/>
          <w:color w:val="000000"/>
          <w:sz w:val="20"/>
        </w:rPr>
        <w:t>Samper v. Providence St. Vincent Med. Ctr.</w:t>
      </w:r>
      <w:r>
        <w:rPr>
          <w:rFonts w:ascii="Arial" w:eastAsia="Arial" w:hAnsi="Arial" w:cs="Arial"/>
          <w:color w:val="000000"/>
          <w:sz w:val="20"/>
        </w:rPr>
        <w:t>, 675 F.3d 1233, 1240 (9th Cir. 2012) (asking to be exempt from essential functions is not a reasonable accommodation). Rosales basically wanted to limit his duties to delivering coffee, chocolates, flowers, and other "light stuff." It is undisputed that the essential functions of the job include much more.</w:t>
      </w:r>
      <w:r>
        <w:rPr>
          <w:rFonts w:ascii="Arial" w:eastAsia="Arial" w:hAnsi="Arial" w:cs="Arial"/>
          <w:vertAlign w:val="superscript"/>
        </w:rPr>
        <w:footnoteReference w:customMarkFollows="1" w:id="265"/>
        <w:t>2</w:t>
      </w:r>
    </w:p>
    <w:p w14:paraId="42BF5E1B" w14:textId="77777777" w:rsidR="002B10A6" w:rsidRDefault="00000000">
      <w:pPr>
        <w:pStyle w:val="Normal29"/>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428A0880" w14:textId="77777777" w:rsidR="002B10A6" w:rsidRDefault="00000000">
      <w:pPr>
        <w:pStyle w:val="Normal29"/>
        <w:widowControl w:val="0"/>
        <w:spacing w:before="200" w:line="260" w:lineRule="atLeast"/>
        <w:jc w:val="both"/>
      </w:pPr>
      <w:bookmarkStart w:id="6280" w:name="Bookmark_para_13_24"/>
      <w:bookmarkStart w:id="6281" w:name="Bookmark_I23SWDJP6VK00000K2G00013"/>
      <w:bookmarkStart w:id="6282" w:name="Bookmark_I61B4T8J2N1PYG0030000400"/>
      <w:bookmarkEnd w:id="6280"/>
      <w:bookmarkEnd w:id="6281"/>
      <w:bookmarkEnd w:id="6282"/>
      <w:r>
        <w:rPr>
          <w:rFonts w:ascii="Arial" w:eastAsia="Arial" w:hAnsi="Arial" w:cs="Arial"/>
          <w:color w:val="000000"/>
          <w:sz w:val="20"/>
        </w:rPr>
        <w:t xml:space="preserve">Rosales argues that Bellagio failed to engage in a good-faith interactive process. </w:t>
      </w:r>
      <w:bookmarkStart w:id="6283" w:name="Bookmark_I23SWDJP5GR00000K2G00012"/>
      <w:bookmarkStart w:id="6284" w:name="Bookmark_I61B4T8J2N1PYG0010000400"/>
      <w:bookmarkStart w:id="6285" w:name="Bookmark_I61B4T8J2N1PYG0030000400_2"/>
      <w:bookmarkEnd w:id="6283"/>
      <w:bookmarkEnd w:id="6284"/>
      <w:bookmarkEnd w:id="6285"/>
      <w:r>
        <w:rPr>
          <w:rFonts w:ascii="Arial" w:eastAsia="Arial" w:hAnsi="Arial" w:cs="Arial"/>
          <w:color w:val="000000"/>
          <w:sz w:val="20"/>
        </w:rPr>
        <w:t>The district court agreed, relying on the fact that Bellagio decided no accommodation existed before meeting with Rosales. Without more, I am doubtful this constitutes a failure to engage in a good-faith interactive process.</w:t>
      </w:r>
      <w:r>
        <w:rPr>
          <w:rFonts w:ascii="Arial" w:eastAsia="Arial" w:hAnsi="Arial" w:cs="Arial"/>
          <w:vertAlign w:val="superscript"/>
        </w:rPr>
        <w:footnoteReference w:customMarkFollows="1" w:id="266"/>
        <w:t>3</w:t>
      </w:r>
      <w:r>
        <w:rPr>
          <w:rFonts w:ascii="Arial" w:eastAsia="Arial" w:hAnsi="Arial" w:cs="Arial"/>
          <w:color w:val="000000"/>
          <w:sz w:val="20"/>
        </w:rPr>
        <w:t xml:space="preserve"> Even so, regardless of  [*441]  its participation in a good-faith interactive process, Bellagio can be held liable only if a reasonable accommodation was actually available and denied to Rosales. </w:t>
      </w:r>
      <w:bookmarkStart w:id="6288" w:name="Bookmark_I61B4T8J2D6MX80050000400"/>
      <w:bookmarkEnd w:id="6288"/>
      <w:r>
        <w:rPr>
          <w:rFonts w:ascii="Arial" w:eastAsia="Arial" w:hAnsi="Arial" w:cs="Arial"/>
          <w:i/>
          <w:color w:val="000000"/>
          <w:sz w:val="20"/>
        </w:rPr>
        <w:t>Snapp v. United Transportation Union</w:t>
      </w:r>
      <w:r>
        <w:rPr>
          <w:rFonts w:ascii="Arial" w:eastAsia="Arial" w:hAnsi="Arial" w:cs="Arial"/>
          <w:color w:val="000000"/>
          <w:sz w:val="20"/>
        </w:rPr>
        <w:t>, 889 F.3d 1088, 1095 (9th Cir. 2018) ("[T]here exists no stand-alone claim for failing to engage in the interactive process. Rather, discrimination [**7]  results from denying an available and reasonable accommodation."). As explained above, Bellagio has shown that no reasonable accommodation existed as a matter of law. Accordingly, it's entitled to summary judgment.</w:t>
      </w:r>
    </w:p>
    <w:p w14:paraId="4474F669" w14:textId="77777777" w:rsidR="002B10A6" w:rsidRDefault="00000000">
      <w:pPr>
        <w:pStyle w:val="Normal29"/>
        <w:widowControl w:val="0"/>
        <w:spacing w:before="200" w:line="260" w:lineRule="atLeast"/>
        <w:jc w:val="both"/>
      </w:pPr>
      <w:bookmarkStart w:id="6289" w:name="Bookmark_para_14_24"/>
      <w:bookmarkStart w:id="6290" w:name="Bookmark_I23SWDJP9NY00000K2G00015"/>
      <w:bookmarkStart w:id="6291" w:name="Bookmark_I23SWDJPC8000000K2G00016"/>
      <w:bookmarkStart w:id="6292" w:name="Bookmark_I23SWDJR3NH00000K2G0001P"/>
      <w:bookmarkStart w:id="6293" w:name="Bookmark_I61B4T8J2N1PYG0050000400"/>
      <w:bookmarkEnd w:id="6289"/>
      <w:bookmarkEnd w:id="6290"/>
      <w:bookmarkEnd w:id="6291"/>
      <w:bookmarkEnd w:id="6292"/>
      <w:bookmarkEnd w:id="6293"/>
      <w:r>
        <w:rPr>
          <w:rFonts w:ascii="Arial" w:eastAsia="Arial" w:hAnsi="Arial" w:cs="Arial"/>
          <w:color w:val="000000"/>
          <w:sz w:val="20"/>
        </w:rPr>
        <w:t xml:space="preserve">The majority cites </w:t>
      </w:r>
      <w:bookmarkStart w:id="6294" w:name="Bookmark_I61B4T8J2N1PYG0040000400"/>
      <w:bookmarkEnd w:id="6294"/>
      <w:r>
        <w:rPr>
          <w:rFonts w:ascii="Arial" w:eastAsia="Arial" w:hAnsi="Arial" w:cs="Arial"/>
          <w:i/>
          <w:color w:val="000000"/>
          <w:sz w:val="20"/>
        </w:rPr>
        <w:t>Barnett v. U.S. Air, Inc.</w:t>
      </w:r>
      <w:r>
        <w:rPr>
          <w:rFonts w:ascii="Arial" w:eastAsia="Arial" w:hAnsi="Arial" w:cs="Arial"/>
          <w:color w:val="000000"/>
          <w:sz w:val="20"/>
        </w:rPr>
        <w:t xml:space="preserve">, 228 F.3d 1105, 1113 (9th Cir. 2000) (en banc), </w:t>
      </w:r>
      <w:r>
        <w:rPr>
          <w:rFonts w:ascii="Arial" w:eastAsia="Arial" w:hAnsi="Arial" w:cs="Arial"/>
          <w:i/>
          <w:color w:val="000000"/>
          <w:sz w:val="20"/>
        </w:rPr>
        <w:t>vacated sub. nom.</w:t>
      </w:r>
      <w:r>
        <w:rPr>
          <w:rFonts w:ascii="Arial" w:eastAsia="Arial" w:hAnsi="Arial" w:cs="Arial"/>
          <w:color w:val="000000"/>
          <w:sz w:val="20"/>
        </w:rPr>
        <w:t xml:space="preserve">, 535 U.S. 391, 122 S. Ct. 1516, 152 L. Ed. 2d 589 (2002), to suggest that "[a]n employer cannot prevail at the summary judgment stage if there is a genuine dispute as to whether the employer engaged in good faith in the interactive process." But </w:t>
      </w:r>
      <w:bookmarkStart w:id="6295" w:name="Bookmark_I61B4T8K28T4S70010000400"/>
      <w:bookmarkEnd w:id="6295"/>
      <w:r>
        <w:rPr>
          <w:rFonts w:ascii="Arial" w:eastAsia="Arial" w:hAnsi="Arial" w:cs="Arial"/>
          <w:i/>
          <w:color w:val="000000"/>
          <w:sz w:val="20"/>
        </w:rPr>
        <w:t>Barnett</w:t>
      </w:r>
      <w:r>
        <w:rPr>
          <w:rFonts w:ascii="Arial" w:eastAsia="Arial" w:hAnsi="Arial" w:cs="Arial"/>
          <w:color w:val="000000"/>
          <w:sz w:val="20"/>
        </w:rPr>
        <w:t xml:space="preserve"> was vacated and is no longer good law. </w:t>
      </w:r>
      <w:r>
        <w:rPr>
          <w:rFonts w:ascii="Arial" w:eastAsia="Arial" w:hAnsi="Arial" w:cs="Arial"/>
          <w:i/>
          <w:color w:val="000000"/>
          <w:sz w:val="20"/>
        </w:rPr>
        <w:t xml:space="preserve">See </w:t>
      </w:r>
      <w:bookmarkStart w:id="6296" w:name="Bookmark_I61B4T8K28T4S70030000400"/>
      <w:bookmarkEnd w:id="6296"/>
      <w:r>
        <w:rPr>
          <w:rFonts w:ascii="Arial" w:eastAsia="Arial" w:hAnsi="Arial" w:cs="Arial"/>
          <w:i/>
          <w:color w:val="000000"/>
          <w:sz w:val="20"/>
        </w:rPr>
        <w:t>Durning v. Citibank, N.A.</w:t>
      </w:r>
      <w:r>
        <w:rPr>
          <w:rFonts w:ascii="Arial" w:eastAsia="Arial" w:hAnsi="Arial" w:cs="Arial"/>
          <w:color w:val="000000"/>
          <w:sz w:val="20"/>
        </w:rPr>
        <w:t xml:space="preserve">, 950 F.2d 1419, 1424 n.2 (9th Cir. 1991) ("A decision may be </w:t>
      </w:r>
      <w:r>
        <w:rPr>
          <w:rFonts w:ascii="Arial" w:eastAsia="Arial" w:hAnsi="Arial" w:cs="Arial"/>
          <w:i/>
          <w:color w:val="000000"/>
          <w:sz w:val="20"/>
        </w:rPr>
        <w:t>reversed</w:t>
      </w:r>
      <w:r>
        <w:rPr>
          <w:rFonts w:ascii="Arial" w:eastAsia="Arial" w:hAnsi="Arial" w:cs="Arial"/>
          <w:color w:val="000000"/>
          <w:sz w:val="20"/>
        </w:rPr>
        <w:t xml:space="preserve"> on other grounds, but a decision that has been </w:t>
      </w:r>
      <w:r>
        <w:rPr>
          <w:rFonts w:ascii="Arial" w:eastAsia="Arial" w:hAnsi="Arial" w:cs="Arial"/>
          <w:i/>
          <w:color w:val="000000"/>
          <w:sz w:val="20"/>
        </w:rPr>
        <w:t>vacated</w:t>
      </w:r>
      <w:r>
        <w:rPr>
          <w:rFonts w:ascii="Arial" w:eastAsia="Arial" w:hAnsi="Arial" w:cs="Arial"/>
          <w:color w:val="000000"/>
          <w:sz w:val="20"/>
        </w:rPr>
        <w:t xml:space="preserve"> has no precedential authority whatsoever.").</w:t>
      </w:r>
    </w:p>
    <w:p w14:paraId="561DE0CD" w14:textId="77777777" w:rsidR="002B10A6" w:rsidRDefault="00000000">
      <w:pPr>
        <w:pStyle w:val="Normal29"/>
        <w:widowControl w:val="0"/>
        <w:spacing w:before="200" w:line="260" w:lineRule="atLeast"/>
        <w:jc w:val="both"/>
      </w:pPr>
      <w:bookmarkStart w:id="6297" w:name="Bookmark_para_15_24"/>
      <w:bookmarkStart w:id="6298" w:name="Bookmark_I23SWDJPDPY00000K2G00017"/>
      <w:bookmarkStart w:id="6299" w:name="Bookmark_I23SWDJPG4R00000K2G00018"/>
      <w:bookmarkStart w:id="6300" w:name="Bookmark_I23SWDJPHHJ00000K2G00019"/>
      <w:bookmarkStart w:id="6301" w:name="Bookmark_I61B4T8K2D6MXD0010000400"/>
      <w:bookmarkStart w:id="6302" w:name="Bookmark_I23SWDJPKCB00000K2G0001B"/>
      <w:bookmarkStart w:id="6303" w:name="Bookmark_I61B4T8K2HM6M50020000400"/>
      <w:bookmarkStart w:id="6304" w:name="Bookmark_I23SWDJPX3T00000K2G0001J"/>
      <w:bookmarkStart w:id="6305" w:name="Bookmark_I23SWDJPYJT00000K2G0001K"/>
      <w:bookmarkStart w:id="6306" w:name="Bookmark_I23SWDJR28600000K2G0001N"/>
      <w:bookmarkStart w:id="6307" w:name="Bookmark_I61B4T8M2N1PYN0050000400"/>
      <w:bookmarkEnd w:id="6297"/>
      <w:bookmarkEnd w:id="6298"/>
      <w:bookmarkEnd w:id="6299"/>
      <w:bookmarkEnd w:id="6300"/>
      <w:bookmarkEnd w:id="6301"/>
      <w:bookmarkEnd w:id="6302"/>
      <w:bookmarkEnd w:id="6303"/>
      <w:bookmarkEnd w:id="6304"/>
      <w:bookmarkEnd w:id="6305"/>
      <w:bookmarkEnd w:id="6306"/>
      <w:bookmarkEnd w:id="6307"/>
      <w:r>
        <w:rPr>
          <w:rFonts w:ascii="Arial" w:eastAsia="Arial" w:hAnsi="Arial" w:cs="Arial"/>
          <w:color w:val="000000"/>
          <w:sz w:val="20"/>
        </w:rPr>
        <w:t xml:space="preserve">Our decisions now hold that an employer may still prevail on a summary judgment motion—despite a genuine dispute as to good-faith participation in the interactive process—if the employer proves no reasonable accommodation is available. </w:t>
      </w:r>
      <w:r>
        <w:rPr>
          <w:rFonts w:ascii="Arial" w:eastAsia="Arial" w:hAnsi="Arial" w:cs="Arial"/>
          <w:i/>
          <w:color w:val="000000"/>
          <w:sz w:val="20"/>
        </w:rPr>
        <w:t xml:space="preserve">See </w:t>
      </w:r>
      <w:bookmarkStart w:id="6308" w:name="Bookmark_I61B4T8K28T4S70050000400"/>
      <w:bookmarkEnd w:id="6308"/>
      <w:r>
        <w:rPr>
          <w:rFonts w:ascii="Arial" w:eastAsia="Arial" w:hAnsi="Arial" w:cs="Arial"/>
          <w:i/>
          <w:color w:val="000000"/>
          <w:sz w:val="20"/>
        </w:rPr>
        <w:t>Morton v. United Parcel Serv., Inc.</w:t>
      </w:r>
      <w:r>
        <w:rPr>
          <w:rFonts w:ascii="Arial" w:eastAsia="Arial" w:hAnsi="Arial" w:cs="Arial"/>
          <w:color w:val="000000"/>
          <w:sz w:val="20"/>
        </w:rPr>
        <w:t xml:space="preserve">, 272 F.3d 1249, 1256 n.7 (9th Cir. 2001), </w:t>
      </w:r>
      <w:r>
        <w:rPr>
          <w:rFonts w:ascii="Arial" w:eastAsia="Arial" w:hAnsi="Arial" w:cs="Arial"/>
          <w:i/>
          <w:color w:val="000000"/>
          <w:sz w:val="20"/>
        </w:rPr>
        <w:t xml:space="preserve">overruled on other grounds by </w:t>
      </w:r>
      <w:bookmarkStart w:id="6309" w:name="Bookmark_I61B4T8K2D6MXD0020000400"/>
      <w:bookmarkEnd w:id="6309"/>
      <w:r>
        <w:rPr>
          <w:rFonts w:ascii="Arial" w:eastAsia="Arial" w:hAnsi="Arial" w:cs="Arial"/>
          <w:i/>
          <w:color w:val="000000"/>
          <w:sz w:val="20"/>
        </w:rPr>
        <w:t>Bates v. United Parcel Serv., Inc.</w:t>
      </w:r>
      <w:r>
        <w:rPr>
          <w:rFonts w:ascii="Arial" w:eastAsia="Arial" w:hAnsi="Arial" w:cs="Arial"/>
          <w:color w:val="000000"/>
          <w:sz w:val="20"/>
        </w:rPr>
        <w:t xml:space="preserve">, 511 F.3d 974 (9th Cir. 2007); </w:t>
      </w:r>
      <w:bookmarkStart w:id="6310" w:name="Bookmark_I61B4T8K2D6MXD0040000400"/>
      <w:bookmarkEnd w:id="6310"/>
      <w:r>
        <w:rPr>
          <w:rFonts w:ascii="Arial" w:eastAsia="Arial" w:hAnsi="Arial" w:cs="Arial"/>
          <w:i/>
          <w:color w:val="000000"/>
          <w:sz w:val="20"/>
        </w:rPr>
        <w:t>Dark</w:t>
      </w:r>
      <w:r>
        <w:rPr>
          <w:rFonts w:ascii="Arial" w:eastAsia="Arial" w:hAnsi="Arial" w:cs="Arial"/>
          <w:color w:val="000000"/>
          <w:sz w:val="20"/>
        </w:rPr>
        <w:t>, 451 F.3d at 1088 (recognizing that even where the employer failed to engage in the interactive process, summary judgment remains available to an employer who can show that "there would in any event have been no reasonable accommodation available") (simplified).</w:t>
      </w:r>
      <w:r>
        <w:rPr>
          <w:rFonts w:ascii="Arial" w:eastAsia="Arial" w:hAnsi="Arial" w:cs="Arial"/>
          <w:vertAlign w:val="superscript"/>
        </w:rPr>
        <w:footnoteReference w:customMarkFollows="1" w:id="267"/>
        <w:t>4</w:t>
      </w:r>
      <w:r>
        <w:rPr>
          <w:rFonts w:ascii="Arial" w:eastAsia="Arial" w:hAnsi="Arial" w:cs="Arial"/>
          <w:color w:val="000000"/>
          <w:sz w:val="20"/>
        </w:rPr>
        <w:t xml:space="preserve"> This is for good reason. </w:t>
      </w:r>
      <w:bookmarkStart w:id="6315" w:name="Bookmark_I23SWDJPMT500000K2G0001C"/>
      <w:bookmarkStart w:id="6316" w:name="Bookmark_I61B4T8K2HM6M50040000400"/>
      <w:bookmarkEnd w:id="6315"/>
      <w:bookmarkEnd w:id="6316"/>
      <w:r>
        <w:rPr>
          <w:rFonts w:ascii="Arial" w:eastAsia="Arial" w:hAnsi="Arial" w:cs="Arial"/>
          <w:color w:val="000000"/>
          <w:sz w:val="20"/>
        </w:rPr>
        <w:t xml:space="preserve">A contrary holding would [**8]  run afoul of the "plain language of [Rule 56, which] </w:t>
      </w:r>
      <w:r>
        <w:rPr>
          <w:rFonts w:ascii="Arial" w:eastAsia="Arial" w:hAnsi="Arial" w:cs="Arial"/>
          <w:i/>
          <w:color w:val="000000"/>
          <w:sz w:val="20"/>
        </w:rPr>
        <w:t>mandates</w:t>
      </w:r>
      <w:r>
        <w:rPr>
          <w:rFonts w:ascii="Arial" w:eastAsia="Arial" w:hAnsi="Arial" w:cs="Arial"/>
          <w:color w:val="000000"/>
          <w:sz w:val="20"/>
        </w:rPr>
        <w:t xml:space="preserve"> the entry of summary judgment . . . against a party who fails to make a showing sufficient to establish the existence of an element essential to that party's case, and on which that party will bear the burden of proof at trial." </w:t>
      </w:r>
      <w:bookmarkStart w:id="6317" w:name="Bookmark_I61B4T8K2HM6M50010000400"/>
      <w:bookmarkEnd w:id="6317"/>
      <w:r>
        <w:rPr>
          <w:rFonts w:ascii="Arial" w:eastAsia="Arial" w:hAnsi="Arial" w:cs="Arial"/>
          <w:i/>
          <w:color w:val="000000"/>
          <w:sz w:val="20"/>
        </w:rPr>
        <w:t>Celotex Corp. v. Catrett</w:t>
      </w:r>
      <w:r>
        <w:rPr>
          <w:rFonts w:ascii="Arial" w:eastAsia="Arial" w:hAnsi="Arial" w:cs="Arial"/>
          <w:color w:val="000000"/>
          <w:sz w:val="20"/>
        </w:rPr>
        <w:t xml:space="preserve">, 477 U.S. 317, 322, 106 S. Ct. 2548, 91 L. Ed. 2d 265 (1986). </w:t>
      </w:r>
      <w:bookmarkStart w:id="6318" w:name="Bookmark_I61B4T8K2HM6M50040000400_2"/>
      <w:bookmarkStart w:id="6319" w:name="Bookmark_I23SWDJPS1K00000K2G0001F"/>
      <w:bookmarkStart w:id="6320" w:name="Bookmark_I23SWDJR51G00000K2G0001R"/>
      <w:bookmarkStart w:id="6321" w:name="Bookmark_I61B4T8M2N1PYN0010000400"/>
      <w:bookmarkEnd w:id="6318"/>
      <w:bookmarkEnd w:id="6319"/>
      <w:bookmarkEnd w:id="6320"/>
      <w:bookmarkEnd w:id="6321"/>
      <w:r>
        <w:rPr>
          <w:rFonts w:ascii="Arial" w:eastAsia="Arial" w:hAnsi="Arial" w:cs="Arial"/>
          <w:color w:val="000000"/>
          <w:sz w:val="20"/>
        </w:rPr>
        <w:t xml:space="preserve">The ADA does not impose liability for a failure to engage in an interactive process (a phrase found nowhere in the statute)—but only for a failure to accommodate. </w:t>
      </w:r>
      <w:bookmarkStart w:id="6322" w:name="Bookmark_I61B4T8K2HM6M50030000400"/>
      <w:bookmarkEnd w:id="6322"/>
      <w:r>
        <w:rPr>
          <w:rFonts w:ascii="Arial" w:eastAsia="Arial" w:hAnsi="Arial" w:cs="Arial"/>
          <w:i/>
          <w:color w:val="000000"/>
          <w:sz w:val="20"/>
        </w:rPr>
        <w:t>Snapp</w:t>
      </w:r>
      <w:r>
        <w:rPr>
          <w:rFonts w:ascii="Arial" w:eastAsia="Arial" w:hAnsi="Arial" w:cs="Arial"/>
          <w:color w:val="000000"/>
          <w:sz w:val="20"/>
        </w:rPr>
        <w:t xml:space="preserve">, 889 F.3d at 1095. </w:t>
      </w:r>
      <w:bookmarkStart w:id="6323" w:name="Bookmark_I61B4T8M2N1PYN0010000400_2"/>
      <w:bookmarkEnd w:id="6323"/>
      <w:r>
        <w:rPr>
          <w:rFonts w:ascii="Arial" w:eastAsia="Arial" w:hAnsi="Arial" w:cs="Arial"/>
          <w:color w:val="000000"/>
          <w:sz w:val="20"/>
        </w:rPr>
        <w:t xml:space="preserve">Resuscitating the now-defunct </w:t>
      </w:r>
      <w:bookmarkStart w:id="6324" w:name="Bookmark_I61B4T8M2N1PYN0010000400_3"/>
      <w:bookmarkStart w:id="6325" w:name="Bookmark_I61B4T8K2HM6M50050000400"/>
      <w:bookmarkEnd w:id="6324"/>
      <w:bookmarkEnd w:id="6325"/>
      <w:r>
        <w:rPr>
          <w:rFonts w:ascii="Arial" w:eastAsia="Arial" w:hAnsi="Arial" w:cs="Arial"/>
          <w:i/>
          <w:color w:val="000000"/>
          <w:sz w:val="20"/>
        </w:rPr>
        <w:t>Barnett</w:t>
      </w:r>
      <w:r>
        <w:rPr>
          <w:rFonts w:ascii="Arial" w:eastAsia="Arial" w:hAnsi="Arial" w:cs="Arial"/>
          <w:color w:val="000000"/>
          <w:sz w:val="20"/>
        </w:rPr>
        <w:t xml:space="preserve"> rule would "require more than a little judicial adventurism, and look a good deal more like amending a law than interpreting one." </w:t>
      </w:r>
      <w:bookmarkStart w:id="6326" w:name="Bookmark_I61B4T8M2N1PYN0020000400"/>
      <w:bookmarkEnd w:id="6326"/>
      <w:r>
        <w:rPr>
          <w:rFonts w:ascii="Arial" w:eastAsia="Arial" w:hAnsi="Arial" w:cs="Arial"/>
          <w:i/>
          <w:color w:val="000000"/>
          <w:sz w:val="20"/>
        </w:rPr>
        <w:t>Comcast Corp. v. Nat'l Ass'n of African Am.-Owned Media</w:t>
      </w:r>
      <w:r>
        <w:rPr>
          <w:rFonts w:ascii="Arial" w:eastAsia="Arial" w:hAnsi="Arial" w:cs="Arial"/>
          <w:color w:val="000000"/>
          <w:sz w:val="20"/>
        </w:rPr>
        <w:t>, 140 S. Ct. 1009, 1017, 206 L. Ed. 2d 356 (2020).</w:t>
      </w:r>
    </w:p>
    <w:p w14:paraId="5345FD53" w14:textId="77777777" w:rsidR="002B10A6" w:rsidRDefault="00000000">
      <w:pPr>
        <w:pStyle w:val="Normal29"/>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14:paraId="3F1445B9" w14:textId="77777777" w:rsidR="002B10A6" w:rsidRDefault="00000000">
      <w:pPr>
        <w:pStyle w:val="Normal29"/>
        <w:widowControl w:val="0"/>
        <w:spacing w:before="200" w:line="260" w:lineRule="atLeast"/>
        <w:jc w:val="both"/>
      </w:pPr>
      <w:bookmarkStart w:id="6327" w:name="Bookmark_para_16_22"/>
      <w:bookmarkStart w:id="6328" w:name="Bookmark_I23SWDJR0XS00000K2G0001M"/>
      <w:bookmarkStart w:id="6329" w:name="Bookmark_I61B4T8M2N1PYS0010000400"/>
      <w:bookmarkEnd w:id="6327"/>
      <w:bookmarkEnd w:id="6328"/>
      <w:bookmarkEnd w:id="6329"/>
      <w:r>
        <w:rPr>
          <w:rFonts w:ascii="Arial" w:eastAsia="Arial" w:hAnsi="Arial" w:cs="Arial"/>
          <w:color w:val="000000"/>
          <w:sz w:val="20"/>
        </w:rPr>
        <w:t xml:space="preserve">I understand the majority's approach in remanding here. The district court applied the wrong legal standard, so sending the case back is reasonable. But nearly 20 years ago, we observed that "the resources of the federal judiciary, and this Circuit especially, are strained to the breaking point." </w:t>
      </w:r>
      <w:bookmarkStart w:id="6330" w:name="Bookmark_I61B4T8M2HM6M70050000400"/>
      <w:bookmarkEnd w:id="6330"/>
      <w:r>
        <w:rPr>
          <w:rFonts w:ascii="Arial" w:eastAsia="Arial" w:hAnsi="Arial" w:cs="Arial"/>
          <w:i/>
          <w:color w:val="000000"/>
          <w:sz w:val="20"/>
        </w:rPr>
        <w:t>Doi v. Halekulani Corp.</w:t>
      </w:r>
      <w:r>
        <w:rPr>
          <w:rFonts w:ascii="Arial" w:eastAsia="Arial" w:hAnsi="Arial" w:cs="Arial"/>
          <w:color w:val="000000"/>
          <w:sz w:val="20"/>
        </w:rPr>
        <w:t>, 276 F.3d 1131, 1141 (9th Cir. 2002). No doubt this strain on our resources has only gotten worse since. Because Rosales can't show any reasonable accommodation exists here, I see no reason to remand this case for the  [*442]  district court to merely reenter summary judgment for Bellagio.</w:t>
      </w:r>
    </w:p>
    <w:p w14:paraId="07C3AB9E" w14:textId="77777777" w:rsidR="002B10A6" w:rsidRDefault="00000000">
      <w:pPr>
        <w:pStyle w:val="Normal29"/>
        <w:widowControl w:val="0"/>
        <w:spacing w:before="200" w:line="260" w:lineRule="atLeast"/>
        <w:jc w:val="both"/>
      </w:pPr>
      <w:bookmarkStart w:id="6331" w:name="Bookmark_para_17_22"/>
      <w:bookmarkEnd w:id="6331"/>
      <w:r>
        <w:rPr>
          <w:rFonts w:ascii="Arial" w:eastAsia="Arial" w:hAnsi="Arial" w:cs="Arial"/>
          <w:color w:val="000000"/>
          <w:sz w:val="20"/>
        </w:rPr>
        <w:t>Accordingly, I respectfully [**9]  dissent.</w:t>
      </w:r>
    </w:p>
    <w:p w14:paraId="789B84F7" w14:textId="77777777" w:rsidR="002B10A6" w:rsidRDefault="002B10A6">
      <w:pPr>
        <w:pStyle w:val="Normal29"/>
      </w:pPr>
    </w:p>
    <w:p w14:paraId="0148FD42" w14:textId="30C8E2F9" w:rsidR="002B10A6" w:rsidRDefault="00000000">
      <w:pPr>
        <w:pStyle w:val="Normal29"/>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24800" behindDoc="0" locked="0" layoutInCell="1" allowOverlap="1" wp14:anchorId="48DCE71D" wp14:editId="4469FAD7">
                <wp:simplePos x="0" y="0"/>
                <wp:positionH relativeFrom="column">
                  <wp:posOffset>0</wp:posOffset>
                </wp:positionH>
                <wp:positionV relativeFrom="paragraph">
                  <wp:posOffset>127000</wp:posOffset>
                </wp:positionV>
                <wp:extent cx="6502400" cy="0"/>
                <wp:effectExtent l="9525" t="12700" r="12700" b="6350"/>
                <wp:wrapNone/>
                <wp:docPr id="1609102822"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E117A" id="Line 66"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8287476" w14:textId="77777777" w:rsidR="002B10A6" w:rsidRDefault="002B10A6">
      <w:pPr>
        <w:pStyle w:val="Normal30"/>
        <w:sectPr w:rsidR="002B10A6">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gutter="0"/>
          <w:cols w:space="720"/>
          <w:titlePg/>
        </w:sectPr>
      </w:pPr>
    </w:p>
    <w:p w14:paraId="7308C881" w14:textId="77777777" w:rsidR="002B10A6" w:rsidRDefault="002B10A6">
      <w:pPr>
        <w:pStyle w:val="Normal30"/>
      </w:pPr>
    </w:p>
    <w:p w14:paraId="3300E8E9" w14:textId="77777777" w:rsidR="002B10A6" w:rsidRDefault="00000000">
      <w:pPr>
        <w:pStyle w:val="Heading129"/>
        <w:keepNext w:val="0"/>
        <w:widowControl w:val="0"/>
        <w:spacing w:after="200" w:line="340" w:lineRule="atLeast"/>
        <w:jc w:val="center"/>
      </w:pPr>
      <w:r>
        <w:rPr>
          <w:rFonts w:eastAsia="Arial"/>
          <w:color w:val="000000"/>
          <w:sz w:val="28"/>
        </w:rPr>
        <w:t>Nehemiah Kong v. Mana Inv. Co., LLC</w:t>
      </w:r>
    </w:p>
    <w:p w14:paraId="44F409C9" w14:textId="77777777" w:rsidR="002B10A6" w:rsidRDefault="00000000">
      <w:pPr>
        <w:pStyle w:val="Normal30"/>
        <w:widowControl w:val="0"/>
        <w:spacing w:before="120" w:line="260" w:lineRule="atLeast"/>
        <w:jc w:val="center"/>
      </w:pPr>
      <w:r>
        <w:rPr>
          <w:rFonts w:ascii="Arial" w:eastAsia="Arial" w:hAnsi="Arial" w:cs="Arial"/>
          <w:color w:val="000000"/>
          <w:sz w:val="20"/>
        </w:rPr>
        <w:t>United States Court of Appeals for the Ninth Circuit</w:t>
      </w:r>
    </w:p>
    <w:p w14:paraId="6128475F" w14:textId="77777777" w:rsidR="002B10A6" w:rsidRDefault="00000000">
      <w:pPr>
        <w:pStyle w:val="Normal30"/>
        <w:widowControl w:val="0"/>
        <w:spacing w:before="120" w:line="260" w:lineRule="atLeast"/>
        <w:jc w:val="center"/>
      </w:pPr>
      <w:r>
        <w:rPr>
          <w:rFonts w:ascii="Arial" w:eastAsia="Arial" w:hAnsi="Arial" w:cs="Arial"/>
          <w:color w:val="000000"/>
          <w:sz w:val="20"/>
        </w:rPr>
        <w:t>June 2, 2020</w:t>
      </w:r>
      <w:r>
        <w:rPr>
          <w:rFonts w:ascii="Arial" w:eastAsia="Arial" w:hAnsi="Arial" w:cs="Arial"/>
          <w:vertAlign w:val="superscript"/>
        </w:rPr>
        <w:footnoteReference w:customMarkFollows="1" w:id="268"/>
        <w:t>**</w:t>
      </w:r>
      <w:r>
        <w:rPr>
          <w:rFonts w:ascii="Arial" w:eastAsia="Arial" w:hAnsi="Arial" w:cs="Arial"/>
          <w:color w:val="000000"/>
          <w:sz w:val="20"/>
        </w:rPr>
        <w:t>, Submitted, Pasadena, California; June 17, 2020, Filed</w:t>
      </w:r>
    </w:p>
    <w:p w14:paraId="6147022B" w14:textId="77777777" w:rsidR="002B10A6" w:rsidRDefault="00000000">
      <w:pPr>
        <w:pStyle w:val="Normal30"/>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19-55577</w:t>
      </w:r>
    </w:p>
    <w:p w14:paraId="7C2B12B8" w14:textId="77777777" w:rsidR="002B10A6" w:rsidRDefault="002B10A6">
      <w:pPr>
        <w:pStyle w:val="Normal30"/>
        <w:widowControl w:val="0"/>
        <w:spacing w:line="240" w:lineRule="atLeast"/>
        <w:jc w:val="both"/>
      </w:pPr>
      <w:bookmarkStart w:id="6333" w:name="Bookmark_31"/>
      <w:bookmarkEnd w:id="6333"/>
    </w:p>
    <w:p w14:paraId="1B7A1AA7" w14:textId="77777777" w:rsidR="002B10A6" w:rsidRDefault="00000000">
      <w:pPr>
        <w:pStyle w:val="Normal30"/>
        <w:widowControl w:val="0"/>
        <w:spacing w:before="200" w:line="240" w:lineRule="atLeast"/>
      </w:pPr>
      <w:bookmarkStart w:id="6334" w:name="Reporter_29"/>
      <w:bookmarkEnd w:id="6334"/>
      <w:r>
        <w:rPr>
          <w:rFonts w:ascii="Arial" w:eastAsia="Arial" w:hAnsi="Arial" w:cs="Arial"/>
          <w:b/>
          <w:color w:val="000000"/>
          <w:sz w:val="18"/>
        </w:rPr>
        <w:t>Reporter</w:t>
      </w:r>
    </w:p>
    <w:p w14:paraId="365D2B3F" w14:textId="77777777" w:rsidR="002B10A6" w:rsidRDefault="00000000">
      <w:pPr>
        <w:pStyle w:val="Normal30"/>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818 Fed. Appx. 660 *; 2020 U.S. App. LEXIS 19078 **; 2020 WL 3265179</w:t>
      </w:r>
    </w:p>
    <w:p w14:paraId="2F50DAAB" w14:textId="77777777" w:rsidR="002B10A6" w:rsidRDefault="00000000">
      <w:pPr>
        <w:pStyle w:val="Normal30"/>
        <w:widowControl w:val="0"/>
        <w:spacing w:before="120" w:line="260" w:lineRule="atLeast"/>
      </w:pPr>
      <w:r>
        <w:rPr>
          <w:rFonts w:ascii="Arial" w:eastAsia="Arial" w:hAnsi="Arial" w:cs="Arial"/>
          <w:color w:val="000000"/>
          <w:sz w:val="20"/>
        </w:rPr>
        <w:t>NEHEMIAH KONG, Plaintiff-Appellant, v. MANA INVESTMENT COMPANY, LLC, a California Limited Liability Company, Defendant, and STARBUCKS CORPORATION, a Washington Corporation, Defendant-Appellee.</w:t>
      </w:r>
    </w:p>
    <w:p w14:paraId="4BE1903C" w14:textId="77777777" w:rsidR="002B10A6" w:rsidRDefault="00000000">
      <w:pPr>
        <w:pStyle w:val="Normal30"/>
        <w:widowControl w:val="0"/>
        <w:spacing w:before="240" w:line="260" w:lineRule="atLeast"/>
        <w:jc w:val="both"/>
      </w:pPr>
      <w:bookmarkStart w:id="6335" w:name="Notice_9"/>
      <w:bookmarkEnd w:id="6335"/>
      <w:r>
        <w:rPr>
          <w:rFonts w:ascii="Arial" w:eastAsia="Arial" w:hAnsi="Arial" w:cs="Arial"/>
          <w:b/>
          <w:color w:val="000000"/>
          <w:sz w:val="20"/>
        </w:rPr>
        <w:t>Notice:</w:t>
      </w:r>
      <w:r>
        <w:rPr>
          <w:rFonts w:ascii="Arial" w:eastAsia="Arial" w:hAnsi="Arial" w:cs="Arial"/>
          <w:color w:val="000000"/>
          <w:sz w:val="20"/>
        </w:rPr>
        <w:t> </w:t>
      </w:r>
      <w:bookmarkStart w:id="6336" w:name="Bookmark_para_1_29"/>
      <w:bookmarkEnd w:id="6336"/>
      <w:r>
        <w:rPr>
          <w:rFonts w:ascii="Arial" w:eastAsia="Arial" w:hAnsi="Arial" w:cs="Arial"/>
          <w:color w:val="000000"/>
          <w:sz w:val="20"/>
        </w:rPr>
        <w:t>PLEASE REFER TO FEDERAL RULES OF APPELLATE PROCEDURE RULE 32.1 GOVERNING THE CITATION TO UNPUBLISHED OPINIONS.</w:t>
      </w:r>
    </w:p>
    <w:p w14:paraId="27673DE4" w14:textId="77777777" w:rsidR="002B10A6" w:rsidRDefault="00000000">
      <w:pPr>
        <w:pStyle w:val="Normal30"/>
        <w:widowControl w:val="0"/>
        <w:spacing w:before="240" w:line="260" w:lineRule="atLeast"/>
      </w:pPr>
      <w:bookmarkStart w:id="6337" w:name="Subsequent_History_10"/>
      <w:bookmarkEnd w:id="6337"/>
      <w:r>
        <w:rPr>
          <w:rFonts w:ascii="Arial" w:eastAsia="Arial" w:hAnsi="Arial" w:cs="Arial"/>
          <w:b/>
          <w:color w:val="000000"/>
          <w:sz w:val="20"/>
        </w:rPr>
        <w:t>Subsequent History:</w:t>
      </w:r>
      <w:r>
        <w:rPr>
          <w:rFonts w:ascii="Arial" w:eastAsia="Arial" w:hAnsi="Arial" w:cs="Arial"/>
          <w:color w:val="000000"/>
          <w:sz w:val="20"/>
        </w:rPr>
        <w:t> Rehearing denied by, En banc Kong v. Mana Inv. Co., LLC, 2020 U.S. App. LEXIS 23825 (9th Cir. Cal., July 28, 2020)</w:t>
      </w:r>
    </w:p>
    <w:p w14:paraId="3EBE237A" w14:textId="77777777" w:rsidR="002B10A6" w:rsidRDefault="00000000">
      <w:pPr>
        <w:pStyle w:val="Normal30"/>
        <w:widowControl w:val="0"/>
        <w:spacing w:before="240" w:line="260" w:lineRule="atLeast"/>
        <w:jc w:val="both"/>
      </w:pPr>
      <w:bookmarkStart w:id="6338" w:name="Prior_History_29"/>
      <w:bookmarkEnd w:id="6338"/>
      <w:r>
        <w:rPr>
          <w:rFonts w:ascii="Arial" w:eastAsia="Arial" w:hAnsi="Arial" w:cs="Arial"/>
          <w:b/>
          <w:color w:val="000000"/>
          <w:sz w:val="20"/>
        </w:rPr>
        <w:t>Prior History:</w:t>
      </w:r>
      <w:r>
        <w:rPr>
          <w:rFonts w:ascii="Arial" w:eastAsia="Arial" w:hAnsi="Arial" w:cs="Arial"/>
          <w:color w:val="000000"/>
          <w:sz w:val="20"/>
        </w:rPr>
        <w:t> </w:t>
      </w:r>
      <w:bookmarkStart w:id="6339" w:name="Bookmark_para_2_29"/>
      <w:bookmarkEnd w:id="6339"/>
      <w:r>
        <w:rPr>
          <w:rFonts w:ascii="Arial" w:eastAsia="Arial" w:hAnsi="Arial" w:cs="Arial"/>
          <w:color w:val="000000"/>
          <w:sz w:val="20"/>
        </w:rPr>
        <w:t> [**1] Appeal from the United States District Court for the Central District of California. D.C. No. 8:18-cv-01615-DOC-DFM. David O. Carter, District Judge, Presiding.</w:t>
      </w:r>
    </w:p>
    <w:p w14:paraId="1F63DC62" w14:textId="77777777" w:rsidR="002B10A6" w:rsidRDefault="00000000">
      <w:pPr>
        <w:pStyle w:val="Normal30"/>
        <w:widowControl w:val="0"/>
        <w:spacing w:before="240" w:line="260" w:lineRule="atLeast"/>
      </w:pPr>
      <w:bookmarkStart w:id="6340" w:name="Counsel_29"/>
      <w:bookmarkEnd w:id="6340"/>
      <w:r>
        <w:rPr>
          <w:rFonts w:ascii="Arial" w:eastAsia="Arial" w:hAnsi="Arial" w:cs="Arial"/>
          <w:b/>
          <w:color w:val="000000"/>
          <w:sz w:val="20"/>
        </w:rPr>
        <w:t>Counsel:</w:t>
      </w:r>
      <w:r>
        <w:rPr>
          <w:rFonts w:ascii="Arial" w:eastAsia="Arial" w:hAnsi="Arial" w:cs="Arial"/>
          <w:color w:val="000000"/>
          <w:sz w:val="20"/>
        </w:rPr>
        <w:t> For NEHEMIAH KONG, Plaintiff - Appellant: Russell Clive Handy, Esquire, Dennis J. Price, II, Esquire, Mr., Potter Handy LLP, San Diego, CA.</w:t>
      </w:r>
    </w:p>
    <w:p w14:paraId="550A6601" w14:textId="77777777" w:rsidR="002B10A6" w:rsidRDefault="00000000">
      <w:pPr>
        <w:pStyle w:val="Normal30"/>
        <w:widowControl w:val="0"/>
        <w:spacing w:before="120" w:line="260" w:lineRule="atLeast"/>
      </w:pPr>
      <w:r>
        <w:rPr>
          <w:rFonts w:ascii="Arial" w:eastAsia="Arial" w:hAnsi="Arial" w:cs="Arial"/>
          <w:color w:val="000000"/>
          <w:sz w:val="20"/>
        </w:rPr>
        <w:t>For STARBUCKS CORPORATION, a Washington Corporation, Defendant - Appellee: Gregory Francis Hurley, Esquire, Senior Litigation Attorney, Bradley J. Leimkuhler, Sheppard Mullin Richter &amp; Hampton LLP, Costa Mesa, CA; James M. Harris, Esquire, Attorney, Myra B. Villamor, Attorney, Seyfarth Shaw, LLP, Los Angeles, CA; Minh N. Vu, Attorney, Seyfarth Shaw LLP, Washington, DC.</w:t>
      </w:r>
    </w:p>
    <w:p w14:paraId="0AF81C5E" w14:textId="77777777" w:rsidR="002B10A6" w:rsidRDefault="00000000">
      <w:pPr>
        <w:pStyle w:val="Normal30"/>
        <w:widowControl w:val="0"/>
        <w:spacing w:before="240" w:line="260" w:lineRule="atLeast"/>
      </w:pPr>
      <w:bookmarkStart w:id="6341" w:name="Judges_29"/>
      <w:bookmarkEnd w:id="6341"/>
      <w:r>
        <w:rPr>
          <w:rFonts w:ascii="Arial" w:eastAsia="Arial" w:hAnsi="Arial" w:cs="Arial"/>
          <w:b/>
          <w:color w:val="000000"/>
          <w:sz w:val="20"/>
        </w:rPr>
        <w:t>Judges:</w:t>
      </w:r>
      <w:r>
        <w:rPr>
          <w:rFonts w:ascii="Arial" w:eastAsia="Arial" w:hAnsi="Arial" w:cs="Arial"/>
          <w:color w:val="000000"/>
          <w:sz w:val="20"/>
        </w:rPr>
        <w:t> Before: FERNANDEZ and OWENS, Circuit Judges, and AMON,</w:t>
      </w:r>
      <w:r>
        <w:rPr>
          <w:rFonts w:ascii="Arial" w:eastAsia="Arial" w:hAnsi="Arial" w:cs="Arial"/>
          <w:vertAlign w:val="superscript"/>
        </w:rPr>
        <w:footnoteReference w:customMarkFollows="1" w:id="269"/>
        <w:t>***</w:t>
      </w:r>
      <w:r>
        <w:rPr>
          <w:rFonts w:ascii="Arial" w:eastAsia="Arial" w:hAnsi="Arial" w:cs="Arial"/>
          <w:color w:val="000000"/>
          <w:sz w:val="20"/>
        </w:rPr>
        <w:t xml:space="preserve"> District Judge.</w:t>
      </w:r>
    </w:p>
    <w:p w14:paraId="6B64FA1E" w14:textId="77777777" w:rsidR="002B10A6" w:rsidRDefault="00000000">
      <w:pPr>
        <w:pStyle w:val="Normal30"/>
        <w:keepNext/>
        <w:widowControl w:val="0"/>
        <w:spacing w:before="240" w:line="340" w:lineRule="atLeast"/>
      </w:pPr>
      <w:bookmarkStart w:id="6343" w:name="Opinion_29"/>
      <w:bookmarkEnd w:id="6343"/>
      <w:r>
        <w:rPr>
          <w:rFonts w:ascii="Arial" w:eastAsia="Arial" w:hAnsi="Arial" w:cs="Arial"/>
          <w:b/>
          <w:color w:val="000000"/>
          <w:sz w:val="28"/>
        </w:rPr>
        <w:t>Opinion</w:t>
      </w:r>
    </w:p>
    <w:p w14:paraId="1BDC450A" w14:textId="5260742A" w:rsidR="002B10A6" w:rsidRDefault="002D6974">
      <w:pPr>
        <w:pStyle w:val="Normal30"/>
        <w:spacing w:line="60" w:lineRule="exact"/>
      </w:pPr>
      <w:r>
        <w:rPr>
          <w:noProof/>
        </w:rPr>
        <mc:AlternateContent>
          <mc:Choice Requires="wps">
            <w:drawing>
              <wp:anchor distT="0" distB="0" distL="114300" distR="114300" simplePos="0" relativeHeight="251725824" behindDoc="0" locked="0" layoutInCell="1" allowOverlap="1" wp14:anchorId="5D9B2132" wp14:editId="15D974BF">
                <wp:simplePos x="0" y="0"/>
                <wp:positionH relativeFrom="column">
                  <wp:posOffset>0</wp:posOffset>
                </wp:positionH>
                <wp:positionV relativeFrom="paragraph">
                  <wp:posOffset>25400</wp:posOffset>
                </wp:positionV>
                <wp:extent cx="3187700" cy="0"/>
                <wp:effectExtent l="19050" t="15875" r="12700" b="12700"/>
                <wp:wrapTopAndBottom/>
                <wp:docPr id="666269599"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2B49E" id="Line 6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C515916" w14:textId="77777777" w:rsidR="002B10A6" w:rsidRDefault="002B10A6">
      <w:pPr>
        <w:pStyle w:val="Normal30"/>
        <w:spacing w:line="120" w:lineRule="exact"/>
      </w:pPr>
    </w:p>
    <w:p w14:paraId="07D393A3" w14:textId="77777777" w:rsidR="002B10A6" w:rsidRDefault="00000000">
      <w:pPr>
        <w:pStyle w:val="Normal30"/>
        <w:widowControl w:val="0"/>
        <w:spacing w:before="240" w:line="260" w:lineRule="atLeast"/>
      </w:pPr>
      <w:r>
        <w:br/>
      </w:r>
      <w:r>
        <w:rPr>
          <w:rFonts w:ascii="Arial" w:eastAsia="Arial" w:hAnsi="Arial" w:cs="Arial"/>
          <w:color w:val="000000"/>
          <w:sz w:val="20"/>
        </w:rPr>
        <w:t> [*661]  MEMORANDUM</w:t>
      </w:r>
      <w:r>
        <w:rPr>
          <w:rFonts w:ascii="Arial" w:eastAsia="Arial" w:hAnsi="Arial" w:cs="Arial"/>
          <w:vertAlign w:val="superscript"/>
        </w:rPr>
        <w:footnoteReference w:customMarkFollows="1" w:id="270"/>
        <w:t>*</w:t>
      </w:r>
    </w:p>
    <w:p w14:paraId="5AD38464" w14:textId="77777777" w:rsidR="002B10A6" w:rsidRDefault="00000000">
      <w:pPr>
        <w:pStyle w:val="Normal30"/>
        <w:widowControl w:val="0"/>
        <w:spacing w:before="200" w:line="260" w:lineRule="atLeast"/>
        <w:jc w:val="both"/>
      </w:pPr>
      <w:bookmarkStart w:id="6345" w:name="Bookmark_para_3_29"/>
      <w:bookmarkEnd w:id="6345"/>
      <w:r>
        <w:rPr>
          <w:rFonts w:ascii="Arial" w:eastAsia="Arial" w:hAnsi="Arial" w:cs="Arial"/>
          <w:color w:val="000000"/>
          <w:sz w:val="20"/>
        </w:rPr>
        <w:t>Appellant Nehemiah Kong ("Kong") appeals the district court's decision, which granted summary judgment in favor of Starbucks Corporation ("Starbucks") on Kong's claims brought under the Americans with Disabilities Act ("ADA").</w:t>
      </w:r>
      <w:r>
        <w:rPr>
          <w:rFonts w:ascii="Arial" w:eastAsia="Arial" w:hAnsi="Arial" w:cs="Arial"/>
          <w:vertAlign w:val="superscript"/>
        </w:rPr>
        <w:footnoteReference w:customMarkFollows="1" w:id="271"/>
        <w:t>1</w:t>
      </w:r>
      <w:r>
        <w:rPr>
          <w:rFonts w:ascii="Arial" w:eastAsia="Arial" w:hAnsi="Arial" w:cs="Arial"/>
          <w:color w:val="000000"/>
          <w:sz w:val="20"/>
        </w:rPr>
        <w:t xml:space="preserve"> We have jurisdiction pursuant to 28 U.S.C. § 1291, and we affirm.</w:t>
      </w:r>
      <w:r>
        <w:rPr>
          <w:rFonts w:ascii="Arial" w:eastAsia="Arial" w:hAnsi="Arial" w:cs="Arial"/>
          <w:vertAlign w:val="superscript"/>
        </w:rPr>
        <w:footnoteReference w:customMarkFollows="1" w:id="272"/>
        <w:t>2</w:t>
      </w:r>
    </w:p>
    <w:p w14:paraId="7F8AE8A9" w14:textId="77777777" w:rsidR="002B10A6" w:rsidRDefault="00000000">
      <w:pPr>
        <w:pStyle w:val="Normal30"/>
        <w:widowControl w:val="0"/>
        <w:spacing w:before="200" w:line="260" w:lineRule="atLeast"/>
        <w:jc w:val="both"/>
      </w:pPr>
      <w:bookmarkStart w:id="6350" w:name="Bookmark_para_4_29"/>
      <w:bookmarkEnd w:id="6350"/>
      <w:r>
        <w:rPr>
          <w:rFonts w:ascii="Arial" w:eastAsia="Arial" w:hAnsi="Arial" w:cs="Arial"/>
          <w:color w:val="000000"/>
          <w:sz w:val="20"/>
        </w:rPr>
        <w:t xml:space="preserve"> [*662]  </w:t>
      </w:r>
      <w:bookmarkStart w:id="6351" w:name="Bookmark_I6070TB22SF8SW0040000400"/>
      <w:bookmarkEnd w:id="6351"/>
      <w:r>
        <w:rPr>
          <w:rFonts w:ascii="Arial" w:eastAsia="Arial" w:hAnsi="Arial" w:cs="Arial"/>
          <w:color w:val="000000"/>
          <w:sz w:val="20"/>
        </w:rPr>
        <w:t xml:space="preserve">Kong, who uses a wheelchair, asks this Court to hold [**2]  that Starbucks is required under the ADA to provide 36 inches of usable counter space for disabled patrons. Kong argues that Starbucks' transaction counter violates the relevant section of the 2010 Standards for Accessible Design ("2010 Standards") and 28 C.F.R. § 36.211(a). </w:t>
      </w:r>
      <w:bookmarkStart w:id="6352" w:name="Bookmark_LNHNREFclscc1_24"/>
      <w:bookmarkEnd w:id="6352"/>
      <w:r>
        <w:rPr>
          <w:rFonts w:ascii="Arial" w:eastAsia="Arial" w:hAnsi="Arial" w:cs="Arial"/>
          <w:color w:val="000000"/>
          <w:sz w:val="20"/>
        </w:rPr>
        <w:t xml:space="preserve">We consider each argument in turn, reviewing the question of law de novo. </w:t>
      </w:r>
      <w:r>
        <w:rPr>
          <w:rFonts w:ascii="Arial" w:eastAsia="Arial" w:hAnsi="Arial" w:cs="Arial"/>
          <w:i/>
          <w:color w:val="000000"/>
          <w:sz w:val="20"/>
        </w:rPr>
        <w:t xml:space="preserve">See </w:t>
      </w:r>
      <w:bookmarkStart w:id="6353" w:name="Bookmark_I6070TB22SF8SW0030000400"/>
      <w:bookmarkEnd w:id="6353"/>
      <w:r>
        <w:rPr>
          <w:rFonts w:ascii="Arial" w:eastAsia="Arial" w:hAnsi="Arial" w:cs="Arial"/>
          <w:i/>
          <w:color w:val="000000"/>
          <w:sz w:val="20"/>
        </w:rPr>
        <w:t>Wyner ex rel. Wyner v. Manhattan Beach Unified Sch. Dist.</w:t>
      </w:r>
      <w:r>
        <w:rPr>
          <w:rFonts w:ascii="Arial" w:eastAsia="Arial" w:hAnsi="Arial" w:cs="Arial"/>
          <w:color w:val="000000"/>
          <w:sz w:val="20"/>
        </w:rPr>
        <w:t>, 223 F.3d 1026, 1028 (9th Cir. 2000).</w:t>
      </w:r>
    </w:p>
    <w:p w14:paraId="0F0C90A9" w14:textId="77777777" w:rsidR="002B10A6" w:rsidRDefault="00000000">
      <w:pPr>
        <w:pStyle w:val="Normal30"/>
        <w:widowControl w:val="0"/>
        <w:spacing w:before="120" w:line="260" w:lineRule="atLeast"/>
      </w:pPr>
      <w:r>
        <w:rPr>
          <w:rFonts w:ascii="Arial" w:eastAsia="Arial" w:hAnsi="Arial" w:cs="Arial"/>
          <w:color w:val="000000"/>
          <w:sz w:val="20"/>
        </w:rPr>
        <w:t>I. Compliance with Section 904.4.1 of the 2010 Standards</w:t>
      </w:r>
    </w:p>
    <w:p w14:paraId="70166135" w14:textId="77777777" w:rsidR="002B10A6" w:rsidRDefault="00000000">
      <w:pPr>
        <w:pStyle w:val="Normal30"/>
        <w:widowControl w:val="0"/>
        <w:spacing w:before="200" w:line="260" w:lineRule="atLeast"/>
        <w:jc w:val="both"/>
      </w:pPr>
      <w:bookmarkStart w:id="6354" w:name="Bookmark_para_5_29"/>
      <w:bookmarkStart w:id="6355" w:name="Bookmark_I6070TB42SF8T10010000400"/>
      <w:bookmarkStart w:id="6356" w:name="Bookmark_LNHNREFclscc2_24"/>
      <w:bookmarkEnd w:id="6354"/>
      <w:bookmarkEnd w:id="6355"/>
      <w:bookmarkEnd w:id="6356"/>
      <w:r>
        <w:rPr>
          <w:rFonts w:ascii="Arial" w:eastAsia="Arial" w:hAnsi="Arial" w:cs="Arial"/>
          <w:color w:val="000000"/>
          <w:sz w:val="20"/>
        </w:rPr>
        <w:t xml:space="preserve">Section 904.4.1 of the 2010 Standards lays out the building requirements for "parallel approach" transaction counters; that is, counters that wheelchair customers must approach from a side angle because there is no knee or toe clearance underneath the counter. </w:t>
      </w:r>
      <w:r>
        <w:rPr>
          <w:rFonts w:ascii="Arial" w:eastAsia="Arial" w:hAnsi="Arial" w:cs="Arial"/>
          <w:i/>
          <w:color w:val="000000"/>
          <w:sz w:val="20"/>
        </w:rPr>
        <w:t>See, e.g.</w:t>
      </w:r>
      <w:r>
        <w:rPr>
          <w:rFonts w:ascii="Arial" w:eastAsia="Arial" w:hAnsi="Arial" w:cs="Arial"/>
          <w:color w:val="000000"/>
          <w:sz w:val="20"/>
        </w:rPr>
        <w:t xml:space="preserve">, </w:t>
      </w:r>
      <w:bookmarkStart w:id="6357" w:name="Bookmark_I6070TB22SF8SW0050000400"/>
      <w:bookmarkEnd w:id="6357"/>
      <w:r>
        <w:rPr>
          <w:rFonts w:ascii="Arial" w:eastAsia="Arial" w:hAnsi="Arial" w:cs="Arial"/>
          <w:i/>
          <w:color w:val="000000"/>
          <w:sz w:val="20"/>
        </w:rPr>
        <w:t>Crandall v. Starbucks Corp.</w:t>
      </w:r>
      <w:r>
        <w:rPr>
          <w:rFonts w:ascii="Arial" w:eastAsia="Arial" w:hAnsi="Arial" w:cs="Arial"/>
          <w:color w:val="000000"/>
          <w:sz w:val="20"/>
        </w:rPr>
        <w:t xml:space="preserve">, 249 F. Supp. 3d 1087, 1116 (N.D. Cal. 2017). Section 904.4.1 requires "[a] portion of the counter surface that is 36 inches (915 mm) long minimum and 36 inches (915 mm) high maximum above the finish floor." 36 C.F.R, Part 1191, Appendix D, § 904.4.1. Section 904.4.1 contains an exception, which provides that "[w]here the provided counter surface is less than 36 inches (915 mm) long, the entire counter surface shall be 36 inches (915 mm) high maximum above the finish floor." </w:t>
      </w:r>
      <w:r>
        <w:rPr>
          <w:rFonts w:ascii="Arial" w:eastAsia="Arial" w:hAnsi="Arial" w:cs="Arial"/>
          <w:i/>
          <w:color w:val="000000"/>
          <w:sz w:val="20"/>
        </w:rPr>
        <w:t>Id.</w:t>
      </w:r>
    </w:p>
    <w:p w14:paraId="259C28D7" w14:textId="77777777" w:rsidR="002B10A6" w:rsidRDefault="00000000">
      <w:pPr>
        <w:pStyle w:val="Normal30"/>
        <w:widowControl w:val="0"/>
        <w:spacing w:before="200" w:line="260" w:lineRule="atLeast"/>
        <w:jc w:val="both"/>
      </w:pPr>
      <w:bookmarkStart w:id="6358" w:name="Bookmark_para_6_29"/>
      <w:bookmarkEnd w:id="6358"/>
      <w:r>
        <w:rPr>
          <w:rFonts w:ascii="Arial" w:eastAsia="Arial" w:hAnsi="Arial" w:cs="Arial"/>
          <w:color w:val="000000"/>
          <w:sz w:val="20"/>
        </w:rPr>
        <w:t xml:space="preserve">Here, the parties agree that Starbucks' transaction counter is configured for a parallel approach and, as built, is at least 36 inches long and no more than 36 inches high. Kong argues that Starbucks has [**3]  nevertheless not complied with Section 904.4.1's length requirement because Starbucks has covered a portion of the transaction counter with merchandise displays, rendering the counter less than 36 inches long. </w:t>
      </w:r>
      <w:bookmarkStart w:id="6359" w:name="Bookmark_LNHNREFclscc3_24"/>
      <w:bookmarkEnd w:id="6359"/>
      <w:r>
        <w:rPr>
          <w:rFonts w:ascii="Arial" w:eastAsia="Arial" w:hAnsi="Arial" w:cs="Arial"/>
          <w:color w:val="000000"/>
          <w:sz w:val="20"/>
        </w:rPr>
        <w:t>The exception to Section 904.4.1, however, clearly contemplates counters that are less than 36 inches long when, as here, the counter is at an entirely accessible height of 36 inches or lower. Because there are circumstances under which a counter built to be less than 36 inches long complies with Section 904.4.1, we hold that Starbucks does not violate Section 904.4.1 by failing to provide 36 inches of usable counter space for disabled customers.</w:t>
      </w:r>
      <w:r>
        <w:rPr>
          <w:rFonts w:ascii="Arial" w:eastAsia="Arial" w:hAnsi="Arial" w:cs="Arial"/>
          <w:vertAlign w:val="superscript"/>
        </w:rPr>
        <w:footnoteReference w:customMarkFollows="1" w:id="273"/>
        <w:t>3</w:t>
      </w:r>
    </w:p>
    <w:p w14:paraId="72D779DF" w14:textId="77777777" w:rsidR="002B10A6" w:rsidRDefault="00000000">
      <w:pPr>
        <w:pStyle w:val="Normal30"/>
        <w:widowControl w:val="0"/>
        <w:spacing w:before="120" w:line="260" w:lineRule="atLeast"/>
      </w:pPr>
      <w:r>
        <w:rPr>
          <w:rFonts w:ascii="Arial" w:eastAsia="Arial" w:hAnsi="Arial" w:cs="Arial"/>
          <w:color w:val="000000"/>
          <w:sz w:val="20"/>
        </w:rPr>
        <w:t>II. Compliance with 28 C.F.R. § 36.211(a)</w:t>
      </w:r>
    </w:p>
    <w:p w14:paraId="4F6B61F0" w14:textId="77777777" w:rsidR="002B10A6" w:rsidRDefault="00000000">
      <w:pPr>
        <w:pStyle w:val="Normal30"/>
        <w:widowControl w:val="0"/>
        <w:spacing w:before="200" w:line="260" w:lineRule="atLeast"/>
        <w:jc w:val="both"/>
      </w:pPr>
      <w:bookmarkStart w:id="6362" w:name="Bookmark_para_7_29"/>
      <w:bookmarkStart w:id="6363" w:name="Bookmark_LNHNREFclscc5_24"/>
      <w:bookmarkEnd w:id="6362"/>
      <w:bookmarkEnd w:id="6363"/>
      <w:r>
        <w:rPr>
          <w:rFonts w:ascii="Arial" w:eastAsia="Arial" w:hAnsi="Arial" w:cs="Arial"/>
          <w:color w:val="000000"/>
          <w:sz w:val="20"/>
        </w:rPr>
        <w:t>Section 36.211(a) provides that "[a] public accommodation shall maintain in operable working condition those features of facilities and equipment that are required to be readily accessible to and usable by persons with disabilities by the Act or this part." 28 C.F.R. § 36.211(a).</w:t>
      </w:r>
    </w:p>
    <w:p w14:paraId="65990CD3" w14:textId="77777777" w:rsidR="002B10A6" w:rsidRDefault="00000000">
      <w:pPr>
        <w:pStyle w:val="Normal30"/>
        <w:widowControl w:val="0"/>
        <w:spacing w:before="200" w:line="260" w:lineRule="atLeast"/>
        <w:jc w:val="both"/>
      </w:pPr>
      <w:bookmarkStart w:id="6364" w:name="Bookmark_para_8_29"/>
      <w:bookmarkStart w:id="6365" w:name="Bookmark_I6070TB42SF8T10030000400"/>
      <w:bookmarkEnd w:id="6364"/>
      <w:bookmarkEnd w:id="6365"/>
      <w:r>
        <w:rPr>
          <w:rFonts w:ascii="Arial" w:eastAsia="Arial" w:hAnsi="Arial" w:cs="Arial"/>
          <w:color w:val="000000"/>
          <w:sz w:val="20"/>
        </w:rPr>
        <w:t xml:space="preserve">Kong asks this Court to hold, pursuant to Section 904.4.1 of the 2010 Standards and 28 C.F.R. § 36.211(a), that Starbucks is required to provide 36 inches of usable counter space for disabled customers.  [*663]  As explained in the previous section, Section 904.4.1 of the 2010 Standards expressly contemplates counters that are built to be less than 36 inches long. As a result, we do not read § 36.211(a) to [**4]  require Starbucks to "maintain" 36 inches of usable counter space. This is not a case in which defendants have failed to maintain an accessible feature clearly required by the ADA. </w:t>
      </w:r>
      <w:r>
        <w:rPr>
          <w:rFonts w:ascii="Arial" w:eastAsia="Arial" w:hAnsi="Arial" w:cs="Arial"/>
          <w:i/>
          <w:color w:val="000000"/>
          <w:sz w:val="20"/>
        </w:rPr>
        <w:t xml:space="preserve">Cf. </w:t>
      </w:r>
      <w:bookmarkStart w:id="6366" w:name="Bookmark_I6070TB42SF8T10020000400"/>
      <w:bookmarkEnd w:id="6366"/>
      <w:r>
        <w:rPr>
          <w:rFonts w:ascii="Arial" w:eastAsia="Arial" w:hAnsi="Arial" w:cs="Arial"/>
          <w:i/>
          <w:color w:val="000000"/>
          <w:sz w:val="20"/>
        </w:rPr>
        <w:t>Fortyune v. Am. Multi-Cinema, Inc.</w:t>
      </w:r>
      <w:r>
        <w:rPr>
          <w:rFonts w:ascii="Arial" w:eastAsia="Arial" w:hAnsi="Arial" w:cs="Arial"/>
          <w:color w:val="000000"/>
          <w:sz w:val="20"/>
        </w:rPr>
        <w:t xml:space="preserve">, 364 F.3d 1075, 1084 (9th Cir. 2004) (holding defendant movie theater must ensure that wheelchair accessible seats and companion seats, which are required under § 211 of the 2010 Standards, are actually available for wheelchair customers and their companions). </w:t>
      </w:r>
      <w:bookmarkStart w:id="6367" w:name="Bookmark_LNHNREFclscc6_22"/>
      <w:bookmarkEnd w:id="6367"/>
      <w:r>
        <w:rPr>
          <w:rFonts w:ascii="Arial" w:eastAsia="Arial" w:hAnsi="Arial" w:cs="Arial"/>
          <w:color w:val="000000"/>
          <w:sz w:val="20"/>
        </w:rPr>
        <w:t>In sum, the maintenance requirements cannot be more stringent than the building requirements.</w:t>
      </w:r>
    </w:p>
    <w:p w14:paraId="3B8DF649" w14:textId="77777777" w:rsidR="002B10A6" w:rsidRDefault="00000000">
      <w:pPr>
        <w:pStyle w:val="Normal30"/>
        <w:widowControl w:val="0"/>
        <w:spacing w:before="200" w:line="260" w:lineRule="atLeast"/>
        <w:jc w:val="both"/>
      </w:pPr>
      <w:bookmarkStart w:id="6368" w:name="Bookmark_para_9_29"/>
      <w:bookmarkEnd w:id="6368"/>
      <w:r>
        <w:rPr>
          <w:rFonts w:ascii="Arial" w:eastAsia="Arial" w:hAnsi="Arial" w:cs="Arial"/>
          <w:color w:val="000000"/>
          <w:sz w:val="20"/>
        </w:rPr>
        <w:t>* * *</w:t>
      </w:r>
    </w:p>
    <w:p w14:paraId="502E1D1E" w14:textId="77777777" w:rsidR="002B10A6" w:rsidRDefault="00000000">
      <w:pPr>
        <w:pStyle w:val="Normal30"/>
        <w:widowControl w:val="0"/>
        <w:spacing w:before="200" w:line="260" w:lineRule="atLeast"/>
        <w:jc w:val="both"/>
      </w:pPr>
      <w:bookmarkStart w:id="6369" w:name="Bookmark_para_10_29"/>
      <w:bookmarkEnd w:id="6369"/>
      <w:r>
        <w:rPr>
          <w:rFonts w:ascii="Arial" w:eastAsia="Arial" w:hAnsi="Arial" w:cs="Arial"/>
          <w:color w:val="000000"/>
          <w:sz w:val="20"/>
        </w:rPr>
        <w:t>We have considered Kong's remaining arguments and hold them to be without merit. For these reasons, the district court's judgment is AFFIRMED.</w:t>
      </w:r>
    </w:p>
    <w:p w14:paraId="141FF67F" w14:textId="77777777" w:rsidR="002B10A6" w:rsidRDefault="002B10A6">
      <w:pPr>
        <w:pStyle w:val="Normal30"/>
      </w:pPr>
    </w:p>
    <w:p w14:paraId="29401D83" w14:textId="520DA974" w:rsidR="002B10A6" w:rsidRDefault="00000000">
      <w:pPr>
        <w:pStyle w:val="Normal30"/>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26848" behindDoc="0" locked="0" layoutInCell="1" allowOverlap="1" wp14:anchorId="235556F4" wp14:editId="10D838F4">
                <wp:simplePos x="0" y="0"/>
                <wp:positionH relativeFrom="column">
                  <wp:posOffset>0</wp:posOffset>
                </wp:positionH>
                <wp:positionV relativeFrom="paragraph">
                  <wp:posOffset>127000</wp:posOffset>
                </wp:positionV>
                <wp:extent cx="6502400" cy="0"/>
                <wp:effectExtent l="9525" t="12700" r="12700" b="6350"/>
                <wp:wrapNone/>
                <wp:docPr id="58542591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36575C" id="Line 68"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BB8E6FC" w14:textId="77777777" w:rsidR="002B10A6" w:rsidRDefault="002B10A6">
      <w:pPr>
        <w:pStyle w:val="Normal31"/>
        <w:sectPr w:rsidR="002B10A6">
          <w:headerReference w:type="even" r:id="rId192"/>
          <w:headerReference w:type="default" r:id="rId193"/>
          <w:footerReference w:type="even" r:id="rId194"/>
          <w:footerReference w:type="default" r:id="rId195"/>
          <w:headerReference w:type="first" r:id="rId196"/>
          <w:footerReference w:type="first" r:id="rId197"/>
          <w:pgSz w:w="12240" w:h="15840"/>
          <w:pgMar w:top="840" w:right="1000" w:bottom="840" w:left="1000" w:header="400" w:footer="400" w:gutter="0"/>
          <w:cols w:space="720"/>
          <w:titlePg/>
        </w:sectPr>
      </w:pPr>
    </w:p>
    <w:p w14:paraId="1F821476" w14:textId="77777777" w:rsidR="002B10A6" w:rsidRDefault="002B10A6">
      <w:pPr>
        <w:pStyle w:val="Normal31"/>
      </w:pPr>
    </w:p>
    <w:p w14:paraId="5C57AE36" w14:textId="77777777" w:rsidR="002B10A6" w:rsidRDefault="00000000">
      <w:pPr>
        <w:pStyle w:val="Heading130"/>
        <w:keepNext w:val="0"/>
        <w:widowControl w:val="0"/>
        <w:spacing w:after="200" w:line="340" w:lineRule="atLeast"/>
        <w:jc w:val="center"/>
      </w:pPr>
      <w:r>
        <w:rPr>
          <w:rFonts w:eastAsia="Arial"/>
          <w:color w:val="000000"/>
          <w:sz w:val="28"/>
        </w:rPr>
        <w:t>Kong v. Shirazi-Fard</w:t>
      </w:r>
    </w:p>
    <w:p w14:paraId="2AC32210" w14:textId="77777777" w:rsidR="002B10A6" w:rsidRDefault="00000000">
      <w:pPr>
        <w:pStyle w:val="Normal31"/>
        <w:widowControl w:val="0"/>
        <w:spacing w:before="120" w:line="260" w:lineRule="atLeast"/>
        <w:jc w:val="center"/>
      </w:pPr>
      <w:r>
        <w:rPr>
          <w:rFonts w:ascii="Arial" w:eastAsia="Arial" w:hAnsi="Arial" w:cs="Arial"/>
          <w:color w:val="000000"/>
          <w:sz w:val="20"/>
        </w:rPr>
        <w:t>United States Court of Appeals for the Ninth Circuit</w:t>
      </w:r>
    </w:p>
    <w:p w14:paraId="1AFE8E7D" w14:textId="77777777" w:rsidR="002B10A6" w:rsidRDefault="00000000">
      <w:pPr>
        <w:pStyle w:val="Normal31"/>
        <w:widowControl w:val="0"/>
        <w:spacing w:before="120" w:line="260" w:lineRule="atLeast"/>
        <w:jc w:val="center"/>
      </w:pPr>
      <w:r>
        <w:rPr>
          <w:rFonts w:ascii="Arial" w:eastAsia="Arial" w:hAnsi="Arial" w:cs="Arial"/>
          <w:color w:val="000000"/>
          <w:sz w:val="20"/>
        </w:rPr>
        <w:t>May 4, 2020</w:t>
      </w:r>
      <w:r>
        <w:rPr>
          <w:rFonts w:ascii="Arial" w:eastAsia="Arial" w:hAnsi="Arial" w:cs="Arial"/>
          <w:vertAlign w:val="superscript"/>
        </w:rPr>
        <w:footnoteReference w:customMarkFollows="1" w:id="274"/>
        <w:t>**</w:t>
      </w:r>
      <w:r>
        <w:rPr>
          <w:rFonts w:ascii="Arial" w:eastAsia="Arial" w:hAnsi="Arial" w:cs="Arial"/>
          <w:color w:val="000000"/>
          <w:sz w:val="20"/>
        </w:rPr>
        <w:t>, Submitted Pasadena, California; June 1, 2020, Filed</w:t>
      </w:r>
    </w:p>
    <w:p w14:paraId="32AD209C" w14:textId="77777777" w:rsidR="002B10A6" w:rsidRDefault="00000000">
      <w:pPr>
        <w:pStyle w:val="Normal31"/>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19-55465</w:t>
      </w:r>
    </w:p>
    <w:p w14:paraId="36C8DA49" w14:textId="77777777" w:rsidR="002B10A6" w:rsidRDefault="002B10A6">
      <w:pPr>
        <w:pStyle w:val="Normal31"/>
        <w:widowControl w:val="0"/>
        <w:spacing w:line="240" w:lineRule="atLeast"/>
        <w:jc w:val="both"/>
      </w:pPr>
      <w:bookmarkStart w:id="6371" w:name="Bookmark_32"/>
      <w:bookmarkEnd w:id="6371"/>
    </w:p>
    <w:p w14:paraId="526B05A6" w14:textId="77777777" w:rsidR="002B10A6" w:rsidRDefault="00000000">
      <w:pPr>
        <w:pStyle w:val="Normal31"/>
        <w:widowControl w:val="0"/>
        <w:spacing w:before="200" w:line="240" w:lineRule="atLeast"/>
      </w:pPr>
      <w:bookmarkStart w:id="6372" w:name="Reporter_30"/>
      <w:bookmarkEnd w:id="6372"/>
      <w:r>
        <w:rPr>
          <w:rFonts w:ascii="Arial" w:eastAsia="Arial" w:hAnsi="Arial" w:cs="Arial"/>
          <w:b/>
          <w:color w:val="000000"/>
          <w:sz w:val="18"/>
        </w:rPr>
        <w:t>Reporter</w:t>
      </w:r>
    </w:p>
    <w:p w14:paraId="6EC4970E" w14:textId="77777777" w:rsidR="002B10A6" w:rsidRDefault="00000000">
      <w:pPr>
        <w:pStyle w:val="Normal31"/>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807 Fed. Appx. 692 *; 2020 U.S. App. LEXIS 17238 **; 2020 WL 2844495</w:t>
      </w:r>
    </w:p>
    <w:p w14:paraId="06E3E78E" w14:textId="77777777" w:rsidR="002B10A6" w:rsidRDefault="00000000">
      <w:pPr>
        <w:pStyle w:val="Normal31"/>
        <w:widowControl w:val="0"/>
        <w:spacing w:before="120" w:line="260" w:lineRule="atLeast"/>
      </w:pPr>
      <w:r>
        <w:rPr>
          <w:rFonts w:ascii="Arial" w:eastAsia="Arial" w:hAnsi="Arial" w:cs="Arial"/>
          <w:color w:val="000000"/>
          <w:sz w:val="20"/>
        </w:rPr>
        <w:t>NEHEMIAH KONG, Plaintiff-Appellant, v. SHAMSI SHIRAZI-FARD, in individual and representative capacity as trustee of the Shamsi-Fard Trust dated February 25, 1977; MICHAEL CHRISTOFORAKIS, Defendants-Appellees, and VESTAKIS, VESTAKIS AND CHRISTOFORAKIS, a General Partnership; DOES, 1-10, Defendants.</w:t>
      </w:r>
    </w:p>
    <w:p w14:paraId="7036E29D" w14:textId="77777777" w:rsidR="002B10A6" w:rsidRDefault="00000000">
      <w:pPr>
        <w:pStyle w:val="Normal31"/>
        <w:widowControl w:val="0"/>
        <w:spacing w:before="240" w:line="260" w:lineRule="atLeast"/>
        <w:jc w:val="both"/>
      </w:pPr>
      <w:bookmarkStart w:id="6373" w:name="Notice_10"/>
      <w:bookmarkEnd w:id="6373"/>
      <w:r>
        <w:rPr>
          <w:rFonts w:ascii="Arial" w:eastAsia="Arial" w:hAnsi="Arial" w:cs="Arial"/>
          <w:b/>
          <w:color w:val="000000"/>
          <w:sz w:val="20"/>
        </w:rPr>
        <w:t>Notice:</w:t>
      </w:r>
      <w:r>
        <w:rPr>
          <w:rFonts w:ascii="Arial" w:eastAsia="Arial" w:hAnsi="Arial" w:cs="Arial"/>
          <w:color w:val="000000"/>
          <w:sz w:val="20"/>
        </w:rPr>
        <w:t> </w:t>
      </w:r>
      <w:bookmarkStart w:id="6374" w:name="Bookmark_para_1_30"/>
      <w:bookmarkEnd w:id="6374"/>
      <w:r>
        <w:rPr>
          <w:rFonts w:ascii="Arial" w:eastAsia="Arial" w:hAnsi="Arial" w:cs="Arial"/>
          <w:color w:val="000000"/>
          <w:sz w:val="20"/>
        </w:rPr>
        <w:t>PLEASE REFER TO FEDERAL RULES OF APPELLATE PROCEDURE RULE 32.1 GOVERNING THE CITATION TO UNPUBLISHED OPINIONS.</w:t>
      </w:r>
    </w:p>
    <w:p w14:paraId="04A08B70" w14:textId="77777777" w:rsidR="002B10A6" w:rsidRDefault="00000000">
      <w:pPr>
        <w:pStyle w:val="Normal31"/>
        <w:widowControl w:val="0"/>
        <w:spacing w:before="240" w:line="260" w:lineRule="atLeast"/>
      </w:pPr>
      <w:bookmarkStart w:id="6375" w:name="Subsequent_History_11"/>
      <w:bookmarkEnd w:id="6375"/>
      <w:r>
        <w:rPr>
          <w:rFonts w:ascii="Arial" w:eastAsia="Arial" w:hAnsi="Arial" w:cs="Arial"/>
          <w:b/>
          <w:color w:val="000000"/>
          <w:sz w:val="20"/>
        </w:rPr>
        <w:t>Subsequent History:</w:t>
      </w:r>
      <w:r>
        <w:rPr>
          <w:rFonts w:ascii="Arial" w:eastAsia="Arial" w:hAnsi="Arial" w:cs="Arial"/>
          <w:color w:val="000000"/>
          <w:sz w:val="20"/>
        </w:rPr>
        <w:t> Rehearing granted by Nehemiah Kong v. Shirazi-Fard, 814 Fed. Appx. 292, 2020 U.S. App. LEXIS 22196 (9th Cir. Cal., July 16, 2020)</w:t>
      </w:r>
    </w:p>
    <w:p w14:paraId="1E11F878" w14:textId="77777777" w:rsidR="002B10A6" w:rsidRDefault="00000000">
      <w:pPr>
        <w:pStyle w:val="Normal31"/>
        <w:widowControl w:val="0"/>
        <w:spacing w:before="120" w:line="260" w:lineRule="atLeast"/>
      </w:pPr>
      <w:r>
        <w:rPr>
          <w:rFonts w:ascii="Arial" w:eastAsia="Arial" w:hAnsi="Arial" w:cs="Arial"/>
          <w:color w:val="000000"/>
          <w:sz w:val="20"/>
        </w:rPr>
        <w:t>Reprinted as amended at, On rehearing at, Remanded by Kong v. Shirazi-Fard, 814 Fed. Appx. 292, 2020 U.S. App. LEXIS 22214 (9th Cir. Cal., July 16, 2020)</w:t>
      </w:r>
    </w:p>
    <w:p w14:paraId="3275D096" w14:textId="77777777" w:rsidR="002B10A6" w:rsidRDefault="00000000">
      <w:pPr>
        <w:pStyle w:val="Normal31"/>
        <w:widowControl w:val="0"/>
        <w:spacing w:before="240" w:line="260" w:lineRule="atLeast"/>
        <w:jc w:val="both"/>
      </w:pPr>
      <w:bookmarkStart w:id="6376" w:name="Prior_History_30"/>
      <w:bookmarkEnd w:id="6376"/>
      <w:r>
        <w:rPr>
          <w:rFonts w:ascii="Arial" w:eastAsia="Arial" w:hAnsi="Arial" w:cs="Arial"/>
          <w:b/>
          <w:color w:val="000000"/>
          <w:sz w:val="20"/>
        </w:rPr>
        <w:t>Prior History:</w:t>
      </w:r>
      <w:r>
        <w:rPr>
          <w:rFonts w:ascii="Arial" w:eastAsia="Arial" w:hAnsi="Arial" w:cs="Arial"/>
          <w:color w:val="000000"/>
          <w:sz w:val="20"/>
        </w:rPr>
        <w:t> </w:t>
      </w:r>
      <w:bookmarkStart w:id="6377" w:name="Bookmark_para_2_30"/>
      <w:bookmarkEnd w:id="6377"/>
      <w:r>
        <w:rPr>
          <w:rFonts w:ascii="Arial" w:eastAsia="Arial" w:hAnsi="Arial" w:cs="Arial"/>
          <w:color w:val="000000"/>
          <w:sz w:val="20"/>
        </w:rPr>
        <w:t> [**1] Appeal from the United States District Court for the Central District of California. John F. Walter, District Judge, Presiding. D.C. No. 2:18-CV-02933-JFW-FFM.</w:t>
      </w:r>
    </w:p>
    <w:p w14:paraId="6CCFDEC9" w14:textId="77777777" w:rsidR="002B10A6" w:rsidRDefault="00000000">
      <w:pPr>
        <w:pStyle w:val="Normal31"/>
        <w:widowControl w:val="0"/>
        <w:spacing w:before="120" w:line="260" w:lineRule="atLeast"/>
      </w:pPr>
      <w:r>
        <w:rPr>
          <w:rFonts w:ascii="Arial" w:eastAsia="Arial" w:hAnsi="Arial" w:cs="Arial"/>
          <w:color w:val="000000"/>
          <w:sz w:val="20"/>
        </w:rPr>
        <w:t>Kong v. Shirazi-Fard, 2019 U.S. Dist. LEXIS 231437 (C.D. Cal., Apr. 22, 2019)</w:t>
      </w:r>
    </w:p>
    <w:p w14:paraId="7DA2AC1E" w14:textId="77777777" w:rsidR="002B10A6" w:rsidRDefault="00000000">
      <w:pPr>
        <w:pStyle w:val="Normal31"/>
        <w:widowControl w:val="0"/>
        <w:spacing w:before="240" w:line="260" w:lineRule="atLeast"/>
      </w:pPr>
      <w:bookmarkStart w:id="6378" w:name="Counsel_30"/>
      <w:bookmarkEnd w:id="6378"/>
      <w:r>
        <w:rPr>
          <w:rFonts w:ascii="Arial" w:eastAsia="Arial" w:hAnsi="Arial" w:cs="Arial"/>
          <w:b/>
          <w:color w:val="000000"/>
          <w:sz w:val="20"/>
        </w:rPr>
        <w:t>Counsel:</w:t>
      </w:r>
      <w:r>
        <w:rPr>
          <w:rFonts w:ascii="Arial" w:eastAsia="Arial" w:hAnsi="Arial" w:cs="Arial"/>
          <w:color w:val="000000"/>
          <w:sz w:val="20"/>
        </w:rPr>
        <w:t> For Nehemiah Kong, Plaintiff - Appellant: Russell Clive Handy, Esquire, Potter Handy LLP, San Diego, CA.</w:t>
      </w:r>
    </w:p>
    <w:p w14:paraId="64B1F8B3" w14:textId="77777777" w:rsidR="002B10A6" w:rsidRDefault="00000000">
      <w:pPr>
        <w:pStyle w:val="Normal31"/>
        <w:widowControl w:val="0"/>
        <w:spacing w:before="120" w:line="260" w:lineRule="atLeast"/>
      </w:pPr>
      <w:r>
        <w:rPr>
          <w:rFonts w:ascii="Arial" w:eastAsia="Arial" w:hAnsi="Arial" w:cs="Arial"/>
          <w:color w:val="000000"/>
          <w:sz w:val="20"/>
        </w:rPr>
        <w:t>For SHAMSI SHIRAZI-FARD, in individual and representative capacity as trustee of the Shamsi-Fard Trust dated February 25, 1977, VESTAKIS, VESTAKIS AND CHRISTOFORAKIS, a General Partnership, Defendant - Appellee: Stephen Edward Abraham, Attorney, Lewis Brisbois Bisgaard and Smith LLP, Los Angeles, CA.</w:t>
      </w:r>
    </w:p>
    <w:p w14:paraId="1A9EEA55" w14:textId="77777777" w:rsidR="002B10A6" w:rsidRDefault="00000000">
      <w:pPr>
        <w:pStyle w:val="Normal31"/>
        <w:widowControl w:val="0"/>
        <w:spacing w:before="240" w:line="260" w:lineRule="atLeast"/>
      </w:pPr>
      <w:bookmarkStart w:id="6379" w:name="Judges_30"/>
      <w:bookmarkEnd w:id="6379"/>
      <w:r>
        <w:rPr>
          <w:rFonts w:ascii="Arial" w:eastAsia="Arial" w:hAnsi="Arial" w:cs="Arial"/>
          <w:b/>
          <w:color w:val="000000"/>
          <w:sz w:val="20"/>
        </w:rPr>
        <w:t>Judges:</w:t>
      </w:r>
      <w:r>
        <w:rPr>
          <w:rFonts w:ascii="Arial" w:eastAsia="Arial" w:hAnsi="Arial" w:cs="Arial"/>
          <w:color w:val="000000"/>
          <w:sz w:val="20"/>
        </w:rPr>
        <w:t> Before: OWENS and BADE, Circuit Judges, and MOSKOWITZ,</w:t>
      </w:r>
      <w:r>
        <w:rPr>
          <w:rFonts w:ascii="Arial" w:eastAsia="Arial" w:hAnsi="Arial" w:cs="Arial"/>
          <w:vertAlign w:val="superscript"/>
        </w:rPr>
        <w:footnoteReference w:customMarkFollows="1" w:id="275"/>
        <w:t>***</w:t>
      </w:r>
      <w:r>
        <w:rPr>
          <w:rFonts w:ascii="Arial" w:eastAsia="Arial" w:hAnsi="Arial" w:cs="Arial"/>
          <w:color w:val="000000"/>
          <w:sz w:val="20"/>
        </w:rPr>
        <w:t xml:space="preserve"> District Judge.</w:t>
      </w:r>
    </w:p>
    <w:p w14:paraId="5D9089A8" w14:textId="77777777" w:rsidR="002B10A6" w:rsidRDefault="00000000">
      <w:pPr>
        <w:pStyle w:val="Normal31"/>
        <w:keepNext/>
        <w:widowControl w:val="0"/>
        <w:spacing w:before="240" w:line="340" w:lineRule="atLeast"/>
      </w:pPr>
      <w:bookmarkStart w:id="6381" w:name="Opinion_30"/>
      <w:bookmarkEnd w:id="6381"/>
      <w:r>
        <w:rPr>
          <w:rFonts w:ascii="Arial" w:eastAsia="Arial" w:hAnsi="Arial" w:cs="Arial"/>
          <w:b/>
          <w:color w:val="000000"/>
          <w:sz w:val="28"/>
        </w:rPr>
        <w:t>Opinion</w:t>
      </w:r>
    </w:p>
    <w:p w14:paraId="0CFDD683" w14:textId="1F55F051" w:rsidR="002B10A6" w:rsidRDefault="002D6974">
      <w:pPr>
        <w:pStyle w:val="Normal31"/>
        <w:spacing w:line="60" w:lineRule="exact"/>
      </w:pPr>
      <w:r>
        <w:rPr>
          <w:noProof/>
        </w:rPr>
        <mc:AlternateContent>
          <mc:Choice Requires="wps">
            <w:drawing>
              <wp:anchor distT="0" distB="0" distL="114300" distR="114300" simplePos="0" relativeHeight="251727872" behindDoc="0" locked="0" layoutInCell="1" allowOverlap="1" wp14:anchorId="1BF595AD" wp14:editId="6FAEC8B0">
                <wp:simplePos x="0" y="0"/>
                <wp:positionH relativeFrom="column">
                  <wp:posOffset>0</wp:posOffset>
                </wp:positionH>
                <wp:positionV relativeFrom="paragraph">
                  <wp:posOffset>25400</wp:posOffset>
                </wp:positionV>
                <wp:extent cx="3187700" cy="0"/>
                <wp:effectExtent l="19050" t="15875" r="12700" b="12700"/>
                <wp:wrapTopAndBottom/>
                <wp:docPr id="1936087538"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383A6" id="Line 69"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11B2953" w14:textId="77777777" w:rsidR="002B10A6" w:rsidRDefault="002B10A6">
      <w:pPr>
        <w:pStyle w:val="Normal31"/>
        <w:spacing w:line="120" w:lineRule="exact"/>
      </w:pPr>
    </w:p>
    <w:p w14:paraId="0A0CFE71" w14:textId="77777777" w:rsidR="002B10A6" w:rsidRDefault="00000000">
      <w:pPr>
        <w:pStyle w:val="Normal31"/>
        <w:widowControl w:val="0"/>
        <w:spacing w:before="240" w:line="260" w:lineRule="atLeast"/>
      </w:pPr>
      <w:r>
        <w:br/>
      </w:r>
      <w:r>
        <w:rPr>
          <w:rFonts w:ascii="Arial" w:eastAsia="Arial" w:hAnsi="Arial" w:cs="Arial"/>
          <w:color w:val="000000"/>
          <w:sz w:val="20"/>
        </w:rPr>
        <w:t> [*692]  MEMORANDUM</w:t>
      </w:r>
      <w:r>
        <w:rPr>
          <w:rFonts w:ascii="Arial" w:eastAsia="Arial" w:hAnsi="Arial" w:cs="Arial"/>
          <w:vertAlign w:val="superscript"/>
        </w:rPr>
        <w:footnoteReference w:customMarkFollows="1" w:id="276"/>
        <w:t>*</w:t>
      </w:r>
    </w:p>
    <w:p w14:paraId="2F89EBC0" w14:textId="77777777" w:rsidR="002B10A6" w:rsidRDefault="00000000">
      <w:pPr>
        <w:pStyle w:val="Normal31"/>
        <w:widowControl w:val="0"/>
        <w:spacing w:before="200" w:line="260" w:lineRule="atLeast"/>
        <w:jc w:val="both"/>
      </w:pPr>
      <w:bookmarkStart w:id="6383" w:name="Bookmark_para_3_30"/>
      <w:bookmarkEnd w:id="6383"/>
      <w:r>
        <w:rPr>
          <w:rFonts w:ascii="Arial" w:eastAsia="Arial" w:hAnsi="Arial" w:cs="Arial"/>
          <w:color w:val="000000"/>
          <w:sz w:val="20"/>
        </w:rPr>
        <w:t xml:space="preserve">Nehemiah Kong, an individual with a disability, sued Appellees Shamsi Shirazi-Fard and Michael Christoforakis under the Americans with Disabilities Act ("ADA"), 42 U.S.C. § 12101 </w:t>
      </w:r>
      <w:r>
        <w:rPr>
          <w:rFonts w:ascii="Arial" w:eastAsia="Arial" w:hAnsi="Arial" w:cs="Arial"/>
          <w:i/>
          <w:color w:val="000000"/>
          <w:sz w:val="20"/>
        </w:rPr>
        <w:t>et seq.</w:t>
      </w:r>
      <w:r>
        <w:rPr>
          <w:rFonts w:ascii="Arial" w:eastAsia="Arial" w:hAnsi="Arial" w:cs="Arial"/>
          <w:color w:val="000000"/>
          <w:sz w:val="20"/>
        </w:rPr>
        <w:t>, alleging twenty-one architectural features at the restaurant Mike's Classic Burgers ("Mike's") that rendered Mike's inaccessible for a disabled person. Architectural standards for public accommodations like Mike's are set forth in the ADA Standards for Accessible Design, 28 C.F.R. pt. 36, app. D; 36 C.F.R. pt. 1191, apps. B, D; 28 C.F.R. § 36.104. As an "existing facilit[y]," Mike's must comply with these standards to the extent that they are "readily [**2]  achievable." 42 U.S.C. § 12182(b)(2)(A)(iv); 28 C.F.R. § 36.304(a). Appellees remedied nearly every ADA-noncompliant feature identified in Kong's complaint. This appeal concerns the remaining one: Mike's front entrance.</w:t>
      </w:r>
    </w:p>
    <w:p w14:paraId="5925FAA7" w14:textId="77777777" w:rsidR="002B10A6" w:rsidRDefault="00000000">
      <w:pPr>
        <w:pStyle w:val="Normal31"/>
        <w:widowControl w:val="0"/>
        <w:spacing w:before="200" w:line="260" w:lineRule="atLeast"/>
        <w:jc w:val="both"/>
      </w:pPr>
      <w:bookmarkStart w:id="6384" w:name="Bookmark_para_4_30"/>
      <w:bookmarkEnd w:id="6384"/>
      <w:r>
        <w:rPr>
          <w:rFonts w:ascii="Arial" w:eastAsia="Arial" w:hAnsi="Arial" w:cs="Arial"/>
          <w:color w:val="000000"/>
          <w:sz w:val="20"/>
        </w:rPr>
        <w:t xml:space="preserve">Mike's has two public entrances: one in the front and one on the west side of the building. Kong's complaint identified with specificity how each entrance was deficient under the ADA. Second Amended Complaint ¶¶ 21c, o—q. But after Appellees brought the side entrance into compliance, they moved for summary judgment, arguing that Kong had only sought a means of entering the restaurant, not two accessible entrances. The district court agreed and reasoned that Kong's complaint did not give Appellees fair notice that he wanted both entrances ADA-compliant. The court entered summary judgment for Appellees and against Kong. It also declined supplemental jurisdiction over Kong's companion state law claim for violation of the Unruh Civil Rights Act, Cal. Civ. Code § 51 </w:t>
      </w:r>
      <w:r>
        <w:rPr>
          <w:rFonts w:ascii="Arial" w:eastAsia="Arial" w:hAnsi="Arial" w:cs="Arial"/>
          <w:i/>
          <w:color w:val="000000"/>
          <w:sz w:val="20"/>
        </w:rPr>
        <w:t>et seq.</w:t>
      </w:r>
      <w:r>
        <w:rPr>
          <w:rFonts w:ascii="Arial" w:eastAsia="Arial" w:hAnsi="Arial" w:cs="Arial"/>
          <w:color w:val="000000"/>
          <w:sz w:val="20"/>
        </w:rPr>
        <w:t xml:space="preserve">  [*693]  Kong appeals these rulings. We vacate and remand for proceedings consistent with this disposition.</w:t>
      </w:r>
    </w:p>
    <w:p w14:paraId="210DCF52" w14:textId="77777777" w:rsidR="002B10A6" w:rsidRDefault="00000000">
      <w:pPr>
        <w:pStyle w:val="Normal31"/>
        <w:widowControl w:val="0"/>
        <w:spacing w:before="200" w:line="260" w:lineRule="atLeast"/>
        <w:jc w:val="both"/>
      </w:pPr>
      <w:bookmarkStart w:id="6385" w:name="Bookmark_para_5_30"/>
      <w:bookmarkStart w:id="6386" w:name="Bookmark_I602RCFW2N1R4F0020000400"/>
      <w:bookmarkEnd w:id="6385"/>
      <w:bookmarkEnd w:id="6386"/>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a district court's order on summary judgment and its determination of whether a complaint provides fair notice. </w:t>
      </w:r>
      <w:bookmarkStart w:id="6387" w:name="Bookmark_I602RCFW2N1R4F0040000400"/>
      <w:bookmarkStart w:id="6388" w:name="Bookmark_I602RCFW2N1R4F0010000400"/>
      <w:bookmarkEnd w:id="6387"/>
      <w:bookmarkEnd w:id="6388"/>
      <w:r>
        <w:rPr>
          <w:rFonts w:ascii="Arial" w:eastAsia="Arial" w:hAnsi="Arial" w:cs="Arial"/>
          <w:i/>
          <w:color w:val="000000"/>
          <w:sz w:val="20"/>
        </w:rPr>
        <w:t>Pickern v. Pier 1 Imports (U.S.), Inc.</w:t>
      </w:r>
      <w:r>
        <w:rPr>
          <w:rFonts w:ascii="Arial" w:eastAsia="Arial" w:hAnsi="Arial" w:cs="Arial"/>
          <w:color w:val="000000"/>
          <w:sz w:val="20"/>
        </w:rPr>
        <w:t xml:space="preserve">, 457 F.3d 963, 966, 968 (9th Cir. 2006) (citations omitted). The decision [**3]  to decline supplemental jurisdiction is reviewed for abuse of discretion. </w:t>
      </w:r>
      <w:bookmarkStart w:id="6389" w:name="Bookmark_I602RCFW2N1R4F0040000400_2"/>
      <w:bookmarkStart w:id="6390" w:name="Bookmark_I602RCFW2N1R4F0030000400"/>
      <w:bookmarkEnd w:id="6389"/>
      <w:bookmarkEnd w:id="6390"/>
      <w:r>
        <w:rPr>
          <w:rFonts w:ascii="Arial" w:eastAsia="Arial" w:hAnsi="Arial" w:cs="Arial"/>
          <w:i/>
          <w:color w:val="000000"/>
          <w:sz w:val="20"/>
        </w:rPr>
        <w:t>Binder v. Gillespie</w:t>
      </w:r>
      <w:r>
        <w:rPr>
          <w:rFonts w:ascii="Arial" w:eastAsia="Arial" w:hAnsi="Arial" w:cs="Arial"/>
          <w:color w:val="000000"/>
          <w:sz w:val="20"/>
        </w:rPr>
        <w:t>, 184 F.3d 1059, 1066 (9th Cir. 1999).</w:t>
      </w:r>
    </w:p>
    <w:p w14:paraId="29D73523" w14:textId="77777777" w:rsidR="002B10A6" w:rsidRDefault="00000000">
      <w:pPr>
        <w:pStyle w:val="Normal31"/>
        <w:widowControl w:val="0"/>
        <w:spacing w:before="200" w:line="260" w:lineRule="atLeast"/>
        <w:jc w:val="both"/>
      </w:pPr>
      <w:bookmarkStart w:id="6391" w:name="Bookmark_para_6_30"/>
      <w:bookmarkStart w:id="6392" w:name="Bookmark_I602RCFY2N1R4S0010000400"/>
      <w:bookmarkStart w:id="6393" w:name="Bookmark_I602RCFY2N1R4S0030000400"/>
      <w:bookmarkEnd w:id="6391"/>
      <w:bookmarkEnd w:id="6392"/>
      <w:bookmarkEnd w:id="6393"/>
      <w:r>
        <w:rPr>
          <w:rFonts w:ascii="Arial" w:eastAsia="Arial" w:hAnsi="Arial" w:cs="Arial"/>
          <w:color w:val="000000"/>
          <w:sz w:val="20"/>
        </w:rPr>
        <w:t xml:space="preserve">A complaint must contain "a short and plain statement of the claim showing that the pleader is entitled to relief," Fed. R. Civ. P. 8(a)(2), and "give the defendant fair notice of what the . . . claim is and the grounds upon which it rests," </w:t>
      </w:r>
      <w:bookmarkStart w:id="6394" w:name="Bookmark_I602RCFW2N1R4F0050000400"/>
      <w:bookmarkEnd w:id="6394"/>
      <w:r>
        <w:rPr>
          <w:rFonts w:ascii="Arial" w:eastAsia="Arial" w:hAnsi="Arial" w:cs="Arial"/>
          <w:i/>
          <w:color w:val="000000"/>
          <w:sz w:val="20"/>
        </w:rPr>
        <w:t>Bell Atl. Corp. v. Twombly</w:t>
      </w:r>
      <w:r>
        <w:rPr>
          <w:rFonts w:ascii="Arial" w:eastAsia="Arial" w:hAnsi="Arial" w:cs="Arial"/>
          <w:color w:val="000000"/>
          <w:sz w:val="20"/>
        </w:rPr>
        <w:t xml:space="preserve">, 550 U.S. 544, 555, 127 S. Ct. 1955, 167 L. Ed. 2d 929 (2007) (alteration in original) (citation omitted). A heightened pleading standard may be imposed only by legislative directive, not by judicial interpretation. </w:t>
      </w:r>
      <w:bookmarkStart w:id="6395" w:name="Bookmark_I602RCFY2N1R4S0020000400"/>
      <w:bookmarkEnd w:id="6395"/>
      <w:r>
        <w:rPr>
          <w:rFonts w:ascii="Arial" w:eastAsia="Arial" w:hAnsi="Arial" w:cs="Arial"/>
          <w:i/>
          <w:color w:val="000000"/>
          <w:sz w:val="20"/>
        </w:rPr>
        <w:t>Swierkiewicz v. Sorema N. A</w:t>
      </w:r>
      <w:r>
        <w:rPr>
          <w:rFonts w:ascii="Arial" w:eastAsia="Arial" w:hAnsi="Arial" w:cs="Arial"/>
          <w:color w:val="000000"/>
          <w:sz w:val="20"/>
        </w:rPr>
        <w:t>., 534 U.S. 506, 515, 122 S. Ct. 992, 152 L. Ed. 2d 1 (2002). The Federal Rules of Civil Procedure do not impose a heightened pleading standard for ADA cases and no Ninth Circuit opinion may be read to do so.</w:t>
      </w:r>
    </w:p>
    <w:p w14:paraId="401E49F8" w14:textId="77777777" w:rsidR="002B10A6" w:rsidRDefault="00000000">
      <w:pPr>
        <w:pStyle w:val="Normal31"/>
        <w:widowControl w:val="0"/>
        <w:spacing w:before="200" w:line="260" w:lineRule="atLeast"/>
        <w:jc w:val="both"/>
      </w:pPr>
      <w:bookmarkStart w:id="6396" w:name="Bookmark_para_7_30"/>
      <w:bookmarkStart w:id="6397" w:name="Bookmark_I602RCFY2N1R4S0050000400"/>
      <w:bookmarkStart w:id="6398" w:name="Bookmark_I602RCG02SF8300020000400"/>
      <w:bookmarkEnd w:id="6396"/>
      <w:bookmarkEnd w:id="6397"/>
      <w:bookmarkEnd w:id="6398"/>
      <w:r>
        <w:rPr>
          <w:rFonts w:ascii="Arial" w:eastAsia="Arial" w:hAnsi="Arial" w:cs="Arial"/>
          <w:color w:val="000000"/>
          <w:sz w:val="20"/>
        </w:rPr>
        <w:t xml:space="preserve">Kong provided specific "disclosures of barriers in a properly pleaded complaint" and thus gave Appellees fair notice under Rule 8. </w:t>
      </w:r>
      <w:bookmarkStart w:id="6399" w:name="Bookmark_I602RCG02SF8300040000400"/>
      <w:bookmarkStart w:id="6400" w:name="Bookmark_I602RCFY2N1R4S0040000400"/>
      <w:bookmarkEnd w:id="6399"/>
      <w:bookmarkEnd w:id="6400"/>
      <w:r>
        <w:rPr>
          <w:rFonts w:ascii="Arial" w:eastAsia="Arial" w:hAnsi="Arial" w:cs="Arial"/>
          <w:i/>
          <w:color w:val="000000"/>
          <w:sz w:val="20"/>
        </w:rPr>
        <w:t>Oliver v. Ralphs Grocery Co.</w:t>
      </w:r>
      <w:r>
        <w:rPr>
          <w:rFonts w:ascii="Arial" w:eastAsia="Arial" w:hAnsi="Arial" w:cs="Arial"/>
          <w:color w:val="000000"/>
          <w:sz w:val="20"/>
        </w:rPr>
        <w:t xml:space="preserve">, 654 F.3d 903, 909 (9th Cir. 2011). </w:t>
      </w:r>
      <w:bookmarkStart w:id="6401" w:name="Bookmark_I602RCG028T4WD0030000400"/>
      <w:bookmarkEnd w:id="6401"/>
      <w:r>
        <w:rPr>
          <w:rFonts w:ascii="Arial" w:eastAsia="Arial" w:hAnsi="Arial" w:cs="Arial"/>
          <w:color w:val="000000"/>
          <w:sz w:val="20"/>
        </w:rPr>
        <w:t xml:space="preserve">Though "[s]pecific facts are not necessary," </w:t>
      </w:r>
      <w:bookmarkStart w:id="6402" w:name="Bookmark_I602RCG02SF8300010000400"/>
      <w:bookmarkEnd w:id="6402"/>
      <w:r>
        <w:rPr>
          <w:rFonts w:ascii="Arial" w:eastAsia="Arial" w:hAnsi="Arial" w:cs="Arial"/>
          <w:i/>
          <w:color w:val="000000"/>
          <w:sz w:val="20"/>
        </w:rPr>
        <w:t>Skaff v. Meridien N. Am. Beverly Hills, LLC</w:t>
      </w:r>
      <w:r>
        <w:rPr>
          <w:rFonts w:ascii="Arial" w:eastAsia="Arial" w:hAnsi="Arial" w:cs="Arial"/>
          <w:color w:val="000000"/>
          <w:sz w:val="20"/>
        </w:rPr>
        <w:t xml:space="preserve">, 506 F.3d 832, 841 (9th Cir. 2007) (per curiam) (citation omitted), Kong's complaint details every inadequacy in the two entrances with precise measurements. </w:t>
      </w:r>
      <w:bookmarkStart w:id="6403" w:name="Bookmark_I602RCG028T4WD0030000400_2"/>
      <w:bookmarkStart w:id="6404" w:name="Bookmark_I602RCG02SF8300040000400_2"/>
      <w:bookmarkEnd w:id="6403"/>
      <w:bookmarkEnd w:id="6404"/>
      <w:r>
        <w:rPr>
          <w:rFonts w:ascii="Arial" w:eastAsia="Arial" w:hAnsi="Arial" w:cs="Arial"/>
          <w:color w:val="000000"/>
          <w:sz w:val="20"/>
        </w:rPr>
        <w:t xml:space="preserve">This meets the requirement to identify "the allegedly non-compliant architectural features at the facility." </w:t>
      </w:r>
      <w:bookmarkStart w:id="6405" w:name="Bookmark_I602RCG02SF8300030000400"/>
      <w:bookmarkEnd w:id="6405"/>
      <w:r>
        <w:rPr>
          <w:rFonts w:ascii="Arial" w:eastAsia="Arial" w:hAnsi="Arial" w:cs="Arial"/>
          <w:i/>
          <w:color w:val="000000"/>
          <w:sz w:val="20"/>
        </w:rPr>
        <w:t>Oliver</w:t>
      </w:r>
      <w:r>
        <w:rPr>
          <w:rFonts w:ascii="Arial" w:eastAsia="Arial" w:hAnsi="Arial" w:cs="Arial"/>
          <w:color w:val="000000"/>
          <w:sz w:val="20"/>
        </w:rPr>
        <w:t xml:space="preserve">, 654 F.3d at 908 (citing </w:t>
      </w:r>
      <w:bookmarkStart w:id="6406" w:name="Bookmark_I602RCG02SF8300050000400"/>
      <w:bookmarkEnd w:id="6406"/>
      <w:r>
        <w:rPr>
          <w:rFonts w:ascii="Arial" w:eastAsia="Arial" w:hAnsi="Arial" w:cs="Arial"/>
          <w:i/>
          <w:color w:val="000000"/>
          <w:sz w:val="20"/>
        </w:rPr>
        <w:t>Pickern</w:t>
      </w:r>
      <w:r>
        <w:rPr>
          <w:rFonts w:ascii="Arial" w:eastAsia="Arial" w:hAnsi="Arial" w:cs="Arial"/>
          <w:color w:val="000000"/>
          <w:sz w:val="20"/>
        </w:rPr>
        <w:t xml:space="preserve">, 457 F.3d at 968). Kong did not plead ADA violations hypothetically, </w:t>
      </w:r>
      <w:bookmarkStart w:id="6407" w:name="Bookmark_I602RCG028T4WD0020000400"/>
      <w:bookmarkEnd w:id="6407"/>
      <w:r>
        <w:rPr>
          <w:rFonts w:ascii="Arial" w:eastAsia="Arial" w:hAnsi="Arial" w:cs="Arial"/>
          <w:i/>
          <w:color w:val="000000"/>
          <w:sz w:val="20"/>
        </w:rPr>
        <w:t>Pickern</w:t>
      </w:r>
      <w:r>
        <w:rPr>
          <w:rFonts w:ascii="Arial" w:eastAsia="Arial" w:hAnsi="Arial" w:cs="Arial"/>
          <w:color w:val="000000"/>
          <w:sz w:val="20"/>
        </w:rPr>
        <w:t xml:space="preserve">, 457 F.3d at 968-69, nor did he raise a wholly new legal theory at summary judgment, </w:t>
      </w:r>
      <w:bookmarkStart w:id="6408" w:name="Bookmark_I602RCG028T4WD0040000400"/>
      <w:bookmarkEnd w:id="6408"/>
      <w:r>
        <w:rPr>
          <w:rFonts w:ascii="Arial" w:eastAsia="Arial" w:hAnsi="Arial" w:cs="Arial"/>
          <w:i/>
          <w:color w:val="000000"/>
          <w:sz w:val="20"/>
        </w:rPr>
        <w:t>Coleman v. Quaker Oats Co.</w:t>
      </w:r>
      <w:r>
        <w:rPr>
          <w:rFonts w:ascii="Arial" w:eastAsia="Arial" w:hAnsi="Arial" w:cs="Arial"/>
          <w:color w:val="000000"/>
          <w:sz w:val="20"/>
        </w:rPr>
        <w:t>, 232 F.3d 1271, 1294 (9th Cir. 2000). Instead, his claim was transparent and remained consistent: the front [**4]  entrance was ADA-noncompliant and needed to be remedied. Kong did not lead the Appellees or the district court into believing that he was only seeking one accessible entrance. For example, in paragraph 22 of the Second Amended Complaint, Kong stated that he "seeks to have all ADA violations related to his disability removed so that he enjoys full and equal access at Mike's Classic Burgers." Appellees had fair notice of this claim. The district court erred in concluding otherwise.</w:t>
      </w:r>
    </w:p>
    <w:p w14:paraId="65088928" w14:textId="77777777" w:rsidR="002B10A6" w:rsidRDefault="00000000">
      <w:pPr>
        <w:pStyle w:val="Normal31"/>
        <w:widowControl w:val="0"/>
        <w:spacing w:before="200" w:line="260" w:lineRule="atLeast"/>
        <w:jc w:val="both"/>
      </w:pPr>
      <w:bookmarkStart w:id="6409" w:name="Bookmark_para_8_30"/>
      <w:bookmarkEnd w:id="6409"/>
      <w:r>
        <w:rPr>
          <w:rFonts w:ascii="Arial" w:eastAsia="Arial" w:hAnsi="Arial" w:cs="Arial"/>
          <w:color w:val="000000"/>
          <w:sz w:val="20"/>
        </w:rPr>
        <w:t>Because Kong's federal ADA claim remains, we also vacate the district court's order declining to exercise supplemental jurisdiction over the parallel California Unruh Act claim.</w:t>
      </w:r>
    </w:p>
    <w:p w14:paraId="1382AA1C" w14:textId="77777777" w:rsidR="002B10A6" w:rsidRDefault="00000000">
      <w:pPr>
        <w:pStyle w:val="Normal31"/>
        <w:widowControl w:val="0"/>
        <w:spacing w:before="200" w:line="260" w:lineRule="atLeast"/>
        <w:jc w:val="both"/>
      </w:pPr>
      <w:bookmarkStart w:id="6410" w:name="Bookmark_para_9_30"/>
      <w:bookmarkEnd w:id="6410"/>
      <w:r>
        <w:rPr>
          <w:rFonts w:ascii="Arial" w:eastAsia="Arial" w:hAnsi="Arial" w:cs="Arial"/>
          <w:b/>
          <w:color w:val="000000"/>
          <w:sz w:val="20"/>
        </w:rPr>
        <w:t>VACATED AND REMANDED. COSTS AWARDED TO APPELLANT</w:t>
      </w:r>
      <w:r>
        <w:rPr>
          <w:rFonts w:ascii="Arial" w:eastAsia="Arial" w:hAnsi="Arial" w:cs="Arial"/>
          <w:color w:val="000000"/>
          <w:sz w:val="20"/>
        </w:rPr>
        <w:t>.</w:t>
      </w:r>
    </w:p>
    <w:p w14:paraId="16C4C133" w14:textId="77777777" w:rsidR="002B10A6" w:rsidRDefault="002B10A6">
      <w:pPr>
        <w:pStyle w:val="Normal31"/>
      </w:pPr>
    </w:p>
    <w:p w14:paraId="153490E1" w14:textId="2D5A401A" w:rsidR="002B10A6" w:rsidRDefault="00000000">
      <w:pPr>
        <w:pStyle w:val="Normal31"/>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28896" behindDoc="0" locked="0" layoutInCell="1" allowOverlap="1" wp14:anchorId="377BC8D1" wp14:editId="734EB3F2">
                <wp:simplePos x="0" y="0"/>
                <wp:positionH relativeFrom="column">
                  <wp:posOffset>0</wp:posOffset>
                </wp:positionH>
                <wp:positionV relativeFrom="paragraph">
                  <wp:posOffset>127000</wp:posOffset>
                </wp:positionV>
                <wp:extent cx="6502400" cy="0"/>
                <wp:effectExtent l="9525" t="12700" r="12700" b="6350"/>
                <wp:wrapNone/>
                <wp:docPr id="1446618907"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63B94"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CA6C8EE" w14:textId="77777777" w:rsidR="002B10A6" w:rsidRDefault="002B10A6">
      <w:pPr>
        <w:pStyle w:val="Normal32"/>
        <w:sectPr w:rsidR="002B10A6">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gutter="0"/>
          <w:cols w:space="720"/>
          <w:titlePg/>
        </w:sectPr>
      </w:pPr>
    </w:p>
    <w:p w14:paraId="457706FC" w14:textId="77777777" w:rsidR="002B10A6" w:rsidRDefault="002B10A6">
      <w:pPr>
        <w:pStyle w:val="Normal32"/>
      </w:pPr>
    </w:p>
    <w:p w14:paraId="0253D80E" w14:textId="77777777" w:rsidR="002B10A6" w:rsidRDefault="00000000">
      <w:pPr>
        <w:pStyle w:val="Heading131"/>
        <w:keepNext w:val="0"/>
        <w:widowControl w:val="0"/>
        <w:spacing w:after="200" w:line="340" w:lineRule="atLeast"/>
        <w:jc w:val="center"/>
      </w:pPr>
      <w:r>
        <w:rPr>
          <w:rFonts w:eastAsia="Arial"/>
          <w:color w:val="000000"/>
          <w:sz w:val="28"/>
        </w:rPr>
        <w:t>Seth v. District of Columbia</w:t>
      </w:r>
    </w:p>
    <w:p w14:paraId="659430C7" w14:textId="77777777" w:rsidR="002B10A6" w:rsidRDefault="00000000">
      <w:pPr>
        <w:pStyle w:val="Normal32"/>
        <w:widowControl w:val="0"/>
        <w:spacing w:before="120" w:line="260" w:lineRule="atLeast"/>
        <w:jc w:val="center"/>
      </w:pPr>
      <w:r>
        <w:rPr>
          <w:rFonts w:ascii="Arial" w:eastAsia="Arial" w:hAnsi="Arial" w:cs="Arial"/>
          <w:color w:val="000000"/>
          <w:sz w:val="20"/>
        </w:rPr>
        <w:t>United States Court of Appeals for the District of Columbia Circuit</w:t>
      </w:r>
    </w:p>
    <w:p w14:paraId="01203C22" w14:textId="77777777" w:rsidR="002B10A6" w:rsidRDefault="00000000">
      <w:pPr>
        <w:pStyle w:val="Normal32"/>
        <w:widowControl w:val="0"/>
        <w:spacing w:before="120" w:line="260" w:lineRule="atLeast"/>
        <w:jc w:val="center"/>
      </w:pPr>
      <w:r>
        <w:rPr>
          <w:rFonts w:ascii="Arial" w:eastAsia="Arial" w:hAnsi="Arial" w:cs="Arial"/>
          <w:color w:val="000000"/>
          <w:sz w:val="20"/>
        </w:rPr>
        <w:t>April 21, 2020, Filed</w:t>
      </w:r>
    </w:p>
    <w:p w14:paraId="4CAF95CE" w14:textId="77777777" w:rsidR="002B10A6" w:rsidRDefault="00000000">
      <w:pPr>
        <w:pStyle w:val="Normal32"/>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19-7057</w:t>
      </w:r>
    </w:p>
    <w:p w14:paraId="0712D52F" w14:textId="77777777" w:rsidR="002B10A6" w:rsidRDefault="002B10A6">
      <w:pPr>
        <w:pStyle w:val="Normal32"/>
        <w:widowControl w:val="0"/>
        <w:spacing w:line="240" w:lineRule="atLeast"/>
        <w:jc w:val="both"/>
      </w:pPr>
      <w:bookmarkStart w:id="6411" w:name="Bookmark_33"/>
      <w:bookmarkEnd w:id="6411"/>
    </w:p>
    <w:p w14:paraId="788926BD" w14:textId="77777777" w:rsidR="002B10A6" w:rsidRDefault="00000000">
      <w:pPr>
        <w:pStyle w:val="Normal32"/>
        <w:widowControl w:val="0"/>
        <w:spacing w:before="200" w:line="240" w:lineRule="atLeast"/>
      </w:pPr>
      <w:bookmarkStart w:id="6412" w:name="Reporter_31"/>
      <w:bookmarkEnd w:id="6412"/>
      <w:r>
        <w:rPr>
          <w:rFonts w:ascii="Arial" w:eastAsia="Arial" w:hAnsi="Arial" w:cs="Arial"/>
          <w:b/>
          <w:color w:val="000000"/>
          <w:sz w:val="18"/>
        </w:rPr>
        <w:t>Reporter</w:t>
      </w:r>
    </w:p>
    <w:p w14:paraId="40A0297B" w14:textId="77777777" w:rsidR="002B10A6" w:rsidRDefault="00000000">
      <w:pPr>
        <w:pStyle w:val="Normal32"/>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813 Fed. Appx. 611 *; 2020 U.S. App. LEXIS 12795 **</w:t>
      </w:r>
    </w:p>
    <w:p w14:paraId="5B64213C" w14:textId="77777777" w:rsidR="002B10A6" w:rsidRDefault="00000000">
      <w:pPr>
        <w:pStyle w:val="Normal32"/>
        <w:widowControl w:val="0"/>
        <w:spacing w:before="120" w:line="260" w:lineRule="atLeast"/>
      </w:pPr>
      <w:r>
        <w:rPr>
          <w:rFonts w:ascii="Arial" w:eastAsia="Arial" w:hAnsi="Arial" w:cs="Arial"/>
          <w:color w:val="000000"/>
          <w:sz w:val="20"/>
        </w:rPr>
        <w:t>MARKELLE SETH, APPELLANT v. DISTRICT OF COLUMBIA, ET AL., APPELLEES</w:t>
      </w:r>
    </w:p>
    <w:p w14:paraId="2B5BD490" w14:textId="77777777" w:rsidR="002B10A6" w:rsidRDefault="00000000">
      <w:pPr>
        <w:pStyle w:val="Normal32"/>
        <w:widowControl w:val="0"/>
        <w:spacing w:before="240" w:line="260" w:lineRule="atLeast"/>
        <w:jc w:val="both"/>
      </w:pPr>
      <w:bookmarkStart w:id="6413" w:name="Notice_11"/>
      <w:bookmarkEnd w:id="6413"/>
      <w:r>
        <w:rPr>
          <w:rFonts w:ascii="Arial" w:eastAsia="Arial" w:hAnsi="Arial" w:cs="Arial"/>
          <w:b/>
          <w:color w:val="000000"/>
          <w:sz w:val="20"/>
        </w:rPr>
        <w:t>Notice:</w:t>
      </w:r>
      <w:r>
        <w:rPr>
          <w:rFonts w:ascii="Arial" w:eastAsia="Arial" w:hAnsi="Arial" w:cs="Arial"/>
          <w:color w:val="000000"/>
          <w:sz w:val="20"/>
        </w:rPr>
        <w:t> </w:t>
      </w:r>
      <w:bookmarkStart w:id="6414" w:name="Bookmark_para_1_31"/>
      <w:bookmarkEnd w:id="6414"/>
      <w:r>
        <w:rPr>
          <w:rFonts w:ascii="Arial" w:eastAsia="Arial" w:hAnsi="Arial" w:cs="Arial"/>
          <w:color w:val="000000"/>
          <w:sz w:val="20"/>
        </w:rPr>
        <w:t>PLEASE REFER TO FEDERAL RULES OF APPELLATE PROCEDURE RULE 32.1 GOVERNING THE CITATION TO UNPUBLISHED OPINIONS.</w:t>
      </w:r>
    </w:p>
    <w:p w14:paraId="7CF66303" w14:textId="77777777" w:rsidR="002B10A6" w:rsidRDefault="00000000">
      <w:pPr>
        <w:pStyle w:val="Normal32"/>
        <w:widowControl w:val="0"/>
        <w:spacing w:before="240" w:line="260" w:lineRule="atLeast"/>
        <w:jc w:val="both"/>
      </w:pPr>
      <w:bookmarkStart w:id="6415" w:name="Prior_History_31"/>
      <w:bookmarkEnd w:id="6415"/>
      <w:r>
        <w:rPr>
          <w:rFonts w:ascii="Arial" w:eastAsia="Arial" w:hAnsi="Arial" w:cs="Arial"/>
          <w:b/>
          <w:color w:val="000000"/>
          <w:sz w:val="20"/>
        </w:rPr>
        <w:t>Prior History:</w:t>
      </w:r>
      <w:r>
        <w:rPr>
          <w:rFonts w:ascii="Arial" w:eastAsia="Arial" w:hAnsi="Arial" w:cs="Arial"/>
          <w:color w:val="000000"/>
          <w:sz w:val="20"/>
        </w:rPr>
        <w:t> </w:t>
      </w:r>
      <w:bookmarkStart w:id="6416" w:name="Bookmark_para_2_31"/>
      <w:bookmarkEnd w:id="6416"/>
      <w:r>
        <w:rPr>
          <w:rFonts w:ascii="Arial" w:eastAsia="Arial" w:hAnsi="Arial" w:cs="Arial"/>
          <w:color w:val="000000"/>
          <w:sz w:val="20"/>
        </w:rPr>
        <w:t> [**1] Appeal from the United States District Court for the District of Columbia. (No. 1:18-cv-01034).</w:t>
      </w:r>
    </w:p>
    <w:p w14:paraId="13416DF7" w14:textId="77777777" w:rsidR="002B10A6" w:rsidRDefault="00000000">
      <w:pPr>
        <w:pStyle w:val="Normal32"/>
        <w:widowControl w:val="0"/>
        <w:spacing w:before="120" w:line="260" w:lineRule="atLeast"/>
      </w:pPr>
      <w:r>
        <w:rPr>
          <w:rFonts w:ascii="Arial" w:eastAsia="Arial" w:hAnsi="Arial" w:cs="Arial"/>
          <w:color w:val="000000"/>
          <w:sz w:val="20"/>
        </w:rPr>
        <w:t>Seth v. District of Columbia, 2019 U.S. Dist. LEXIS 77808 (D.D.C., May 8, 2019)</w:t>
      </w:r>
    </w:p>
    <w:p w14:paraId="50246A95" w14:textId="77777777" w:rsidR="002B10A6" w:rsidRDefault="00000000">
      <w:pPr>
        <w:pStyle w:val="Normal32"/>
        <w:widowControl w:val="0"/>
        <w:spacing w:before="120" w:line="260" w:lineRule="atLeast"/>
      </w:pPr>
      <w:r>
        <w:rPr>
          <w:rFonts w:ascii="Arial" w:eastAsia="Arial" w:hAnsi="Arial" w:cs="Arial"/>
          <w:color w:val="000000"/>
          <w:sz w:val="20"/>
        </w:rPr>
        <w:t>Seth v. District of Columbia, 2018 U.S. Dist. LEXIS 167177 (D.D.C., Sept. 28, 2018)</w:t>
      </w:r>
    </w:p>
    <w:p w14:paraId="2019A568" w14:textId="77777777" w:rsidR="002B10A6" w:rsidRDefault="00000000">
      <w:pPr>
        <w:pStyle w:val="Normal32"/>
        <w:widowControl w:val="0"/>
        <w:spacing w:before="240" w:line="260" w:lineRule="atLeast"/>
      </w:pPr>
      <w:bookmarkStart w:id="6417" w:name="Judges_31"/>
      <w:bookmarkEnd w:id="6417"/>
      <w:r>
        <w:rPr>
          <w:rFonts w:ascii="Arial" w:eastAsia="Arial" w:hAnsi="Arial" w:cs="Arial"/>
          <w:b/>
          <w:color w:val="000000"/>
          <w:sz w:val="20"/>
        </w:rPr>
        <w:t>Judges:</w:t>
      </w:r>
      <w:r>
        <w:rPr>
          <w:rFonts w:ascii="Arial" w:eastAsia="Arial" w:hAnsi="Arial" w:cs="Arial"/>
          <w:color w:val="000000"/>
          <w:sz w:val="20"/>
        </w:rPr>
        <w:t> Before: HENDERSON, ROGERS, and GARLAND, Circuit Judges.</w:t>
      </w:r>
    </w:p>
    <w:p w14:paraId="12EB4101" w14:textId="77777777" w:rsidR="002B10A6" w:rsidRDefault="00000000">
      <w:pPr>
        <w:pStyle w:val="Normal32"/>
        <w:keepNext/>
        <w:widowControl w:val="0"/>
        <w:spacing w:before="240" w:line="340" w:lineRule="atLeast"/>
      </w:pPr>
      <w:bookmarkStart w:id="6418" w:name="Opinion_31"/>
      <w:bookmarkEnd w:id="6418"/>
      <w:r>
        <w:rPr>
          <w:rFonts w:ascii="Arial" w:eastAsia="Arial" w:hAnsi="Arial" w:cs="Arial"/>
          <w:b/>
          <w:color w:val="000000"/>
          <w:sz w:val="28"/>
        </w:rPr>
        <w:t>Opinion</w:t>
      </w:r>
    </w:p>
    <w:p w14:paraId="66297C02" w14:textId="26C9E047" w:rsidR="002B10A6" w:rsidRDefault="002D6974">
      <w:pPr>
        <w:pStyle w:val="Normal32"/>
        <w:spacing w:line="60" w:lineRule="exact"/>
      </w:pPr>
      <w:r>
        <w:rPr>
          <w:noProof/>
        </w:rPr>
        <mc:AlternateContent>
          <mc:Choice Requires="wps">
            <w:drawing>
              <wp:anchor distT="0" distB="0" distL="114300" distR="114300" simplePos="0" relativeHeight="251729920" behindDoc="0" locked="0" layoutInCell="1" allowOverlap="1" wp14:anchorId="22D3D1E5" wp14:editId="566CCB8E">
                <wp:simplePos x="0" y="0"/>
                <wp:positionH relativeFrom="column">
                  <wp:posOffset>0</wp:posOffset>
                </wp:positionH>
                <wp:positionV relativeFrom="paragraph">
                  <wp:posOffset>25400</wp:posOffset>
                </wp:positionV>
                <wp:extent cx="3187700" cy="0"/>
                <wp:effectExtent l="19050" t="15875" r="12700" b="12700"/>
                <wp:wrapTopAndBottom/>
                <wp:docPr id="464672657"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6A87E" id="Line 71"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0873EDA" w14:textId="77777777" w:rsidR="002B10A6" w:rsidRDefault="002B10A6">
      <w:pPr>
        <w:pStyle w:val="Normal32"/>
        <w:spacing w:line="120" w:lineRule="exact"/>
      </w:pPr>
    </w:p>
    <w:p w14:paraId="3F832123" w14:textId="77777777" w:rsidR="002B10A6" w:rsidRDefault="00000000">
      <w:pPr>
        <w:pStyle w:val="Normal32"/>
        <w:widowControl w:val="0"/>
        <w:spacing w:before="240" w:line="260" w:lineRule="atLeast"/>
      </w:pPr>
      <w:r>
        <w:br/>
      </w:r>
      <w:r>
        <w:rPr>
          <w:rFonts w:ascii="Arial" w:eastAsia="Arial" w:hAnsi="Arial" w:cs="Arial"/>
          <w:color w:val="000000"/>
          <w:sz w:val="20"/>
        </w:rPr>
        <w:t xml:space="preserve"> [*613]  </w:t>
      </w:r>
      <w:r>
        <w:rPr>
          <w:rFonts w:ascii="Arial" w:eastAsia="Arial" w:hAnsi="Arial" w:cs="Arial"/>
          <w:b/>
          <w:color w:val="000000"/>
          <w:sz w:val="20"/>
          <w:u w:val="single"/>
        </w:rPr>
        <w:t>JUDGMENT</w:t>
      </w:r>
    </w:p>
    <w:p w14:paraId="249B23CB" w14:textId="77777777" w:rsidR="002B10A6" w:rsidRDefault="00000000">
      <w:pPr>
        <w:pStyle w:val="Normal32"/>
        <w:widowControl w:val="0"/>
        <w:spacing w:before="200" w:line="260" w:lineRule="atLeast"/>
        <w:jc w:val="both"/>
      </w:pPr>
      <w:bookmarkStart w:id="6419" w:name="Bookmark_para_3_31"/>
      <w:bookmarkEnd w:id="6419"/>
      <w:r>
        <w:rPr>
          <w:rFonts w:ascii="Arial" w:eastAsia="Arial" w:hAnsi="Arial" w:cs="Arial"/>
          <w:color w:val="000000"/>
          <w:sz w:val="20"/>
        </w:rPr>
        <w:t xml:space="preserve">This appeal was considered on the record from the United States District Court for the District of Columbia and on the briefs and oral arguments of the parties. The Court has afforded the issues full consideration and has determined that they do not warrant a published opinion. </w:t>
      </w:r>
      <w:r>
        <w:rPr>
          <w:rFonts w:ascii="Arial" w:eastAsia="Arial" w:hAnsi="Arial" w:cs="Arial"/>
          <w:i/>
          <w:color w:val="000000"/>
          <w:sz w:val="20"/>
        </w:rPr>
        <w:t>See</w:t>
      </w:r>
      <w:r>
        <w:rPr>
          <w:rFonts w:ascii="Arial" w:eastAsia="Arial" w:hAnsi="Arial" w:cs="Arial"/>
          <w:color w:val="000000"/>
          <w:sz w:val="20"/>
        </w:rPr>
        <w:t xml:space="preserve"> </w:t>
      </w:r>
      <w:r>
        <w:rPr>
          <w:rFonts w:ascii="Arial" w:eastAsia="Arial" w:hAnsi="Arial" w:cs="Arial"/>
          <w:smallCaps/>
          <w:color w:val="000000"/>
          <w:sz w:val="20"/>
        </w:rPr>
        <w:t>D.C. Cir. R.</w:t>
      </w:r>
      <w:r>
        <w:rPr>
          <w:rFonts w:ascii="Arial" w:eastAsia="Arial" w:hAnsi="Arial" w:cs="Arial"/>
          <w:color w:val="000000"/>
          <w:sz w:val="20"/>
        </w:rPr>
        <w:t xml:space="preserve"> 36(d). It is</w:t>
      </w:r>
    </w:p>
    <w:p w14:paraId="6EB8E1AF" w14:textId="77777777" w:rsidR="002B10A6" w:rsidRDefault="00000000">
      <w:pPr>
        <w:pStyle w:val="Normal32"/>
        <w:widowControl w:val="0"/>
        <w:spacing w:before="200" w:line="260" w:lineRule="atLeast"/>
        <w:jc w:val="both"/>
      </w:pPr>
      <w:bookmarkStart w:id="6420" w:name="Bookmark_para_4_31"/>
      <w:bookmarkEnd w:id="6420"/>
      <w:r>
        <w:rPr>
          <w:rFonts w:ascii="Arial" w:eastAsia="Arial" w:hAnsi="Arial" w:cs="Arial"/>
          <w:b/>
          <w:color w:val="000000"/>
          <w:sz w:val="20"/>
        </w:rPr>
        <w:t>ORDERED AND ADJUDGED</w:t>
      </w:r>
      <w:r>
        <w:rPr>
          <w:rFonts w:ascii="Arial" w:eastAsia="Arial" w:hAnsi="Arial" w:cs="Arial"/>
          <w:color w:val="000000"/>
          <w:sz w:val="20"/>
        </w:rPr>
        <w:t xml:space="preserve"> that the judgment of the district court be </w:t>
      </w:r>
      <w:r>
        <w:rPr>
          <w:rFonts w:ascii="Arial" w:eastAsia="Arial" w:hAnsi="Arial" w:cs="Arial"/>
          <w:b/>
          <w:color w:val="000000"/>
          <w:sz w:val="20"/>
        </w:rPr>
        <w:t>AFFIRMED</w:t>
      </w:r>
      <w:r>
        <w:rPr>
          <w:rFonts w:ascii="Arial" w:eastAsia="Arial" w:hAnsi="Arial" w:cs="Arial"/>
          <w:color w:val="000000"/>
          <w:sz w:val="20"/>
        </w:rPr>
        <w:t>.</w:t>
      </w:r>
    </w:p>
    <w:p w14:paraId="45B6E698" w14:textId="77777777" w:rsidR="002B10A6" w:rsidRDefault="00000000">
      <w:pPr>
        <w:pStyle w:val="Normal32"/>
        <w:widowControl w:val="0"/>
        <w:spacing w:before="200" w:line="260" w:lineRule="atLeast"/>
        <w:jc w:val="both"/>
      </w:pPr>
      <w:bookmarkStart w:id="6421" w:name="Bookmark_para_5_31"/>
      <w:bookmarkEnd w:id="6421"/>
      <w:r>
        <w:rPr>
          <w:rFonts w:ascii="Arial" w:eastAsia="Arial" w:hAnsi="Arial" w:cs="Arial"/>
          <w:color w:val="000000"/>
          <w:sz w:val="20"/>
        </w:rPr>
        <w:t xml:space="preserve">Markelle Seth is a District of Columbia resident with an intellectual disability. </w:t>
      </w:r>
      <w:bookmarkStart w:id="6422" w:name="Bookmark_I5YRSMG12HM6KF0020000400"/>
      <w:bookmarkEnd w:id="6422"/>
      <w:r>
        <w:rPr>
          <w:rFonts w:ascii="Arial" w:eastAsia="Arial" w:hAnsi="Arial" w:cs="Arial"/>
          <w:color w:val="000000"/>
          <w:sz w:val="20"/>
        </w:rPr>
        <w:t xml:space="preserve">In 2014, the United States charged Seth with the production of child pornography, in violation of 18 U.S.C. § 2251(a). After a psychological evaluation and a competency hearing, a district court found Seth incompetent to stand trial and not restorable to competency in the foreseeable future. </w:t>
      </w:r>
      <w:bookmarkStart w:id="6423" w:name="Bookmark_I5YRSMG12HM6KF0010000400"/>
      <w:bookmarkEnd w:id="6423"/>
      <w:r>
        <w:rPr>
          <w:rFonts w:ascii="Arial" w:eastAsia="Arial" w:hAnsi="Arial" w:cs="Arial"/>
          <w:i/>
          <w:color w:val="000000"/>
          <w:sz w:val="20"/>
        </w:rPr>
        <w:t>United States v. Seth</w:t>
      </w:r>
      <w:r>
        <w:rPr>
          <w:rFonts w:ascii="Arial" w:eastAsia="Arial" w:hAnsi="Arial" w:cs="Arial"/>
          <w:color w:val="000000"/>
          <w:sz w:val="20"/>
        </w:rPr>
        <w:t>, No. 14-608, 2016 U.S. Dist. LEXIS 195162, *1 (D.D.C. Dec. 22, 2016). Seth was remanded to the custody of the Attorney General of the United States, pursuant to the federal civil commitment scheme established by the Insanity Defense Reform Act (IDRA), which provides:</w:t>
      </w:r>
    </w:p>
    <w:p w14:paraId="14B91DFA" w14:textId="77777777" w:rsidR="002B10A6" w:rsidRDefault="00000000">
      <w:pPr>
        <w:pStyle w:val="Normal32"/>
        <w:widowControl w:val="0"/>
        <w:spacing w:before="200" w:line="260" w:lineRule="atLeast"/>
        <w:ind w:left="400"/>
        <w:jc w:val="both"/>
      </w:pPr>
      <w:bookmarkStart w:id="6424" w:name="Bookmark_para_6_31"/>
      <w:bookmarkEnd w:id="6424"/>
      <w:r>
        <w:rPr>
          <w:rFonts w:ascii="Arial" w:eastAsia="Arial" w:hAnsi="Arial" w:cs="Arial"/>
          <w:color w:val="000000"/>
          <w:sz w:val="20"/>
        </w:rPr>
        <w:t>If, after [a civil commitment] hearing, the court finds . . . that the person is presently [**2]  suffering from a mental disease or defect as a result of which his release would create a substantial risk of bodily injury to another person . . ., the court shall commit the person to the custody of the Attorney General. The Attorney General shall release the person to the appropriate official of the State in which the person is domiciled or was tried if such State will assume responsibility for his custody, care, and treatment.</w:t>
      </w:r>
    </w:p>
    <w:p w14:paraId="1CBFC19C" w14:textId="77777777" w:rsidR="002B10A6" w:rsidRDefault="00000000">
      <w:pPr>
        <w:pStyle w:val="Normal32"/>
        <w:widowControl w:val="0"/>
        <w:spacing w:before="200" w:line="260" w:lineRule="atLeast"/>
        <w:jc w:val="both"/>
      </w:pPr>
      <w:r>
        <w:rPr>
          <w:rFonts w:ascii="Arial" w:eastAsia="Arial" w:hAnsi="Arial" w:cs="Arial"/>
          <w:color w:val="000000"/>
          <w:sz w:val="20"/>
        </w:rPr>
        <w:t xml:space="preserve">18 U.S.C. § 4246(d). At the ensuing federal civil commitment hearing, a district court found Seth to be dangerous if released unsupervised and determined that state placement for Seth was not available because the District of Columbia had not agreed to assume responsibility. Transcript of Competency Hearing at 46, </w:t>
      </w:r>
      <w:r>
        <w:rPr>
          <w:rFonts w:ascii="Arial" w:eastAsia="Arial" w:hAnsi="Arial" w:cs="Arial"/>
          <w:i/>
          <w:color w:val="000000"/>
          <w:sz w:val="20"/>
        </w:rPr>
        <w:t>United States v. Seth</w:t>
      </w:r>
      <w:r>
        <w:rPr>
          <w:rFonts w:ascii="Arial" w:eastAsia="Arial" w:hAnsi="Arial" w:cs="Arial"/>
          <w:color w:val="000000"/>
          <w:sz w:val="20"/>
        </w:rPr>
        <w:t>, No. 17-2090 (E.D.N.C. June 7, 2018). Seth remains federally civilly committed.</w:t>
      </w:r>
    </w:p>
    <w:p w14:paraId="03734396" w14:textId="77777777" w:rsidR="002B10A6" w:rsidRDefault="00000000">
      <w:pPr>
        <w:pStyle w:val="Normal32"/>
        <w:widowControl w:val="0"/>
        <w:spacing w:before="200" w:line="260" w:lineRule="atLeast"/>
        <w:jc w:val="both"/>
      </w:pPr>
      <w:bookmarkStart w:id="6425" w:name="Bookmark_para_7_31"/>
      <w:bookmarkStart w:id="6426" w:name="Bookmark_I5YRSMG12HM6KF0040000400"/>
      <w:bookmarkEnd w:id="6425"/>
      <w:bookmarkEnd w:id="6426"/>
      <w:r>
        <w:rPr>
          <w:rFonts w:ascii="Arial" w:eastAsia="Arial" w:hAnsi="Arial" w:cs="Arial"/>
          <w:color w:val="000000"/>
          <w:sz w:val="20"/>
        </w:rPr>
        <w:t xml:space="preserve">Seth sued the District of Columbia, the D.C. Department on Disability Services (DDS), and the Director of DDS in his official capacity (together, "the District"). Seth's complaint asserted claims -- based on several theories -- that the District's decision not to pursue his civil commitment violated his rights under the Americans with Disabilities Act (ADA), 42 U.S.C. § 12132, the Rehabilitation Act, 29 U.S.C. § 794(a) [**3] , and the District of Columbia Human Rights Act (DCHRA), </w:t>
      </w:r>
      <w:r>
        <w:rPr>
          <w:rFonts w:ascii="Arial" w:eastAsia="Arial" w:hAnsi="Arial" w:cs="Arial"/>
          <w:smallCaps/>
          <w:color w:val="000000"/>
          <w:sz w:val="20"/>
        </w:rPr>
        <w:t>D.C. Code</w:t>
      </w:r>
      <w:r>
        <w:rPr>
          <w:rFonts w:ascii="Arial" w:eastAsia="Arial" w:hAnsi="Arial" w:cs="Arial"/>
          <w:color w:val="000000"/>
          <w:sz w:val="20"/>
        </w:rPr>
        <w:t xml:space="preserve"> § 2-1402.73.</w:t>
      </w:r>
      <w:r>
        <w:rPr>
          <w:rFonts w:ascii="Arial" w:eastAsia="Arial" w:hAnsi="Arial" w:cs="Arial"/>
          <w:vertAlign w:val="superscript"/>
        </w:rPr>
        <w:footnoteReference w:customMarkFollows="1" w:id="277"/>
        <w:t>1</w:t>
      </w:r>
      <w:r>
        <w:rPr>
          <w:rFonts w:ascii="Arial" w:eastAsia="Arial" w:hAnsi="Arial" w:cs="Arial"/>
          <w:color w:val="000000"/>
          <w:sz w:val="20"/>
        </w:rPr>
        <w:t xml:space="preserve"> The district court dismissed the complaint for failure to state a claim on which relief could be granted. </w:t>
      </w:r>
      <w:bookmarkStart w:id="6432" w:name="Bookmark_I5YRSMG328T4N70010000400"/>
      <w:bookmarkStart w:id="6433" w:name="Bookmark_I5YRSMG12HM6KF0030000400"/>
      <w:bookmarkEnd w:id="6432"/>
      <w:bookmarkEnd w:id="6433"/>
      <w:r>
        <w:rPr>
          <w:rFonts w:ascii="Arial" w:eastAsia="Arial" w:hAnsi="Arial" w:cs="Arial"/>
          <w:i/>
          <w:color w:val="000000"/>
          <w:sz w:val="20"/>
        </w:rPr>
        <w:t>Seth v. District of Columbia</w:t>
      </w:r>
      <w:r>
        <w:rPr>
          <w:rFonts w:ascii="Arial" w:eastAsia="Arial" w:hAnsi="Arial" w:cs="Arial"/>
          <w:color w:val="000000"/>
          <w:sz w:val="20"/>
        </w:rPr>
        <w:t xml:space="preserve">, 2018 U.S. Dist. LEXIS 167177, 2018 WL 4682023 (D.D.C. 2018). </w:t>
      </w:r>
      <w:bookmarkStart w:id="6434" w:name="Bookmark_I5YRSMG328T4N70010000400_2"/>
      <w:bookmarkEnd w:id="6434"/>
      <w:r>
        <w:rPr>
          <w:rFonts w:ascii="Arial" w:eastAsia="Arial" w:hAnsi="Arial" w:cs="Arial"/>
          <w:color w:val="000000"/>
          <w:sz w:val="20"/>
        </w:rPr>
        <w:t xml:space="preserve">Seth then filed motions for reconsideration and for leave to file an amended complaint, which the district court denied. </w:t>
      </w:r>
      <w:bookmarkStart w:id="6435" w:name="Bookmark_I5YRSMG12HM6KF0050000400"/>
      <w:bookmarkEnd w:id="6435"/>
      <w:r>
        <w:rPr>
          <w:rFonts w:ascii="Arial" w:eastAsia="Arial" w:hAnsi="Arial" w:cs="Arial"/>
          <w:i/>
          <w:color w:val="000000"/>
          <w:sz w:val="20"/>
        </w:rPr>
        <w:t>Seth v. District of Columbia</w:t>
      </w:r>
      <w:r>
        <w:rPr>
          <w:rFonts w:ascii="Arial" w:eastAsia="Arial" w:hAnsi="Arial" w:cs="Arial"/>
          <w:color w:val="000000"/>
          <w:sz w:val="20"/>
        </w:rPr>
        <w:t>, 2019 U.S. Dist. LEXIS 77808,  [*614]  2019 WL 2058670 (D.D.C. 2019). For the reasons set out below, we affirm.</w:t>
      </w:r>
    </w:p>
    <w:p w14:paraId="77F470A9" w14:textId="77777777" w:rsidR="002B10A6" w:rsidRDefault="00000000">
      <w:pPr>
        <w:pStyle w:val="Normal32"/>
        <w:widowControl w:val="0"/>
        <w:spacing w:before="200" w:line="260" w:lineRule="atLeast"/>
        <w:jc w:val="both"/>
      </w:pPr>
      <w:bookmarkStart w:id="6436" w:name="Bookmark_para_8_31"/>
      <w:bookmarkStart w:id="6437" w:name="Bookmark_I5YRSMG42SF7W60020000400"/>
      <w:bookmarkStart w:id="6438" w:name="Bookmark_I5YRSMG42SF7W60040000400"/>
      <w:bookmarkStart w:id="6439" w:name="Bookmark_I5YRSMG42N1PY10030000400"/>
      <w:bookmarkEnd w:id="6436"/>
      <w:bookmarkEnd w:id="6437"/>
      <w:bookmarkEnd w:id="6438"/>
      <w:bookmarkEnd w:id="6439"/>
      <w:r>
        <w:rPr>
          <w:rFonts w:ascii="Arial" w:eastAsia="Arial" w:hAnsi="Arial" w:cs="Arial"/>
          <w:color w:val="000000"/>
          <w:sz w:val="20"/>
        </w:rPr>
        <w:t xml:space="preserve">Relying on </w:t>
      </w:r>
      <w:bookmarkStart w:id="6440" w:name="Bookmark_I5YRSMG42SF7W60010000400"/>
      <w:bookmarkEnd w:id="6440"/>
      <w:r>
        <w:rPr>
          <w:rFonts w:ascii="Arial" w:eastAsia="Arial" w:hAnsi="Arial" w:cs="Arial"/>
          <w:i/>
          <w:color w:val="000000"/>
          <w:sz w:val="20"/>
        </w:rPr>
        <w:t>Olmstead v. L.C. ex rel. Zimring</w:t>
      </w:r>
      <w:r>
        <w:rPr>
          <w:rFonts w:ascii="Arial" w:eastAsia="Arial" w:hAnsi="Arial" w:cs="Arial"/>
          <w:color w:val="000000"/>
          <w:sz w:val="20"/>
        </w:rPr>
        <w:t xml:space="preserve">, 527 U.S. 581, 119 S. Ct. 2176, 144 L. Ed. 2d 540 (1999), Seth argues that the District's failure to assume custody of him violated the ADA because it caused him to be unjustifiably isolated in federal custody rather than in a community-based treatment setting. </w:t>
      </w:r>
      <w:r>
        <w:rPr>
          <w:rFonts w:ascii="Arial" w:eastAsia="Arial" w:hAnsi="Arial" w:cs="Arial"/>
          <w:i/>
          <w:color w:val="000000"/>
          <w:sz w:val="20"/>
        </w:rPr>
        <w:t>Olmstead</w:t>
      </w:r>
      <w:r>
        <w:rPr>
          <w:rFonts w:ascii="Arial" w:eastAsia="Arial" w:hAnsi="Arial" w:cs="Arial"/>
          <w:color w:val="000000"/>
          <w:sz w:val="20"/>
        </w:rPr>
        <w:t xml:space="preserve"> held that "unjustified institutional isolation of persons with disabilities is a form of discrimination" under the ADA, </w:t>
      </w:r>
      <w:bookmarkStart w:id="6441" w:name="Bookmark_I5YRSMG42SF7W60030000400"/>
      <w:bookmarkEnd w:id="6441"/>
      <w:r>
        <w:rPr>
          <w:rFonts w:ascii="Arial" w:eastAsia="Arial" w:hAnsi="Arial" w:cs="Arial"/>
          <w:i/>
          <w:color w:val="000000"/>
          <w:sz w:val="20"/>
        </w:rPr>
        <w:t>id.</w:t>
      </w:r>
      <w:r>
        <w:rPr>
          <w:rFonts w:ascii="Arial" w:eastAsia="Arial" w:hAnsi="Arial" w:cs="Arial"/>
          <w:color w:val="000000"/>
          <w:sz w:val="20"/>
        </w:rPr>
        <w:t xml:space="preserve"> at 600, and that, in certain circumstances, the ADA may require a state to place "persons with mental disabilities in community settings rather than in institutions," </w:t>
      </w:r>
      <w:bookmarkStart w:id="6442" w:name="Bookmark_I5YRSMG42SF7W60050000400"/>
      <w:bookmarkEnd w:id="6442"/>
      <w:r>
        <w:rPr>
          <w:rFonts w:ascii="Arial" w:eastAsia="Arial" w:hAnsi="Arial" w:cs="Arial"/>
          <w:i/>
          <w:color w:val="000000"/>
          <w:sz w:val="20"/>
        </w:rPr>
        <w:t>id.</w:t>
      </w:r>
      <w:r>
        <w:rPr>
          <w:rFonts w:ascii="Arial" w:eastAsia="Arial" w:hAnsi="Arial" w:cs="Arial"/>
          <w:color w:val="000000"/>
          <w:sz w:val="20"/>
        </w:rPr>
        <w:t xml:space="preserve"> at 587. </w:t>
      </w:r>
      <w:bookmarkStart w:id="6443" w:name="Bookmark_I5YRSMG428T4NF0020000400"/>
      <w:bookmarkEnd w:id="6443"/>
      <w:r>
        <w:rPr>
          <w:rFonts w:ascii="Arial" w:eastAsia="Arial" w:hAnsi="Arial" w:cs="Arial"/>
          <w:color w:val="000000"/>
          <w:sz w:val="20"/>
        </w:rPr>
        <w:t xml:space="preserve">In </w:t>
      </w:r>
      <w:bookmarkStart w:id="6444" w:name="Bookmark_I5YRSMG42N1PY10020000400"/>
      <w:bookmarkEnd w:id="6444"/>
      <w:r>
        <w:rPr>
          <w:rFonts w:ascii="Arial" w:eastAsia="Arial" w:hAnsi="Arial" w:cs="Arial"/>
          <w:i/>
          <w:color w:val="000000"/>
          <w:sz w:val="20"/>
        </w:rPr>
        <w:t>Brown v. District of Columbia</w:t>
      </w:r>
      <w:r>
        <w:rPr>
          <w:rFonts w:ascii="Arial" w:eastAsia="Arial" w:hAnsi="Arial" w:cs="Arial"/>
          <w:color w:val="000000"/>
          <w:sz w:val="20"/>
        </w:rPr>
        <w:t xml:space="preserve">, 928 F.3d 1070 (D.C. Cir. 2019), this court held that the District of Columbia violates the ADA "if it cares for a mentally or physically disabled individual in a nursing home notwithstanding, with reasonable modifications . . ., it could care for that individual in the community." </w:t>
      </w:r>
      <w:bookmarkStart w:id="6445" w:name="Bookmark_I5YRSMG42N1PY10040000400"/>
      <w:bookmarkEnd w:id="6445"/>
      <w:r>
        <w:rPr>
          <w:rFonts w:ascii="Arial" w:eastAsia="Arial" w:hAnsi="Arial" w:cs="Arial"/>
          <w:i/>
          <w:color w:val="000000"/>
          <w:sz w:val="20"/>
        </w:rPr>
        <w:t>Id.</w:t>
      </w:r>
      <w:r>
        <w:rPr>
          <w:rFonts w:ascii="Arial" w:eastAsia="Arial" w:hAnsi="Arial" w:cs="Arial"/>
          <w:color w:val="000000"/>
          <w:sz w:val="20"/>
        </w:rPr>
        <w:t xml:space="preserve"> at 1073. </w:t>
      </w:r>
      <w:bookmarkStart w:id="6446" w:name="Bookmark_I5YRSMG428T4NF0020000400_2"/>
      <w:bookmarkEnd w:id="6446"/>
      <w:r>
        <w:rPr>
          <w:rFonts w:ascii="Arial" w:eastAsia="Arial" w:hAnsi="Arial" w:cs="Arial"/>
          <w:color w:val="000000"/>
          <w:sz w:val="20"/>
        </w:rPr>
        <w:t xml:space="preserve">And other courts have extended </w:t>
      </w:r>
      <w:r>
        <w:rPr>
          <w:rFonts w:ascii="Arial" w:eastAsia="Arial" w:hAnsi="Arial" w:cs="Arial"/>
          <w:i/>
          <w:color w:val="000000"/>
          <w:sz w:val="20"/>
        </w:rPr>
        <w:t>Olmstead</w:t>
      </w:r>
      <w:r>
        <w:rPr>
          <w:rFonts w:ascii="Arial" w:eastAsia="Arial" w:hAnsi="Arial" w:cs="Arial"/>
          <w:color w:val="000000"/>
          <w:sz w:val="20"/>
        </w:rPr>
        <w:t xml:space="preserve"> to situations in which a plaintiff is isolated in a privately-run [**4]  facility on which the state relies to provide services to individuals with disabilities. </w:t>
      </w:r>
      <w:r>
        <w:rPr>
          <w:rFonts w:ascii="Arial" w:eastAsia="Arial" w:hAnsi="Arial" w:cs="Arial"/>
          <w:i/>
          <w:color w:val="000000"/>
          <w:sz w:val="20"/>
        </w:rPr>
        <w:t xml:space="preserve">See, e.g., </w:t>
      </w:r>
      <w:bookmarkStart w:id="6447" w:name="Bookmark_I5YRSMG428T4NF0010000400"/>
      <w:bookmarkEnd w:id="6447"/>
      <w:r>
        <w:rPr>
          <w:rFonts w:ascii="Arial" w:eastAsia="Arial" w:hAnsi="Arial" w:cs="Arial"/>
          <w:i/>
          <w:color w:val="000000"/>
          <w:sz w:val="20"/>
        </w:rPr>
        <w:t>Disability Advocates, Inc. v. Paterson</w:t>
      </w:r>
      <w:r>
        <w:rPr>
          <w:rFonts w:ascii="Arial" w:eastAsia="Arial" w:hAnsi="Arial" w:cs="Arial"/>
          <w:color w:val="000000"/>
          <w:sz w:val="20"/>
        </w:rPr>
        <w:t>, 598 F. Supp. 2d 289, 316-17 (E.D.N.Y. 2009).</w:t>
      </w:r>
    </w:p>
    <w:p w14:paraId="7792F2CF" w14:textId="77777777" w:rsidR="002B10A6" w:rsidRDefault="00000000">
      <w:pPr>
        <w:pStyle w:val="Normal32"/>
        <w:widowControl w:val="0"/>
        <w:spacing w:before="200" w:line="260" w:lineRule="atLeast"/>
        <w:jc w:val="both"/>
      </w:pPr>
      <w:bookmarkStart w:id="6448" w:name="Bookmark_para_9_31"/>
      <w:bookmarkStart w:id="6449" w:name="Bookmark_I5YRSMG428T4NF0040000400"/>
      <w:bookmarkEnd w:id="6448"/>
      <w:bookmarkEnd w:id="6449"/>
      <w:r>
        <w:rPr>
          <w:rFonts w:ascii="Arial" w:eastAsia="Arial" w:hAnsi="Arial" w:cs="Arial"/>
          <w:color w:val="000000"/>
          <w:sz w:val="20"/>
        </w:rPr>
        <w:t xml:space="preserve">But </w:t>
      </w:r>
      <w:bookmarkStart w:id="6450" w:name="Bookmark_LNHNREFclscc1_25"/>
      <w:bookmarkEnd w:id="6450"/>
      <w:r>
        <w:rPr>
          <w:rFonts w:ascii="Arial" w:eastAsia="Arial" w:hAnsi="Arial" w:cs="Arial"/>
          <w:color w:val="000000"/>
          <w:sz w:val="20"/>
        </w:rPr>
        <w:t xml:space="preserve">no court has extended </w:t>
      </w:r>
      <w:r>
        <w:rPr>
          <w:rFonts w:ascii="Arial" w:eastAsia="Arial" w:hAnsi="Arial" w:cs="Arial"/>
          <w:i/>
          <w:color w:val="000000"/>
          <w:sz w:val="20"/>
        </w:rPr>
        <w:t>Olmstead</w:t>
      </w:r>
      <w:r>
        <w:rPr>
          <w:rFonts w:ascii="Arial" w:eastAsia="Arial" w:hAnsi="Arial" w:cs="Arial"/>
          <w:color w:val="000000"/>
          <w:sz w:val="20"/>
        </w:rPr>
        <w:t xml:space="preserve"> to encompass an unjustified-isolation claim against a state that does not have control or custody over the plaintiff. </w:t>
      </w:r>
      <w:bookmarkStart w:id="6451" w:name="Bookmark_I298B79J29800001Y8J00002"/>
      <w:bookmarkStart w:id="6452" w:name="Bookmark_I5YRSMG52N1PY30010000400"/>
      <w:bookmarkEnd w:id="6451"/>
      <w:bookmarkEnd w:id="6452"/>
      <w:r>
        <w:rPr>
          <w:rFonts w:ascii="Arial" w:eastAsia="Arial" w:hAnsi="Arial" w:cs="Arial"/>
          <w:color w:val="000000"/>
          <w:sz w:val="20"/>
        </w:rPr>
        <w:t xml:space="preserve">As the district court explained, the IDRA prefers state custody to federal custody, but the statute's "conditional language" does not "require[] the District to take custody of Seth." </w:t>
      </w:r>
      <w:bookmarkStart w:id="6453" w:name="Bookmark_I5YRSMG428T4NF0030000400"/>
      <w:bookmarkEnd w:id="6453"/>
      <w:r>
        <w:rPr>
          <w:rFonts w:ascii="Arial" w:eastAsia="Arial" w:hAnsi="Arial" w:cs="Arial"/>
          <w:i/>
          <w:color w:val="000000"/>
          <w:sz w:val="20"/>
        </w:rPr>
        <w:t>Seth</w:t>
      </w:r>
      <w:r>
        <w:rPr>
          <w:rFonts w:ascii="Arial" w:eastAsia="Arial" w:hAnsi="Arial" w:cs="Arial"/>
          <w:color w:val="000000"/>
          <w:sz w:val="20"/>
        </w:rPr>
        <w:t xml:space="preserve">, 2018 U.S. Dist. LEXIS 167177, 2018 WL 4682023, at *14. </w:t>
      </w:r>
      <w:bookmarkStart w:id="6454" w:name="Bookmark_I5YRSMG52N1PY30030000400"/>
      <w:bookmarkEnd w:id="6454"/>
      <w:r>
        <w:rPr>
          <w:rFonts w:ascii="Arial" w:eastAsia="Arial" w:hAnsi="Arial" w:cs="Arial"/>
          <w:color w:val="000000"/>
          <w:sz w:val="20"/>
        </w:rPr>
        <w:t xml:space="preserve">Rather, </w:t>
      </w:r>
      <w:bookmarkStart w:id="6455" w:name="Bookmark_LNHNREFclscc2_25"/>
      <w:bookmarkEnd w:id="6455"/>
      <w:r>
        <w:rPr>
          <w:rFonts w:ascii="Arial" w:eastAsia="Arial" w:hAnsi="Arial" w:cs="Arial"/>
          <w:color w:val="000000"/>
          <w:sz w:val="20"/>
        </w:rPr>
        <w:t xml:space="preserve">the IDRA requires only that the Attorney General release Seth into the District's custody "if [the District] will assume responsibility for his custody, care, and treatment." 18 U.S.C. § 4246(d). </w:t>
      </w:r>
      <w:bookmarkStart w:id="6456" w:name="Bookmark_I5YRSMG52N1PY30030000400_2"/>
      <w:bookmarkStart w:id="6457" w:name="Bookmark_I5YRSMG52N1PY30010000400_2"/>
      <w:bookmarkEnd w:id="6456"/>
      <w:bookmarkEnd w:id="6457"/>
      <w:r>
        <w:rPr>
          <w:rFonts w:ascii="Arial" w:eastAsia="Arial" w:hAnsi="Arial" w:cs="Arial"/>
          <w:color w:val="000000"/>
          <w:sz w:val="20"/>
        </w:rPr>
        <w:t xml:space="preserve">Seth's theory would use the ADA to transform the IDRA's voluntary scheme into a mandatory one by allowing a plaintiff to bring an </w:t>
      </w:r>
      <w:r>
        <w:rPr>
          <w:rFonts w:ascii="Arial" w:eastAsia="Arial" w:hAnsi="Arial" w:cs="Arial"/>
          <w:i/>
          <w:color w:val="000000"/>
          <w:sz w:val="20"/>
        </w:rPr>
        <w:t>Olmstead</w:t>
      </w:r>
      <w:r>
        <w:rPr>
          <w:rFonts w:ascii="Arial" w:eastAsia="Arial" w:hAnsi="Arial" w:cs="Arial"/>
          <w:color w:val="000000"/>
          <w:sz w:val="20"/>
        </w:rPr>
        <w:t xml:space="preserve"> claim against any state that declined to assume custody of him. Like the district court, we decline to extend</w:t>
      </w:r>
      <w:bookmarkStart w:id="6458" w:name="Bookmark_I5YRSMG428T4NF0050000400"/>
      <w:bookmarkEnd w:id="6458"/>
      <w:r>
        <w:rPr>
          <w:rFonts w:ascii="Arial" w:eastAsia="Arial" w:hAnsi="Arial" w:cs="Arial"/>
          <w:color w:val="000000"/>
          <w:sz w:val="20"/>
        </w:rPr>
        <w:t xml:space="preserve"> </w:t>
      </w:r>
      <w:r>
        <w:rPr>
          <w:rFonts w:ascii="Arial" w:eastAsia="Arial" w:hAnsi="Arial" w:cs="Arial"/>
          <w:i/>
          <w:color w:val="000000"/>
          <w:sz w:val="20"/>
        </w:rPr>
        <w:t>Olmstead</w:t>
      </w:r>
      <w:r>
        <w:rPr>
          <w:rFonts w:ascii="Arial" w:eastAsia="Arial" w:hAnsi="Arial" w:cs="Arial"/>
          <w:color w:val="000000"/>
          <w:sz w:val="20"/>
        </w:rPr>
        <w:t xml:space="preserve"> into this new territory. If Seth is unjustifiably isolated in federal custody, his </w:t>
      </w:r>
      <w:r>
        <w:rPr>
          <w:rFonts w:ascii="Arial" w:eastAsia="Arial" w:hAnsi="Arial" w:cs="Arial"/>
          <w:i/>
          <w:color w:val="000000"/>
          <w:sz w:val="20"/>
        </w:rPr>
        <w:t>Olmstead</w:t>
      </w:r>
      <w:r>
        <w:rPr>
          <w:rFonts w:ascii="Arial" w:eastAsia="Arial" w:hAnsi="Arial" w:cs="Arial"/>
          <w:color w:val="000000"/>
          <w:sz w:val="20"/>
        </w:rPr>
        <w:t xml:space="preserve"> claim must be made against the federal government, which has him in its custody, not against the District, which does not. </w:t>
      </w:r>
      <w:r>
        <w:rPr>
          <w:rFonts w:ascii="Arial" w:eastAsia="Arial" w:hAnsi="Arial" w:cs="Arial"/>
          <w:i/>
          <w:color w:val="000000"/>
          <w:sz w:val="20"/>
        </w:rPr>
        <w:t xml:space="preserve">See </w:t>
      </w:r>
      <w:bookmarkStart w:id="6459" w:name="Bookmark_I5YRSMG52N1PY30020000400"/>
      <w:bookmarkEnd w:id="6459"/>
      <w:r>
        <w:rPr>
          <w:rFonts w:ascii="Arial" w:eastAsia="Arial" w:hAnsi="Arial" w:cs="Arial"/>
          <w:i/>
          <w:color w:val="000000"/>
          <w:sz w:val="20"/>
        </w:rPr>
        <w:t>Seth</w:t>
      </w:r>
      <w:r>
        <w:rPr>
          <w:rFonts w:ascii="Arial" w:eastAsia="Arial" w:hAnsi="Arial" w:cs="Arial"/>
          <w:color w:val="000000"/>
          <w:sz w:val="20"/>
        </w:rPr>
        <w:t>, 2018 U.S. Dist. LEXIS 167177, 2018 WL 4682023, at *14 n.12 (detailing alternative avenues to relief).</w:t>
      </w:r>
    </w:p>
    <w:p w14:paraId="5B79F34C" w14:textId="77777777" w:rsidR="002B10A6" w:rsidRDefault="00000000">
      <w:pPr>
        <w:pStyle w:val="Normal32"/>
        <w:widowControl w:val="0"/>
        <w:spacing w:before="200" w:line="260" w:lineRule="atLeast"/>
        <w:jc w:val="both"/>
      </w:pPr>
      <w:bookmarkStart w:id="6460" w:name="Bookmark_para_10_30"/>
      <w:bookmarkStart w:id="6461" w:name="Bookmark_I5YRSMG52N1PY30050000400"/>
      <w:bookmarkEnd w:id="6460"/>
      <w:bookmarkEnd w:id="6461"/>
      <w:r>
        <w:rPr>
          <w:rFonts w:ascii="Arial" w:eastAsia="Arial" w:hAnsi="Arial" w:cs="Arial"/>
          <w:color w:val="000000"/>
          <w:sz w:val="20"/>
        </w:rPr>
        <w:t xml:space="preserve">Seth's failure-to-accommodate claim fails for similar reasons. [**5]  </w:t>
      </w:r>
      <w:bookmarkStart w:id="6462" w:name="Bookmark_LNHNREFclscc3_25"/>
      <w:bookmarkEnd w:id="6462"/>
      <w:r>
        <w:rPr>
          <w:rFonts w:ascii="Arial" w:eastAsia="Arial" w:hAnsi="Arial" w:cs="Arial"/>
          <w:color w:val="000000"/>
          <w:sz w:val="20"/>
        </w:rPr>
        <w:t xml:space="preserve">The ADA requires a public entity to "make reasonable modifications [to its] policies, practices, or procedures when the modifications are necessary to avoid discrimination on the basis of disability, unless the public entity can demonstrate that making the modifications would fundamentally alter the nature of the service, program, or activity." 28 C.F.R. § 35.130(b)(7)(i). To meet his initial burden of showing reasonableness, a plaintiff must establish that his proposed accommodation "seems reasonable on its face" such that it is reasonable "ordinarily or in the run of cases." </w:t>
      </w:r>
      <w:bookmarkStart w:id="6463" w:name="Bookmark_I5YRSMG52N1PY30040000400"/>
      <w:bookmarkEnd w:id="6463"/>
      <w:r>
        <w:rPr>
          <w:rFonts w:ascii="Arial" w:eastAsia="Arial" w:hAnsi="Arial" w:cs="Arial"/>
          <w:i/>
          <w:color w:val="000000"/>
          <w:sz w:val="20"/>
        </w:rPr>
        <w:t>US Airways, Inc. v. Barnett</w:t>
      </w:r>
      <w:r>
        <w:rPr>
          <w:rFonts w:ascii="Arial" w:eastAsia="Arial" w:hAnsi="Arial" w:cs="Arial"/>
          <w:color w:val="000000"/>
          <w:sz w:val="20"/>
        </w:rPr>
        <w:t xml:space="preserve">, 535 U.S. 391, 401, 122 S. Ct. 1516, 152 L. Ed. 2d 589 (2002). Seth's proposed accommodation -- civil commitment by the District -- is not facially reasonable. Like his unjustified-isolation claim, Seth's failure-to-accommodate claim would require the District to petition for the civil commitment of any federally committed individual, a result contemplated neither by the IDRA nor by the District's own civil commitment statute. </w:t>
      </w:r>
      <w:r>
        <w:rPr>
          <w:rFonts w:ascii="Arial" w:eastAsia="Arial" w:hAnsi="Arial" w:cs="Arial"/>
          <w:i/>
          <w:color w:val="000000"/>
          <w:sz w:val="20"/>
        </w:rPr>
        <w:t>See</w:t>
      </w:r>
      <w:r>
        <w:rPr>
          <w:rFonts w:ascii="Arial" w:eastAsia="Arial" w:hAnsi="Arial" w:cs="Arial"/>
          <w:color w:val="000000"/>
          <w:sz w:val="20"/>
        </w:rPr>
        <w:t xml:space="preserve"> 18 U.S.C. § 4246(d); D.C. CODE §§ 7-1301.03(14C), 7-1303.04(b-1).</w:t>
      </w:r>
    </w:p>
    <w:p w14:paraId="70778D70" w14:textId="77777777" w:rsidR="002B10A6" w:rsidRDefault="00000000">
      <w:pPr>
        <w:pStyle w:val="Normal32"/>
        <w:widowControl w:val="0"/>
        <w:spacing w:before="200" w:line="260" w:lineRule="atLeast"/>
        <w:jc w:val="both"/>
      </w:pPr>
      <w:bookmarkStart w:id="6464" w:name="Bookmark_para_11_26"/>
      <w:bookmarkStart w:id="6465" w:name="Bookmark_I5YRSMG52SF7WB0020000400"/>
      <w:bookmarkEnd w:id="6464"/>
      <w:bookmarkEnd w:id="6465"/>
      <w:r>
        <w:rPr>
          <w:rFonts w:ascii="Arial" w:eastAsia="Arial" w:hAnsi="Arial" w:cs="Arial"/>
          <w:color w:val="000000"/>
          <w:sz w:val="20"/>
        </w:rPr>
        <w:t xml:space="preserve">Seth's complaint also includes a disparate treatment claim. We agree with the district court that this, too, fails because [*615]  Seth does not plausibly allege discriminatory intent by the District, as is required to prove unlawful disparate treatment. </w:t>
      </w:r>
      <w:bookmarkStart w:id="6466" w:name="Bookmark_I5YRSMG52SF7WB0010000400"/>
      <w:bookmarkEnd w:id="6466"/>
      <w:r>
        <w:rPr>
          <w:rFonts w:ascii="Arial" w:eastAsia="Arial" w:hAnsi="Arial" w:cs="Arial"/>
          <w:i/>
          <w:color w:val="000000"/>
          <w:sz w:val="20"/>
        </w:rPr>
        <w:t>Hazen Paper Co. v. Biggins</w:t>
      </w:r>
      <w:r>
        <w:rPr>
          <w:rFonts w:ascii="Arial" w:eastAsia="Arial" w:hAnsi="Arial" w:cs="Arial"/>
          <w:color w:val="000000"/>
          <w:sz w:val="20"/>
        </w:rPr>
        <w:t xml:space="preserve">, 507 U.S. 604, 609, 113 S. Ct. 1701, 123 L. Ed. 2d 338 (1993); </w:t>
      </w:r>
      <w:bookmarkStart w:id="6467" w:name="Bookmark_I5YRSMG52SF7WB0030000400"/>
      <w:bookmarkEnd w:id="6467"/>
      <w:r>
        <w:rPr>
          <w:rFonts w:ascii="Arial" w:eastAsia="Arial" w:hAnsi="Arial" w:cs="Arial"/>
          <w:i/>
          <w:color w:val="000000"/>
          <w:sz w:val="20"/>
        </w:rPr>
        <w:t>Aka v. Wash. Hosp. Ctr.</w:t>
      </w:r>
      <w:r>
        <w:rPr>
          <w:rFonts w:ascii="Arial" w:eastAsia="Arial" w:hAnsi="Arial" w:cs="Arial"/>
          <w:color w:val="000000"/>
          <w:sz w:val="20"/>
        </w:rPr>
        <w:t xml:space="preserve">, 156 F.3d 1284, 1300, 1305, 332 U.S. App. D.C. 256 (D.C. Cir. 1998) (en banc). </w:t>
      </w:r>
      <w:bookmarkStart w:id="6468" w:name="Bookmark_I5YRSMG52N1PY50010000400"/>
      <w:bookmarkEnd w:id="6468"/>
      <w:r>
        <w:rPr>
          <w:rFonts w:ascii="Arial" w:eastAsia="Arial" w:hAnsi="Arial" w:cs="Arial"/>
          <w:color w:val="000000"/>
          <w:sz w:val="20"/>
        </w:rPr>
        <w:t xml:space="preserve">Neither [**6]  Seth's original complaint nor his amended complaint contains allegations that plausibly suggest the District's decision not to initiate commitment and custody proceedings was made based on his disability. Accordingly, the district court properly dismissed Seth's disparate treatment claim. </w:t>
      </w:r>
      <w:r>
        <w:rPr>
          <w:rFonts w:ascii="Arial" w:eastAsia="Arial" w:hAnsi="Arial" w:cs="Arial"/>
          <w:i/>
          <w:color w:val="000000"/>
          <w:sz w:val="20"/>
        </w:rPr>
        <w:t xml:space="preserve">See </w:t>
      </w:r>
      <w:bookmarkStart w:id="6469" w:name="Bookmark_I5YRSMG52SF7WB0050000400"/>
      <w:bookmarkEnd w:id="6469"/>
      <w:r>
        <w:rPr>
          <w:rFonts w:ascii="Arial" w:eastAsia="Arial" w:hAnsi="Arial" w:cs="Arial"/>
          <w:i/>
          <w:color w:val="000000"/>
          <w:sz w:val="20"/>
        </w:rPr>
        <w:t>Ashcroft v. Iqbal</w:t>
      </w:r>
      <w:r>
        <w:rPr>
          <w:rFonts w:ascii="Arial" w:eastAsia="Arial" w:hAnsi="Arial" w:cs="Arial"/>
          <w:color w:val="000000"/>
          <w:sz w:val="20"/>
        </w:rPr>
        <w:t>, 556 U.S. 662, 683, 129 S. Ct. 1937, 173 L. Ed. 2d 868 (2009).</w:t>
      </w:r>
    </w:p>
    <w:p w14:paraId="3579F1EE" w14:textId="77777777" w:rsidR="002B10A6" w:rsidRDefault="00000000">
      <w:pPr>
        <w:pStyle w:val="Normal32"/>
        <w:widowControl w:val="0"/>
        <w:spacing w:before="200" w:line="260" w:lineRule="atLeast"/>
        <w:jc w:val="both"/>
      </w:pPr>
      <w:bookmarkStart w:id="6470" w:name="Bookmark_para_12_25"/>
      <w:bookmarkStart w:id="6471" w:name="Bookmark_I5YRSMG52N1PY50030000400"/>
      <w:bookmarkEnd w:id="6470"/>
      <w:bookmarkEnd w:id="6471"/>
      <w:r>
        <w:rPr>
          <w:rFonts w:ascii="Arial" w:eastAsia="Arial" w:hAnsi="Arial" w:cs="Arial"/>
          <w:color w:val="000000"/>
          <w:sz w:val="20"/>
        </w:rPr>
        <w:t xml:space="preserve">In addition, Seth raises a disparate impact claim, based on an allegation that the District provides community-based services to D.C. residents with mental illness more frequently than it provides such services to individuals (like Seth) with intellectual disabilities. This claim also fails because the former are not similarly situated to the latter. </w:t>
      </w:r>
      <w:r>
        <w:rPr>
          <w:rFonts w:ascii="Arial" w:eastAsia="Arial" w:hAnsi="Arial" w:cs="Arial"/>
          <w:i/>
          <w:color w:val="000000"/>
          <w:sz w:val="20"/>
        </w:rPr>
        <w:t xml:space="preserve">See </w:t>
      </w:r>
      <w:bookmarkStart w:id="6472" w:name="Bookmark_I5YRSMG52N1PY50020000400"/>
      <w:bookmarkEnd w:id="6472"/>
      <w:r>
        <w:rPr>
          <w:rFonts w:ascii="Arial" w:eastAsia="Arial" w:hAnsi="Arial" w:cs="Arial"/>
          <w:i/>
          <w:color w:val="000000"/>
          <w:sz w:val="20"/>
        </w:rPr>
        <w:t>Raytheon Co. v. Hernandez</w:t>
      </w:r>
      <w:r>
        <w:rPr>
          <w:rFonts w:ascii="Arial" w:eastAsia="Arial" w:hAnsi="Arial" w:cs="Arial"/>
          <w:color w:val="000000"/>
          <w:sz w:val="20"/>
        </w:rPr>
        <w:t xml:space="preserve">, 540 U.S. 44, 52-53, 124 S. Ct. 513, 157 L. Ed. 2d 357 (2003). </w:t>
      </w:r>
      <w:bookmarkStart w:id="6473" w:name="Bookmark_LNHNREFclscc4_25"/>
      <w:bookmarkEnd w:id="6473"/>
      <w:r>
        <w:rPr>
          <w:rFonts w:ascii="Arial" w:eastAsia="Arial" w:hAnsi="Arial" w:cs="Arial"/>
          <w:color w:val="000000"/>
          <w:sz w:val="20"/>
        </w:rPr>
        <w:t xml:space="preserve">The District is authorized to petition for civil commitment of any person with a mental illness who "is likely to injure himself or others." D.C. CODE §§ 21-541(a), 21-545(b)(2). By contrast, the District may petition for commitment of a person with intellectual disabilities only if he has been found incompetent to stand trial for a "crime of violence" or "sex offense," </w:t>
      </w:r>
      <w:r>
        <w:rPr>
          <w:rFonts w:ascii="Arial" w:eastAsia="Arial" w:hAnsi="Arial" w:cs="Arial"/>
          <w:i/>
          <w:color w:val="000000"/>
          <w:sz w:val="20"/>
        </w:rPr>
        <w:t>id.</w:t>
      </w:r>
      <w:r>
        <w:rPr>
          <w:rFonts w:ascii="Arial" w:eastAsia="Arial" w:hAnsi="Arial" w:cs="Arial"/>
          <w:color w:val="000000"/>
          <w:sz w:val="20"/>
        </w:rPr>
        <w:t xml:space="preserve"> §§ 7-1301.03(14C), 7-1303.04(b-1), and a court will approve commitment only if the person "is likely to cause injury to others," </w:t>
      </w:r>
      <w:r>
        <w:rPr>
          <w:rFonts w:ascii="Arial" w:eastAsia="Arial" w:hAnsi="Arial" w:cs="Arial"/>
          <w:i/>
          <w:color w:val="000000"/>
          <w:sz w:val="20"/>
        </w:rPr>
        <w:t>id.</w:t>
      </w:r>
      <w:r>
        <w:rPr>
          <w:rFonts w:ascii="Arial" w:eastAsia="Arial" w:hAnsi="Arial" w:cs="Arial"/>
          <w:color w:val="000000"/>
          <w:sz w:val="20"/>
        </w:rPr>
        <w:t xml:space="preserve"> § 7-1304.06a(d). Hence, the complaints' allegation is insufficient to state a claim for disparate impact.</w:t>
      </w:r>
    </w:p>
    <w:p w14:paraId="22431533" w14:textId="77777777" w:rsidR="002B10A6" w:rsidRDefault="00000000">
      <w:pPr>
        <w:pStyle w:val="Normal32"/>
        <w:widowControl w:val="0"/>
        <w:spacing w:before="200" w:line="260" w:lineRule="atLeast"/>
        <w:jc w:val="both"/>
      </w:pPr>
      <w:bookmarkStart w:id="6474" w:name="Bookmark_para_13_25"/>
      <w:bookmarkEnd w:id="6474"/>
      <w:r>
        <w:rPr>
          <w:rFonts w:ascii="Arial" w:eastAsia="Arial" w:hAnsi="Arial" w:cs="Arial"/>
          <w:color w:val="000000"/>
          <w:sz w:val="20"/>
        </w:rPr>
        <w:t xml:space="preserve">Finally, the [**7]  district court did not abuse its discretion by denying Seth's motions for reconsideration and for leave to file an amended complaint. </w:t>
      </w:r>
      <w:bookmarkStart w:id="6475" w:name="Bookmark_I5YRSMG52N1PY50050000400"/>
      <w:bookmarkEnd w:id="6475"/>
      <w:r>
        <w:rPr>
          <w:rFonts w:ascii="Arial" w:eastAsia="Arial" w:hAnsi="Arial" w:cs="Arial"/>
          <w:color w:val="000000"/>
          <w:sz w:val="20"/>
        </w:rPr>
        <w:t xml:space="preserve">The above analysis of Seth's allegations includes those made in his amended complaint. Because we have concluded that they fail to state a claim, granting leave to amend "could not possibly cure the deficiency" of the original complaint. </w:t>
      </w:r>
      <w:bookmarkStart w:id="6476" w:name="Bookmark_I5YRSMG52N1PY50040000400"/>
      <w:bookmarkEnd w:id="6476"/>
      <w:r>
        <w:rPr>
          <w:rFonts w:ascii="Arial" w:eastAsia="Arial" w:hAnsi="Arial" w:cs="Arial"/>
          <w:i/>
          <w:color w:val="000000"/>
          <w:sz w:val="20"/>
        </w:rPr>
        <w:t>Brink v. Cont'l Ins. Co.</w:t>
      </w:r>
      <w:r>
        <w:rPr>
          <w:rFonts w:ascii="Arial" w:eastAsia="Arial" w:hAnsi="Arial" w:cs="Arial"/>
          <w:color w:val="000000"/>
          <w:sz w:val="20"/>
        </w:rPr>
        <w:t>, 787 F.3d 1120, 1128, 415 U.S. App. D.C. 332 (D.C. Cir. 2015).</w:t>
      </w:r>
    </w:p>
    <w:p w14:paraId="029101EC" w14:textId="77777777" w:rsidR="002B10A6" w:rsidRDefault="00000000">
      <w:pPr>
        <w:pStyle w:val="Normal32"/>
        <w:widowControl w:val="0"/>
        <w:spacing w:before="200" w:line="260" w:lineRule="atLeast"/>
        <w:jc w:val="both"/>
      </w:pPr>
      <w:bookmarkStart w:id="6477" w:name="Bookmark_para_14_25"/>
      <w:bookmarkEnd w:id="6477"/>
      <w:r>
        <w:rPr>
          <w:rFonts w:ascii="Arial" w:eastAsia="Arial" w:hAnsi="Arial" w:cs="Arial"/>
          <w:color w:val="000000"/>
          <w:sz w:val="20"/>
        </w:rPr>
        <w:t xml:space="preserve">Pursuant to D.C. Circuit Rule 36, this disposition will not be published. The Clerk is directed to withhold issuance of the mandate herein until seven days after resolution of any timely petition for rehearing or petition for rehearing </w:t>
      </w:r>
      <w:r>
        <w:rPr>
          <w:rFonts w:ascii="Arial" w:eastAsia="Arial" w:hAnsi="Arial" w:cs="Arial"/>
          <w:i/>
          <w:color w:val="000000"/>
          <w:sz w:val="20"/>
        </w:rPr>
        <w:t>en banc. See</w:t>
      </w:r>
      <w:r>
        <w:rPr>
          <w:rFonts w:ascii="Arial" w:eastAsia="Arial" w:hAnsi="Arial" w:cs="Arial"/>
          <w:color w:val="000000"/>
          <w:sz w:val="20"/>
        </w:rPr>
        <w:t xml:space="preserve"> </w:t>
      </w:r>
      <w:r>
        <w:rPr>
          <w:rFonts w:ascii="Arial" w:eastAsia="Arial" w:hAnsi="Arial" w:cs="Arial"/>
          <w:smallCaps/>
          <w:color w:val="000000"/>
          <w:sz w:val="20"/>
        </w:rPr>
        <w:t>Fed. R. App. P.</w:t>
      </w:r>
      <w:r>
        <w:rPr>
          <w:rFonts w:ascii="Arial" w:eastAsia="Arial" w:hAnsi="Arial" w:cs="Arial"/>
          <w:color w:val="000000"/>
          <w:sz w:val="20"/>
        </w:rPr>
        <w:t xml:space="preserve"> 41(b); </w:t>
      </w:r>
      <w:r>
        <w:rPr>
          <w:rFonts w:ascii="Arial" w:eastAsia="Arial" w:hAnsi="Arial" w:cs="Arial"/>
          <w:smallCaps/>
          <w:color w:val="000000"/>
          <w:sz w:val="20"/>
        </w:rPr>
        <w:t>D.C. Cir. R.</w:t>
      </w:r>
      <w:r>
        <w:rPr>
          <w:rFonts w:ascii="Arial" w:eastAsia="Arial" w:hAnsi="Arial" w:cs="Arial"/>
          <w:color w:val="000000"/>
          <w:sz w:val="20"/>
        </w:rPr>
        <w:t xml:space="preserve"> 41.</w:t>
      </w:r>
    </w:p>
    <w:p w14:paraId="10037DA6" w14:textId="77777777" w:rsidR="002B10A6" w:rsidRDefault="00000000">
      <w:pPr>
        <w:pStyle w:val="Normal32"/>
        <w:widowControl w:val="0"/>
        <w:spacing w:before="200" w:line="260" w:lineRule="atLeast"/>
        <w:jc w:val="both"/>
      </w:pPr>
      <w:bookmarkStart w:id="6478" w:name="Bookmark_para_15_25"/>
      <w:bookmarkEnd w:id="6478"/>
      <w:r>
        <w:rPr>
          <w:rFonts w:ascii="Arial" w:eastAsia="Arial" w:hAnsi="Arial" w:cs="Arial"/>
          <w:b/>
          <w:color w:val="000000"/>
          <w:sz w:val="20"/>
          <w:u w:val="single"/>
        </w:rPr>
        <w:t>Per Curiam</w:t>
      </w:r>
    </w:p>
    <w:p w14:paraId="70F804A6" w14:textId="77777777" w:rsidR="002B10A6" w:rsidRDefault="002B10A6">
      <w:pPr>
        <w:pStyle w:val="Normal32"/>
      </w:pPr>
    </w:p>
    <w:p w14:paraId="75D73FC0" w14:textId="6BF46DD8" w:rsidR="002B10A6" w:rsidRDefault="00000000">
      <w:pPr>
        <w:pStyle w:val="Normal32"/>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30944" behindDoc="0" locked="0" layoutInCell="1" allowOverlap="1" wp14:anchorId="3327FB1C" wp14:editId="48AE90C3">
                <wp:simplePos x="0" y="0"/>
                <wp:positionH relativeFrom="column">
                  <wp:posOffset>0</wp:posOffset>
                </wp:positionH>
                <wp:positionV relativeFrom="paragraph">
                  <wp:posOffset>127000</wp:posOffset>
                </wp:positionV>
                <wp:extent cx="6502400" cy="0"/>
                <wp:effectExtent l="9525" t="12700" r="12700" b="6350"/>
                <wp:wrapNone/>
                <wp:docPr id="26391951"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822202" id="Line 72"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DB594DF" w14:textId="77777777" w:rsidR="002B10A6" w:rsidRDefault="002B10A6">
      <w:pPr>
        <w:pStyle w:val="Normal33"/>
        <w:sectPr w:rsidR="002B10A6">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gutter="0"/>
          <w:cols w:space="720"/>
          <w:titlePg/>
        </w:sectPr>
      </w:pPr>
    </w:p>
    <w:p w14:paraId="1A1D0D0D" w14:textId="77777777" w:rsidR="002B10A6" w:rsidRDefault="002B10A6">
      <w:pPr>
        <w:pStyle w:val="Normal33"/>
      </w:pPr>
    </w:p>
    <w:p w14:paraId="678A5D9F" w14:textId="77777777" w:rsidR="002B10A6" w:rsidRDefault="00000000">
      <w:pPr>
        <w:pStyle w:val="Heading132"/>
        <w:keepNext w:val="0"/>
        <w:widowControl w:val="0"/>
        <w:spacing w:after="200" w:line="340" w:lineRule="atLeast"/>
        <w:jc w:val="center"/>
      </w:pPr>
      <w:r>
        <w:rPr>
          <w:rFonts w:eastAsia="Arial"/>
          <w:color w:val="000000"/>
          <w:sz w:val="28"/>
        </w:rPr>
        <w:t>Smith v. Harris Cty.</w:t>
      </w:r>
    </w:p>
    <w:p w14:paraId="42369BEA" w14:textId="77777777" w:rsidR="002B10A6" w:rsidRDefault="00000000">
      <w:pPr>
        <w:pStyle w:val="Normal33"/>
        <w:widowControl w:val="0"/>
        <w:spacing w:before="120" w:line="260" w:lineRule="atLeast"/>
        <w:jc w:val="center"/>
      </w:pPr>
      <w:r>
        <w:rPr>
          <w:rFonts w:ascii="Arial" w:eastAsia="Arial" w:hAnsi="Arial" w:cs="Arial"/>
          <w:color w:val="000000"/>
          <w:sz w:val="20"/>
        </w:rPr>
        <w:t>United States Court of Appeals for the Fifth Circuit</w:t>
      </w:r>
    </w:p>
    <w:p w14:paraId="44084337" w14:textId="77777777" w:rsidR="002B10A6" w:rsidRDefault="00000000">
      <w:pPr>
        <w:pStyle w:val="Normal33"/>
        <w:widowControl w:val="0"/>
        <w:spacing w:before="120" w:line="260" w:lineRule="atLeast"/>
        <w:jc w:val="center"/>
      </w:pPr>
      <w:r>
        <w:rPr>
          <w:rFonts w:ascii="Arial" w:eastAsia="Arial" w:hAnsi="Arial" w:cs="Arial"/>
          <w:color w:val="000000"/>
          <w:sz w:val="20"/>
        </w:rPr>
        <w:t>April 15, 2020, Filed</w:t>
      </w:r>
    </w:p>
    <w:p w14:paraId="0C075B57" w14:textId="77777777" w:rsidR="002B10A6" w:rsidRDefault="00000000">
      <w:pPr>
        <w:pStyle w:val="Normal33"/>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19-20194</w:t>
      </w:r>
    </w:p>
    <w:p w14:paraId="1147E197" w14:textId="77777777" w:rsidR="002B10A6" w:rsidRDefault="002B10A6">
      <w:pPr>
        <w:pStyle w:val="Normal33"/>
        <w:widowControl w:val="0"/>
        <w:spacing w:line="240" w:lineRule="atLeast"/>
        <w:jc w:val="both"/>
      </w:pPr>
      <w:bookmarkStart w:id="6479" w:name="Bookmark_34"/>
      <w:bookmarkEnd w:id="6479"/>
    </w:p>
    <w:p w14:paraId="0DA60E30" w14:textId="77777777" w:rsidR="002B10A6" w:rsidRDefault="00000000">
      <w:pPr>
        <w:pStyle w:val="Normal33"/>
        <w:widowControl w:val="0"/>
        <w:spacing w:before="200" w:line="240" w:lineRule="atLeast"/>
      </w:pPr>
      <w:bookmarkStart w:id="6480" w:name="Reporter_32"/>
      <w:bookmarkEnd w:id="6480"/>
      <w:r>
        <w:rPr>
          <w:rFonts w:ascii="Arial" w:eastAsia="Arial" w:hAnsi="Arial" w:cs="Arial"/>
          <w:b/>
          <w:color w:val="000000"/>
          <w:sz w:val="18"/>
        </w:rPr>
        <w:t>Reporter</w:t>
      </w:r>
    </w:p>
    <w:p w14:paraId="367B00FC" w14:textId="77777777" w:rsidR="002B10A6" w:rsidRDefault="00000000">
      <w:pPr>
        <w:pStyle w:val="Normal33"/>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956 F.3d 311 *; 2020 U.S. App. LEXIS 11945 **; 2020 WL 1873205</w:t>
      </w:r>
    </w:p>
    <w:p w14:paraId="27E18A35" w14:textId="77777777" w:rsidR="002B10A6" w:rsidRDefault="00000000">
      <w:pPr>
        <w:pStyle w:val="Normal33"/>
        <w:widowControl w:val="0"/>
        <w:spacing w:before="120" w:line="260" w:lineRule="atLeast"/>
      </w:pPr>
      <w:r>
        <w:rPr>
          <w:rFonts w:ascii="Arial" w:eastAsia="Arial" w:hAnsi="Arial" w:cs="Arial"/>
          <w:color w:val="000000"/>
          <w:sz w:val="20"/>
        </w:rPr>
        <w:t>JACQUELINE SMITH, Independent Administrator of the Estate of Danarian Hawkins, Deceased, Plaintiff - Appellant v. HARRIS COUNTY, TEXAS, Defendant - Appellee</w:t>
      </w:r>
    </w:p>
    <w:p w14:paraId="127FD1BF" w14:textId="77777777" w:rsidR="002B10A6" w:rsidRDefault="00000000">
      <w:pPr>
        <w:pStyle w:val="Normal33"/>
        <w:widowControl w:val="0"/>
        <w:spacing w:before="240" w:line="260" w:lineRule="atLeast"/>
        <w:jc w:val="both"/>
      </w:pPr>
      <w:bookmarkStart w:id="6481" w:name="Prior_History_32"/>
      <w:bookmarkEnd w:id="6481"/>
      <w:r>
        <w:rPr>
          <w:rFonts w:ascii="Arial" w:eastAsia="Arial" w:hAnsi="Arial" w:cs="Arial"/>
          <w:b/>
          <w:color w:val="000000"/>
          <w:sz w:val="20"/>
        </w:rPr>
        <w:t>Prior History:</w:t>
      </w:r>
      <w:r>
        <w:rPr>
          <w:rFonts w:ascii="Arial" w:eastAsia="Arial" w:hAnsi="Arial" w:cs="Arial"/>
          <w:color w:val="000000"/>
          <w:sz w:val="20"/>
        </w:rPr>
        <w:t> </w:t>
      </w:r>
      <w:bookmarkStart w:id="6482" w:name="Bookmark_para_1_32"/>
      <w:bookmarkEnd w:id="6482"/>
      <w:r>
        <w:rPr>
          <w:rFonts w:ascii="Arial" w:eastAsia="Arial" w:hAnsi="Arial" w:cs="Arial"/>
          <w:color w:val="000000"/>
          <w:sz w:val="20"/>
        </w:rPr>
        <w:t> [**1] Appeal from the United States District Court for the Southern District of Texas.</w:t>
      </w:r>
    </w:p>
    <w:p w14:paraId="4C9E5298" w14:textId="77777777" w:rsidR="002B10A6" w:rsidRDefault="00000000">
      <w:pPr>
        <w:pStyle w:val="Normal33"/>
        <w:widowControl w:val="0"/>
        <w:spacing w:before="240" w:line="260" w:lineRule="atLeast"/>
      </w:pPr>
      <w:bookmarkStart w:id="6483" w:name="Counsel_31"/>
      <w:bookmarkEnd w:id="6483"/>
      <w:r>
        <w:rPr>
          <w:rFonts w:ascii="Arial" w:eastAsia="Arial" w:hAnsi="Arial" w:cs="Arial"/>
          <w:b/>
          <w:color w:val="000000"/>
          <w:sz w:val="20"/>
        </w:rPr>
        <w:t>Counsel:</w:t>
      </w:r>
      <w:r>
        <w:rPr>
          <w:rFonts w:ascii="Arial" w:eastAsia="Arial" w:hAnsi="Arial" w:cs="Arial"/>
          <w:color w:val="000000"/>
          <w:sz w:val="20"/>
        </w:rPr>
        <w:t> For JACQUELINE SMITH, Independent Administrator of the Estate of Danarian Hawkins, Deceased, Plaintiff - Appellant: Amy Couvillon Eikel, Thomas M. Gutting, King &amp; Spalding, L.L.P., Houston, TX; Ranjana Natarajan, University of Texas School of Law, Civil Rights Clinic, Austin, TX; Peter Steffensen, Texas Civil Rights Project, Austin, TX.</w:t>
      </w:r>
    </w:p>
    <w:p w14:paraId="70D3729F" w14:textId="77777777" w:rsidR="002B10A6" w:rsidRDefault="00000000">
      <w:pPr>
        <w:pStyle w:val="Normal33"/>
        <w:widowControl w:val="0"/>
        <w:spacing w:before="120" w:line="260" w:lineRule="atLeast"/>
      </w:pPr>
      <w:r>
        <w:rPr>
          <w:rFonts w:ascii="Arial" w:eastAsia="Arial" w:hAnsi="Arial" w:cs="Arial"/>
          <w:color w:val="000000"/>
          <w:sz w:val="20"/>
        </w:rPr>
        <w:t>For Harris County, Texas, Defendant - Appellee: Laura Beckman Hedge, County Attorney's Office for the County of Harris, Houston, TX; Fred Alton Keys Jr., Esq., Fred Keys Consulting, L.L.C., Sonoita, AZ.</w:t>
      </w:r>
    </w:p>
    <w:p w14:paraId="7AE1430E" w14:textId="77777777" w:rsidR="002B10A6" w:rsidRDefault="00000000">
      <w:pPr>
        <w:pStyle w:val="Normal33"/>
        <w:widowControl w:val="0"/>
        <w:spacing w:before="240" w:line="260" w:lineRule="atLeast"/>
      </w:pPr>
      <w:bookmarkStart w:id="6484" w:name="Judges_32"/>
      <w:bookmarkEnd w:id="6484"/>
      <w:r>
        <w:rPr>
          <w:rFonts w:ascii="Arial" w:eastAsia="Arial" w:hAnsi="Arial" w:cs="Arial"/>
          <w:b/>
          <w:color w:val="000000"/>
          <w:sz w:val="20"/>
        </w:rPr>
        <w:t>Judges:</w:t>
      </w:r>
      <w:r>
        <w:rPr>
          <w:rFonts w:ascii="Arial" w:eastAsia="Arial" w:hAnsi="Arial" w:cs="Arial"/>
          <w:color w:val="000000"/>
          <w:sz w:val="20"/>
        </w:rPr>
        <w:t> Before KING, COSTA, and HO, Circuit Judges.</w:t>
      </w:r>
    </w:p>
    <w:p w14:paraId="2ED675AF" w14:textId="77777777" w:rsidR="002B10A6" w:rsidRDefault="00000000">
      <w:pPr>
        <w:pStyle w:val="Normal33"/>
        <w:widowControl w:val="0"/>
        <w:spacing w:before="240" w:line="260" w:lineRule="atLeast"/>
      </w:pPr>
      <w:bookmarkStart w:id="6485" w:name="Opinion_by_22"/>
      <w:bookmarkEnd w:id="6485"/>
      <w:r>
        <w:rPr>
          <w:rFonts w:ascii="Arial" w:eastAsia="Arial" w:hAnsi="Arial" w:cs="Arial"/>
          <w:b/>
          <w:color w:val="000000"/>
          <w:sz w:val="20"/>
        </w:rPr>
        <w:t>Opinion by:</w:t>
      </w:r>
      <w:r>
        <w:rPr>
          <w:rFonts w:ascii="Arial" w:eastAsia="Arial" w:hAnsi="Arial" w:cs="Arial"/>
          <w:color w:val="000000"/>
          <w:sz w:val="20"/>
        </w:rPr>
        <w:t> KING</w:t>
      </w:r>
    </w:p>
    <w:p w14:paraId="746D8F51" w14:textId="77777777" w:rsidR="002B10A6" w:rsidRDefault="00000000">
      <w:pPr>
        <w:pStyle w:val="Normal33"/>
        <w:keepNext/>
        <w:widowControl w:val="0"/>
        <w:spacing w:before="240" w:line="340" w:lineRule="atLeast"/>
      </w:pPr>
      <w:bookmarkStart w:id="6486" w:name="Opinion_32"/>
      <w:bookmarkEnd w:id="6486"/>
      <w:r>
        <w:rPr>
          <w:rFonts w:ascii="Arial" w:eastAsia="Arial" w:hAnsi="Arial" w:cs="Arial"/>
          <w:b/>
          <w:color w:val="000000"/>
          <w:sz w:val="28"/>
        </w:rPr>
        <w:t>Opinion</w:t>
      </w:r>
    </w:p>
    <w:p w14:paraId="2A2000FA" w14:textId="3018BE25" w:rsidR="002B10A6" w:rsidRDefault="002D6974">
      <w:pPr>
        <w:pStyle w:val="Normal33"/>
        <w:spacing w:line="60" w:lineRule="exact"/>
      </w:pPr>
      <w:r>
        <w:rPr>
          <w:noProof/>
        </w:rPr>
        <mc:AlternateContent>
          <mc:Choice Requires="wps">
            <w:drawing>
              <wp:anchor distT="0" distB="0" distL="114300" distR="114300" simplePos="0" relativeHeight="251731968" behindDoc="0" locked="0" layoutInCell="1" allowOverlap="1" wp14:anchorId="1FD92E80" wp14:editId="732A129B">
                <wp:simplePos x="0" y="0"/>
                <wp:positionH relativeFrom="column">
                  <wp:posOffset>0</wp:posOffset>
                </wp:positionH>
                <wp:positionV relativeFrom="paragraph">
                  <wp:posOffset>25400</wp:posOffset>
                </wp:positionV>
                <wp:extent cx="3187700" cy="0"/>
                <wp:effectExtent l="19050" t="15875" r="12700" b="12700"/>
                <wp:wrapTopAndBottom/>
                <wp:docPr id="1355794602"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A815A4" id="Line 73"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8D235B0" w14:textId="77777777" w:rsidR="002B10A6" w:rsidRDefault="002B10A6">
      <w:pPr>
        <w:pStyle w:val="Normal33"/>
      </w:pPr>
    </w:p>
    <w:p w14:paraId="236263A0" w14:textId="77777777" w:rsidR="002B10A6" w:rsidRDefault="00000000">
      <w:pPr>
        <w:pStyle w:val="Normal33"/>
        <w:widowControl w:val="0"/>
        <w:spacing w:before="200" w:line="260" w:lineRule="atLeast"/>
        <w:jc w:val="both"/>
      </w:pPr>
      <w:bookmarkStart w:id="6487" w:name="Bookmark_para_2_32"/>
      <w:bookmarkEnd w:id="6487"/>
      <w:r>
        <w:rPr>
          <w:rFonts w:ascii="Arial" w:eastAsia="Arial" w:hAnsi="Arial" w:cs="Arial"/>
          <w:color w:val="000000"/>
          <w:sz w:val="20"/>
        </w:rPr>
        <w:t> [*314]  KING, Circuit Judge:</w:t>
      </w:r>
    </w:p>
    <w:p w14:paraId="1094BDEE" w14:textId="77777777" w:rsidR="002B10A6" w:rsidRDefault="00000000">
      <w:pPr>
        <w:pStyle w:val="Normal33"/>
        <w:widowControl w:val="0"/>
        <w:spacing w:before="200" w:line="260" w:lineRule="atLeast"/>
        <w:jc w:val="both"/>
      </w:pPr>
      <w:bookmarkStart w:id="6488" w:name="Bookmark_para_3_32"/>
      <w:bookmarkEnd w:id="6488"/>
      <w:r>
        <w:rPr>
          <w:rFonts w:ascii="Arial" w:eastAsia="Arial" w:hAnsi="Arial" w:cs="Arial"/>
          <w:color w:val="000000"/>
          <w:sz w:val="20"/>
        </w:rPr>
        <w:t>Danarian Hawkins committed suicide while incarcerated in the Harris County Jail. Jacqueline Smith, his mother, is now suing Harris County for compensatory damages under Title II of the Americans with Disabilities Act and Section 504 of the Rehabilitation Act. These laws allow Smith to recover damages only if she can prove that Harris County or its employees intentionally discriminated against Hawkins. Because Smith cannot prove that Hawkins was subjected to intentional discrimination, the district court correctly granted [**2]  summary judgment to Harris County, and we AFFIRM.</w:t>
      </w:r>
    </w:p>
    <w:p w14:paraId="35470DE8" w14:textId="77777777" w:rsidR="002B10A6" w:rsidRDefault="00000000">
      <w:pPr>
        <w:pStyle w:val="Normal33"/>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01ED4AD6" w14:textId="77777777" w:rsidR="002B10A6" w:rsidRDefault="00000000">
      <w:pPr>
        <w:pStyle w:val="Normal33"/>
        <w:widowControl w:val="0"/>
        <w:spacing w:before="200" w:line="260" w:lineRule="atLeast"/>
        <w:jc w:val="both"/>
      </w:pPr>
      <w:bookmarkStart w:id="6489" w:name="Bookmark_para_4_32"/>
      <w:bookmarkEnd w:id="6489"/>
      <w:r>
        <w:rPr>
          <w:rFonts w:ascii="Arial" w:eastAsia="Arial" w:hAnsi="Arial" w:cs="Arial"/>
          <w:color w:val="000000"/>
          <w:sz w:val="20"/>
        </w:rPr>
        <w:t>Between 2009 and his death in 2014, Hawkins spent much of his time imprisoned in the Harris County Jail. On several occasions, Hawkins's suicide attempts, suicidal statements, and self-harming behavior caused him to be transferred to the jail's Mental Health Unit (MHU), but his stays never lasted longer than two weeks. In the eighteen months before his death, Hawkins spent his time outside the MHU housed in administrative separation. Hawkins was placed in administrative separation because he was considered a threat to the safety of other prisoners.</w:t>
      </w:r>
    </w:p>
    <w:p w14:paraId="075CA726" w14:textId="77777777" w:rsidR="002B10A6" w:rsidRDefault="00000000">
      <w:pPr>
        <w:pStyle w:val="Normal33"/>
        <w:widowControl w:val="0"/>
        <w:spacing w:before="200" w:line="260" w:lineRule="atLeast"/>
        <w:jc w:val="both"/>
      </w:pPr>
      <w:bookmarkStart w:id="6490" w:name="Bookmark_para_5_32"/>
      <w:bookmarkEnd w:id="6490"/>
      <w:r>
        <w:rPr>
          <w:rFonts w:ascii="Arial" w:eastAsia="Arial" w:hAnsi="Arial" w:cs="Arial"/>
          <w:color w:val="000000"/>
          <w:sz w:val="20"/>
        </w:rPr>
        <w:t>Hawkins made several suicide attempts at the Harris County Jail. In September 2009, Hawkins attempted to hang himself by tying his shirt into a knot. In June 2010, he was found kneeling in a vestibule trying to hang himself with his pants tied to a door handle. The following month, he was again discovered attempting to tie his pants to the handle of a door; Hawkins reported at that time that he was "feeling suicidal and homicidal." In June 2011, a guard discovered Hawkins in his cell with a sheet wrapped around his neck and the other end of the sheet tied around the rail of the top bunk. [**3]  Hawkins's next suicide attempt took place in April 2013, when Detention Officer Christopher Cano found Hawkins in his cell with one end of a bed sheet tied to the smoke detector on the ceiling, and the other end tied tightly around his neck. In July 2013, Hawkins overdosed by taking approximately 100 pills, which he had stockpiled by hiding the  [*315]  pills under his tongue while "taking" his medication at the jail's medical center.</w:t>
      </w:r>
    </w:p>
    <w:p w14:paraId="08850127" w14:textId="77777777" w:rsidR="002B10A6" w:rsidRDefault="00000000">
      <w:pPr>
        <w:pStyle w:val="Normal33"/>
        <w:widowControl w:val="0"/>
        <w:spacing w:before="200" w:line="260" w:lineRule="atLeast"/>
        <w:jc w:val="both"/>
      </w:pPr>
      <w:bookmarkStart w:id="6491" w:name="Bookmark_para_6_32"/>
      <w:bookmarkEnd w:id="6491"/>
      <w:r>
        <w:rPr>
          <w:rFonts w:ascii="Arial" w:eastAsia="Arial" w:hAnsi="Arial" w:cs="Arial"/>
          <w:color w:val="000000"/>
          <w:sz w:val="20"/>
        </w:rPr>
        <w:t>On January 17, 2014, Detention Officer Timothy Owens encountered Hawkins outside of his cell with one end of a sheet tied around his neck. Hawkins was attempting to tie the other end of the sheet to the top rail of the cell block's upper deck. When Owens asked Hawkins what he was doing, Hawkins said that he was hearing voices telling him to kill himself. Owens restrained Hawkins and placed him in a suicide smock so he could not hurt himself.</w:t>
      </w:r>
    </w:p>
    <w:p w14:paraId="7189DCF1" w14:textId="77777777" w:rsidR="002B10A6" w:rsidRDefault="00000000">
      <w:pPr>
        <w:pStyle w:val="Normal33"/>
        <w:widowControl w:val="0"/>
        <w:spacing w:before="200" w:line="260" w:lineRule="atLeast"/>
        <w:jc w:val="both"/>
      </w:pPr>
      <w:bookmarkStart w:id="6492" w:name="Bookmark_para_7_32"/>
      <w:bookmarkEnd w:id="6492"/>
      <w:r>
        <w:rPr>
          <w:rFonts w:ascii="Arial" w:eastAsia="Arial" w:hAnsi="Arial" w:cs="Arial"/>
          <w:color w:val="000000"/>
          <w:sz w:val="20"/>
        </w:rPr>
        <w:t>Hawkins was subsequently transferred to the MHU, where he spent the next two weeks. During that time, he was prescribed additional medication and met regularly with psychiatrist Dr. Enrique Huerta. On January 31, 2014, after beginning to observe improvement in Hawkins's condition, Dr. Huerta discharged Hawkins from the MHU. [**4]  Upon Hawkins's discharge, jail classification staff decided to return Hawkins to administrative separation in the same cell block where Hawkins had attempted to kill himself by tying a bed sheet to the smoke detector.</w:t>
      </w:r>
    </w:p>
    <w:p w14:paraId="50EE0BCE" w14:textId="77777777" w:rsidR="002B10A6" w:rsidRDefault="00000000">
      <w:pPr>
        <w:pStyle w:val="Normal33"/>
        <w:widowControl w:val="0"/>
        <w:spacing w:before="200" w:line="260" w:lineRule="atLeast"/>
        <w:jc w:val="both"/>
      </w:pPr>
      <w:bookmarkStart w:id="6493" w:name="Bookmark_para_8_32"/>
      <w:bookmarkEnd w:id="6493"/>
      <w:r>
        <w:rPr>
          <w:rFonts w:ascii="Arial" w:eastAsia="Arial" w:hAnsi="Arial" w:cs="Arial"/>
          <w:color w:val="000000"/>
          <w:sz w:val="20"/>
        </w:rPr>
        <w:t>On February 4, 2014, the day before Hawkins committed suicide, he spoke to Chelsea Ford, a Texas-licensed practitioner of the healing arts, during her twice-weekly rounds. As part of her duties, Ford was responsible for checking to see whether any prisoners were suicide risks. Hawkins told Ford that he had recently attempted to commit suicide and that the Illuminati "is watching me and makes me want to kill myself." When Ford pressed for more information, Hawkins indicated that he was not presently experiencing suicidal ideation. Ford told Hawkins to notify her or others if his suicidal thoughts increased or if he felt the need to act on them, and Hawkins apparently agreed to comply. Based on this interaction, Ford did not believe that Hawkins was suicidal.</w:t>
      </w:r>
    </w:p>
    <w:p w14:paraId="5747B354" w14:textId="77777777" w:rsidR="002B10A6" w:rsidRDefault="00000000">
      <w:pPr>
        <w:pStyle w:val="Normal33"/>
        <w:widowControl w:val="0"/>
        <w:spacing w:before="200" w:line="260" w:lineRule="atLeast"/>
        <w:jc w:val="both"/>
      </w:pPr>
      <w:bookmarkStart w:id="6494" w:name="Bookmark_para_9_32"/>
      <w:bookmarkEnd w:id="6494"/>
      <w:r>
        <w:rPr>
          <w:rFonts w:ascii="Arial" w:eastAsia="Arial" w:hAnsi="Arial" w:cs="Arial"/>
          <w:color w:val="000000"/>
          <w:sz w:val="20"/>
        </w:rPr>
        <w:t>At approximately 10:02 P.M. the following day, Detention Officer Cano—who rescued Hawkins during his April 2013 suicide attempt—began conducting an observation round in Hawkins's cell block. When he reached Hawkins's [**5]  cell at 10:10 P.M., he noticed that a towel was covering the cell window, which was a violation of jail policy. Cano knocked on the door to get Hawkins's attention; when there was no response, Cano unlocked the pan-hole door and peered through. Cano saw Hawkins hanging from the smoke detector on the ceiling, with a sheet tied around his neck. He called for backup and, with assistance, was able to remove the sheet from the smoke detector and get Hawkins down on his back in the bunk. As other officers and inmates attempted to loosen and untie the knot around Hawkins's neck to free his air way, Cano began performing CPR. Nurses soon arrived and carried Hawkins on a stretcher to the jail's clinic. Hawkins was pronounced dead at 10:43 P.M.</w:t>
      </w:r>
    </w:p>
    <w:p w14:paraId="74B78104" w14:textId="77777777" w:rsidR="002B10A6" w:rsidRDefault="00000000">
      <w:pPr>
        <w:pStyle w:val="Normal33"/>
        <w:widowControl w:val="0"/>
        <w:spacing w:before="200" w:line="260" w:lineRule="atLeast"/>
        <w:jc w:val="both"/>
      </w:pPr>
      <w:bookmarkStart w:id="6495" w:name="Bookmark_para_10_31"/>
      <w:bookmarkEnd w:id="6495"/>
      <w:r>
        <w:rPr>
          <w:rFonts w:ascii="Arial" w:eastAsia="Arial" w:hAnsi="Arial" w:cs="Arial"/>
          <w:color w:val="000000"/>
          <w:sz w:val="20"/>
        </w:rPr>
        <w:t>Smith filed suit against Harris County seeking to recover compensatory damages on behalf of Hawkins's estate. According to Smith, Harris County violated Section 504 of the Rehabilitation Act and Title II of the Americans with Disabilities Act by failing to: (i) replace the sheet on Hawkins's bed with a knot-proof suicide blanket; (ii) modify the smoke detector in Hawkins's cell such that it could not be used as a tie-off point for a noose; (iii) refer Hawkins to [**6]  the MHU following his conversation with Ford; (iv) remove the towel covering Hawkins's window on the night he died; (v) follow the jail policy requiring twenty-five-minute observation rounds in the administrative-separation section, where Hawkins was housed; and (vi) monitor Hawkins every five to ten minutes.</w:t>
      </w:r>
    </w:p>
    <w:p w14:paraId="3EDD7F0C" w14:textId="77777777" w:rsidR="002B10A6" w:rsidRDefault="00000000">
      <w:pPr>
        <w:pStyle w:val="Normal33"/>
        <w:widowControl w:val="0"/>
        <w:spacing w:before="200" w:line="260" w:lineRule="atLeast"/>
        <w:jc w:val="both"/>
      </w:pPr>
      <w:bookmarkStart w:id="6496" w:name="Bookmark_para_11_27"/>
      <w:bookmarkEnd w:id="6496"/>
      <w:r>
        <w:rPr>
          <w:rFonts w:ascii="Arial" w:eastAsia="Arial" w:hAnsi="Arial" w:cs="Arial"/>
          <w:color w:val="000000"/>
          <w:sz w:val="20"/>
        </w:rPr>
        <w:t>Harris County moved for summary judgment on all of Smith's claims. Among  [*316]  other things, Harris County argued that Smith "has no evidence of intentional discrimination, which is required for compensatory damages." Smith conceded that she needed to prove intentional discrimination to recover compensatory damages, but she argued that she had introduced sufficient evidence to survive summary judgment. The district court disagreed on the latter point and granted Harris County's motion. This appeal followed.</w:t>
      </w:r>
    </w:p>
    <w:p w14:paraId="525FCE4B" w14:textId="77777777" w:rsidR="002B10A6" w:rsidRDefault="00000000">
      <w:pPr>
        <w:pStyle w:val="Normal33"/>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4079F268" w14:textId="77777777" w:rsidR="002B10A6" w:rsidRDefault="00000000">
      <w:pPr>
        <w:pStyle w:val="Normal33"/>
        <w:widowControl w:val="0"/>
        <w:spacing w:before="200" w:line="260" w:lineRule="atLeast"/>
        <w:jc w:val="both"/>
      </w:pPr>
      <w:bookmarkStart w:id="6497" w:name="Bookmark_para_12_26"/>
      <w:bookmarkStart w:id="6498" w:name="Bookmark_LNHNREFclscc1_26"/>
      <w:bookmarkStart w:id="6499" w:name="Bookmark_I5YP2VMT2D6N790020000400"/>
      <w:bookmarkEnd w:id="6497"/>
      <w:bookmarkEnd w:id="6498"/>
      <w:bookmarkEnd w:id="6499"/>
      <w:r>
        <w:rPr>
          <w:rFonts w:ascii="Arial" w:eastAsia="Arial" w:hAnsi="Arial" w:cs="Arial"/>
          <w:color w:val="000000"/>
          <w:sz w:val="20"/>
        </w:rPr>
        <w:t xml:space="preserve">We review the district court's summary-judgment ruling de novo, applying the same standards as the district court. </w:t>
      </w:r>
      <w:bookmarkStart w:id="6500" w:name="Bookmark_I5YP2VMT2D6N790040000400"/>
      <w:bookmarkStart w:id="6501" w:name="Bookmark_I5YP2VMT2D6N790010000400"/>
      <w:bookmarkEnd w:id="6500"/>
      <w:bookmarkEnd w:id="6501"/>
      <w:r>
        <w:rPr>
          <w:rFonts w:ascii="Arial" w:eastAsia="Arial" w:hAnsi="Arial" w:cs="Arial"/>
          <w:i/>
          <w:color w:val="000000"/>
          <w:sz w:val="20"/>
        </w:rPr>
        <w:t>Windham v. Harris County</w:t>
      </w:r>
      <w:r>
        <w:rPr>
          <w:rFonts w:ascii="Arial" w:eastAsia="Arial" w:hAnsi="Arial" w:cs="Arial"/>
          <w:color w:val="000000"/>
          <w:sz w:val="20"/>
        </w:rPr>
        <w:t xml:space="preserve">, 875 F.3d 229, 234 (5th Cir. 2017). Summary judgment is appropriate if "the movant shows that there is no genuine dispute as to any material fact and the movant is entitled to judgment as a matter of law." Fed. R. Civ. P. 56(a). </w:t>
      </w:r>
      <w:bookmarkStart w:id="6502" w:name="Bookmark_I5YP2VMT2D6N790040000400_2"/>
      <w:bookmarkStart w:id="6503" w:name="Bookmark_I5YP2VMW2D6N7R0010000400"/>
      <w:bookmarkEnd w:id="6502"/>
      <w:bookmarkEnd w:id="6503"/>
      <w:r>
        <w:rPr>
          <w:rFonts w:ascii="Arial" w:eastAsia="Arial" w:hAnsi="Arial" w:cs="Arial"/>
          <w:color w:val="000000"/>
          <w:sz w:val="20"/>
        </w:rPr>
        <w:t xml:space="preserve">For this purpose, factual disputes are material if they "might affect the outcome of the suit [**7]  under the governing law," and they are genuine "if the evidence is such that a reasonable jury could return a verdict for the nonmoving party." </w:t>
      </w:r>
      <w:bookmarkStart w:id="6504" w:name="Bookmark_I5YP2VMT2D6N790030000400"/>
      <w:bookmarkEnd w:id="6504"/>
      <w:r>
        <w:rPr>
          <w:rFonts w:ascii="Arial" w:eastAsia="Arial" w:hAnsi="Arial" w:cs="Arial"/>
          <w:i/>
          <w:color w:val="000000"/>
          <w:sz w:val="20"/>
        </w:rPr>
        <w:t>Anderson v. Liberty Lobby, Inc.</w:t>
      </w:r>
      <w:r>
        <w:rPr>
          <w:rFonts w:ascii="Arial" w:eastAsia="Arial" w:hAnsi="Arial" w:cs="Arial"/>
          <w:color w:val="000000"/>
          <w:sz w:val="20"/>
        </w:rPr>
        <w:t>, 477 U.S. 242, 248, 106 S. Ct. 2505, 91 L. Ed. 2d 202 (1986).</w:t>
      </w:r>
    </w:p>
    <w:p w14:paraId="21554D7C" w14:textId="77777777" w:rsidR="002B10A6" w:rsidRDefault="00000000">
      <w:pPr>
        <w:pStyle w:val="Normal33"/>
        <w:widowControl w:val="0"/>
        <w:spacing w:line="260" w:lineRule="atLeast"/>
        <w:ind w:left="400"/>
        <w:jc w:val="both"/>
      </w:pPr>
      <w:bookmarkStart w:id="6505" w:name="Bookmark_para_13_26"/>
      <w:bookmarkStart w:id="6506" w:name="Bookmark_LNHNREFclscc2_26"/>
      <w:bookmarkStart w:id="6507" w:name="Bookmark_I5YP2VMW2D6N7R0010000400_2"/>
      <w:bookmarkEnd w:id="6505"/>
      <w:bookmarkEnd w:id="6506"/>
      <w:bookmarkEnd w:id="6507"/>
      <w:r>
        <w:rPr>
          <w:rFonts w:ascii="Arial" w:eastAsia="Arial" w:hAnsi="Arial" w:cs="Arial"/>
          <w:color w:val="000000"/>
          <w:sz w:val="20"/>
        </w:rPr>
        <w:t>When a defendant moves for summary judgment and identifies a lack of evidence to support the plaintiff's claim on an issue for which the plaintiff would bear the burden of proof at trial, then the defendant is entitled to summary judgment unless the plaintiff is able to produce "summary judgment evidence sufficient to sustain a finding in plaintiff's favor on that issue."</w:t>
      </w:r>
    </w:p>
    <w:p w14:paraId="608A4F62" w14:textId="77777777" w:rsidR="002B10A6" w:rsidRDefault="00000000">
      <w:pPr>
        <w:pStyle w:val="Normal33"/>
        <w:widowControl w:val="0"/>
        <w:spacing w:before="200" w:line="260" w:lineRule="atLeast"/>
        <w:jc w:val="both"/>
      </w:pPr>
      <w:bookmarkStart w:id="6508" w:name="Bookmark_I5YP2VMW2D6N7R0010000400_3"/>
      <w:bookmarkStart w:id="6509" w:name="Bookmark_I5YP2VMW2D6N7R0050000400"/>
      <w:bookmarkStart w:id="6510" w:name="Bookmark_I5YP2VMT2D6N790050000400"/>
      <w:bookmarkEnd w:id="6508"/>
      <w:bookmarkEnd w:id="6509"/>
      <w:bookmarkEnd w:id="6510"/>
      <w:r>
        <w:rPr>
          <w:rFonts w:ascii="Arial" w:eastAsia="Arial" w:hAnsi="Arial" w:cs="Arial"/>
          <w:i/>
          <w:color w:val="000000"/>
          <w:sz w:val="20"/>
        </w:rPr>
        <w:t>James v. State Farm Mut. Auto. Ins. Co.</w:t>
      </w:r>
      <w:r>
        <w:rPr>
          <w:rFonts w:ascii="Arial" w:eastAsia="Arial" w:hAnsi="Arial" w:cs="Arial"/>
          <w:color w:val="000000"/>
          <w:sz w:val="20"/>
        </w:rPr>
        <w:t xml:space="preserve">, 743 F.3d 65, 68 (5th Cir. 2014) (quoting </w:t>
      </w:r>
      <w:bookmarkStart w:id="6511" w:name="Bookmark_I5YP2VMW2D6N7R0020000400"/>
      <w:bookmarkEnd w:id="6511"/>
      <w:r>
        <w:rPr>
          <w:rFonts w:ascii="Arial" w:eastAsia="Arial" w:hAnsi="Arial" w:cs="Arial"/>
          <w:i/>
          <w:color w:val="000000"/>
          <w:sz w:val="20"/>
        </w:rPr>
        <w:t>Kovacic v. Villarreal</w:t>
      </w:r>
      <w:r>
        <w:rPr>
          <w:rFonts w:ascii="Arial" w:eastAsia="Arial" w:hAnsi="Arial" w:cs="Arial"/>
          <w:color w:val="000000"/>
          <w:sz w:val="20"/>
        </w:rPr>
        <w:t xml:space="preserve">, 628 F.3d 209, 212 (5th Cir. 2010)). </w:t>
      </w:r>
      <w:bookmarkStart w:id="6512" w:name="Bookmark_LNHNREFclscc3_26"/>
      <w:bookmarkStart w:id="6513" w:name="Bookmark_I5YP2VMW2D6N7R0050000400_2"/>
      <w:bookmarkEnd w:id="6512"/>
      <w:bookmarkEnd w:id="6513"/>
      <w:r>
        <w:rPr>
          <w:rFonts w:ascii="Arial" w:eastAsia="Arial" w:hAnsi="Arial" w:cs="Arial"/>
          <w:color w:val="000000"/>
          <w:sz w:val="20"/>
        </w:rPr>
        <w:t xml:space="preserve">We may affirm a grant of summary judgment on any grounds supported by the record. </w:t>
      </w:r>
      <w:bookmarkStart w:id="6514" w:name="Bookmark_I5YP2VMW2D6N7R0040000400"/>
      <w:bookmarkEnd w:id="6514"/>
      <w:r>
        <w:rPr>
          <w:rFonts w:ascii="Arial" w:eastAsia="Arial" w:hAnsi="Arial" w:cs="Arial"/>
          <w:i/>
          <w:color w:val="000000"/>
          <w:sz w:val="20"/>
        </w:rPr>
        <w:t>Cadena v. El Paso County</w:t>
      </w:r>
      <w:r>
        <w:rPr>
          <w:rFonts w:ascii="Arial" w:eastAsia="Arial" w:hAnsi="Arial" w:cs="Arial"/>
          <w:color w:val="000000"/>
          <w:sz w:val="20"/>
        </w:rPr>
        <w:t>, 946 F.3d 717, 723 (5th Cir. 2020).</w:t>
      </w:r>
    </w:p>
    <w:p w14:paraId="35144B6D" w14:textId="77777777" w:rsidR="002B10A6" w:rsidRDefault="00000000">
      <w:pPr>
        <w:pStyle w:val="Normal33"/>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14:paraId="669E72DB" w14:textId="77777777" w:rsidR="002B10A6" w:rsidRDefault="00000000">
      <w:pPr>
        <w:pStyle w:val="Normal33"/>
        <w:widowControl w:val="0"/>
        <w:spacing w:before="200" w:line="260" w:lineRule="atLeast"/>
        <w:jc w:val="both"/>
      </w:pPr>
      <w:bookmarkStart w:id="6515" w:name="Bookmark_para_14_26"/>
      <w:bookmarkStart w:id="6516" w:name="Bookmark_LNHNREFclscc4_26"/>
      <w:bookmarkStart w:id="6517" w:name="Bookmark_I5YP2VMW2SF8RV0020000400"/>
      <w:bookmarkEnd w:id="6515"/>
      <w:bookmarkEnd w:id="6516"/>
      <w:bookmarkEnd w:id="6517"/>
      <w:r>
        <w:rPr>
          <w:rFonts w:ascii="Arial" w:eastAsia="Arial" w:hAnsi="Arial" w:cs="Arial"/>
          <w:color w:val="000000"/>
          <w:sz w:val="20"/>
        </w:rPr>
        <w:t xml:space="preserve">The nondiscrimination principle that was ultimately enacted as § 504 of the Rehabilitation Act was originally proposed in 1972 as an amendment to Title VI of the Civil Rights Act of 1964. </w:t>
      </w:r>
      <w:bookmarkStart w:id="6518" w:name="Bookmark_I5YP2VMW2SF8RV0010000400"/>
      <w:bookmarkEnd w:id="6518"/>
      <w:r>
        <w:rPr>
          <w:rFonts w:ascii="Arial" w:eastAsia="Arial" w:hAnsi="Arial" w:cs="Arial"/>
          <w:i/>
          <w:color w:val="000000"/>
          <w:sz w:val="20"/>
        </w:rPr>
        <w:t>Alexander v. Choate</w:t>
      </w:r>
      <w:r>
        <w:rPr>
          <w:rFonts w:ascii="Arial" w:eastAsia="Arial" w:hAnsi="Arial" w:cs="Arial"/>
          <w:color w:val="000000"/>
          <w:sz w:val="20"/>
        </w:rPr>
        <w:t xml:space="preserve">, 469 U.S. 287, 295 n.13, 105 S. Ct. 712, 83 L. Ed. 2d 661 (1985). </w:t>
      </w:r>
      <w:bookmarkStart w:id="6519" w:name="Bookmark_I5YP2VMW2SF8RV0040000400"/>
      <w:bookmarkEnd w:id="6519"/>
      <w:r>
        <w:rPr>
          <w:rFonts w:ascii="Arial" w:eastAsia="Arial" w:hAnsi="Arial" w:cs="Arial"/>
          <w:color w:val="000000"/>
          <w:sz w:val="20"/>
        </w:rPr>
        <w:t xml:space="preserve">It should come as no surprise, therefore, that the statutory language enacted one year later almost echoes Title VI's prohibition on racial discrimination. </w:t>
      </w:r>
      <w:bookmarkStart w:id="6520" w:name="Bookmark_I5YP2VMW2SF8RV0040000400_2"/>
      <w:bookmarkEnd w:id="6520"/>
      <w:r>
        <w:rPr>
          <w:rFonts w:ascii="Arial" w:eastAsia="Arial" w:hAnsi="Arial" w:cs="Arial"/>
          <w:i/>
          <w:color w:val="000000"/>
          <w:sz w:val="20"/>
        </w:rPr>
        <w:t>Compare</w:t>
      </w:r>
      <w:r>
        <w:rPr>
          <w:rFonts w:ascii="Arial" w:eastAsia="Arial" w:hAnsi="Arial" w:cs="Arial"/>
          <w:color w:val="000000"/>
          <w:sz w:val="20"/>
        </w:rPr>
        <w:t xml:space="preserve"> 29 U.S.C. § 794(a) ("No otherwise qualified individual with a disability in the United States . . . shall, solely by reason of her or his disability, be excluded from the participation in, be denied the benefits of, or be subjected to discrimination under [**8]  any program or activity receiving Federal financial assistance . . . ."), </w:t>
      </w:r>
      <w:r>
        <w:rPr>
          <w:rFonts w:ascii="Arial" w:eastAsia="Arial" w:hAnsi="Arial" w:cs="Arial"/>
          <w:i/>
          <w:color w:val="000000"/>
          <w:sz w:val="20"/>
        </w:rPr>
        <w:t>with</w:t>
      </w:r>
      <w:r>
        <w:rPr>
          <w:rFonts w:ascii="Arial" w:eastAsia="Arial" w:hAnsi="Arial" w:cs="Arial"/>
          <w:color w:val="000000"/>
          <w:sz w:val="20"/>
        </w:rPr>
        <w:t xml:space="preserve"> 42 U.S.C. § 2000d ("No person in the United States shall, on the ground of race, color, or national origin, be excluded from participation in, be denied the benefits of, or be subjected to discrimination under any program or activity receiving Federal financial assistance."). It is likewise unsurprising that the Rehabilitation Act incorporates, for Section 504 violations, the rights and remedies of Title VI. </w:t>
      </w:r>
      <w:r>
        <w:rPr>
          <w:rFonts w:ascii="Arial" w:eastAsia="Arial" w:hAnsi="Arial" w:cs="Arial"/>
          <w:i/>
          <w:color w:val="000000"/>
          <w:sz w:val="20"/>
        </w:rPr>
        <w:t>See</w:t>
      </w:r>
      <w:r>
        <w:rPr>
          <w:rFonts w:ascii="Arial" w:eastAsia="Arial" w:hAnsi="Arial" w:cs="Arial"/>
          <w:color w:val="000000"/>
          <w:sz w:val="20"/>
        </w:rPr>
        <w:t xml:space="preserve"> 29 U.S.C. § 794a(a)(2) ("The remedies, procedures, and rights set forth in title VI of the Civil Rights Act of 1964 . . . shall be available to any person aggrieved by any act or failure to act by any recipient of Federal assistance . . . under section 794 of this title."); </w:t>
      </w:r>
      <w:bookmarkStart w:id="6521" w:name="Bookmark_I5YP2VMW2SF8RV0030000400"/>
      <w:bookmarkEnd w:id="6521"/>
      <w:r>
        <w:rPr>
          <w:rFonts w:ascii="Arial" w:eastAsia="Arial" w:hAnsi="Arial" w:cs="Arial"/>
          <w:i/>
          <w:color w:val="000000"/>
          <w:sz w:val="20"/>
        </w:rPr>
        <w:t>Estate of Lance v. Lewisville Indep. Sch. Dist.</w:t>
      </w:r>
      <w:r>
        <w:rPr>
          <w:rFonts w:ascii="Arial" w:eastAsia="Arial" w:hAnsi="Arial" w:cs="Arial"/>
          <w:color w:val="000000"/>
          <w:sz w:val="20"/>
        </w:rPr>
        <w:t>, 743 F.3d 982, 996 (5th Cir. 2014).</w:t>
      </w:r>
    </w:p>
    <w:p w14:paraId="67A928BA" w14:textId="77777777" w:rsidR="002B10A6" w:rsidRDefault="00000000">
      <w:pPr>
        <w:pStyle w:val="Normal33"/>
        <w:widowControl w:val="0"/>
        <w:spacing w:before="200" w:line="260" w:lineRule="atLeast"/>
        <w:jc w:val="both"/>
      </w:pPr>
      <w:bookmarkStart w:id="6522" w:name="Bookmark_para_15_26"/>
      <w:bookmarkStart w:id="6523" w:name="Bookmark_LNHNREFclscc5_25"/>
      <w:bookmarkEnd w:id="6522"/>
      <w:bookmarkEnd w:id="6523"/>
      <w:r>
        <w:rPr>
          <w:rFonts w:ascii="Arial" w:eastAsia="Arial" w:hAnsi="Arial" w:cs="Arial"/>
          <w:color w:val="000000"/>
          <w:sz w:val="20"/>
        </w:rPr>
        <w:t xml:space="preserve">Building on the Rehabilitation Act's protections, Congress passed the Americans with Disabilities Act in 1990 "to provide a clear and comprehensive national mandate for the elimination of discrimination  [*317]  against individuals with disabilities." 42 U.S.C. § 12101(b)(1). </w:t>
      </w:r>
      <w:bookmarkStart w:id="6524" w:name="Bookmark_I5YP2VMX2D6N810010000400"/>
      <w:bookmarkEnd w:id="6524"/>
      <w:r>
        <w:rPr>
          <w:rFonts w:ascii="Arial" w:eastAsia="Arial" w:hAnsi="Arial" w:cs="Arial"/>
          <w:color w:val="000000"/>
          <w:sz w:val="20"/>
        </w:rPr>
        <w:t xml:space="preserve">In essence, Title II of the ADA extends Section 504 of the Rehabilitation Act such that it applies to all public entities while simultaneously weakening its causation requirement. </w:t>
      </w:r>
      <w:bookmarkStart w:id="6525" w:name="Bookmark_I5YP2VMX2D6N810030000400"/>
      <w:bookmarkEnd w:id="6525"/>
      <w:r>
        <w:rPr>
          <w:rFonts w:ascii="Arial" w:eastAsia="Arial" w:hAnsi="Arial" w:cs="Arial"/>
          <w:i/>
          <w:color w:val="000000"/>
          <w:sz w:val="20"/>
        </w:rPr>
        <w:t>Compare id.</w:t>
      </w:r>
      <w:r>
        <w:rPr>
          <w:rFonts w:ascii="Arial" w:eastAsia="Arial" w:hAnsi="Arial" w:cs="Arial"/>
          <w:color w:val="000000"/>
          <w:sz w:val="20"/>
        </w:rPr>
        <w:t xml:space="preserve"> § 12132 ("[N]o qualified individual with a disability shall, </w:t>
      </w:r>
      <w:r>
        <w:rPr>
          <w:rFonts w:ascii="Arial" w:eastAsia="Arial" w:hAnsi="Arial" w:cs="Arial"/>
          <w:b/>
          <w:color w:val="000000"/>
          <w:sz w:val="20"/>
        </w:rPr>
        <w:t>by reason</w:t>
      </w:r>
      <w:r>
        <w:rPr>
          <w:rFonts w:ascii="Arial" w:eastAsia="Arial" w:hAnsi="Arial" w:cs="Arial"/>
          <w:color w:val="000000"/>
          <w:sz w:val="20"/>
        </w:rPr>
        <w:t> [**9] </w:t>
      </w:r>
      <w:r>
        <w:rPr>
          <w:rFonts w:ascii="Arial" w:eastAsia="Arial" w:hAnsi="Arial" w:cs="Arial"/>
          <w:b/>
          <w:color w:val="000000"/>
          <w:sz w:val="20"/>
        </w:rPr>
        <w:t xml:space="preserve"> of such disability</w:t>
      </w:r>
      <w:r>
        <w:rPr>
          <w:rFonts w:ascii="Arial" w:eastAsia="Arial" w:hAnsi="Arial" w:cs="Arial"/>
          <w:color w:val="000000"/>
          <w:sz w:val="20"/>
        </w:rPr>
        <w:t xml:space="preserve">, be excluded from participation in or be denied the benefits of the services, programs, or activities </w:t>
      </w:r>
      <w:r>
        <w:rPr>
          <w:rFonts w:ascii="Arial" w:eastAsia="Arial" w:hAnsi="Arial" w:cs="Arial"/>
          <w:b/>
          <w:color w:val="000000"/>
          <w:sz w:val="20"/>
        </w:rPr>
        <w:t>of a public entity</w:t>
      </w:r>
      <w:r>
        <w:rPr>
          <w:rFonts w:ascii="Arial" w:eastAsia="Arial" w:hAnsi="Arial" w:cs="Arial"/>
          <w:color w:val="000000"/>
          <w:sz w:val="20"/>
        </w:rPr>
        <w:t xml:space="preserve">, or be subjected to discrimination by any such entity." (emphasis added)), </w:t>
      </w:r>
      <w:r>
        <w:rPr>
          <w:rFonts w:ascii="Arial" w:eastAsia="Arial" w:hAnsi="Arial" w:cs="Arial"/>
          <w:i/>
          <w:color w:val="000000"/>
          <w:sz w:val="20"/>
        </w:rPr>
        <w:t>with</w:t>
      </w:r>
      <w:r>
        <w:rPr>
          <w:rFonts w:ascii="Arial" w:eastAsia="Arial" w:hAnsi="Arial" w:cs="Arial"/>
          <w:color w:val="000000"/>
          <w:sz w:val="20"/>
        </w:rPr>
        <w:t xml:space="preserve"> 29 U.S.C. § 794(a) (applying to programs and activities "receiving Federal financial assistance" and prohibiting discrimination "solely by reason of" disability). </w:t>
      </w:r>
      <w:bookmarkStart w:id="6526" w:name="Bookmark_I5YP2VMX2D6N810050000400"/>
      <w:bookmarkEnd w:id="6526"/>
      <w:r>
        <w:rPr>
          <w:rFonts w:ascii="Arial" w:eastAsia="Arial" w:hAnsi="Arial" w:cs="Arial"/>
          <w:color w:val="000000"/>
          <w:sz w:val="20"/>
        </w:rPr>
        <w:t xml:space="preserve">The ADA defines public entities to include local governments and their instrumentalities, 42 U.S.C. § 12131(1)(A)-(B), such as county jails, </w:t>
      </w:r>
      <w:r>
        <w:rPr>
          <w:rFonts w:ascii="Arial" w:eastAsia="Arial" w:hAnsi="Arial" w:cs="Arial"/>
          <w:i/>
          <w:color w:val="000000"/>
          <w:sz w:val="20"/>
        </w:rPr>
        <w:t xml:space="preserve">see </w:t>
      </w:r>
      <w:bookmarkStart w:id="6527" w:name="Bookmark_I5YP2VMW2SF8RV0050000400"/>
      <w:bookmarkEnd w:id="6527"/>
      <w:r>
        <w:rPr>
          <w:rFonts w:ascii="Arial" w:eastAsia="Arial" w:hAnsi="Arial" w:cs="Arial"/>
          <w:i/>
          <w:color w:val="000000"/>
          <w:sz w:val="20"/>
        </w:rPr>
        <w:t>Cadena</w:t>
      </w:r>
      <w:r>
        <w:rPr>
          <w:rFonts w:ascii="Arial" w:eastAsia="Arial" w:hAnsi="Arial" w:cs="Arial"/>
          <w:color w:val="000000"/>
          <w:sz w:val="20"/>
        </w:rPr>
        <w:t xml:space="preserve">, 946 F.3d at 723. </w:t>
      </w:r>
      <w:bookmarkStart w:id="6528" w:name="Bookmark_I5YP2VMX2D6N810050000400_2"/>
      <w:bookmarkStart w:id="6529" w:name="Bookmark_I5YP2VMX2D6N810030000400_2"/>
      <w:bookmarkEnd w:id="6528"/>
      <w:bookmarkEnd w:id="6529"/>
      <w:r>
        <w:rPr>
          <w:rFonts w:ascii="Arial" w:eastAsia="Arial" w:hAnsi="Arial" w:cs="Arial"/>
          <w:color w:val="000000"/>
          <w:sz w:val="20"/>
        </w:rPr>
        <w:t xml:space="preserve">By design, the "remedies, procedures, and rights" applicable to Section 504 of the Rehabilitation Act, i.e., the rights, remedies, and procedures available under Title VI, are also applicable to Title II of the ADA. 42 U.S.C. § 12133; </w:t>
      </w:r>
      <w:r>
        <w:rPr>
          <w:rFonts w:ascii="Arial" w:eastAsia="Arial" w:hAnsi="Arial" w:cs="Arial"/>
          <w:i/>
          <w:color w:val="000000"/>
          <w:sz w:val="20"/>
        </w:rPr>
        <w:t xml:space="preserve">accord </w:t>
      </w:r>
      <w:bookmarkStart w:id="6530" w:name="Bookmark_I5YP2VMX2D6N810020000400"/>
      <w:bookmarkEnd w:id="6530"/>
      <w:r>
        <w:rPr>
          <w:rFonts w:ascii="Arial" w:eastAsia="Arial" w:hAnsi="Arial" w:cs="Arial"/>
          <w:i/>
          <w:color w:val="000000"/>
          <w:sz w:val="20"/>
        </w:rPr>
        <w:t>Cadena</w:t>
      </w:r>
      <w:r>
        <w:rPr>
          <w:rFonts w:ascii="Arial" w:eastAsia="Arial" w:hAnsi="Arial" w:cs="Arial"/>
          <w:color w:val="000000"/>
          <w:sz w:val="20"/>
        </w:rPr>
        <w:t xml:space="preserve">, 946 F.3d at 723. The close relationship between Section 504 of the Rehabilitation Act and Title II of the ADA means that precedents interpreting either law generally apply to both. </w:t>
      </w:r>
      <w:bookmarkStart w:id="6531" w:name="Bookmark_I5YP2VMX2D6N810040000400"/>
      <w:bookmarkEnd w:id="6531"/>
      <w:r>
        <w:rPr>
          <w:rFonts w:ascii="Arial" w:eastAsia="Arial" w:hAnsi="Arial" w:cs="Arial"/>
          <w:i/>
          <w:color w:val="000000"/>
          <w:sz w:val="20"/>
        </w:rPr>
        <w:t>Delano-Pyle v. Victoria County</w:t>
      </w:r>
      <w:r>
        <w:rPr>
          <w:rFonts w:ascii="Arial" w:eastAsia="Arial" w:hAnsi="Arial" w:cs="Arial"/>
          <w:color w:val="000000"/>
          <w:sz w:val="20"/>
        </w:rPr>
        <w:t>, 302 F.3d 567, 574 (5th Cir. 2002).</w:t>
      </w:r>
    </w:p>
    <w:p w14:paraId="5F8C5A5C" w14:textId="77777777" w:rsidR="002B10A6" w:rsidRDefault="00000000">
      <w:pPr>
        <w:pStyle w:val="Normal33"/>
        <w:widowControl w:val="0"/>
        <w:spacing w:before="200" w:line="260" w:lineRule="atLeast"/>
        <w:jc w:val="both"/>
      </w:pPr>
      <w:bookmarkStart w:id="6532" w:name="Bookmark_para_16_23"/>
      <w:bookmarkStart w:id="6533" w:name="Bookmark_LNHNREFclscc6_23"/>
      <w:bookmarkStart w:id="6534" w:name="Bookmark_I5YP2VMX28T48D0020000400"/>
      <w:bookmarkEnd w:id="6532"/>
      <w:bookmarkEnd w:id="6533"/>
      <w:bookmarkEnd w:id="6534"/>
      <w:r>
        <w:rPr>
          <w:rFonts w:ascii="Arial" w:eastAsia="Arial" w:hAnsi="Arial" w:cs="Arial"/>
          <w:color w:val="000000"/>
          <w:sz w:val="20"/>
        </w:rPr>
        <w:t>Like Title VI, the Rehabilitation Act and Title II of the ADA allow private plaintiffs to enforce their prohibitions on discrimination.</w:t>
      </w:r>
    </w:p>
    <w:p w14:paraId="26735FC1" w14:textId="77777777" w:rsidR="002B10A6" w:rsidRDefault="00000000">
      <w:pPr>
        <w:pStyle w:val="Normal33"/>
        <w:widowControl w:val="0"/>
        <w:spacing w:before="200" w:line="260" w:lineRule="atLeast"/>
        <w:ind w:left="400"/>
        <w:jc w:val="both"/>
      </w:pPr>
      <w:bookmarkStart w:id="6535" w:name="Bookmark_para_17_23"/>
      <w:bookmarkStart w:id="6536" w:name="Bookmark_I5YP2VMX28T48D0020000400_2"/>
      <w:bookmarkEnd w:id="6535"/>
      <w:bookmarkEnd w:id="6536"/>
      <w:r>
        <w:rPr>
          <w:rFonts w:ascii="Arial" w:eastAsia="Arial" w:hAnsi="Arial" w:cs="Arial"/>
          <w:color w:val="000000"/>
          <w:sz w:val="20"/>
        </w:rPr>
        <w:t>To establish a prima facie case of discrimination under the ADA, a plaintiff must demonstrate: (1) that he is a qualified individual within the meaning of the ADA; (2) that he is being excluded from participation in, or being denied benefits of, services, programs, [**10]  or activities for which the public entity is responsible, or is otherwise being discriminated against by the public entity; and (3) that such exclusion, denial of benefits, or discrimination is by reason of his disability.</w:t>
      </w:r>
    </w:p>
    <w:p w14:paraId="332D2AE8" w14:textId="77777777" w:rsidR="002B10A6" w:rsidRDefault="00000000">
      <w:pPr>
        <w:pStyle w:val="Normal33"/>
        <w:widowControl w:val="0"/>
        <w:spacing w:before="200" w:line="260" w:lineRule="atLeast"/>
        <w:jc w:val="both"/>
      </w:pPr>
      <w:bookmarkStart w:id="6537" w:name="Bookmark_I5YP2VMX28T48D0020000400_3"/>
      <w:bookmarkStart w:id="6538" w:name="Bookmark_I5YP2VMX28T48D0040000400"/>
      <w:bookmarkStart w:id="6539" w:name="Bookmark_I5YP2VMX28T48D0010000400"/>
      <w:bookmarkEnd w:id="6537"/>
      <w:bookmarkEnd w:id="6538"/>
      <w:bookmarkEnd w:id="6539"/>
      <w:r>
        <w:rPr>
          <w:rFonts w:ascii="Arial" w:eastAsia="Arial" w:hAnsi="Arial" w:cs="Arial"/>
          <w:i/>
          <w:color w:val="000000"/>
          <w:sz w:val="20"/>
        </w:rPr>
        <w:t>Melton v. Dall. Area Rapid Transit</w:t>
      </w:r>
      <w:r>
        <w:rPr>
          <w:rFonts w:ascii="Arial" w:eastAsia="Arial" w:hAnsi="Arial" w:cs="Arial"/>
          <w:color w:val="000000"/>
          <w:sz w:val="20"/>
        </w:rPr>
        <w:t xml:space="preserve">, 391 F.3d 669, 671-72 (5th Cir. 2004). </w:t>
      </w:r>
      <w:bookmarkStart w:id="6540" w:name="Bookmark_I5YP2VMX28T48D0040000400_2"/>
      <w:bookmarkEnd w:id="6540"/>
      <w:r>
        <w:rPr>
          <w:rFonts w:ascii="Arial" w:eastAsia="Arial" w:hAnsi="Arial" w:cs="Arial"/>
          <w:color w:val="000000"/>
          <w:sz w:val="20"/>
        </w:rPr>
        <w:t xml:space="preserve">The Supreme Court has held that modern prisons conduct many "services, programs, or activities" that confer "benefits" on inmates, such as recreational activities, medical services, and vocational programs. </w:t>
      </w:r>
      <w:bookmarkStart w:id="6541" w:name="Bookmark_I5YP2VMX28T48D0030000400"/>
      <w:bookmarkEnd w:id="6541"/>
      <w:r>
        <w:rPr>
          <w:rFonts w:ascii="Arial" w:eastAsia="Arial" w:hAnsi="Arial" w:cs="Arial"/>
          <w:i/>
          <w:color w:val="000000"/>
          <w:sz w:val="20"/>
        </w:rPr>
        <w:t>Pa. Dep't of Corr. v. Yeskey</w:t>
      </w:r>
      <w:r>
        <w:rPr>
          <w:rFonts w:ascii="Arial" w:eastAsia="Arial" w:hAnsi="Arial" w:cs="Arial"/>
          <w:color w:val="000000"/>
          <w:sz w:val="20"/>
        </w:rPr>
        <w:t>, 524 U.S. 206, 210, 118 S. Ct. 1952, 141 L. Ed. 2d 215 (1998).</w:t>
      </w:r>
    </w:p>
    <w:p w14:paraId="66D3DE2C" w14:textId="77777777" w:rsidR="002B10A6" w:rsidRDefault="00000000">
      <w:pPr>
        <w:pStyle w:val="Normal33"/>
        <w:widowControl w:val="0"/>
        <w:spacing w:before="200" w:line="260" w:lineRule="atLeast"/>
        <w:jc w:val="both"/>
      </w:pPr>
      <w:bookmarkStart w:id="6542" w:name="Bookmark_para_18_22"/>
      <w:bookmarkStart w:id="6543" w:name="Bookmark_LNHNREFclscc7_21"/>
      <w:bookmarkStart w:id="6544" w:name="Bookmark_I5YP2VMX2HM6760010000400"/>
      <w:bookmarkStart w:id="6545" w:name="Bookmark_I5YP2VMX2HM6760050000400"/>
      <w:bookmarkStart w:id="6546" w:name="Bookmark_I5YP2VMY2SF8S70020000400"/>
      <w:bookmarkEnd w:id="6542"/>
      <w:bookmarkEnd w:id="6543"/>
      <w:bookmarkEnd w:id="6544"/>
      <w:bookmarkEnd w:id="6545"/>
      <w:bookmarkEnd w:id="6546"/>
      <w:r>
        <w:rPr>
          <w:rFonts w:ascii="Arial" w:eastAsia="Arial" w:hAnsi="Arial" w:cs="Arial"/>
          <w:color w:val="000000"/>
          <w:sz w:val="20"/>
        </w:rPr>
        <w:t xml:space="preserve">In addition to prohibiting discrimination, the ADA and the Rehabilitation Act—unlike Title VI—"impose upon public entities an affirmative obligation to make reasonable accommodations for disabled individuals." </w:t>
      </w:r>
      <w:bookmarkStart w:id="6547" w:name="Bookmark_I5YP2VMX28T48D0050000400"/>
      <w:bookmarkEnd w:id="6547"/>
      <w:r>
        <w:rPr>
          <w:rFonts w:ascii="Arial" w:eastAsia="Arial" w:hAnsi="Arial" w:cs="Arial"/>
          <w:i/>
          <w:color w:val="000000"/>
          <w:sz w:val="20"/>
        </w:rPr>
        <w:t>Bennett-Nelson v. La. Bd. of Regents</w:t>
      </w:r>
      <w:r>
        <w:rPr>
          <w:rFonts w:ascii="Arial" w:eastAsia="Arial" w:hAnsi="Arial" w:cs="Arial"/>
          <w:color w:val="000000"/>
          <w:sz w:val="20"/>
        </w:rPr>
        <w:t xml:space="preserve">, 431 F.3d 448, 454 (5th Cir. 2005); </w:t>
      </w:r>
      <w:r>
        <w:rPr>
          <w:rFonts w:ascii="Arial" w:eastAsia="Arial" w:hAnsi="Arial" w:cs="Arial"/>
          <w:i/>
          <w:color w:val="000000"/>
          <w:sz w:val="20"/>
        </w:rPr>
        <w:t xml:space="preserve">see </w:t>
      </w:r>
      <w:bookmarkStart w:id="6548" w:name="Bookmark_I5YP2VMX2HM6760020000400"/>
      <w:bookmarkEnd w:id="6548"/>
      <w:r>
        <w:rPr>
          <w:rFonts w:ascii="Arial" w:eastAsia="Arial" w:hAnsi="Arial" w:cs="Arial"/>
          <w:i/>
          <w:color w:val="000000"/>
          <w:sz w:val="20"/>
        </w:rPr>
        <w:t>Tennessee v. Lane</w:t>
      </w:r>
      <w:r>
        <w:rPr>
          <w:rFonts w:ascii="Arial" w:eastAsia="Arial" w:hAnsi="Arial" w:cs="Arial"/>
          <w:color w:val="000000"/>
          <w:sz w:val="20"/>
        </w:rPr>
        <w:t xml:space="preserve">, 541 U.S. 509, 531, 124 S. Ct. 1978, 158 L. Ed. 2d 820 (2004) (observing that "failure to accommodate persons with disabilities will often have the same practical effect as outright exclusion"). An accommodation is reasonable if "it does not impose undue financial or administrative burdens or 'fundamentally alter the nature of the service, program or activity.'" </w:t>
      </w:r>
      <w:bookmarkStart w:id="6549" w:name="Bookmark_I5YP2VMX2HM6760040000400"/>
      <w:bookmarkEnd w:id="6549"/>
      <w:r>
        <w:rPr>
          <w:rFonts w:ascii="Arial" w:eastAsia="Arial" w:hAnsi="Arial" w:cs="Arial"/>
          <w:i/>
          <w:color w:val="000000"/>
          <w:sz w:val="20"/>
        </w:rPr>
        <w:t>Cadena</w:t>
      </w:r>
      <w:r>
        <w:rPr>
          <w:rFonts w:ascii="Arial" w:eastAsia="Arial" w:hAnsi="Arial" w:cs="Arial"/>
          <w:color w:val="000000"/>
          <w:sz w:val="20"/>
        </w:rPr>
        <w:t xml:space="preserve">, 946 F.3d at 724 (quoting 28 C.F.R. § 35.130(b)(7)). </w:t>
      </w:r>
      <w:bookmarkStart w:id="6550" w:name="Bookmark_I5YP2VMY2SF8S70040000400"/>
      <w:bookmarkEnd w:id="6550"/>
      <w:r>
        <w:rPr>
          <w:rFonts w:ascii="Arial" w:eastAsia="Arial" w:hAnsi="Arial" w:cs="Arial"/>
          <w:color w:val="000000"/>
          <w:sz w:val="20"/>
        </w:rPr>
        <w:t xml:space="preserve">"To succeed on a failure-to-accommodate claim, a plaintiff must prove: (1) he is a qualified individual with a disability; (2) the disability and its consequential limitations were known by the covered entity; and (3) the entity failed [**11]  to make reasonable accommodations." </w:t>
      </w:r>
      <w:bookmarkStart w:id="6551" w:name="Bookmark_I5YP2VMY2SF8S70010000400"/>
      <w:bookmarkEnd w:id="6551"/>
      <w:r>
        <w:rPr>
          <w:rFonts w:ascii="Arial" w:eastAsia="Arial" w:hAnsi="Arial" w:cs="Arial"/>
          <w:i/>
          <w:color w:val="000000"/>
          <w:sz w:val="20"/>
        </w:rPr>
        <w:t>Ball v. LeBlanc</w:t>
      </w:r>
      <w:r>
        <w:rPr>
          <w:rFonts w:ascii="Arial" w:eastAsia="Arial" w:hAnsi="Arial" w:cs="Arial"/>
          <w:color w:val="000000"/>
          <w:sz w:val="20"/>
        </w:rPr>
        <w:t xml:space="preserve">, 792 F.3d 584, 596 n.9 (5th Cir. 2015). </w:t>
      </w:r>
      <w:bookmarkStart w:id="6552" w:name="Bookmark_I5YP2VMY2SF8S70040000400_2"/>
      <w:bookmarkStart w:id="6553" w:name="Bookmark_I5YP2VMY2N1RV30010000400"/>
      <w:bookmarkEnd w:id="6552"/>
      <w:bookmarkEnd w:id="6553"/>
      <w:r>
        <w:rPr>
          <w:rFonts w:ascii="Arial" w:eastAsia="Arial" w:hAnsi="Arial" w:cs="Arial"/>
          <w:color w:val="000000"/>
          <w:sz w:val="20"/>
        </w:rPr>
        <w:t xml:space="preserve">Plaintiffs ordinarily satisfy the knowledge element by showing that they identified their disabilities as well as the resulting limitations to a public entity or its employees and requested an accommodation in direct and specific terms. </w:t>
      </w:r>
      <w:bookmarkStart w:id="6554" w:name="Bookmark_I5YP2VMY2SF8S70030000400"/>
      <w:bookmarkEnd w:id="6554"/>
      <w:r>
        <w:rPr>
          <w:rFonts w:ascii="Arial" w:eastAsia="Arial" w:hAnsi="Arial" w:cs="Arial"/>
          <w:i/>
          <w:color w:val="000000"/>
          <w:sz w:val="20"/>
        </w:rPr>
        <w:t>Windham</w:t>
      </w:r>
      <w:r>
        <w:rPr>
          <w:rFonts w:ascii="Arial" w:eastAsia="Arial" w:hAnsi="Arial" w:cs="Arial"/>
          <w:color w:val="000000"/>
          <w:sz w:val="20"/>
        </w:rPr>
        <w:t xml:space="preserve">, 875 F.3d at 237. </w:t>
      </w:r>
      <w:bookmarkStart w:id="6555" w:name="Bookmark_I5YP2VMY2N1RV30010000400_2"/>
      <w:bookmarkEnd w:id="6555"/>
      <w:r>
        <w:rPr>
          <w:rFonts w:ascii="Arial" w:eastAsia="Arial" w:hAnsi="Arial" w:cs="Arial"/>
          <w:color w:val="000000"/>
          <w:sz w:val="20"/>
        </w:rPr>
        <w:t xml:space="preserve">"When a plaintiff fails to request an accommodation  [*318]  in this manner, he can prevail only by showing that 'the disability, resulting limitation, and necessary reasonable accommodation' were 'open, obvious, and apparent' to the entity's relevant agents." </w:t>
      </w:r>
      <w:r>
        <w:rPr>
          <w:rFonts w:ascii="Arial" w:eastAsia="Arial" w:hAnsi="Arial" w:cs="Arial"/>
          <w:i/>
          <w:color w:val="000000"/>
          <w:sz w:val="20"/>
        </w:rPr>
        <w:t>Id.</w:t>
      </w:r>
      <w:r>
        <w:rPr>
          <w:rFonts w:ascii="Arial" w:eastAsia="Arial" w:hAnsi="Arial" w:cs="Arial"/>
          <w:color w:val="000000"/>
          <w:sz w:val="20"/>
        </w:rPr>
        <w:t xml:space="preserve"> (quoting </w:t>
      </w:r>
      <w:bookmarkStart w:id="6556" w:name="Bookmark_I5YP2VMY2SF8S70050000400"/>
      <w:bookmarkEnd w:id="6556"/>
      <w:r>
        <w:rPr>
          <w:rFonts w:ascii="Arial" w:eastAsia="Arial" w:hAnsi="Arial" w:cs="Arial"/>
          <w:i/>
          <w:color w:val="000000"/>
          <w:sz w:val="20"/>
        </w:rPr>
        <w:t>Taylor v. Principal Fin. Grp., Inc.</w:t>
      </w:r>
      <w:r>
        <w:rPr>
          <w:rFonts w:ascii="Arial" w:eastAsia="Arial" w:hAnsi="Arial" w:cs="Arial"/>
          <w:color w:val="000000"/>
          <w:sz w:val="20"/>
        </w:rPr>
        <w:t>, 93 F.3d 155, 165 (5th Cir. 1996)).</w:t>
      </w:r>
    </w:p>
    <w:p w14:paraId="68FF1A4B" w14:textId="77777777" w:rsidR="002B10A6" w:rsidRDefault="00000000">
      <w:pPr>
        <w:pStyle w:val="Normal33"/>
        <w:widowControl w:val="0"/>
        <w:spacing w:before="200" w:line="260" w:lineRule="atLeast"/>
        <w:jc w:val="both"/>
      </w:pPr>
      <w:bookmarkStart w:id="6557" w:name="Bookmark_para_19_21"/>
      <w:bookmarkStart w:id="6558" w:name="Bookmark_LNHNREFclscc8_20"/>
      <w:bookmarkStart w:id="6559" w:name="Bookmark_I5YP2VMY2N1RV30030000400"/>
      <w:bookmarkStart w:id="6560" w:name="Bookmark_I2GC8GBRN79000011B60000X"/>
      <w:bookmarkStart w:id="6561" w:name="Bookmark_I5YP2VN02N1RV60020000400"/>
      <w:bookmarkEnd w:id="6557"/>
      <w:bookmarkEnd w:id="6558"/>
      <w:bookmarkEnd w:id="6559"/>
      <w:bookmarkEnd w:id="6560"/>
      <w:bookmarkEnd w:id="6561"/>
      <w:r>
        <w:rPr>
          <w:rFonts w:ascii="Arial" w:eastAsia="Arial" w:hAnsi="Arial" w:cs="Arial"/>
          <w:color w:val="000000"/>
          <w:sz w:val="20"/>
        </w:rPr>
        <w:t xml:space="preserve">Even when plaintiffs successfully prove a disability-discrimination or a failure-to-accommodate claim, they "may only recover compensatory damages upon a showing of intentional discrimination." </w:t>
      </w:r>
      <w:bookmarkStart w:id="6562" w:name="Bookmark_I5YP2VMY2N1RV30020000400"/>
      <w:bookmarkEnd w:id="6562"/>
      <w:r>
        <w:rPr>
          <w:rFonts w:ascii="Arial" w:eastAsia="Arial" w:hAnsi="Arial" w:cs="Arial"/>
          <w:i/>
          <w:color w:val="000000"/>
          <w:sz w:val="20"/>
        </w:rPr>
        <w:t>Delano-Pyle</w:t>
      </w:r>
      <w:r>
        <w:rPr>
          <w:rFonts w:ascii="Arial" w:eastAsia="Arial" w:hAnsi="Arial" w:cs="Arial"/>
          <w:color w:val="000000"/>
          <w:sz w:val="20"/>
        </w:rPr>
        <w:t xml:space="preserve">, 302 F.3d at 574; </w:t>
      </w:r>
      <w:r>
        <w:rPr>
          <w:rFonts w:ascii="Arial" w:eastAsia="Arial" w:hAnsi="Arial" w:cs="Arial"/>
          <w:i/>
          <w:color w:val="000000"/>
          <w:sz w:val="20"/>
        </w:rPr>
        <w:t xml:space="preserve">accord </w:t>
      </w:r>
      <w:bookmarkStart w:id="6563" w:name="Bookmark_I5YP2VMY2N1RV30040000400"/>
      <w:bookmarkEnd w:id="6563"/>
      <w:r>
        <w:rPr>
          <w:rFonts w:ascii="Arial" w:eastAsia="Arial" w:hAnsi="Arial" w:cs="Arial"/>
          <w:i/>
          <w:color w:val="000000"/>
          <w:sz w:val="20"/>
        </w:rPr>
        <w:t>Miraglia v. Bd. of Supervisors of La. State Museum</w:t>
      </w:r>
      <w:r>
        <w:rPr>
          <w:rFonts w:ascii="Arial" w:eastAsia="Arial" w:hAnsi="Arial" w:cs="Arial"/>
          <w:color w:val="000000"/>
          <w:sz w:val="20"/>
        </w:rPr>
        <w:t xml:space="preserve">, 901 F.3d 565, 574 (5th Cir. 2018). </w:t>
      </w:r>
      <w:bookmarkStart w:id="6564" w:name="Bookmark_I2GC8GBRPXW000011B60000Y"/>
      <w:bookmarkStart w:id="6565" w:name="Bookmark_I5YP2VN02N1RV60040000400"/>
      <w:bookmarkEnd w:id="6564"/>
      <w:bookmarkEnd w:id="6565"/>
      <w:r>
        <w:rPr>
          <w:rFonts w:ascii="Arial" w:eastAsia="Arial" w:hAnsi="Arial" w:cs="Arial"/>
          <w:color w:val="000000"/>
          <w:sz w:val="20"/>
        </w:rPr>
        <w:t xml:space="preserve">Our precedents have not "delineate[d] the precise contours" of this showing, but we have relied "on the widely accepted principle that intent requires that the defendant at least have actual notice." </w:t>
      </w:r>
      <w:bookmarkStart w:id="6566" w:name="Bookmark_I5YP2VN02N1RV60010000400"/>
      <w:bookmarkEnd w:id="6566"/>
      <w:r>
        <w:rPr>
          <w:rFonts w:ascii="Arial" w:eastAsia="Arial" w:hAnsi="Arial" w:cs="Arial"/>
          <w:i/>
          <w:color w:val="000000"/>
          <w:sz w:val="20"/>
        </w:rPr>
        <w:t>Miraglia</w:t>
      </w:r>
      <w:r>
        <w:rPr>
          <w:rFonts w:ascii="Arial" w:eastAsia="Arial" w:hAnsi="Arial" w:cs="Arial"/>
          <w:color w:val="000000"/>
          <w:sz w:val="20"/>
        </w:rPr>
        <w:t xml:space="preserve">, 901 F.3d at 575. Unlike other circuits, we have not held that deliberate indifference suffices. </w:t>
      </w:r>
      <w:bookmarkStart w:id="6567" w:name="Bookmark_I5YP2VN02N1RV60040000400_2"/>
      <w:bookmarkEnd w:id="6567"/>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 xml:space="preserve">see also </w:t>
      </w:r>
      <w:bookmarkStart w:id="6568" w:name="Bookmark_I5YP2VN02N1RV60030000400"/>
      <w:bookmarkEnd w:id="6568"/>
      <w:r>
        <w:rPr>
          <w:rFonts w:ascii="Arial" w:eastAsia="Arial" w:hAnsi="Arial" w:cs="Arial"/>
          <w:i/>
          <w:color w:val="000000"/>
          <w:sz w:val="20"/>
        </w:rPr>
        <w:t>S.H. ex rel. Durrell v. Lower Merion Sch. Dist.</w:t>
      </w:r>
      <w:r>
        <w:rPr>
          <w:rFonts w:ascii="Arial" w:eastAsia="Arial" w:hAnsi="Arial" w:cs="Arial"/>
          <w:color w:val="000000"/>
          <w:sz w:val="20"/>
        </w:rPr>
        <w:t>, 729 F.3d 248, 262-63 (3d Cir. 2013) (collecting, and agreeing with, cases from five other circuits).</w:t>
      </w:r>
    </w:p>
    <w:p w14:paraId="1DA0A70F" w14:textId="77777777" w:rsidR="002B10A6" w:rsidRDefault="00000000">
      <w:pPr>
        <w:pStyle w:val="Normal33"/>
        <w:widowControl w:val="0"/>
        <w:spacing w:before="240" w:line="260" w:lineRule="atLeast"/>
      </w:pPr>
      <w:r>
        <w:br/>
      </w:r>
      <w:r>
        <w:rPr>
          <w:rFonts w:ascii="Arial" w:eastAsia="Arial" w:hAnsi="Arial" w:cs="Arial"/>
          <w:b/>
          <w:color w:val="000000"/>
          <w:sz w:val="20"/>
        </w:rPr>
        <w:t>IV</w:t>
      </w:r>
      <w:r>
        <w:rPr>
          <w:rFonts w:ascii="Arial" w:eastAsia="Arial" w:hAnsi="Arial" w:cs="Arial"/>
          <w:color w:val="000000"/>
          <w:sz w:val="20"/>
        </w:rPr>
        <w:t>.</w:t>
      </w:r>
    </w:p>
    <w:p w14:paraId="3735AEEF" w14:textId="77777777" w:rsidR="002B10A6" w:rsidRDefault="00000000">
      <w:pPr>
        <w:pStyle w:val="Normal33"/>
        <w:widowControl w:val="0"/>
        <w:spacing w:before="200" w:line="260" w:lineRule="atLeast"/>
        <w:jc w:val="both"/>
      </w:pPr>
      <w:bookmarkStart w:id="6569" w:name="Bookmark_para_20_21"/>
      <w:bookmarkStart w:id="6570" w:name="Bookmark_I5YP2VN02D6N8K0010000400"/>
      <w:bookmarkEnd w:id="6569"/>
      <w:bookmarkEnd w:id="6570"/>
      <w:r>
        <w:rPr>
          <w:rFonts w:ascii="Arial" w:eastAsia="Arial" w:hAnsi="Arial" w:cs="Arial"/>
          <w:color w:val="000000"/>
          <w:sz w:val="20"/>
        </w:rPr>
        <w:t>The district court did not err when it concluded that Smith could not recover compensatory [**12]  damages on her failure-to-accommodate claims. Smith identifies six potential accommodations that, she claims, would have saved Hawkins's life: (i) replacing the sheet on Hawkins's bed with a knot-proof suicide blanket; (ii) modifying the smoke detector in Hawkins's cell such that it could not be used as a tie-off point; (iii) removing the towel covering Hawkins's window; (iv) referring Hawkins to the MHU following his conversation with Ford on the day before his death; (v) following jail policy and conducting twenty-five-minute observation rounds in the administrative-separation section of the jail; and (vi) monitoring Hawkins in particular every five to ten minutes.</w:t>
      </w:r>
      <w:r>
        <w:rPr>
          <w:rFonts w:ascii="Arial" w:eastAsia="Arial" w:hAnsi="Arial" w:cs="Arial"/>
          <w:vertAlign w:val="superscript"/>
        </w:rPr>
        <w:footnoteReference w:customMarkFollows="1" w:id="278"/>
        <w:t>1</w:t>
      </w:r>
      <w:r>
        <w:rPr>
          <w:rFonts w:ascii="Arial" w:eastAsia="Arial" w:hAnsi="Arial" w:cs="Arial"/>
          <w:color w:val="000000"/>
          <w:sz w:val="20"/>
        </w:rPr>
        <w:t xml:space="preserve"> But Smith has not shown that any Harris County employee intentionally discriminated  [*319]  against Hawkins by failing to provide these accommodations.</w:t>
      </w:r>
      <w:r>
        <w:rPr>
          <w:rFonts w:ascii="Arial" w:eastAsia="Arial" w:hAnsi="Arial" w:cs="Arial"/>
          <w:vertAlign w:val="superscript"/>
        </w:rPr>
        <w:footnoteReference w:customMarkFollows="1" w:id="279"/>
        <w:t>2</w:t>
      </w:r>
    </w:p>
    <w:p w14:paraId="2184E16A" w14:textId="77777777" w:rsidR="002B10A6" w:rsidRDefault="00000000">
      <w:pPr>
        <w:pStyle w:val="Normal33"/>
        <w:widowControl w:val="0"/>
        <w:spacing w:before="240" w:line="260" w:lineRule="atLeast"/>
      </w:pPr>
      <w:r>
        <w:br/>
      </w:r>
      <w:r>
        <w:rPr>
          <w:rFonts w:ascii="Arial" w:eastAsia="Arial" w:hAnsi="Arial" w:cs="Arial"/>
          <w:b/>
          <w:color w:val="000000"/>
          <w:sz w:val="20"/>
        </w:rPr>
        <w:t>A</w:t>
      </w:r>
      <w:r>
        <w:rPr>
          <w:rFonts w:ascii="Arial" w:eastAsia="Arial" w:hAnsi="Arial" w:cs="Arial"/>
          <w:color w:val="000000"/>
          <w:sz w:val="20"/>
        </w:rPr>
        <w:t>.</w:t>
      </w:r>
    </w:p>
    <w:p w14:paraId="01C86A24" w14:textId="77777777" w:rsidR="002B10A6" w:rsidRDefault="00000000">
      <w:pPr>
        <w:pStyle w:val="Normal33"/>
        <w:widowControl w:val="0"/>
        <w:spacing w:before="200" w:line="260" w:lineRule="atLeast"/>
        <w:jc w:val="both"/>
      </w:pPr>
      <w:bookmarkStart w:id="6574" w:name="Bookmark_para_21_21"/>
      <w:bookmarkEnd w:id="6574"/>
      <w:r>
        <w:rPr>
          <w:rFonts w:ascii="Arial" w:eastAsia="Arial" w:hAnsi="Arial" w:cs="Arial"/>
          <w:color w:val="000000"/>
          <w:sz w:val="20"/>
        </w:rPr>
        <w:t xml:space="preserve">Harris County did not intentionally discriminate against Hawkins by failing to remove the towel covering his window or by failing to conduct observation rounds every twenty-five minutes. At approximately 9:53 P.M. on the night Hawkins died, Detention Officer Marvin Perkins observed Hawkins while on his rounds. </w:t>
      </w:r>
      <w:bookmarkStart w:id="6575" w:name="Bookmark_I5YP2VN02D6N8K0030000400"/>
      <w:bookmarkEnd w:id="6575"/>
      <w:r>
        <w:rPr>
          <w:rFonts w:ascii="Arial" w:eastAsia="Arial" w:hAnsi="Arial" w:cs="Arial"/>
          <w:color w:val="000000"/>
          <w:sz w:val="20"/>
        </w:rPr>
        <w:t xml:space="preserve">At 10:10 P.M., Detention Officer Cano was performing his rounds and [**13]  saw that the window of Hawkins's cell was covered by a towel, and Officer Cano immediately removed that towel. </w:t>
      </w:r>
      <w:bookmarkStart w:id="6576" w:name="Bookmark_LNHNREFclscc9_19"/>
      <w:bookmarkEnd w:id="6576"/>
      <w:r>
        <w:rPr>
          <w:rFonts w:ascii="Arial" w:eastAsia="Arial" w:hAnsi="Arial" w:cs="Arial"/>
          <w:color w:val="000000"/>
          <w:sz w:val="20"/>
        </w:rPr>
        <w:t xml:space="preserve">There is no evidence that anyone employed by Harris County was aware that Hawkins's window was covered before that point, so Harris County did not intentionally discriminate against Hawkins by failing to remove it sooner. </w:t>
      </w:r>
      <w:r>
        <w:rPr>
          <w:rFonts w:ascii="Arial" w:eastAsia="Arial" w:hAnsi="Arial" w:cs="Arial"/>
          <w:i/>
          <w:color w:val="000000"/>
          <w:sz w:val="20"/>
        </w:rPr>
        <w:t xml:space="preserve">See </w:t>
      </w:r>
      <w:bookmarkStart w:id="6577" w:name="Bookmark_I5YP2VN02D6N8K0020000400"/>
      <w:bookmarkEnd w:id="6577"/>
      <w:r>
        <w:rPr>
          <w:rFonts w:ascii="Arial" w:eastAsia="Arial" w:hAnsi="Arial" w:cs="Arial"/>
          <w:i/>
          <w:color w:val="000000"/>
          <w:sz w:val="20"/>
        </w:rPr>
        <w:t>Miraglia</w:t>
      </w:r>
      <w:r>
        <w:rPr>
          <w:rFonts w:ascii="Arial" w:eastAsia="Arial" w:hAnsi="Arial" w:cs="Arial"/>
          <w:color w:val="000000"/>
          <w:sz w:val="20"/>
        </w:rPr>
        <w:t>, 901 F.3d at 575 ("[A] defendant must have notice of the violation before intent will be imputed."). Similarly, there is no evidence that Harris County intentionally discriminated against Hawkins by failing to conduct twenty-five-minute observation rounds; on the contrary, Officer Perkins observed Hawkins seventeen minutes before Officer Cano arrived at Hawkins's cell.</w:t>
      </w:r>
      <w:r>
        <w:rPr>
          <w:rFonts w:ascii="Arial" w:eastAsia="Arial" w:hAnsi="Arial" w:cs="Arial"/>
          <w:vertAlign w:val="superscript"/>
        </w:rPr>
        <w:footnoteReference w:customMarkFollows="1" w:id="280"/>
        <w:t>3</w:t>
      </w:r>
    </w:p>
    <w:p w14:paraId="009C9743" w14:textId="77777777" w:rsidR="002B10A6" w:rsidRDefault="00000000">
      <w:pPr>
        <w:pStyle w:val="Normal33"/>
        <w:widowControl w:val="0"/>
        <w:spacing w:before="240" w:line="260" w:lineRule="atLeast"/>
      </w:pPr>
      <w:r>
        <w:br/>
      </w:r>
      <w:r>
        <w:rPr>
          <w:rFonts w:ascii="Arial" w:eastAsia="Arial" w:hAnsi="Arial" w:cs="Arial"/>
          <w:b/>
          <w:color w:val="000000"/>
          <w:sz w:val="20"/>
        </w:rPr>
        <w:t>B</w:t>
      </w:r>
      <w:r>
        <w:rPr>
          <w:rFonts w:ascii="Arial" w:eastAsia="Arial" w:hAnsi="Arial" w:cs="Arial"/>
          <w:color w:val="000000"/>
          <w:sz w:val="20"/>
        </w:rPr>
        <w:t>.</w:t>
      </w:r>
    </w:p>
    <w:p w14:paraId="126390F4" w14:textId="77777777" w:rsidR="002B10A6" w:rsidRDefault="00000000">
      <w:pPr>
        <w:pStyle w:val="Normal33"/>
        <w:widowControl w:val="0"/>
        <w:spacing w:before="200" w:line="260" w:lineRule="atLeast"/>
        <w:jc w:val="both"/>
      </w:pPr>
      <w:bookmarkStart w:id="6582" w:name="Bookmark_para_22_20"/>
      <w:bookmarkStart w:id="6583" w:name="Bookmark_I5YP2VN02SF8SH0020000400"/>
      <w:bookmarkEnd w:id="6582"/>
      <w:bookmarkEnd w:id="6583"/>
      <w:r>
        <w:rPr>
          <w:rFonts w:ascii="Arial" w:eastAsia="Arial" w:hAnsi="Arial" w:cs="Arial"/>
          <w:color w:val="000000"/>
          <w:sz w:val="20"/>
        </w:rPr>
        <w:t xml:space="preserve">Non-medical employees at the Harris County Jail did not intentionally discriminate against Hawkins by failing to implement the suicide-prevention methods identified by Smith, i.e., providing a knot-proof blanket, modifying the smoke detector in Hawkins's cell, or monitoring Hawkins more frequently. </w:t>
      </w:r>
      <w:bookmarkStart w:id="6584" w:name="Bookmark_LNHNREFclscc11_18"/>
      <w:bookmarkStart w:id="6585" w:name="Bookmark_I5YP2VN02SF8SH0040000400"/>
      <w:bookmarkEnd w:id="6584"/>
      <w:bookmarkEnd w:id="6585"/>
      <w:r>
        <w:rPr>
          <w:rFonts w:ascii="Arial" w:eastAsia="Arial" w:hAnsi="Arial" w:cs="Arial"/>
          <w:color w:val="000000"/>
          <w:sz w:val="20"/>
        </w:rPr>
        <w:t xml:space="preserve">In the context of a failure-to-accommodate claim, intentional discrimination requires at least actual knowledge that an accommodation is necessary. </w:t>
      </w:r>
      <w:r>
        <w:rPr>
          <w:rFonts w:ascii="Arial" w:eastAsia="Arial" w:hAnsi="Arial" w:cs="Arial"/>
          <w:i/>
          <w:color w:val="000000"/>
          <w:sz w:val="20"/>
        </w:rPr>
        <w:t xml:space="preserve">See </w:t>
      </w:r>
      <w:bookmarkStart w:id="6586" w:name="Bookmark_I5YP2VN02SF8SH0010000400"/>
      <w:bookmarkEnd w:id="6586"/>
      <w:r>
        <w:rPr>
          <w:rFonts w:ascii="Arial" w:eastAsia="Arial" w:hAnsi="Arial" w:cs="Arial"/>
          <w:i/>
          <w:color w:val="000000"/>
          <w:sz w:val="20"/>
        </w:rPr>
        <w:t>Cadena</w:t>
      </w:r>
      <w:r>
        <w:rPr>
          <w:rFonts w:ascii="Arial" w:eastAsia="Arial" w:hAnsi="Arial" w:cs="Arial"/>
          <w:color w:val="000000"/>
          <w:sz w:val="20"/>
        </w:rPr>
        <w:t xml:space="preserve">, 946 F.3d at 724 ("[T]his court has affirmed a finding of intentional [**14]  discrimination when a county deputy knew that a hearing-impaired suspect could not understand him, rendering his chosen method of communication ineffective, and the deputy made no attempt to adapt."). </w:t>
      </w:r>
      <w:bookmarkStart w:id="6587" w:name="Bookmark_I5YP2VN02SF8SH0040000400_2"/>
      <w:bookmarkEnd w:id="6587"/>
      <w:r>
        <w:rPr>
          <w:rFonts w:ascii="Arial" w:eastAsia="Arial" w:hAnsi="Arial" w:cs="Arial"/>
          <w:color w:val="000000"/>
          <w:sz w:val="20"/>
        </w:rPr>
        <w:t xml:space="preserve">If a defendant attempts to accommodate a disability, then intentional discrimination requires knowledge "that further accommodation was necessary." </w:t>
      </w:r>
      <w:bookmarkStart w:id="6588" w:name="Bookmark_I5YP2VN02SF8SH0030000400"/>
      <w:bookmarkEnd w:id="6588"/>
      <w:r>
        <w:rPr>
          <w:rFonts w:ascii="Arial" w:eastAsia="Arial" w:hAnsi="Arial" w:cs="Arial"/>
          <w:i/>
          <w:color w:val="000000"/>
          <w:sz w:val="20"/>
        </w:rPr>
        <w:t>Id.</w:t>
      </w:r>
      <w:r>
        <w:rPr>
          <w:rFonts w:ascii="Arial" w:eastAsia="Arial" w:hAnsi="Arial" w:cs="Arial"/>
          <w:color w:val="000000"/>
          <w:sz w:val="20"/>
        </w:rPr>
        <w:t xml:space="preserve"> at 726.</w:t>
      </w:r>
      <w:r>
        <w:rPr>
          <w:rFonts w:ascii="Arial" w:eastAsia="Arial" w:hAnsi="Arial" w:cs="Arial"/>
          <w:vertAlign w:val="superscript"/>
        </w:rPr>
        <w:footnoteReference w:customMarkFollows="1" w:id="281"/>
        <w:t>4</w:t>
      </w:r>
    </w:p>
    <w:p w14:paraId="10BCA02D" w14:textId="77777777" w:rsidR="002B10A6" w:rsidRDefault="00000000">
      <w:pPr>
        <w:pStyle w:val="Normal33"/>
        <w:widowControl w:val="0"/>
        <w:spacing w:before="200" w:line="260" w:lineRule="atLeast"/>
        <w:jc w:val="both"/>
      </w:pPr>
      <w:bookmarkStart w:id="6590" w:name="Bookmark_para_23_19"/>
      <w:bookmarkEnd w:id="6590"/>
      <w:r>
        <w:rPr>
          <w:rFonts w:ascii="Arial" w:eastAsia="Arial" w:hAnsi="Arial" w:cs="Arial"/>
          <w:color w:val="000000"/>
          <w:sz w:val="20"/>
        </w:rPr>
        <w:t xml:space="preserve">Harris County attempted to accommodate Hawkins's mental-health issues by referring him to the MHU for psychiatric treatment on January 17, 2014. </w:t>
      </w:r>
      <w:bookmarkStart w:id="6591" w:name="Bookmark_I5YP2VN02SF8SJ0010000400"/>
      <w:bookmarkEnd w:id="6591"/>
      <w:r>
        <w:rPr>
          <w:rFonts w:ascii="Arial" w:eastAsia="Arial" w:hAnsi="Arial" w:cs="Arial"/>
          <w:color w:val="000000"/>
          <w:sz w:val="20"/>
        </w:rPr>
        <w:t xml:space="preserve">Hawkins was discharged after he showed improvement on a new medication regimen. </w:t>
      </w:r>
      <w:bookmarkStart w:id="6592" w:name="Bookmark_LNHNREFclscc12_17"/>
      <w:bookmarkEnd w:id="6592"/>
      <w:r>
        <w:rPr>
          <w:rFonts w:ascii="Arial" w:eastAsia="Arial" w:hAnsi="Arial" w:cs="Arial"/>
          <w:color w:val="000000"/>
          <w:sz w:val="20"/>
        </w:rPr>
        <w:t xml:space="preserve">While hindsight tells us that Hawkins's medical treatment proved inadequate, non-medical employees at the jail had no reason to believe, much less actual knowledge, that Hawkins needed additional accommodations following his discharge. </w:t>
      </w:r>
      <w:r>
        <w:rPr>
          <w:rFonts w:ascii="Arial" w:eastAsia="Arial" w:hAnsi="Arial" w:cs="Arial"/>
          <w:i/>
          <w:color w:val="000000"/>
          <w:sz w:val="20"/>
        </w:rPr>
        <w:t xml:space="preserve">Cf. </w:t>
      </w:r>
      <w:bookmarkStart w:id="6593" w:name="Bookmark_I5YP2VN02SF8SH0050000400"/>
      <w:bookmarkEnd w:id="6593"/>
      <w:r>
        <w:rPr>
          <w:rFonts w:ascii="Arial" w:eastAsia="Arial" w:hAnsi="Arial" w:cs="Arial"/>
          <w:i/>
          <w:color w:val="000000"/>
          <w:sz w:val="20"/>
        </w:rPr>
        <w:t>Miranda v. County of Lake</w:t>
      </w:r>
      <w:r>
        <w:rPr>
          <w:rFonts w:ascii="Arial" w:eastAsia="Arial" w:hAnsi="Arial" w:cs="Arial"/>
          <w:color w:val="000000"/>
          <w:sz w:val="20"/>
        </w:rPr>
        <w:t>, 900 F.3d 335, 343 (7th Cir. 2018) ("When detainees are under the care of medical experts, non-medical jail staff may generally trust the professionals to provide appropriate medical attention."). Accordingly, the non-medical staff at the Harris County Jail did not intentionally discriminate against Hawkins by failing to provide additional accommodations, such as the suicide-prevention measures identified by Smith.</w:t>
      </w:r>
    </w:p>
    <w:p w14:paraId="2F59A643" w14:textId="77777777" w:rsidR="002B10A6" w:rsidRDefault="00000000">
      <w:pPr>
        <w:pStyle w:val="Normal33"/>
        <w:widowControl w:val="0"/>
        <w:spacing w:before="240" w:line="260" w:lineRule="atLeast"/>
      </w:pPr>
      <w:r>
        <w:br/>
      </w:r>
      <w:r>
        <w:rPr>
          <w:rFonts w:ascii="Arial" w:eastAsia="Arial" w:hAnsi="Arial" w:cs="Arial"/>
          <w:color w:val="000000"/>
          <w:sz w:val="20"/>
        </w:rPr>
        <w:t> [**15] </w:t>
      </w:r>
      <w:r>
        <w:rPr>
          <w:rFonts w:ascii="Arial" w:eastAsia="Arial" w:hAnsi="Arial" w:cs="Arial"/>
          <w:b/>
          <w:color w:val="000000"/>
          <w:sz w:val="20"/>
        </w:rPr>
        <w:t>C</w:t>
      </w:r>
      <w:r>
        <w:rPr>
          <w:rFonts w:ascii="Arial" w:eastAsia="Arial" w:hAnsi="Arial" w:cs="Arial"/>
          <w:color w:val="000000"/>
          <w:sz w:val="20"/>
        </w:rPr>
        <w:t>.</w:t>
      </w:r>
    </w:p>
    <w:p w14:paraId="1D4C220E" w14:textId="77777777" w:rsidR="002B10A6" w:rsidRDefault="00000000">
      <w:pPr>
        <w:pStyle w:val="Normal33"/>
        <w:widowControl w:val="0"/>
        <w:spacing w:before="200" w:line="260" w:lineRule="atLeast"/>
        <w:jc w:val="both"/>
      </w:pPr>
      <w:bookmarkStart w:id="6594" w:name="Bookmark_para_24_19"/>
      <w:bookmarkEnd w:id="6594"/>
      <w:r>
        <w:rPr>
          <w:rFonts w:ascii="Arial" w:eastAsia="Arial" w:hAnsi="Arial" w:cs="Arial"/>
          <w:color w:val="000000"/>
          <w:sz w:val="20"/>
        </w:rPr>
        <w:t>We also conclude that Chelsea Ford, the nurse who spoke with Hawkins the night before he died, did not intentionally discriminate against Hawkins by failing to refer him to the MHU or by failing  [*320]  to implement suicide-prevention measures. Again, Hawkins received an accommodation for his mental-health issues, i.e., two weeks of psychiatric treatment at the MHU, so to establish intentional discrimination, Smith must show that there were indications that further accommodation was necessary. Smith claims that Ford received such an indication when she spoke with Hawkins.</w:t>
      </w:r>
    </w:p>
    <w:p w14:paraId="0CC3243E" w14:textId="77777777" w:rsidR="002B10A6" w:rsidRDefault="00000000">
      <w:pPr>
        <w:pStyle w:val="Normal33"/>
        <w:widowControl w:val="0"/>
        <w:spacing w:before="200" w:line="260" w:lineRule="atLeast"/>
        <w:jc w:val="both"/>
      </w:pPr>
      <w:bookmarkStart w:id="6595" w:name="Bookmark_para_25_19"/>
      <w:bookmarkEnd w:id="6595"/>
      <w:r>
        <w:rPr>
          <w:rFonts w:ascii="Arial" w:eastAsia="Arial" w:hAnsi="Arial" w:cs="Arial"/>
          <w:color w:val="000000"/>
          <w:sz w:val="20"/>
        </w:rPr>
        <w:t>In her report documenting her conversation with Hawkins, which she created before his death, Ford wrote:</w:t>
      </w:r>
    </w:p>
    <w:p w14:paraId="355217FF" w14:textId="77777777" w:rsidR="002B10A6" w:rsidRDefault="00000000">
      <w:pPr>
        <w:pStyle w:val="Normal33"/>
        <w:widowControl w:val="0"/>
        <w:spacing w:before="200" w:line="260" w:lineRule="atLeast"/>
        <w:ind w:left="400"/>
        <w:jc w:val="both"/>
      </w:pPr>
      <w:bookmarkStart w:id="6596" w:name="Bookmark_para_26_19"/>
      <w:bookmarkEnd w:id="6596"/>
      <w:r>
        <w:rPr>
          <w:rFonts w:ascii="Arial" w:eastAsia="Arial" w:hAnsi="Arial" w:cs="Arial"/>
          <w:color w:val="000000"/>
          <w:sz w:val="20"/>
        </w:rPr>
        <w:t>PT [patient] stood when writer approached, PT is known to this writer from previous housing in admin separation. PT verbalized he was just discharged from [the MHU] after "I tried to hang myself at [cell block] 701." PT has had several past suicide attempts, with one nearly fatal overdose that resulted in extensive hospital stay. Writer encouraged PT notify myself or deputies when SI [suicidal ideation] worsens and he feels the need to act on thoughts. PT states "the illuminate is watching me and makes me want to kill myself." [**16]  PT reports he is presently not experiencing SI and agrees to notify writer if symptoms worsen.</w:t>
      </w:r>
    </w:p>
    <w:p w14:paraId="296F5154" w14:textId="77777777" w:rsidR="002B10A6" w:rsidRDefault="00000000">
      <w:pPr>
        <w:pStyle w:val="Normal33"/>
        <w:widowControl w:val="0"/>
        <w:spacing w:line="260" w:lineRule="atLeast"/>
        <w:jc w:val="both"/>
      </w:pPr>
      <w:r>
        <w:rPr>
          <w:rFonts w:ascii="Arial" w:eastAsia="Arial" w:hAnsi="Arial" w:cs="Arial"/>
          <w:color w:val="000000"/>
          <w:sz w:val="20"/>
        </w:rPr>
        <w:t>Ford seems to have understood Hawkins to be describing his past experiences and symptoms, not his current mental state, and Ford's deposition testimony confirms that Hawkins told her that he was not presently experiencing suicidal ideation. She also testified that, after speaking with Hawkins, she did not believe that he was actively suicidal.</w:t>
      </w:r>
    </w:p>
    <w:p w14:paraId="2E8FC621" w14:textId="77777777" w:rsidR="002B10A6" w:rsidRDefault="00000000">
      <w:pPr>
        <w:pStyle w:val="Normal33"/>
        <w:widowControl w:val="0"/>
        <w:spacing w:before="200" w:line="260" w:lineRule="atLeast"/>
        <w:jc w:val="both"/>
      </w:pPr>
      <w:bookmarkStart w:id="6597" w:name="Bookmark_para_27_19"/>
      <w:bookmarkStart w:id="6598" w:name="Bookmark_I5YP2VN02SF8SJ0030000400"/>
      <w:bookmarkEnd w:id="6597"/>
      <w:bookmarkEnd w:id="6598"/>
      <w:r>
        <w:rPr>
          <w:rFonts w:ascii="Arial" w:eastAsia="Arial" w:hAnsi="Arial" w:cs="Arial"/>
          <w:color w:val="000000"/>
          <w:sz w:val="20"/>
        </w:rPr>
        <w:t xml:space="preserve">In retrospect, Ford's assessment may have been wrong, but there is no evidence suggesting that her report or her testimony were dishonest. Smith argues that Hawkins's statements to Ford were indicative of a mental-health issue such that Ford violated jail policy by failing to refer Hawkins to the MHU. Even if Smith were correct and Ford violated jail policy, that would not convert a perhaps-negligent mistake into intentional discrimination or deliberate indifference. </w:t>
      </w:r>
      <w:r>
        <w:rPr>
          <w:rFonts w:ascii="Arial" w:eastAsia="Arial" w:hAnsi="Arial" w:cs="Arial"/>
          <w:i/>
          <w:color w:val="000000"/>
          <w:sz w:val="20"/>
        </w:rPr>
        <w:t xml:space="preserve">Cf. </w:t>
      </w:r>
      <w:bookmarkStart w:id="6599" w:name="Bookmark_I5YP2VN02SF8SJ0020000400"/>
      <w:bookmarkEnd w:id="6599"/>
      <w:r>
        <w:rPr>
          <w:rFonts w:ascii="Arial" w:eastAsia="Arial" w:hAnsi="Arial" w:cs="Arial"/>
          <w:i/>
          <w:color w:val="000000"/>
          <w:sz w:val="20"/>
        </w:rPr>
        <w:t>Anderson v. Dallas County</w:t>
      </w:r>
      <w:r>
        <w:rPr>
          <w:rFonts w:ascii="Arial" w:eastAsia="Arial" w:hAnsi="Arial" w:cs="Arial"/>
          <w:color w:val="000000"/>
          <w:sz w:val="20"/>
        </w:rPr>
        <w:t>, 286 F. App'x 850, 862 (5th Cir. 2008) (concluding, in a jail-suicide case, that "no single individual" acted with deliberate indifference even though "staff at the Jail collectively may have acted negligently, or even grossly negligently, by ignoring Jail procedures"). Because Ford, like the other employees at the Harris [**17]  County Jail, did not intentionally discriminate against Hawkins, the district court correctly dismissed Smith's claims for compensatory damages.</w:t>
      </w:r>
    </w:p>
    <w:p w14:paraId="5CB0A5D2" w14:textId="77777777" w:rsidR="002B10A6" w:rsidRDefault="00000000">
      <w:pPr>
        <w:pStyle w:val="Normal33"/>
        <w:widowControl w:val="0"/>
        <w:spacing w:before="240" w:line="260" w:lineRule="atLeast"/>
      </w:pPr>
      <w:r>
        <w:br/>
      </w:r>
      <w:r>
        <w:rPr>
          <w:rFonts w:ascii="Arial" w:eastAsia="Arial" w:hAnsi="Arial" w:cs="Arial"/>
          <w:b/>
          <w:color w:val="000000"/>
          <w:sz w:val="20"/>
        </w:rPr>
        <w:t>V</w:t>
      </w:r>
      <w:r>
        <w:rPr>
          <w:rFonts w:ascii="Arial" w:eastAsia="Arial" w:hAnsi="Arial" w:cs="Arial"/>
          <w:color w:val="000000"/>
          <w:sz w:val="20"/>
        </w:rPr>
        <w:t>.</w:t>
      </w:r>
    </w:p>
    <w:p w14:paraId="7FD64E37" w14:textId="77777777" w:rsidR="002B10A6" w:rsidRDefault="00000000">
      <w:pPr>
        <w:pStyle w:val="Normal33"/>
        <w:widowControl w:val="0"/>
        <w:spacing w:before="200" w:line="260" w:lineRule="atLeast"/>
        <w:jc w:val="both"/>
      </w:pPr>
      <w:bookmarkStart w:id="6600" w:name="Bookmark_para_28_19"/>
      <w:bookmarkEnd w:id="6600"/>
      <w:r>
        <w:rPr>
          <w:rFonts w:ascii="Arial" w:eastAsia="Arial" w:hAnsi="Arial" w:cs="Arial"/>
          <w:color w:val="000000"/>
          <w:sz w:val="20"/>
        </w:rPr>
        <w:t>For the foregoing reasons, we AFFIRM the judgment of the district court.</w:t>
      </w:r>
    </w:p>
    <w:p w14:paraId="5B838785" w14:textId="77777777" w:rsidR="002B10A6" w:rsidRDefault="002B10A6">
      <w:pPr>
        <w:pStyle w:val="Normal33"/>
      </w:pPr>
    </w:p>
    <w:p w14:paraId="5FF2D6C0" w14:textId="015552CB" w:rsidR="002B10A6" w:rsidRDefault="00000000">
      <w:pPr>
        <w:pStyle w:val="Normal33"/>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32992" behindDoc="0" locked="0" layoutInCell="1" allowOverlap="1" wp14:anchorId="69D9A95B" wp14:editId="5A9E2DF1">
                <wp:simplePos x="0" y="0"/>
                <wp:positionH relativeFrom="column">
                  <wp:posOffset>0</wp:posOffset>
                </wp:positionH>
                <wp:positionV relativeFrom="paragraph">
                  <wp:posOffset>127000</wp:posOffset>
                </wp:positionV>
                <wp:extent cx="6502400" cy="0"/>
                <wp:effectExtent l="9525" t="12700" r="12700" b="6350"/>
                <wp:wrapNone/>
                <wp:docPr id="1172099179"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590C7" id="Line 74"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2257100" w14:textId="77777777" w:rsidR="002B10A6" w:rsidRDefault="002B10A6">
      <w:pPr>
        <w:pStyle w:val="Normal34"/>
        <w:sectPr w:rsidR="002B10A6">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gutter="0"/>
          <w:cols w:space="720"/>
          <w:titlePg/>
        </w:sectPr>
      </w:pPr>
    </w:p>
    <w:p w14:paraId="716CBA07" w14:textId="77777777" w:rsidR="002B10A6" w:rsidRDefault="002B10A6">
      <w:pPr>
        <w:pStyle w:val="Normal34"/>
      </w:pPr>
    </w:p>
    <w:p w14:paraId="7329A51D" w14:textId="77777777" w:rsidR="002B10A6" w:rsidRDefault="00000000">
      <w:pPr>
        <w:pStyle w:val="Heading133"/>
        <w:keepNext w:val="0"/>
        <w:widowControl w:val="0"/>
        <w:spacing w:after="200" w:line="340" w:lineRule="atLeast"/>
        <w:jc w:val="center"/>
      </w:pPr>
      <w:r>
        <w:rPr>
          <w:rFonts w:eastAsia="Arial"/>
          <w:color w:val="000000"/>
          <w:sz w:val="28"/>
        </w:rPr>
        <w:t>Brooklyn Ctr. for Psychotherapy, Inc. v. Phila. Indem. Ins. Co.</w:t>
      </w:r>
    </w:p>
    <w:p w14:paraId="1FB04325" w14:textId="77777777" w:rsidR="002B10A6" w:rsidRDefault="00000000">
      <w:pPr>
        <w:pStyle w:val="Normal34"/>
        <w:widowControl w:val="0"/>
        <w:spacing w:before="120" w:line="260" w:lineRule="atLeast"/>
        <w:jc w:val="center"/>
      </w:pPr>
      <w:r>
        <w:rPr>
          <w:rFonts w:ascii="Arial" w:eastAsia="Arial" w:hAnsi="Arial" w:cs="Arial"/>
          <w:color w:val="000000"/>
          <w:sz w:val="20"/>
        </w:rPr>
        <w:t>United States Court of Appeals for the Second Circuit</w:t>
      </w:r>
    </w:p>
    <w:p w14:paraId="480CB4CA" w14:textId="77777777" w:rsidR="002B10A6" w:rsidRDefault="00000000">
      <w:pPr>
        <w:pStyle w:val="Normal34"/>
        <w:widowControl w:val="0"/>
        <w:spacing w:before="120" w:line="260" w:lineRule="atLeast"/>
        <w:jc w:val="center"/>
      </w:pPr>
      <w:r>
        <w:rPr>
          <w:rFonts w:ascii="Arial" w:eastAsia="Arial" w:hAnsi="Arial" w:cs="Arial"/>
          <w:color w:val="000000"/>
          <w:sz w:val="20"/>
        </w:rPr>
        <w:t>February 6, 2020, Argued; April 9, 2020, Decided</w:t>
      </w:r>
    </w:p>
    <w:p w14:paraId="2A8074C3" w14:textId="77777777" w:rsidR="002B10A6" w:rsidRDefault="00000000">
      <w:pPr>
        <w:pStyle w:val="Normal34"/>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Docket No. 19-2266-cv</w:t>
      </w:r>
    </w:p>
    <w:p w14:paraId="1D0C2C57" w14:textId="77777777" w:rsidR="002B10A6" w:rsidRDefault="002B10A6">
      <w:pPr>
        <w:pStyle w:val="Normal34"/>
        <w:widowControl w:val="0"/>
        <w:spacing w:line="240" w:lineRule="atLeast"/>
        <w:jc w:val="both"/>
      </w:pPr>
      <w:bookmarkStart w:id="6601" w:name="Bookmark_35"/>
      <w:bookmarkEnd w:id="6601"/>
    </w:p>
    <w:p w14:paraId="770DD4BA" w14:textId="77777777" w:rsidR="002B10A6" w:rsidRDefault="00000000">
      <w:pPr>
        <w:pStyle w:val="Normal34"/>
        <w:widowControl w:val="0"/>
        <w:spacing w:before="200" w:line="240" w:lineRule="atLeast"/>
      </w:pPr>
      <w:bookmarkStart w:id="6602" w:name="Reporter_33"/>
      <w:bookmarkEnd w:id="6602"/>
      <w:r>
        <w:rPr>
          <w:rFonts w:ascii="Arial" w:eastAsia="Arial" w:hAnsi="Arial" w:cs="Arial"/>
          <w:b/>
          <w:color w:val="000000"/>
          <w:sz w:val="18"/>
        </w:rPr>
        <w:t>Reporter</w:t>
      </w:r>
    </w:p>
    <w:p w14:paraId="68A6DC94" w14:textId="77777777" w:rsidR="002B10A6" w:rsidRDefault="00000000">
      <w:pPr>
        <w:pStyle w:val="Normal34"/>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955 F.3d 305 *; 2020 U.S. App. LEXIS 11175 **; 2020 WL 1777211</w:t>
      </w:r>
    </w:p>
    <w:p w14:paraId="64690117" w14:textId="77777777" w:rsidR="002B10A6" w:rsidRDefault="00000000">
      <w:pPr>
        <w:pStyle w:val="Normal34"/>
        <w:widowControl w:val="0"/>
        <w:spacing w:before="120" w:line="260" w:lineRule="atLeast"/>
      </w:pPr>
      <w:r>
        <w:rPr>
          <w:rFonts w:ascii="Arial" w:eastAsia="Arial" w:hAnsi="Arial" w:cs="Arial"/>
          <w:color w:val="000000"/>
          <w:sz w:val="20"/>
        </w:rPr>
        <w:t>BROOKLYN CENTER FOR PSYCHOTHERAPY, INC., Plaintiff-Appellant, v. PHILADELPHIA INDEMNITY INSURANCE COMPANY, Defendant-Appellee.</w:t>
      </w:r>
    </w:p>
    <w:p w14:paraId="2B5BBBB4" w14:textId="77777777" w:rsidR="002B10A6" w:rsidRDefault="00000000">
      <w:pPr>
        <w:pStyle w:val="Normal34"/>
        <w:widowControl w:val="0"/>
        <w:spacing w:before="240" w:line="260" w:lineRule="atLeast"/>
        <w:jc w:val="both"/>
      </w:pPr>
      <w:bookmarkStart w:id="6603" w:name="Prior_History_33"/>
      <w:bookmarkEnd w:id="6603"/>
      <w:r>
        <w:rPr>
          <w:rFonts w:ascii="Arial" w:eastAsia="Arial" w:hAnsi="Arial" w:cs="Arial"/>
          <w:b/>
          <w:color w:val="000000"/>
          <w:sz w:val="20"/>
        </w:rPr>
        <w:t>Prior History:</w:t>
      </w:r>
      <w:r>
        <w:rPr>
          <w:rFonts w:ascii="Arial" w:eastAsia="Arial" w:hAnsi="Arial" w:cs="Arial"/>
          <w:color w:val="000000"/>
          <w:sz w:val="20"/>
        </w:rPr>
        <w:t> </w:t>
      </w:r>
      <w:bookmarkStart w:id="6604" w:name="Bookmark_para_1_33"/>
      <w:bookmarkEnd w:id="6604"/>
      <w:r>
        <w:rPr>
          <w:rFonts w:ascii="Arial" w:eastAsia="Arial" w:hAnsi="Arial" w:cs="Arial"/>
          <w:color w:val="000000"/>
          <w:sz w:val="20"/>
        </w:rPr>
        <w:t> [**1] ON APPEAL FROM THE UNITED STATES DISTRICT COURT FOR THE EASTERN DISTRICT OF NEW YORK.</w:t>
      </w:r>
    </w:p>
    <w:p w14:paraId="793CB4E4" w14:textId="77777777" w:rsidR="002B10A6" w:rsidRDefault="00000000">
      <w:pPr>
        <w:pStyle w:val="Normal34"/>
        <w:widowControl w:val="0"/>
        <w:spacing w:before="200" w:line="260" w:lineRule="atLeast"/>
        <w:jc w:val="both"/>
      </w:pPr>
      <w:bookmarkStart w:id="6605" w:name="Bookmark_para_2_33"/>
      <w:bookmarkEnd w:id="6605"/>
      <w:r>
        <w:rPr>
          <w:rFonts w:ascii="Arial" w:eastAsia="Arial" w:hAnsi="Arial" w:cs="Arial"/>
          <w:color w:val="000000"/>
          <w:sz w:val="20"/>
        </w:rPr>
        <w:t>Plaintiff-Appellant Brooklyn Center for Psychotherapy, Inc. appeals a decision and order of the United States District Court for the Eastern District of New York (Donnelly, J.) dismissing its claim against Philadelphia Indemnity Insurance Company for breach of contract for failing to provide a defense in a lawsuit alleging discrimination under a failure-to-accommodate theory. Because this case turns on an open question of New York insurance law, we reserve decision and certify a question to the New York Court of Appeals.</w:t>
      </w:r>
    </w:p>
    <w:p w14:paraId="28F47A21" w14:textId="77777777" w:rsidR="002B10A6" w:rsidRDefault="00000000">
      <w:pPr>
        <w:pStyle w:val="Normal34"/>
        <w:widowControl w:val="0"/>
        <w:spacing w:before="120" w:line="260" w:lineRule="atLeast"/>
      </w:pPr>
      <w:r>
        <w:rPr>
          <w:rFonts w:ascii="Arial" w:eastAsia="Arial" w:hAnsi="Arial" w:cs="Arial"/>
          <w:color w:val="000000"/>
          <w:sz w:val="20"/>
        </w:rPr>
        <w:t>Brooklyn Ctr. for Psychotherapy, Inc. v. Phila. Indem. Ins. Co., 2019 U.S. Dist. LEXIS 230388, 2019 WL 8501338 (E.D.N.Y., July 2, 2019)</w:t>
      </w:r>
    </w:p>
    <w:p w14:paraId="45FDFBA9" w14:textId="77777777" w:rsidR="002B10A6" w:rsidRDefault="00000000">
      <w:pPr>
        <w:pStyle w:val="Normal34"/>
        <w:widowControl w:val="0"/>
        <w:spacing w:before="120" w:line="260" w:lineRule="atLeast"/>
      </w:pPr>
      <w:r>
        <w:rPr>
          <w:rFonts w:ascii="Arial" w:eastAsia="Arial" w:hAnsi="Arial" w:cs="Arial"/>
          <w:color w:val="000000"/>
          <w:sz w:val="20"/>
        </w:rPr>
        <w:t>Goldman v. Brooklyn Ctr. for Psychotherapy, Inc., 2018 U.S. Dist. LEXIS 44538, 2018 WL 1385888 (E.D.N.Y., Mar. 19, 2018)</w:t>
      </w:r>
    </w:p>
    <w:p w14:paraId="3BAC5AA9" w14:textId="77777777" w:rsidR="002B10A6" w:rsidRDefault="00000000">
      <w:pPr>
        <w:pStyle w:val="Normal34"/>
        <w:widowControl w:val="0"/>
        <w:spacing w:before="240" w:line="260" w:lineRule="atLeast"/>
      </w:pPr>
      <w:bookmarkStart w:id="6606" w:name="Counsel_32"/>
      <w:bookmarkEnd w:id="6606"/>
      <w:r>
        <w:rPr>
          <w:rFonts w:ascii="Arial" w:eastAsia="Arial" w:hAnsi="Arial" w:cs="Arial"/>
          <w:b/>
          <w:color w:val="000000"/>
          <w:sz w:val="20"/>
        </w:rPr>
        <w:t>Counsel:</w:t>
      </w:r>
      <w:r>
        <w:rPr>
          <w:rFonts w:ascii="Arial" w:eastAsia="Arial" w:hAnsi="Arial" w:cs="Arial"/>
          <w:color w:val="000000"/>
          <w:sz w:val="20"/>
        </w:rPr>
        <w:t> MICHAEL Y. HAWRYLCHAK, O'Connell &amp; Aronowitz, P.C., Albany, New York (Jeffrey J. Sherrin, on the brief), for Plaintiff-Appellant.</w:t>
      </w:r>
    </w:p>
    <w:p w14:paraId="5E1EDE2F" w14:textId="77777777" w:rsidR="002B10A6" w:rsidRDefault="00000000">
      <w:pPr>
        <w:pStyle w:val="Normal34"/>
        <w:widowControl w:val="0"/>
        <w:spacing w:before="120" w:line="260" w:lineRule="atLeast"/>
      </w:pPr>
      <w:r>
        <w:rPr>
          <w:rFonts w:ascii="Arial" w:eastAsia="Arial" w:hAnsi="Arial" w:cs="Arial"/>
          <w:color w:val="000000"/>
          <w:sz w:val="20"/>
        </w:rPr>
        <w:t>DAN D. KOHANE, Hurwitz &amp; Fine, P.C., Buffalo, New York, for Defendant-Appellee.</w:t>
      </w:r>
    </w:p>
    <w:p w14:paraId="613E9447" w14:textId="77777777" w:rsidR="002B10A6" w:rsidRDefault="00000000">
      <w:pPr>
        <w:pStyle w:val="Normal34"/>
        <w:widowControl w:val="0"/>
        <w:spacing w:before="240" w:line="260" w:lineRule="atLeast"/>
      </w:pPr>
      <w:bookmarkStart w:id="6607" w:name="Judges_33"/>
      <w:bookmarkEnd w:id="6607"/>
      <w:r>
        <w:rPr>
          <w:rFonts w:ascii="Arial" w:eastAsia="Arial" w:hAnsi="Arial" w:cs="Arial"/>
          <w:b/>
          <w:color w:val="000000"/>
          <w:sz w:val="20"/>
        </w:rPr>
        <w:t>Judges:</w:t>
      </w:r>
      <w:r>
        <w:rPr>
          <w:rFonts w:ascii="Arial" w:eastAsia="Arial" w:hAnsi="Arial" w:cs="Arial"/>
          <w:color w:val="000000"/>
          <w:sz w:val="20"/>
        </w:rPr>
        <w:t> Before: POOLER, LYNCH, and PARK, Circuit Judges.</w:t>
      </w:r>
    </w:p>
    <w:p w14:paraId="38CB5484" w14:textId="77777777" w:rsidR="002B10A6" w:rsidRDefault="00000000">
      <w:pPr>
        <w:pStyle w:val="Normal34"/>
        <w:widowControl w:val="0"/>
        <w:spacing w:before="240" w:line="260" w:lineRule="atLeast"/>
      </w:pPr>
      <w:bookmarkStart w:id="6608" w:name="Opinion_by_23"/>
      <w:bookmarkEnd w:id="6608"/>
      <w:r>
        <w:rPr>
          <w:rFonts w:ascii="Arial" w:eastAsia="Arial" w:hAnsi="Arial" w:cs="Arial"/>
          <w:b/>
          <w:color w:val="000000"/>
          <w:sz w:val="20"/>
        </w:rPr>
        <w:t>Opinion by:</w:t>
      </w:r>
      <w:r>
        <w:rPr>
          <w:rFonts w:ascii="Arial" w:eastAsia="Arial" w:hAnsi="Arial" w:cs="Arial"/>
          <w:color w:val="000000"/>
          <w:sz w:val="20"/>
        </w:rPr>
        <w:t> Park</w:t>
      </w:r>
    </w:p>
    <w:p w14:paraId="6B7614EE" w14:textId="77777777" w:rsidR="002B10A6" w:rsidRDefault="00000000">
      <w:pPr>
        <w:pStyle w:val="Normal34"/>
        <w:keepNext/>
        <w:widowControl w:val="0"/>
        <w:spacing w:before="240" w:line="340" w:lineRule="atLeast"/>
      </w:pPr>
      <w:bookmarkStart w:id="6609" w:name="Opinion_33"/>
      <w:bookmarkEnd w:id="6609"/>
      <w:r>
        <w:rPr>
          <w:rFonts w:ascii="Arial" w:eastAsia="Arial" w:hAnsi="Arial" w:cs="Arial"/>
          <w:b/>
          <w:color w:val="000000"/>
          <w:sz w:val="28"/>
        </w:rPr>
        <w:t>Opinion</w:t>
      </w:r>
    </w:p>
    <w:p w14:paraId="2C0DEB85" w14:textId="5C6E40C7" w:rsidR="002B10A6" w:rsidRDefault="002D6974">
      <w:pPr>
        <w:pStyle w:val="Normal34"/>
        <w:spacing w:line="60" w:lineRule="exact"/>
      </w:pPr>
      <w:r>
        <w:rPr>
          <w:noProof/>
        </w:rPr>
        <mc:AlternateContent>
          <mc:Choice Requires="wps">
            <w:drawing>
              <wp:anchor distT="0" distB="0" distL="114300" distR="114300" simplePos="0" relativeHeight="251734016" behindDoc="0" locked="0" layoutInCell="1" allowOverlap="1" wp14:anchorId="5E43057D" wp14:editId="7C22C1B5">
                <wp:simplePos x="0" y="0"/>
                <wp:positionH relativeFrom="column">
                  <wp:posOffset>0</wp:posOffset>
                </wp:positionH>
                <wp:positionV relativeFrom="paragraph">
                  <wp:posOffset>25400</wp:posOffset>
                </wp:positionV>
                <wp:extent cx="3187700" cy="0"/>
                <wp:effectExtent l="19050" t="15875" r="12700" b="12700"/>
                <wp:wrapTopAndBottom/>
                <wp:docPr id="817576136"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90D26" id="Line 75"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D1106F0" w14:textId="77777777" w:rsidR="002B10A6" w:rsidRDefault="002B10A6">
      <w:pPr>
        <w:pStyle w:val="Normal34"/>
      </w:pPr>
    </w:p>
    <w:p w14:paraId="0143F2D1" w14:textId="77777777" w:rsidR="002B10A6" w:rsidRDefault="00000000">
      <w:pPr>
        <w:pStyle w:val="Normal34"/>
        <w:widowControl w:val="0"/>
        <w:spacing w:before="200" w:line="260" w:lineRule="atLeast"/>
        <w:jc w:val="both"/>
      </w:pPr>
      <w:bookmarkStart w:id="6610" w:name="Bookmark_para_3_33"/>
      <w:bookmarkEnd w:id="6610"/>
      <w:r>
        <w:rPr>
          <w:rFonts w:ascii="Arial" w:eastAsia="Arial" w:hAnsi="Arial" w:cs="Arial"/>
          <w:color w:val="000000"/>
          <w:sz w:val="20"/>
        </w:rPr>
        <w:t xml:space="preserve"> [*308]  Park, </w:t>
      </w:r>
      <w:r>
        <w:rPr>
          <w:rFonts w:ascii="Arial" w:eastAsia="Arial" w:hAnsi="Arial" w:cs="Arial"/>
          <w:i/>
          <w:color w:val="000000"/>
          <w:sz w:val="20"/>
        </w:rPr>
        <w:t>Circuit Judge</w:t>
      </w:r>
      <w:r>
        <w:rPr>
          <w:rFonts w:ascii="Arial" w:eastAsia="Arial" w:hAnsi="Arial" w:cs="Arial"/>
          <w:color w:val="000000"/>
          <w:sz w:val="20"/>
        </w:rPr>
        <w:t>:</w:t>
      </w:r>
    </w:p>
    <w:p w14:paraId="26C6F64C" w14:textId="77777777" w:rsidR="002B10A6" w:rsidRDefault="00000000">
      <w:pPr>
        <w:pStyle w:val="Normal34"/>
        <w:widowControl w:val="0"/>
        <w:spacing w:before="200" w:line="260" w:lineRule="atLeast"/>
        <w:jc w:val="both"/>
      </w:pPr>
      <w:bookmarkStart w:id="6611" w:name="Bookmark_para_4_33"/>
      <w:bookmarkEnd w:id="6611"/>
      <w:r>
        <w:rPr>
          <w:rFonts w:ascii="Arial" w:eastAsia="Arial" w:hAnsi="Arial" w:cs="Arial"/>
          <w:color w:val="000000"/>
          <w:sz w:val="20"/>
        </w:rPr>
        <w:t>This case involves a dispute over the scope of a commercial general liability insurance policy. A deaf woman sued the insured, Brooklyn Center for Psychotherapy, Inc. ("Brooklyn Center"), for failing to accommodate her disability. Brooklyn Center sought defense costs for that lawsuit from its insurer, Philadelphia [**2]  Indemnity Insurance Company ("PIIC"). PIIC refused, so Brooklyn Center sued PIIC. The district court granted PIIC's motion to dismiss because New York law prohibits insurance coverage for intentional discrimination. The New York Court of Appeals, however, has not yet addressed whether a general liability insurance carrier must defend an insured in an action alleging discrimination under a failure-to-accommodate [*309]  theory. We thus reserve decision and certify the question to the New York Court of Appeals.</w:t>
      </w:r>
    </w:p>
    <w:p w14:paraId="39E38832" w14:textId="77777777" w:rsidR="002B10A6" w:rsidRDefault="00000000">
      <w:pPr>
        <w:pStyle w:val="Normal34"/>
        <w:widowControl w:val="0"/>
        <w:spacing w:before="240" w:line="260" w:lineRule="atLeast"/>
      </w:pPr>
      <w:r>
        <w:br/>
      </w:r>
      <w:r>
        <w:rPr>
          <w:rFonts w:ascii="Arial" w:eastAsia="Arial" w:hAnsi="Arial" w:cs="Arial"/>
          <w:b/>
          <w:color w:val="000000"/>
          <w:sz w:val="20"/>
        </w:rPr>
        <w:t>I. BACKGROUND</w:t>
      </w:r>
    </w:p>
    <w:p w14:paraId="68ECA92F" w14:textId="77777777" w:rsidR="002B10A6" w:rsidRDefault="00000000">
      <w:pPr>
        <w:pStyle w:val="Normal34"/>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The Underlying Action</w:t>
      </w:r>
    </w:p>
    <w:p w14:paraId="5A236F73" w14:textId="77777777" w:rsidR="002B10A6" w:rsidRDefault="00000000">
      <w:pPr>
        <w:pStyle w:val="Normal34"/>
        <w:widowControl w:val="0"/>
        <w:spacing w:before="200" w:line="260" w:lineRule="atLeast"/>
        <w:jc w:val="both"/>
      </w:pPr>
      <w:bookmarkStart w:id="6612" w:name="Bookmark_para_5_33"/>
      <w:bookmarkEnd w:id="6612"/>
      <w:r>
        <w:rPr>
          <w:rFonts w:ascii="Arial" w:eastAsia="Arial" w:hAnsi="Arial" w:cs="Arial"/>
          <w:color w:val="000000"/>
          <w:sz w:val="20"/>
        </w:rPr>
        <w:t xml:space="preserve">Fanni Goldman, who is deaf, sued Brooklyn Center for allegedly discriminating against her in violation of the Americans with Disabilities Act ("ADA"), 42 U.S.C. § 12181 </w:t>
      </w:r>
      <w:r>
        <w:rPr>
          <w:rFonts w:ascii="Arial" w:eastAsia="Arial" w:hAnsi="Arial" w:cs="Arial"/>
          <w:i/>
          <w:color w:val="000000"/>
          <w:sz w:val="20"/>
        </w:rPr>
        <w:t>et seq.</w:t>
      </w:r>
      <w:r>
        <w:rPr>
          <w:rFonts w:ascii="Arial" w:eastAsia="Arial" w:hAnsi="Arial" w:cs="Arial"/>
          <w:color w:val="000000"/>
          <w:sz w:val="20"/>
        </w:rPr>
        <w:t xml:space="preserve">; the Rehabilitation Act, 29 U.S.C. § 794; the New York State Human Rights Law ("NYSHRL"), N.Y. Exec. Law § 290 </w:t>
      </w:r>
      <w:r>
        <w:rPr>
          <w:rFonts w:ascii="Arial" w:eastAsia="Arial" w:hAnsi="Arial" w:cs="Arial"/>
          <w:i/>
          <w:color w:val="000000"/>
          <w:sz w:val="20"/>
        </w:rPr>
        <w:t>et seq.</w:t>
      </w:r>
      <w:r>
        <w:rPr>
          <w:rFonts w:ascii="Arial" w:eastAsia="Arial" w:hAnsi="Arial" w:cs="Arial"/>
          <w:color w:val="000000"/>
          <w:sz w:val="20"/>
        </w:rPr>
        <w:t xml:space="preserve">; and the New York City Human Rights Law ("NYCHRL"), N.Y.C. Admin Code § 8-101 </w:t>
      </w:r>
      <w:r>
        <w:rPr>
          <w:rFonts w:ascii="Arial" w:eastAsia="Arial" w:hAnsi="Arial" w:cs="Arial"/>
          <w:i/>
          <w:color w:val="000000"/>
          <w:sz w:val="20"/>
        </w:rPr>
        <w:t>et seq. See Goldman v. Brooklyn Center for Psychotherapy, Inc.</w:t>
      </w:r>
      <w:r>
        <w:rPr>
          <w:rFonts w:ascii="Arial" w:eastAsia="Arial" w:hAnsi="Arial" w:cs="Arial"/>
          <w:color w:val="000000"/>
          <w:sz w:val="20"/>
        </w:rPr>
        <w:t>, No. 15-cv-2572 (E.D.N.Y) (the "Underlying Action").</w:t>
      </w:r>
    </w:p>
    <w:p w14:paraId="1C7786E4" w14:textId="77777777" w:rsidR="002B10A6" w:rsidRDefault="00000000">
      <w:pPr>
        <w:pStyle w:val="Normal34"/>
        <w:widowControl w:val="0"/>
        <w:spacing w:before="200" w:line="260" w:lineRule="atLeast"/>
        <w:jc w:val="both"/>
      </w:pPr>
      <w:bookmarkStart w:id="6613" w:name="Bookmark_para_6_33"/>
      <w:bookmarkEnd w:id="6613"/>
      <w:r>
        <w:rPr>
          <w:rFonts w:ascii="Arial" w:eastAsia="Arial" w:hAnsi="Arial" w:cs="Arial"/>
          <w:color w:val="000000"/>
          <w:sz w:val="20"/>
        </w:rPr>
        <w:t>In her complaint, Goldman alleged the following:</w:t>
      </w:r>
    </w:p>
    <w:p w14:paraId="307E92D3" w14:textId="77777777" w:rsidR="002B10A6" w:rsidRDefault="00000000">
      <w:pPr>
        <w:pStyle w:val="Normal34"/>
        <w:widowControl w:val="0"/>
        <w:spacing w:line="260" w:lineRule="atLeast"/>
        <w:ind w:left="400"/>
        <w:jc w:val="both"/>
      </w:pPr>
      <w:bookmarkStart w:id="6614" w:name="Bookmark_para_7_33"/>
      <w:bookmarkEnd w:id="6614"/>
      <w:r>
        <w:rPr>
          <w:rFonts w:ascii="Arial" w:eastAsia="Arial" w:hAnsi="Arial" w:cs="Arial"/>
          <w:color w:val="000000"/>
          <w:sz w:val="20"/>
        </w:rPr>
        <w:t>• Brooklyn Center "refused to schedule an appointment" for her seven-year-old son because of her disability. App'x at 23.</w:t>
      </w:r>
    </w:p>
    <w:p w14:paraId="02D372C3" w14:textId="77777777" w:rsidR="002B10A6" w:rsidRDefault="00000000">
      <w:pPr>
        <w:pStyle w:val="Normal34"/>
        <w:widowControl w:val="0"/>
        <w:spacing w:before="200" w:line="260" w:lineRule="atLeast"/>
        <w:ind w:left="400"/>
        <w:jc w:val="both"/>
      </w:pPr>
      <w:bookmarkStart w:id="6615" w:name="Bookmark_para_8_33"/>
      <w:bookmarkEnd w:id="6615"/>
      <w:r>
        <w:rPr>
          <w:rFonts w:ascii="Arial" w:eastAsia="Arial" w:hAnsi="Arial" w:cs="Arial"/>
          <w:color w:val="000000"/>
          <w:sz w:val="20"/>
        </w:rPr>
        <w:t xml:space="preserve">• A Brooklyn Center employee told her on two occasions that they "would not provide interpreter [**3]  services and that [she] should look elsewhere" for her son's psychiatric treatment. </w:t>
      </w:r>
      <w:r>
        <w:rPr>
          <w:rFonts w:ascii="Arial" w:eastAsia="Arial" w:hAnsi="Arial" w:cs="Arial"/>
          <w:i/>
          <w:color w:val="000000"/>
          <w:sz w:val="20"/>
        </w:rPr>
        <w:t>Id.</w:t>
      </w:r>
      <w:r>
        <w:rPr>
          <w:rFonts w:ascii="Arial" w:eastAsia="Arial" w:hAnsi="Arial" w:cs="Arial"/>
          <w:color w:val="000000"/>
          <w:sz w:val="20"/>
        </w:rPr>
        <w:t xml:space="preserve"> at 24.</w:t>
      </w:r>
    </w:p>
    <w:p w14:paraId="04E6489C" w14:textId="77777777" w:rsidR="002B10A6" w:rsidRDefault="00000000">
      <w:pPr>
        <w:pStyle w:val="Normal34"/>
        <w:widowControl w:val="0"/>
        <w:spacing w:before="200" w:line="260" w:lineRule="atLeast"/>
        <w:ind w:left="400"/>
        <w:jc w:val="both"/>
      </w:pPr>
      <w:bookmarkStart w:id="6616" w:name="Bookmark_para_9_33"/>
      <w:bookmarkEnd w:id="6616"/>
      <w:r>
        <w:rPr>
          <w:rFonts w:ascii="Arial" w:eastAsia="Arial" w:hAnsi="Arial" w:cs="Arial"/>
          <w:color w:val="000000"/>
          <w:sz w:val="20"/>
        </w:rPr>
        <w:t xml:space="preserve">• Brooklyn Center "refuses to hire qualified onsite sign language interpreters as a matter of policy and practice." </w:t>
      </w:r>
      <w:r>
        <w:rPr>
          <w:rFonts w:ascii="Arial" w:eastAsia="Arial" w:hAnsi="Arial" w:cs="Arial"/>
          <w:i/>
          <w:color w:val="000000"/>
          <w:sz w:val="20"/>
        </w:rPr>
        <w:t>Id.</w:t>
      </w:r>
    </w:p>
    <w:p w14:paraId="117C2AC5" w14:textId="77777777" w:rsidR="002B10A6" w:rsidRDefault="00000000">
      <w:pPr>
        <w:pStyle w:val="Normal34"/>
        <w:widowControl w:val="0"/>
        <w:spacing w:before="200" w:line="260" w:lineRule="atLeast"/>
        <w:ind w:left="400"/>
        <w:jc w:val="both"/>
      </w:pPr>
      <w:bookmarkStart w:id="6617" w:name="Bookmark_para_10_32"/>
      <w:bookmarkEnd w:id="6617"/>
      <w:r>
        <w:rPr>
          <w:rFonts w:ascii="Arial" w:eastAsia="Arial" w:hAnsi="Arial" w:cs="Arial"/>
          <w:color w:val="000000"/>
          <w:sz w:val="20"/>
        </w:rPr>
        <w:t xml:space="preserve">• Brooklyn Center's refusal to provide interpreter services constituted "intentional[] discriminat[ion]" and "deliberate indifference to her communication needs." </w:t>
      </w:r>
      <w:r>
        <w:rPr>
          <w:rFonts w:ascii="Arial" w:eastAsia="Arial" w:hAnsi="Arial" w:cs="Arial"/>
          <w:i/>
          <w:color w:val="000000"/>
          <w:sz w:val="20"/>
        </w:rPr>
        <w:t>Id.</w:t>
      </w:r>
      <w:r>
        <w:rPr>
          <w:rFonts w:ascii="Arial" w:eastAsia="Arial" w:hAnsi="Arial" w:cs="Arial"/>
          <w:color w:val="000000"/>
          <w:sz w:val="20"/>
        </w:rPr>
        <w:t xml:space="preserve"> at 25.</w:t>
      </w:r>
    </w:p>
    <w:p w14:paraId="63818479" w14:textId="77777777" w:rsidR="002B10A6" w:rsidRDefault="00000000">
      <w:pPr>
        <w:pStyle w:val="Normal34"/>
        <w:widowControl w:val="0"/>
        <w:spacing w:before="200" w:line="260" w:lineRule="atLeast"/>
        <w:ind w:left="400"/>
        <w:jc w:val="both"/>
      </w:pPr>
      <w:bookmarkStart w:id="6618" w:name="Bookmark_para_11_28"/>
      <w:bookmarkEnd w:id="6618"/>
      <w:r>
        <w:rPr>
          <w:rFonts w:ascii="Arial" w:eastAsia="Arial" w:hAnsi="Arial" w:cs="Arial"/>
          <w:color w:val="000000"/>
          <w:sz w:val="20"/>
        </w:rPr>
        <w:t xml:space="preserve">• Brooklyn Center's conduct "caus[ed] her to endure humiliation, fear, anxiety, and emotional distress." </w:t>
      </w:r>
      <w:r>
        <w:rPr>
          <w:rFonts w:ascii="Arial" w:eastAsia="Arial" w:hAnsi="Arial" w:cs="Arial"/>
          <w:i/>
          <w:color w:val="000000"/>
          <w:sz w:val="20"/>
        </w:rPr>
        <w:t>Id.</w:t>
      </w:r>
    </w:p>
    <w:p w14:paraId="7AC3FA65" w14:textId="77777777" w:rsidR="002B10A6" w:rsidRDefault="00000000">
      <w:pPr>
        <w:pStyle w:val="Normal34"/>
        <w:widowControl w:val="0"/>
        <w:spacing w:before="200" w:line="260" w:lineRule="atLeast"/>
        <w:jc w:val="both"/>
      </w:pPr>
      <w:bookmarkStart w:id="6619" w:name="Bookmark_para_12_27"/>
      <w:bookmarkEnd w:id="6619"/>
      <w:r>
        <w:rPr>
          <w:rFonts w:ascii="Arial" w:eastAsia="Arial" w:hAnsi="Arial" w:cs="Arial"/>
          <w:color w:val="000000"/>
          <w:sz w:val="20"/>
        </w:rPr>
        <w:t>After trial, a jury found for Brooklyn Center, concluding that Goldman had failed to prove unlawful discrimination.</w:t>
      </w:r>
    </w:p>
    <w:p w14:paraId="4B69F485" w14:textId="77777777" w:rsidR="002B10A6" w:rsidRDefault="00000000">
      <w:pPr>
        <w:pStyle w:val="Normal34"/>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The Coverage Dispute</w:t>
      </w:r>
    </w:p>
    <w:p w14:paraId="3AD667A9" w14:textId="77777777" w:rsidR="002B10A6" w:rsidRDefault="00000000">
      <w:pPr>
        <w:pStyle w:val="Normal34"/>
        <w:widowControl w:val="0"/>
        <w:spacing w:before="200" w:line="260" w:lineRule="atLeast"/>
        <w:jc w:val="both"/>
      </w:pPr>
      <w:bookmarkStart w:id="6620" w:name="Bookmark_para_13_27"/>
      <w:bookmarkEnd w:id="6620"/>
      <w:r>
        <w:rPr>
          <w:rFonts w:ascii="Arial" w:eastAsia="Arial" w:hAnsi="Arial" w:cs="Arial"/>
          <w:color w:val="000000"/>
          <w:sz w:val="20"/>
        </w:rPr>
        <w:t xml:space="preserve">During the relevant time period, Brooklyn Center held a commercial general liability insurance policy with PIIC (the "Policy"). The Policy provided coverage for "those sums that [Brooklyn Center] becomes legally obligated to pay as damages because of 'bodily injury' or 'property damage' . . . caused by an 'occurrence.'" App'x at 37. Under the Policy, PIIC also had a "duty to defend [Brooklyn Center] against any 'suit' seeking those damages." </w:t>
      </w:r>
      <w:r>
        <w:rPr>
          <w:rFonts w:ascii="Arial" w:eastAsia="Arial" w:hAnsi="Arial" w:cs="Arial"/>
          <w:i/>
          <w:color w:val="000000"/>
          <w:sz w:val="20"/>
        </w:rPr>
        <w:t>Id.</w:t>
      </w:r>
      <w:r>
        <w:rPr>
          <w:rFonts w:ascii="Arial" w:eastAsia="Arial" w:hAnsi="Arial" w:cs="Arial"/>
          <w:color w:val="000000"/>
          <w:sz w:val="20"/>
        </w:rPr>
        <w:t xml:space="preserve"> The Policy defines an "occurrence" to mean "an accident, including continuous or repeated exposure to substantially the same general harmful conditions." [**4]  App'x at 39.</w:t>
      </w:r>
    </w:p>
    <w:p w14:paraId="4E5393F6" w14:textId="77777777" w:rsidR="002B10A6" w:rsidRDefault="00000000">
      <w:pPr>
        <w:pStyle w:val="Normal34"/>
        <w:widowControl w:val="0"/>
        <w:spacing w:before="200" w:line="260" w:lineRule="atLeast"/>
        <w:jc w:val="both"/>
      </w:pPr>
      <w:bookmarkStart w:id="6621" w:name="Bookmark_para_14_27"/>
      <w:bookmarkEnd w:id="6621"/>
      <w:r>
        <w:rPr>
          <w:rFonts w:ascii="Arial" w:eastAsia="Arial" w:hAnsi="Arial" w:cs="Arial"/>
          <w:color w:val="000000"/>
          <w:sz w:val="20"/>
        </w:rPr>
        <w:t>After Goldman filed the Underlying Action, Brooklyn Center notified PIIC of the litigation and asked PIIC to pay for its defense costs under the Policy. PIIC rejected Brooklyn Center's request for coverage on the ground that Goldman's complaint did not allege any "occurrence" under the Policy.</w:t>
      </w:r>
      <w:r>
        <w:rPr>
          <w:rFonts w:ascii="Arial" w:eastAsia="Arial" w:hAnsi="Arial" w:cs="Arial"/>
          <w:vertAlign w:val="superscript"/>
        </w:rPr>
        <w:footnoteReference w:customMarkFollows="1" w:id="282"/>
        <w:t>1</w:t>
      </w:r>
    </w:p>
    <w:p w14:paraId="77602ED6" w14:textId="77777777" w:rsidR="002B10A6" w:rsidRDefault="00000000">
      <w:pPr>
        <w:pStyle w:val="Normal34"/>
        <w:widowControl w:val="0"/>
        <w:spacing w:before="120" w:line="260" w:lineRule="atLeast"/>
      </w:pPr>
      <w:r>
        <w:rPr>
          <w:rFonts w:ascii="Arial" w:eastAsia="Arial" w:hAnsi="Arial" w:cs="Arial"/>
          <w:color w:val="000000"/>
          <w:sz w:val="20"/>
        </w:rPr>
        <w:t xml:space="preserve">C. </w:t>
      </w:r>
      <w:r>
        <w:rPr>
          <w:rFonts w:ascii="Arial" w:eastAsia="Arial" w:hAnsi="Arial" w:cs="Arial"/>
          <w:color w:val="000000"/>
          <w:sz w:val="20"/>
          <w:u w:val="single"/>
        </w:rPr>
        <w:t>Procedural History</w:t>
      </w:r>
    </w:p>
    <w:p w14:paraId="3FF1CC37" w14:textId="77777777" w:rsidR="002B10A6" w:rsidRDefault="00000000">
      <w:pPr>
        <w:pStyle w:val="Normal34"/>
        <w:widowControl w:val="0"/>
        <w:spacing w:before="200" w:line="260" w:lineRule="atLeast"/>
        <w:jc w:val="both"/>
      </w:pPr>
      <w:bookmarkStart w:id="6625" w:name="Bookmark_para_15_27"/>
      <w:bookmarkEnd w:id="6625"/>
      <w:r>
        <w:rPr>
          <w:rFonts w:ascii="Arial" w:eastAsia="Arial" w:hAnsi="Arial" w:cs="Arial"/>
          <w:color w:val="000000"/>
          <w:sz w:val="20"/>
        </w:rPr>
        <w:t xml:space="preserve">Brooklyn Center filed suit against PIIC in state court alleging, </w:t>
      </w:r>
      <w:r>
        <w:rPr>
          <w:rFonts w:ascii="Arial" w:eastAsia="Arial" w:hAnsi="Arial" w:cs="Arial"/>
          <w:i/>
          <w:color w:val="000000"/>
          <w:sz w:val="20"/>
        </w:rPr>
        <w:t>inter alia</w:t>
      </w:r>
      <w:r>
        <w:rPr>
          <w:rFonts w:ascii="Arial" w:eastAsia="Arial" w:hAnsi="Arial" w:cs="Arial"/>
          <w:color w:val="000000"/>
          <w:sz w:val="20"/>
        </w:rPr>
        <w:t>, that PIIC had breached the Policy by refusing to cover Brooklyn Center's defense costs for the Underlying Action. PIIC removed the case to the U.S. District Court for the Eastern District of New York on diversity  [*310]  jurisdiction grounds and then moved to dismiss Brooklyn Center's complaint for failure to state a claim. The district court granted PIIC's motion, holding that the Policy did not require PIIC to cover Brooklyn Center's defense costs because Goldman's complaint "alleged only intentional acts resulting in discrimination," and "[i]ntentional discriminatory acts are not accidental and thus not [occurrences] covered by the [P]olicy." App'x at 481, 477.</w:t>
      </w:r>
    </w:p>
    <w:p w14:paraId="3A343937" w14:textId="77777777" w:rsidR="002B10A6" w:rsidRDefault="00000000">
      <w:pPr>
        <w:pStyle w:val="Normal34"/>
        <w:widowControl w:val="0"/>
        <w:spacing w:before="240" w:line="260" w:lineRule="atLeast"/>
      </w:pPr>
      <w:r>
        <w:br/>
      </w:r>
      <w:r>
        <w:rPr>
          <w:rFonts w:ascii="Arial" w:eastAsia="Arial" w:hAnsi="Arial" w:cs="Arial"/>
          <w:b/>
          <w:color w:val="000000"/>
          <w:sz w:val="20"/>
        </w:rPr>
        <w:t>II. APPLICABLE LAW</w:t>
      </w:r>
    </w:p>
    <w:p w14:paraId="0083C7A7" w14:textId="77777777" w:rsidR="002B10A6" w:rsidRDefault="00000000">
      <w:pPr>
        <w:pStyle w:val="Normal34"/>
        <w:widowControl w:val="0"/>
        <w:spacing w:before="120" w:line="260" w:lineRule="atLeast"/>
      </w:pPr>
      <w:r>
        <w:rPr>
          <w:rFonts w:ascii="Arial" w:eastAsia="Arial" w:hAnsi="Arial" w:cs="Arial"/>
          <w:color w:val="000000"/>
          <w:sz w:val="20"/>
        </w:rPr>
        <w:t xml:space="preserve">A. </w:t>
      </w:r>
      <w:r>
        <w:rPr>
          <w:rFonts w:ascii="Arial" w:eastAsia="Arial" w:hAnsi="Arial" w:cs="Arial"/>
          <w:color w:val="000000"/>
          <w:sz w:val="20"/>
          <w:u w:val="single"/>
        </w:rPr>
        <w:t>Standard of Review</w:t>
      </w:r>
    </w:p>
    <w:p w14:paraId="5A8F0EE2" w14:textId="77777777" w:rsidR="002B10A6" w:rsidRDefault="00000000">
      <w:pPr>
        <w:pStyle w:val="Normal34"/>
        <w:widowControl w:val="0"/>
        <w:spacing w:before="200" w:line="260" w:lineRule="atLeast"/>
        <w:jc w:val="both"/>
      </w:pPr>
      <w:bookmarkStart w:id="6626" w:name="Bookmark_para_16_24"/>
      <w:bookmarkStart w:id="6627" w:name="Bookmark_I5YMT1FF2SF8CN0040000400"/>
      <w:bookmarkStart w:id="6628" w:name="Bookmark_LNHNREFclscc1_27"/>
      <w:bookmarkEnd w:id="6626"/>
      <w:bookmarkEnd w:id="6627"/>
      <w:bookmarkEnd w:id="6628"/>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the grant of a motion to dismiss for failure to state a claim upon which relief can be granted under [**5]  Federal Rule of Civil Procedure 12(b)(6)." </w:t>
      </w:r>
      <w:bookmarkStart w:id="6629" w:name="Bookmark_I5YMT1FF2SF8CN0030000400"/>
      <w:bookmarkEnd w:id="6629"/>
      <w:r>
        <w:rPr>
          <w:rFonts w:ascii="Arial" w:eastAsia="Arial" w:hAnsi="Arial" w:cs="Arial"/>
          <w:i/>
          <w:color w:val="000000"/>
          <w:sz w:val="20"/>
        </w:rPr>
        <w:t>Harris v. Mills</w:t>
      </w:r>
      <w:r>
        <w:rPr>
          <w:rFonts w:ascii="Arial" w:eastAsia="Arial" w:hAnsi="Arial" w:cs="Arial"/>
          <w:color w:val="000000"/>
          <w:sz w:val="20"/>
        </w:rPr>
        <w:t xml:space="preserve">, 572 F.3d 66, 71 (2d Cir. 2009). "We consider the legal sufficiency of the complaint, taking its factual allegations to be true and drawing all reasonable inferences in the plaintiff's favor." </w:t>
      </w:r>
      <w:r>
        <w:rPr>
          <w:rFonts w:ascii="Arial" w:eastAsia="Arial" w:hAnsi="Arial" w:cs="Arial"/>
          <w:i/>
          <w:color w:val="000000"/>
          <w:sz w:val="20"/>
        </w:rPr>
        <w:t>Id.</w:t>
      </w:r>
    </w:p>
    <w:p w14:paraId="3D3ADD4D" w14:textId="77777777" w:rsidR="002B10A6" w:rsidRDefault="00000000">
      <w:pPr>
        <w:pStyle w:val="Normal34"/>
        <w:widowControl w:val="0"/>
        <w:spacing w:before="120" w:line="260" w:lineRule="atLeast"/>
      </w:pPr>
      <w:r>
        <w:rPr>
          <w:rFonts w:ascii="Arial" w:eastAsia="Arial" w:hAnsi="Arial" w:cs="Arial"/>
          <w:color w:val="000000"/>
          <w:sz w:val="20"/>
        </w:rPr>
        <w:t xml:space="preserve">B. </w:t>
      </w:r>
      <w:r>
        <w:rPr>
          <w:rFonts w:ascii="Arial" w:eastAsia="Arial" w:hAnsi="Arial" w:cs="Arial"/>
          <w:color w:val="000000"/>
          <w:sz w:val="20"/>
          <w:u w:val="single"/>
        </w:rPr>
        <w:t>Duty to Defend</w:t>
      </w:r>
    </w:p>
    <w:p w14:paraId="1648B92D" w14:textId="77777777" w:rsidR="002B10A6" w:rsidRDefault="00000000">
      <w:pPr>
        <w:pStyle w:val="Normal34"/>
        <w:widowControl w:val="0"/>
        <w:spacing w:before="200" w:line="260" w:lineRule="atLeast"/>
        <w:jc w:val="both"/>
      </w:pPr>
      <w:bookmarkStart w:id="6630" w:name="Bookmark_para_17_24"/>
      <w:bookmarkStart w:id="6631" w:name="Bookmark_I5YMT1FG2SF8CS0010000400"/>
      <w:bookmarkStart w:id="6632" w:name="Bookmark_I5YMT1FG2SF8CS0050000400"/>
      <w:bookmarkStart w:id="6633" w:name="Bookmark_I5YMT1FH2N1RFM0020000400"/>
      <w:bookmarkStart w:id="6634" w:name="Bookmark_LNHNREFclscc2_27"/>
      <w:bookmarkEnd w:id="6630"/>
      <w:bookmarkEnd w:id="6631"/>
      <w:bookmarkEnd w:id="6632"/>
      <w:bookmarkEnd w:id="6633"/>
      <w:bookmarkEnd w:id="6634"/>
      <w:r>
        <w:rPr>
          <w:rFonts w:ascii="Arial" w:eastAsia="Arial" w:hAnsi="Arial" w:cs="Arial"/>
          <w:color w:val="000000"/>
          <w:sz w:val="20"/>
        </w:rPr>
        <w:t xml:space="preserve">"In New York, an insurer's duty to defend is exceedingly broad," </w:t>
      </w:r>
      <w:bookmarkStart w:id="6635" w:name="Bookmark_I5YMT1FF2SF8CN0050000400"/>
      <w:bookmarkEnd w:id="6635"/>
      <w:r>
        <w:rPr>
          <w:rFonts w:ascii="Arial" w:eastAsia="Arial" w:hAnsi="Arial" w:cs="Arial"/>
          <w:i/>
          <w:color w:val="000000"/>
          <w:sz w:val="20"/>
        </w:rPr>
        <w:t>Euchner-USA, Inc. v. Hartford Cas. Ins. Co.</w:t>
      </w:r>
      <w:r>
        <w:rPr>
          <w:rFonts w:ascii="Arial" w:eastAsia="Arial" w:hAnsi="Arial" w:cs="Arial"/>
          <w:color w:val="000000"/>
          <w:sz w:val="20"/>
        </w:rPr>
        <w:t xml:space="preserve">, 754 F.3d 136, 140 (2d Cir. 2014) (internal quotation marks omitted), and "an insurer will be called upon to provide a defense whenever the allegations of the complaint suggest a reasonable possibility of coverage," </w:t>
      </w:r>
      <w:bookmarkStart w:id="6636" w:name="Bookmark_I5YMT1FG2SF8CS0020000400"/>
      <w:bookmarkEnd w:id="6636"/>
      <w:r>
        <w:rPr>
          <w:rFonts w:ascii="Arial" w:eastAsia="Arial" w:hAnsi="Arial" w:cs="Arial"/>
          <w:i/>
          <w:color w:val="000000"/>
          <w:sz w:val="20"/>
        </w:rPr>
        <w:t>Auto. Ins. Co. of Hartford v. Cook</w:t>
      </w:r>
      <w:r>
        <w:rPr>
          <w:rFonts w:ascii="Arial" w:eastAsia="Arial" w:hAnsi="Arial" w:cs="Arial"/>
          <w:color w:val="000000"/>
          <w:sz w:val="20"/>
        </w:rPr>
        <w:t xml:space="preserve">, 7 N.Y.3d 131, 137, 850 N.E.2d 1152, 818 N.Y.S.2d 176 (2006) (cleaned up). "Thus, an insurer may be required to defend under the contract even though it may not be required to pay once the litigation has run its course." </w:t>
      </w:r>
      <w:r>
        <w:rPr>
          <w:rFonts w:ascii="Arial" w:eastAsia="Arial" w:hAnsi="Arial" w:cs="Arial"/>
          <w:i/>
          <w:color w:val="000000"/>
          <w:sz w:val="20"/>
        </w:rPr>
        <w:t>Id.</w:t>
      </w:r>
      <w:r>
        <w:rPr>
          <w:rFonts w:ascii="Arial" w:eastAsia="Arial" w:hAnsi="Arial" w:cs="Arial"/>
          <w:color w:val="000000"/>
          <w:sz w:val="20"/>
        </w:rPr>
        <w:t xml:space="preserve"> "Whether a complaint asserts additional claims falling outside the policy is immaterial," and "[a]ny doubt as to whether the allegations state a claim within the coverage of the policy must be resolved in favor of the insured and against the carrier." </w:t>
      </w:r>
      <w:bookmarkStart w:id="6637" w:name="Bookmark_I5YMT1FG2SF8CS0040000400"/>
      <w:bookmarkEnd w:id="6637"/>
      <w:r>
        <w:rPr>
          <w:rFonts w:ascii="Arial" w:eastAsia="Arial" w:hAnsi="Arial" w:cs="Arial"/>
          <w:i/>
          <w:color w:val="000000"/>
          <w:sz w:val="20"/>
        </w:rPr>
        <w:t>Euchner-USA, Inc.</w:t>
      </w:r>
      <w:r>
        <w:rPr>
          <w:rFonts w:ascii="Arial" w:eastAsia="Arial" w:hAnsi="Arial" w:cs="Arial"/>
          <w:color w:val="000000"/>
          <w:sz w:val="20"/>
        </w:rPr>
        <w:t xml:space="preserve">, 754 F.3d at 141 (internal quotation marks omitted). "Put another way, [a] defendant has no obligation to defend only if it can be concluded as a matter of law that there is no possible factual or legal basis on which [the] defendant might eventually be held to be obligated to indemnify plaintiff under any provision of the insurance policies." </w:t>
      </w:r>
      <w:bookmarkStart w:id="6638" w:name="Bookmark_I5YMT1FH2N1RFM0010000400"/>
      <w:bookmarkEnd w:id="6638"/>
      <w:r>
        <w:rPr>
          <w:rFonts w:ascii="Arial" w:eastAsia="Arial" w:hAnsi="Arial" w:cs="Arial"/>
          <w:i/>
          <w:color w:val="000000"/>
          <w:sz w:val="20"/>
        </w:rPr>
        <w:t>Mary &amp; Alice Ford Nursing Home Co. v. Fireman's Ins. Co. of Newark, N.J.</w:t>
      </w:r>
      <w:r>
        <w:rPr>
          <w:rFonts w:ascii="Arial" w:eastAsia="Arial" w:hAnsi="Arial" w:cs="Arial"/>
          <w:color w:val="000000"/>
          <w:sz w:val="20"/>
        </w:rPr>
        <w:t xml:space="preserve">, 86 A.D.2d 736, 446 N.Y.S.2d 599, 600 (N.Y. App. Div. 1982), </w:t>
      </w:r>
      <w:r>
        <w:rPr>
          <w:rFonts w:ascii="Arial" w:eastAsia="Arial" w:hAnsi="Arial" w:cs="Arial"/>
          <w:i/>
          <w:color w:val="000000"/>
          <w:sz w:val="20"/>
        </w:rPr>
        <w:t>aff'd</w:t>
      </w:r>
      <w:r>
        <w:rPr>
          <w:rFonts w:ascii="Arial" w:eastAsia="Arial" w:hAnsi="Arial" w:cs="Arial"/>
          <w:color w:val="000000"/>
          <w:sz w:val="20"/>
        </w:rPr>
        <w:t xml:space="preserve"> 57 N.Y.2d 656, 439 N.E.2d 883, 454 N.Y.S.2d 74 (1982).</w:t>
      </w:r>
    </w:p>
    <w:p w14:paraId="7EF4C3E4" w14:textId="77777777" w:rsidR="002B10A6" w:rsidRDefault="00000000">
      <w:pPr>
        <w:pStyle w:val="Normal34"/>
        <w:widowControl w:val="0"/>
        <w:spacing w:before="120" w:line="260" w:lineRule="atLeast"/>
      </w:pPr>
      <w:r>
        <w:rPr>
          <w:rFonts w:ascii="Arial" w:eastAsia="Arial" w:hAnsi="Arial" w:cs="Arial"/>
          <w:color w:val="000000"/>
          <w:sz w:val="20"/>
        </w:rPr>
        <w:t xml:space="preserve">C. </w:t>
      </w:r>
      <w:r>
        <w:rPr>
          <w:rFonts w:ascii="Arial" w:eastAsia="Arial" w:hAnsi="Arial" w:cs="Arial"/>
          <w:color w:val="000000"/>
          <w:sz w:val="20"/>
          <w:u w:val="single"/>
        </w:rPr>
        <w:t>An "Occurrence" [**6] </w:t>
      </w:r>
    </w:p>
    <w:p w14:paraId="0F0C0C26" w14:textId="77777777" w:rsidR="002B10A6" w:rsidRDefault="00000000">
      <w:pPr>
        <w:pStyle w:val="Normal34"/>
        <w:widowControl w:val="0"/>
        <w:spacing w:before="200" w:line="260" w:lineRule="atLeast"/>
        <w:jc w:val="both"/>
      </w:pPr>
      <w:bookmarkStart w:id="6639" w:name="Bookmark_para_18_23"/>
      <w:bookmarkStart w:id="6640" w:name="Bookmark_I5YMT1FH2N1RFM0040000400"/>
      <w:bookmarkEnd w:id="6639"/>
      <w:bookmarkEnd w:id="6640"/>
      <w:r>
        <w:rPr>
          <w:rFonts w:ascii="Arial" w:eastAsia="Arial" w:hAnsi="Arial" w:cs="Arial"/>
          <w:color w:val="000000"/>
          <w:sz w:val="20"/>
        </w:rPr>
        <w:t xml:space="preserve">On appeal, the parties dispute whether any of Brooklyn Center's actions alleged in Goldman's complaint is an "occurrence"—defined as "an accident"—under the Policy. App'x at 39. The provision at issue is a standard one that "has commonly appeared in comprehensive general liability policies since 1966." </w:t>
      </w:r>
      <w:bookmarkStart w:id="6641" w:name="Bookmark_I5YMT1FH2N1RFM0030000400"/>
      <w:bookmarkEnd w:id="6641"/>
      <w:r>
        <w:rPr>
          <w:rFonts w:ascii="Arial" w:eastAsia="Arial" w:hAnsi="Arial" w:cs="Arial"/>
          <w:i/>
          <w:color w:val="000000"/>
          <w:sz w:val="20"/>
        </w:rPr>
        <w:t>City of Johnstown, N.Y. v. Bankers Standard Ins. Co.</w:t>
      </w:r>
      <w:r>
        <w:rPr>
          <w:rFonts w:ascii="Arial" w:eastAsia="Arial" w:hAnsi="Arial" w:cs="Arial"/>
          <w:color w:val="000000"/>
          <w:sz w:val="20"/>
        </w:rPr>
        <w:t>, 877 F.2d 1146, 1149 (discussing identical insurance policy language). We have thus had occasion to opine on the meaning of "occurrence" and "accident" under New York law.</w:t>
      </w:r>
    </w:p>
    <w:p w14:paraId="5C3ACD44" w14:textId="77777777" w:rsidR="002B10A6" w:rsidRDefault="00000000">
      <w:pPr>
        <w:pStyle w:val="Normal34"/>
        <w:widowControl w:val="0"/>
        <w:spacing w:before="200" w:line="260" w:lineRule="atLeast"/>
        <w:jc w:val="both"/>
      </w:pPr>
      <w:bookmarkStart w:id="6642" w:name="Bookmark_para_19_22"/>
      <w:bookmarkStart w:id="6643" w:name="Bookmark_I5YMT1FH28T3XB0010000400"/>
      <w:bookmarkStart w:id="6644" w:name="Bookmark_I5YMT1FH28T3XB0030000400"/>
      <w:bookmarkStart w:id="6645" w:name="Bookmark_I5YMT1FH28T3XC0020000400"/>
      <w:bookmarkStart w:id="6646" w:name="Bookmark_LNHNREFclscc3_27"/>
      <w:bookmarkEnd w:id="6642"/>
      <w:bookmarkEnd w:id="6643"/>
      <w:bookmarkEnd w:id="6644"/>
      <w:bookmarkEnd w:id="6645"/>
      <w:bookmarkEnd w:id="6646"/>
      <w:r>
        <w:rPr>
          <w:rFonts w:ascii="Arial" w:eastAsia="Arial" w:hAnsi="Arial" w:cs="Arial"/>
          <w:color w:val="000000"/>
          <w:sz w:val="20"/>
        </w:rPr>
        <w:t xml:space="preserve">In </w:t>
      </w:r>
      <w:r>
        <w:rPr>
          <w:rFonts w:ascii="Arial" w:eastAsia="Arial" w:hAnsi="Arial" w:cs="Arial"/>
          <w:i/>
          <w:color w:val="000000"/>
          <w:sz w:val="20"/>
        </w:rPr>
        <w:t>City of Johnstown</w:t>
      </w:r>
      <w:r>
        <w:rPr>
          <w:rFonts w:ascii="Arial" w:eastAsia="Arial" w:hAnsi="Arial" w:cs="Arial"/>
          <w:color w:val="000000"/>
          <w:sz w:val="20"/>
        </w:rPr>
        <w:t xml:space="preserve">, we explained that, "[i]n attempting to define what events are 'accidental,' the New York courts have focused on the nexus between an intentional act and the resulting damage." </w:t>
      </w:r>
      <w:bookmarkStart w:id="6647" w:name="Bookmark_I5YMT1FH2N1RFM0050000400"/>
      <w:bookmarkEnd w:id="6647"/>
      <w:r>
        <w:rPr>
          <w:rFonts w:ascii="Arial" w:eastAsia="Arial" w:hAnsi="Arial" w:cs="Arial"/>
          <w:color w:val="000000"/>
          <w:sz w:val="20"/>
        </w:rPr>
        <w:t xml:space="preserve">877 F.2d at 1150. "Recovery will be barred only if the insured intended the damages, or if it can be said that the damages were, in a broader sense, 'intended' by the insured because the insured knew that the damages would flow directly and immediately from its intentional act." </w:t>
      </w:r>
      <w:r>
        <w:rPr>
          <w:rFonts w:ascii="Arial" w:eastAsia="Arial" w:hAnsi="Arial" w:cs="Arial"/>
          <w:i/>
          <w:color w:val="000000"/>
          <w:sz w:val="20"/>
        </w:rPr>
        <w:t>Id.</w:t>
      </w:r>
      <w:r>
        <w:rPr>
          <w:rFonts w:ascii="Arial" w:eastAsia="Arial" w:hAnsi="Arial" w:cs="Arial"/>
          <w:color w:val="000000"/>
          <w:sz w:val="20"/>
        </w:rPr>
        <w:t xml:space="preserve"> (internal citations omitted) (citing </w:t>
      </w:r>
      <w:bookmarkStart w:id="6648" w:name="Bookmark_I5YMT1FH28T3XB0020000400"/>
      <w:bookmarkEnd w:id="6648"/>
      <w:r>
        <w:rPr>
          <w:rFonts w:ascii="Arial" w:eastAsia="Arial" w:hAnsi="Arial" w:cs="Arial"/>
          <w:i/>
          <w:color w:val="000000"/>
          <w:sz w:val="20"/>
        </w:rPr>
        <w:t>McGroarty v. Great Am. Ins. Co.</w:t>
      </w:r>
      <w:r>
        <w:rPr>
          <w:rFonts w:ascii="Arial" w:eastAsia="Arial" w:hAnsi="Arial" w:cs="Arial"/>
          <w:color w:val="000000"/>
          <w:sz w:val="20"/>
        </w:rPr>
        <w:t xml:space="preserve">, 36 N.Y.2d 358, 363-65, 329 N.E.2d 172, 368 N.Y.S.2d 485 (1975), and </w:t>
      </w:r>
      <w:bookmarkStart w:id="6649" w:name="Bookmark_I5YMT1FH28T3XB0040000400"/>
      <w:bookmarkEnd w:id="6649"/>
      <w:r>
        <w:rPr>
          <w:rFonts w:ascii="Arial" w:eastAsia="Arial" w:hAnsi="Arial" w:cs="Arial"/>
          <w:i/>
          <w:color w:val="000000"/>
          <w:sz w:val="20"/>
        </w:rPr>
        <w:t> [*311]  Mary &amp; Alice Ford Nursing Home Co.</w:t>
      </w:r>
      <w:r>
        <w:rPr>
          <w:rFonts w:ascii="Arial" w:eastAsia="Arial" w:hAnsi="Arial" w:cs="Arial"/>
          <w:color w:val="000000"/>
          <w:sz w:val="20"/>
        </w:rPr>
        <w:t xml:space="preserve">, 446 N.Y.S.2d at 601). "In those instances, coverage is precluded because the damages are not 'accidental.'" </w:t>
      </w:r>
      <w:bookmarkStart w:id="6650" w:name="Bookmark_I5YMT1FH28T3XC0010000400"/>
      <w:bookmarkEnd w:id="6650"/>
      <w:r>
        <w:rPr>
          <w:rFonts w:ascii="Arial" w:eastAsia="Arial" w:hAnsi="Arial" w:cs="Arial"/>
          <w:i/>
          <w:color w:val="000000"/>
          <w:sz w:val="20"/>
        </w:rPr>
        <w:t>City of Johnstown</w:t>
      </w:r>
      <w:r>
        <w:rPr>
          <w:rFonts w:ascii="Arial" w:eastAsia="Arial" w:hAnsi="Arial" w:cs="Arial"/>
          <w:color w:val="000000"/>
          <w:sz w:val="20"/>
        </w:rPr>
        <w:t>, 877 F.2d at 1151.</w:t>
      </w:r>
    </w:p>
    <w:p w14:paraId="56E1A423" w14:textId="77777777" w:rsidR="002B10A6" w:rsidRDefault="00000000">
      <w:pPr>
        <w:pStyle w:val="Normal34"/>
        <w:widowControl w:val="0"/>
        <w:spacing w:before="200" w:line="260" w:lineRule="atLeast"/>
        <w:jc w:val="both"/>
      </w:pPr>
      <w:bookmarkStart w:id="6651" w:name="Bookmark_para_20_22"/>
      <w:bookmarkStart w:id="6652" w:name="Bookmark_I5YMT1FH28T3XC0040000400"/>
      <w:bookmarkStart w:id="6653" w:name="Bookmark_I5YMT1FH2SF8CX0010000400"/>
      <w:bookmarkStart w:id="6654" w:name="Bookmark_I5YMT1FH2SF8CX0030000400"/>
      <w:bookmarkStart w:id="6655" w:name="Bookmark_LNHNREFclscc4_27"/>
      <w:bookmarkEnd w:id="6651"/>
      <w:bookmarkEnd w:id="6652"/>
      <w:bookmarkEnd w:id="6653"/>
      <w:bookmarkEnd w:id="6654"/>
      <w:bookmarkEnd w:id="6655"/>
      <w:r>
        <w:rPr>
          <w:rFonts w:ascii="Arial" w:eastAsia="Arial" w:hAnsi="Arial" w:cs="Arial"/>
          <w:color w:val="000000"/>
          <w:sz w:val="20"/>
        </w:rPr>
        <w:t>In other words, under New York law, damages that are not intended by an insured are considered "accidental," and an act causing such unintended damages is considered [**7]  an "occurrence."</w:t>
      </w:r>
      <w:r>
        <w:rPr>
          <w:rFonts w:ascii="Arial" w:eastAsia="Arial" w:hAnsi="Arial" w:cs="Arial"/>
          <w:vertAlign w:val="superscript"/>
        </w:rPr>
        <w:footnoteReference w:customMarkFollows="1" w:id="283"/>
        <w:t>2</w:t>
      </w:r>
      <w:r>
        <w:rPr>
          <w:rFonts w:ascii="Arial" w:eastAsia="Arial" w:hAnsi="Arial" w:cs="Arial"/>
          <w:color w:val="000000"/>
          <w:sz w:val="20"/>
        </w:rPr>
        <w:t xml:space="preserve"> That does not mean, however, that coverage is barred any time an insured performs an intentional act that ultimately causes damage. Rather, a "distinction is drawn between damages which flow directly and immediately from an intended act, thereby precluding coverage, and damages which accidentally arise out of a chain of unintended though expected or foreseeable events that occurred after an intentional act." </w:t>
      </w:r>
      <w:bookmarkStart w:id="6658" w:name="Bookmark_I5YMT1FH28T3XC0030000400"/>
      <w:bookmarkEnd w:id="6658"/>
      <w:r>
        <w:rPr>
          <w:rFonts w:ascii="Arial" w:eastAsia="Arial" w:hAnsi="Arial" w:cs="Arial"/>
          <w:i/>
          <w:color w:val="000000"/>
          <w:sz w:val="20"/>
        </w:rPr>
        <w:t>Id.</w:t>
      </w:r>
      <w:r>
        <w:rPr>
          <w:rFonts w:ascii="Arial" w:eastAsia="Arial" w:hAnsi="Arial" w:cs="Arial"/>
          <w:color w:val="000000"/>
          <w:sz w:val="20"/>
        </w:rPr>
        <w:t xml:space="preserve"> at 1150 (internal quotation marks omitted). "Thus, though an </w:t>
      </w:r>
      <w:r>
        <w:rPr>
          <w:rFonts w:ascii="Arial" w:eastAsia="Arial" w:hAnsi="Arial" w:cs="Arial"/>
          <w:i/>
          <w:color w:val="000000"/>
          <w:sz w:val="20"/>
        </w:rPr>
        <w:t>intentional</w:t>
      </w:r>
      <w:r>
        <w:rPr>
          <w:rFonts w:ascii="Arial" w:eastAsia="Arial" w:hAnsi="Arial" w:cs="Arial"/>
          <w:color w:val="000000"/>
          <w:sz w:val="20"/>
        </w:rPr>
        <w:t xml:space="preserve"> act may ultimately cause certain damages, those damages may, under New York law, be considered 'accidental' if the total situation could be found to constitute an accident." </w:t>
      </w:r>
      <w:r>
        <w:rPr>
          <w:rFonts w:ascii="Arial" w:eastAsia="Arial" w:hAnsi="Arial" w:cs="Arial"/>
          <w:i/>
          <w:color w:val="000000"/>
          <w:sz w:val="20"/>
        </w:rPr>
        <w:t>Id.</w:t>
      </w:r>
      <w:r>
        <w:rPr>
          <w:rFonts w:ascii="Arial" w:eastAsia="Arial" w:hAnsi="Arial" w:cs="Arial"/>
          <w:color w:val="000000"/>
          <w:sz w:val="20"/>
        </w:rPr>
        <w:t xml:space="preserve"> (emphasis in original, internal quotation marks omitted); </w:t>
      </w:r>
      <w:r>
        <w:rPr>
          <w:rFonts w:ascii="Arial" w:eastAsia="Arial" w:hAnsi="Arial" w:cs="Arial"/>
          <w:i/>
          <w:color w:val="000000"/>
          <w:sz w:val="20"/>
        </w:rPr>
        <w:t xml:space="preserve">see also </w:t>
      </w:r>
      <w:bookmarkStart w:id="6659" w:name="Bookmark_I5YMT1FH28T3XC0050000400"/>
      <w:bookmarkEnd w:id="6659"/>
      <w:r>
        <w:rPr>
          <w:rFonts w:ascii="Arial" w:eastAsia="Arial" w:hAnsi="Arial" w:cs="Arial"/>
          <w:i/>
          <w:color w:val="000000"/>
          <w:sz w:val="20"/>
        </w:rPr>
        <w:t>Graphic Arts Mut. Ins. Co. v. Pine Bush Cent. Sch. Dist.</w:t>
      </w:r>
      <w:r>
        <w:rPr>
          <w:rFonts w:ascii="Arial" w:eastAsia="Arial" w:hAnsi="Arial" w:cs="Arial"/>
          <w:color w:val="000000"/>
          <w:sz w:val="20"/>
        </w:rPr>
        <w:t>, 159 A.D.3d 769, 73 N.Y.S.3d 241, 245 (N.Y. App. Div. 2018) ("An act that is intentionally committed or performed may still be considered an accident within the meaning of an insurance policy, as long as the insured did not expect or intend the harm caused.").</w:t>
      </w:r>
    </w:p>
    <w:p w14:paraId="2962A4EA" w14:textId="77777777" w:rsidR="002B10A6" w:rsidRDefault="00000000">
      <w:pPr>
        <w:pStyle w:val="Normal34"/>
        <w:widowControl w:val="0"/>
        <w:spacing w:before="120" w:line="260" w:lineRule="atLeast"/>
      </w:pPr>
      <w:r>
        <w:rPr>
          <w:rFonts w:ascii="Arial" w:eastAsia="Arial" w:hAnsi="Arial" w:cs="Arial"/>
          <w:color w:val="000000"/>
          <w:sz w:val="20"/>
        </w:rPr>
        <w:t xml:space="preserve">D. </w:t>
      </w:r>
      <w:r>
        <w:rPr>
          <w:rFonts w:ascii="Arial" w:eastAsia="Arial" w:hAnsi="Arial" w:cs="Arial"/>
          <w:color w:val="000000"/>
          <w:sz w:val="20"/>
          <w:u w:val="single"/>
        </w:rPr>
        <w:t>Discrimination Claims</w:t>
      </w:r>
    </w:p>
    <w:p w14:paraId="485D6273" w14:textId="77777777" w:rsidR="002B10A6" w:rsidRDefault="00000000">
      <w:pPr>
        <w:pStyle w:val="Normal34"/>
        <w:widowControl w:val="0"/>
        <w:spacing w:before="200" w:line="260" w:lineRule="atLeast"/>
        <w:jc w:val="both"/>
      </w:pPr>
      <w:bookmarkStart w:id="6660" w:name="Bookmark_para_21_22"/>
      <w:bookmarkEnd w:id="6660"/>
      <w:r>
        <w:rPr>
          <w:rFonts w:ascii="Arial" w:eastAsia="Arial" w:hAnsi="Arial" w:cs="Arial"/>
          <w:color w:val="000000"/>
          <w:sz w:val="20"/>
        </w:rPr>
        <w:t>Brooklyn Center argues that PIIC was obligated to defend it under the Policy because, in the Underlying Action, Goldman alleged—in addition to any intentional discrimination claims—that Brooklyn Center discriminated against [**8]  her by failing to accommodate her hearing disability. PIIC, on the other hand, contends that Brooklyn Center's refusal to accommodate Goldman's disability was intentional, so Goldman's failure-to-accommodate claims cannot constitute occurrences under the Policy.</w:t>
      </w:r>
    </w:p>
    <w:p w14:paraId="4196AD85" w14:textId="77777777" w:rsidR="002B10A6" w:rsidRDefault="00000000">
      <w:pPr>
        <w:pStyle w:val="Normal34"/>
        <w:widowControl w:val="0"/>
        <w:spacing w:before="200" w:line="260" w:lineRule="atLeast"/>
        <w:jc w:val="both"/>
      </w:pPr>
      <w:bookmarkStart w:id="6661" w:name="Bookmark_para_22_21"/>
      <w:bookmarkStart w:id="6662" w:name="Bookmark_I5YMT1FH2SF8CX0050000400"/>
      <w:bookmarkStart w:id="6663" w:name="Bookmark_LNHNREFclscc5_26"/>
      <w:bookmarkEnd w:id="6661"/>
      <w:bookmarkEnd w:id="6662"/>
      <w:bookmarkEnd w:id="6663"/>
      <w:r>
        <w:rPr>
          <w:rFonts w:ascii="Arial" w:eastAsia="Arial" w:hAnsi="Arial" w:cs="Arial"/>
          <w:color w:val="000000"/>
          <w:sz w:val="20"/>
        </w:rPr>
        <w:t xml:space="preserve">A plaintiff alleging disability discrimination "can base [her] claim on any of three available theories: (1) intentional discrimination (disparate treatment); (2) disparate impact; and (3) failure to make a reasonable accommodation." </w:t>
      </w:r>
      <w:bookmarkStart w:id="6664" w:name="Bookmark_I5YMT1FH2SF8CX0040000400"/>
      <w:bookmarkEnd w:id="6664"/>
      <w:r>
        <w:rPr>
          <w:rFonts w:ascii="Arial" w:eastAsia="Arial" w:hAnsi="Arial" w:cs="Arial"/>
          <w:i/>
          <w:color w:val="000000"/>
          <w:sz w:val="20"/>
        </w:rPr>
        <w:t>Fulton v. Goord</w:t>
      </w:r>
      <w:r>
        <w:rPr>
          <w:rFonts w:ascii="Arial" w:eastAsia="Arial" w:hAnsi="Arial" w:cs="Arial"/>
          <w:color w:val="000000"/>
          <w:sz w:val="20"/>
        </w:rPr>
        <w:t>, 591 F.3d 37, 43 (2d Cir. 2009) (internal quotation marks omitted).</w:t>
      </w:r>
    </w:p>
    <w:p w14:paraId="4C8B95B1" w14:textId="77777777" w:rsidR="002B10A6" w:rsidRDefault="00000000">
      <w:pPr>
        <w:pStyle w:val="Normal34"/>
        <w:widowControl w:val="0"/>
        <w:spacing w:before="200" w:line="260" w:lineRule="atLeast"/>
        <w:jc w:val="both"/>
      </w:pPr>
      <w:bookmarkStart w:id="6665" w:name="Bookmark_para_23_20"/>
      <w:bookmarkStart w:id="6666" w:name="Bookmark_I5YMT1FJ2HM5W40020000400"/>
      <w:bookmarkStart w:id="6667" w:name="Bookmark_LNHNREFclscc6_24"/>
      <w:bookmarkEnd w:id="6665"/>
      <w:bookmarkEnd w:id="6666"/>
      <w:bookmarkEnd w:id="6667"/>
      <w:r>
        <w:rPr>
          <w:rFonts w:ascii="Arial" w:eastAsia="Arial" w:hAnsi="Arial" w:cs="Arial"/>
          <w:color w:val="000000"/>
          <w:sz w:val="20"/>
        </w:rPr>
        <w:t xml:space="preserve">"Disparate treatment is the most easily understood type of discrimination. The [defendant] simply treats some people less favorably than others because of their race, color, religion or other protected characteristics. Proof of discriminatory motive is critical." </w:t>
      </w:r>
      <w:bookmarkStart w:id="6668" w:name="Bookmark_I5YMT1FJ2HM5W40010000400"/>
      <w:bookmarkEnd w:id="6668"/>
      <w:r>
        <w:rPr>
          <w:rFonts w:ascii="Arial" w:eastAsia="Arial" w:hAnsi="Arial" w:cs="Arial"/>
          <w:i/>
          <w:color w:val="000000"/>
          <w:sz w:val="20"/>
        </w:rPr>
        <w:t>Hazen Paper Co. v. Biggins</w:t>
      </w:r>
      <w:r>
        <w:rPr>
          <w:rFonts w:ascii="Arial" w:eastAsia="Arial" w:hAnsi="Arial" w:cs="Arial"/>
          <w:color w:val="000000"/>
          <w:sz w:val="20"/>
        </w:rPr>
        <w:t>, 507 U.S. 604, 609, 113 S. Ct. 1701, 123 L. Ed. 2d 338 (1993) (cleaned up).</w:t>
      </w:r>
    </w:p>
    <w:p w14:paraId="21FA80FE" w14:textId="77777777" w:rsidR="002B10A6" w:rsidRDefault="00000000">
      <w:pPr>
        <w:pStyle w:val="Normal34"/>
        <w:widowControl w:val="0"/>
        <w:spacing w:before="200" w:line="260" w:lineRule="atLeast"/>
        <w:jc w:val="both"/>
      </w:pPr>
      <w:bookmarkStart w:id="6669" w:name="Bookmark_para_24_20"/>
      <w:bookmarkEnd w:id="6669"/>
      <w:r>
        <w:rPr>
          <w:rFonts w:ascii="Arial" w:eastAsia="Arial" w:hAnsi="Arial" w:cs="Arial"/>
          <w:color w:val="000000"/>
          <w:sz w:val="20"/>
        </w:rPr>
        <w:t xml:space="preserve">"Claims that stress disparate impact by contrast involve . . . practices that are facially neutral in their treatment of different groups but that in fact fall more harshly on one group than another and cannot be justified by business necessity. Proof of discriminatory motive is not required under a disparate-impact theory." </w:t>
      </w:r>
      <w:r>
        <w:rPr>
          <w:rFonts w:ascii="Arial" w:eastAsia="Arial" w:hAnsi="Arial" w:cs="Arial"/>
          <w:i/>
          <w:color w:val="000000"/>
          <w:sz w:val="20"/>
        </w:rPr>
        <w:t>Id.</w:t>
      </w:r>
      <w:r>
        <w:rPr>
          <w:rFonts w:ascii="Arial" w:eastAsia="Arial" w:hAnsi="Arial" w:cs="Arial"/>
          <w:color w:val="000000"/>
          <w:sz w:val="20"/>
        </w:rPr>
        <w:t xml:space="preserve"> (cleaned up).</w:t>
      </w:r>
    </w:p>
    <w:p w14:paraId="22335403" w14:textId="77777777" w:rsidR="002B10A6" w:rsidRDefault="00000000">
      <w:pPr>
        <w:pStyle w:val="Normal34"/>
        <w:widowControl w:val="0"/>
        <w:spacing w:before="200" w:line="260" w:lineRule="atLeast"/>
        <w:jc w:val="both"/>
      </w:pPr>
      <w:bookmarkStart w:id="6670" w:name="Bookmark_para_25_20"/>
      <w:bookmarkStart w:id="6671" w:name="Bookmark_I5YMT1FJ2HM5W40040000400"/>
      <w:bookmarkStart w:id="6672" w:name="Bookmark_I5YMT1FK2HM5W70010000400"/>
      <w:bookmarkStart w:id="6673" w:name="Bookmark_LNHNREFclscc7_22"/>
      <w:bookmarkEnd w:id="6670"/>
      <w:bookmarkEnd w:id="6671"/>
      <w:bookmarkEnd w:id="6672"/>
      <w:bookmarkEnd w:id="6673"/>
      <w:r>
        <w:rPr>
          <w:rFonts w:ascii="Arial" w:eastAsia="Arial" w:hAnsi="Arial" w:cs="Arial"/>
          <w:color w:val="000000"/>
          <w:sz w:val="20"/>
        </w:rPr>
        <w:t xml:space="preserve">Finally, failure-to-accommodate claims involve [**9]  allegations that "a disability makes it difficult for a plaintiff to  [*312]  access benefits" "to which [she is] legally entitled." </w:t>
      </w:r>
      <w:bookmarkStart w:id="6674" w:name="Bookmark_I5YMT1FJ2HM5W40030000400"/>
      <w:bookmarkEnd w:id="6674"/>
      <w:r>
        <w:rPr>
          <w:rFonts w:ascii="Arial" w:eastAsia="Arial" w:hAnsi="Arial" w:cs="Arial"/>
          <w:i/>
          <w:color w:val="000000"/>
          <w:sz w:val="20"/>
        </w:rPr>
        <w:t>Henrietta D. v. Bloomberg</w:t>
      </w:r>
      <w:r>
        <w:rPr>
          <w:rFonts w:ascii="Arial" w:eastAsia="Arial" w:hAnsi="Arial" w:cs="Arial"/>
          <w:color w:val="000000"/>
          <w:sz w:val="20"/>
        </w:rPr>
        <w:t xml:space="preserve">, 331 F.3d 261, 277, 273 (2d Cir. 2003). </w:t>
      </w:r>
      <w:bookmarkStart w:id="6675" w:name="Bookmark_I5YMT1FK2HM5W70050000400"/>
      <w:bookmarkEnd w:id="6675"/>
      <w:r>
        <w:rPr>
          <w:rFonts w:ascii="Arial" w:eastAsia="Arial" w:hAnsi="Arial" w:cs="Arial"/>
          <w:color w:val="000000"/>
          <w:sz w:val="20"/>
        </w:rPr>
        <w:t>Importantly, the ADA, the Rehabilitation Act, and the NYSHRL all require defendants to afford only "</w:t>
      </w:r>
      <w:r>
        <w:rPr>
          <w:rFonts w:ascii="Arial" w:eastAsia="Arial" w:hAnsi="Arial" w:cs="Arial"/>
          <w:i/>
          <w:color w:val="000000"/>
          <w:sz w:val="20"/>
        </w:rPr>
        <w:t>reasonable</w:t>
      </w:r>
      <w:r>
        <w:rPr>
          <w:rFonts w:ascii="Arial" w:eastAsia="Arial" w:hAnsi="Arial" w:cs="Arial"/>
          <w:color w:val="000000"/>
          <w:sz w:val="20"/>
        </w:rPr>
        <w:t xml:space="preserve"> accommodation" of a plaintiff's "known disability." </w:t>
      </w:r>
      <w:bookmarkStart w:id="6676" w:name="Bookmark_I5YMT1FJ2HM5W40050000400"/>
      <w:bookmarkEnd w:id="6676"/>
      <w:r>
        <w:rPr>
          <w:rFonts w:ascii="Arial" w:eastAsia="Arial" w:hAnsi="Arial" w:cs="Arial"/>
          <w:i/>
          <w:color w:val="000000"/>
          <w:sz w:val="20"/>
        </w:rPr>
        <w:t>Noll v. Int'l Bus. Machines Corp.</w:t>
      </w:r>
      <w:r>
        <w:rPr>
          <w:rFonts w:ascii="Arial" w:eastAsia="Arial" w:hAnsi="Arial" w:cs="Arial"/>
          <w:color w:val="000000"/>
          <w:sz w:val="20"/>
        </w:rPr>
        <w:t xml:space="preserve">, 787 F.3d 89, 94 (2d Cir. 2015) (emphasis added); </w:t>
      </w:r>
      <w:r>
        <w:rPr>
          <w:rFonts w:ascii="Arial" w:eastAsia="Arial" w:hAnsi="Arial" w:cs="Arial"/>
          <w:i/>
          <w:color w:val="000000"/>
          <w:sz w:val="20"/>
        </w:rPr>
        <w:t xml:space="preserve">see also </w:t>
      </w:r>
      <w:bookmarkStart w:id="6677" w:name="Bookmark_I5YMT1FK2HM5W70020000400"/>
      <w:bookmarkEnd w:id="6677"/>
      <w:r>
        <w:rPr>
          <w:rFonts w:ascii="Arial" w:eastAsia="Arial" w:hAnsi="Arial" w:cs="Arial"/>
          <w:i/>
          <w:color w:val="000000"/>
          <w:sz w:val="20"/>
        </w:rPr>
        <w:t>Powell v. Nat'l Bd. of Med. Examiners</w:t>
      </w:r>
      <w:r>
        <w:rPr>
          <w:rFonts w:ascii="Arial" w:eastAsia="Arial" w:hAnsi="Arial" w:cs="Arial"/>
          <w:color w:val="000000"/>
          <w:sz w:val="20"/>
        </w:rPr>
        <w:t xml:space="preserve">, 364 F.3d 79, 85 (2d Cir. 2004). </w:t>
      </w:r>
      <w:bookmarkStart w:id="6678" w:name="Bookmark_I5YMT1FK2N1RFY0020000400"/>
      <w:bookmarkEnd w:id="6678"/>
      <w:r>
        <w:rPr>
          <w:rFonts w:ascii="Arial" w:eastAsia="Arial" w:hAnsi="Arial" w:cs="Arial"/>
          <w:color w:val="000000"/>
          <w:sz w:val="20"/>
        </w:rPr>
        <w:t xml:space="preserve">Thus, a defendant need not make an accommodation "that imposes an undue hardship on its program's operations," and its refusal to make an unreasonable accommodation does not constitute unlawful discrimination. </w:t>
      </w:r>
      <w:bookmarkStart w:id="6679" w:name="Bookmark_I5YMT1FK2N1RFY0020000400_2"/>
      <w:bookmarkStart w:id="6680" w:name="Bookmark_I5YMT1FK2HM5W70050000400_2"/>
      <w:bookmarkStart w:id="6681" w:name="Bookmark_I5YMT1FK2HM5W70040000400"/>
      <w:bookmarkEnd w:id="6679"/>
      <w:bookmarkEnd w:id="6680"/>
      <w:bookmarkEnd w:id="6681"/>
      <w:r>
        <w:rPr>
          <w:rFonts w:ascii="Arial" w:eastAsia="Arial" w:hAnsi="Arial" w:cs="Arial"/>
          <w:i/>
          <w:color w:val="000000"/>
          <w:sz w:val="20"/>
        </w:rPr>
        <w:t>Powell</w:t>
      </w:r>
      <w:r>
        <w:rPr>
          <w:rFonts w:ascii="Arial" w:eastAsia="Arial" w:hAnsi="Arial" w:cs="Arial"/>
          <w:color w:val="000000"/>
          <w:sz w:val="20"/>
        </w:rPr>
        <w:t xml:space="preserve">, 364 F.3d at 88. </w:t>
      </w:r>
      <w:bookmarkStart w:id="6682" w:name="Bookmark_I5YMT1FK2N1RFY0040000400"/>
      <w:bookmarkEnd w:id="6682"/>
      <w:r>
        <w:rPr>
          <w:rFonts w:ascii="Arial" w:eastAsia="Arial" w:hAnsi="Arial" w:cs="Arial"/>
          <w:color w:val="000000"/>
          <w:sz w:val="20"/>
        </w:rPr>
        <w:t xml:space="preserve">"The reasonableness of an . . . accommodation is a 'fact-specific' question that often must be resolved by a factfinder." </w:t>
      </w:r>
      <w:bookmarkStart w:id="6683" w:name="Bookmark_I5YMT1FK2N1RFY0010000400"/>
      <w:bookmarkEnd w:id="6683"/>
      <w:r>
        <w:rPr>
          <w:rFonts w:ascii="Arial" w:eastAsia="Arial" w:hAnsi="Arial" w:cs="Arial"/>
          <w:i/>
          <w:color w:val="000000"/>
          <w:sz w:val="20"/>
        </w:rPr>
        <w:t>Noll</w:t>
      </w:r>
      <w:r>
        <w:rPr>
          <w:rFonts w:ascii="Arial" w:eastAsia="Arial" w:hAnsi="Arial" w:cs="Arial"/>
          <w:color w:val="000000"/>
          <w:sz w:val="20"/>
        </w:rPr>
        <w:t xml:space="preserve">, 787 F.3d at 94. </w:t>
      </w:r>
      <w:bookmarkStart w:id="6684" w:name="Bookmark_I5YMT1FK2N1RFY0040000400_2"/>
      <w:bookmarkEnd w:id="6684"/>
      <w:r>
        <w:rPr>
          <w:rFonts w:ascii="Arial" w:eastAsia="Arial" w:hAnsi="Arial" w:cs="Arial"/>
          <w:color w:val="000000"/>
          <w:sz w:val="20"/>
        </w:rPr>
        <w:t xml:space="preserve">As with disparate-impact claims, failure-to-accommodate claims do not require proof of discriminatory intent. </w:t>
      </w:r>
      <w:r>
        <w:rPr>
          <w:rFonts w:ascii="Arial" w:eastAsia="Arial" w:hAnsi="Arial" w:cs="Arial"/>
          <w:i/>
          <w:color w:val="000000"/>
          <w:sz w:val="20"/>
        </w:rPr>
        <w:t xml:space="preserve">See </w:t>
      </w:r>
      <w:bookmarkStart w:id="6685" w:name="Bookmark_I5YMT1FK2N1RFY0030000400"/>
      <w:bookmarkEnd w:id="6685"/>
      <w:r>
        <w:rPr>
          <w:rFonts w:ascii="Arial" w:eastAsia="Arial" w:hAnsi="Arial" w:cs="Arial"/>
          <w:i/>
          <w:color w:val="000000"/>
          <w:sz w:val="20"/>
        </w:rPr>
        <w:t>Austin v. Town of Farmington</w:t>
      </w:r>
      <w:r>
        <w:rPr>
          <w:rFonts w:ascii="Arial" w:eastAsia="Arial" w:hAnsi="Arial" w:cs="Arial"/>
          <w:color w:val="000000"/>
          <w:sz w:val="20"/>
        </w:rPr>
        <w:t>, 826 F.3d 622, 629 (2d Cir. 2016).</w:t>
      </w:r>
    </w:p>
    <w:p w14:paraId="262AB25C" w14:textId="77777777" w:rsidR="002B10A6" w:rsidRDefault="00000000">
      <w:pPr>
        <w:pStyle w:val="Normal34"/>
        <w:widowControl w:val="0"/>
        <w:spacing w:before="240" w:line="260" w:lineRule="atLeast"/>
      </w:pPr>
      <w:r>
        <w:br/>
      </w:r>
      <w:r>
        <w:rPr>
          <w:rFonts w:ascii="Arial" w:eastAsia="Arial" w:hAnsi="Arial" w:cs="Arial"/>
          <w:b/>
          <w:color w:val="000000"/>
          <w:sz w:val="20"/>
        </w:rPr>
        <w:t>III. DISCUSSION</w:t>
      </w:r>
    </w:p>
    <w:p w14:paraId="4F0940E6" w14:textId="77777777" w:rsidR="002B10A6" w:rsidRDefault="00000000">
      <w:pPr>
        <w:pStyle w:val="Normal34"/>
        <w:widowControl w:val="0"/>
        <w:spacing w:before="200" w:line="260" w:lineRule="atLeast"/>
        <w:jc w:val="both"/>
      </w:pPr>
      <w:bookmarkStart w:id="6686" w:name="Bookmark_para_26_20"/>
      <w:bookmarkEnd w:id="6686"/>
      <w:r>
        <w:rPr>
          <w:rFonts w:ascii="Arial" w:eastAsia="Arial" w:hAnsi="Arial" w:cs="Arial"/>
          <w:color w:val="000000"/>
          <w:sz w:val="20"/>
        </w:rPr>
        <w:t>This case presents the question whether Brooklyn Center's alleged failure to accommodate Goldman's disability can constitute an occurrence under the Policy.</w:t>
      </w:r>
    </w:p>
    <w:p w14:paraId="310B8A5A" w14:textId="77777777" w:rsidR="002B10A6" w:rsidRDefault="00000000">
      <w:pPr>
        <w:pStyle w:val="Normal34"/>
        <w:widowControl w:val="0"/>
        <w:spacing w:before="200" w:line="260" w:lineRule="atLeast"/>
        <w:jc w:val="both"/>
      </w:pPr>
      <w:bookmarkStart w:id="6687" w:name="Bookmark_para_27_20"/>
      <w:bookmarkStart w:id="6688" w:name="Bookmark_I5YMT1FK28T3XN0010000400"/>
      <w:bookmarkStart w:id="6689" w:name="Bookmark_LNHNREFclscc8_21"/>
      <w:bookmarkEnd w:id="6687"/>
      <w:bookmarkEnd w:id="6688"/>
      <w:bookmarkEnd w:id="6689"/>
      <w:r>
        <w:rPr>
          <w:rFonts w:ascii="Arial" w:eastAsia="Arial" w:hAnsi="Arial" w:cs="Arial"/>
          <w:color w:val="000000"/>
          <w:sz w:val="20"/>
        </w:rPr>
        <w:t xml:space="preserve">As an initial matter, New York courts have clearly held that the "occurrence" language in the Policy does not require insurers to defend suits alleging solely disparate-treatment discrimination. </w:t>
      </w:r>
      <w:r>
        <w:rPr>
          <w:rFonts w:ascii="Arial" w:eastAsia="Arial" w:hAnsi="Arial" w:cs="Arial"/>
          <w:i/>
          <w:color w:val="000000"/>
          <w:sz w:val="20"/>
        </w:rPr>
        <w:t xml:space="preserve">See, e.g., </w:t>
      </w:r>
      <w:bookmarkStart w:id="6690" w:name="Bookmark_I5YMT1FK2N1RFY0050000400"/>
      <w:bookmarkEnd w:id="6690"/>
      <w:r>
        <w:rPr>
          <w:rFonts w:ascii="Arial" w:eastAsia="Arial" w:hAnsi="Arial" w:cs="Arial"/>
          <w:i/>
          <w:color w:val="000000"/>
          <w:sz w:val="20"/>
        </w:rPr>
        <w:t>Mary &amp; Alice Ford Nursing Home Co.</w:t>
      </w:r>
      <w:r>
        <w:rPr>
          <w:rFonts w:ascii="Arial" w:eastAsia="Arial" w:hAnsi="Arial" w:cs="Arial"/>
          <w:color w:val="000000"/>
          <w:sz w:val="20"/>
        </w:rPr>
        <w:t xml:space="preserve">, 446 N.Y.S.2d at 601 ("[T]he damages alleged in the . . . complaint are the [**10]  intended result which flows directly and immediately from plaintiff's intentional [discriminatory] act [of firing the plaintiff because of her disability], rather than arising out of a chain of unintended though foreseeable events that occurred after the intentional act."); </w:t>
      </w:r>
      <w:r>
        <w:rPr>
          <w:rFonts w:ascii="Arial" w:eastAsia="Arial" w:hAnsi="Arial" w:cs="Arial"/>
          <w:i/>
          <w:color w:val="000000"/>
          <w:sz w:val="20"/>
        </w:rPr>
        <w:t xml:space="preserve">see also </w:t>
      </w:r>
      <w:bookmarkStart w:id="6691" w:name="Bookmark_I5YMT1FK28T3XN0020000400"/>
      <w:bookmarkEnd w:id="6691"/>
      <w:r>
        <w:rPr>
          <w:rFonts w:ascii="Arial" w:eastAsia="Arial" w:hAnsi="Arial" w:cs="Arial"/>
          <w:i/>
          <w:color w:val="000000"/>
          <w:sz w:val="20"/>
        </w:rPr>
        <w:t>Rosenberg Diamond Dev. Corp. v. Employers Ins. Co. of Wausau</w:t>
      </w:r>
      <w:r>
        <w:rPr>
          <w:rFonts w:ascii="Arial" w:eastAsia="Arial" w:hAnsi="Arial" w:cs="Arial"/>
          <w:color w:val="000000"/>
          <w:sz w:val="20"/>
        </w:rPr>
        <w:t>, 144 F. App'x 122, 124 (2d Cir. 2005) ("[T]he . . . complaint alleged only intentional racial discrimination. And, under New York law, it is clear that the type of language included in the [Policy] does not extend to such intentional discriminatory acts."). Similarly, the New York Superintendent of Insurance (the "Superintendent")</w:t>
      </w:r>
      <w:r>
        <w:rPr>
          <w:rFonts w:ascii="Arial" w:eastAsia="Arial" w:hAnsi="Arial" w:cs="Arial"/>
          <w:vertAlign w:val="superscript"/>
        </w:rPr>
        <w:footnoteReference w:customMarkFollows="1" w:id="284"/>
        <w:t>3</w:t>
      </w:r>
      <w:r>
        <w:rPr>
          <w:rFonts w:ascii="Arial" w:eastAsia="Arial" w:hAnsi="Arial" w:cs="Arial"/>
          <w:color w:val="000000"/>
          <w:sz w:val="20"/>
        </w:rPr>
        <w:t xml:space="preserve"> has explained that "discrimination based upon disparate treatment is an intentional wrong whose resultant harm flows directly from the acts committed, and liability coverage for it is impermissible" as a matter of New York public policy. N.Y. Circular Letter No. 1994-6, 1994 WL 16306026 (May 31, 1994).</w:t>
      </w:r>
    </w:p>
    <w:p w14:paraId="22C76D86" w14:textId="77777777" w:rsidR="002B10A6" w:rsidRDefault="00000000">
      <w:pPr>
        <w:pStyle w:val="Normal34"/>
        <w:widowControl w:val="0"/>
        <w:spacing w:before="200" w:line="260" w:lineRule="atLeast"/>
        <w:jc w:val="both"/>
      </w:pPr>
      <w:bookmarkStart w:id="6696" w:name="Bookmark_para_28_20"/>
      <w:bookmarkStart w:id="6697" w:name="Bookmark_I5YMT1FM2SF8D80020000400"/>
      <w:bookmarkStart w:id="6698" w:name="Bookmark_LNHNREFclscc10_19"/>
      <w:bookmarkEnd w:id="6696"/>
      <w:bookmarkEnd w:id="6697"/>
      <w:bookmarkEnd w:id="6698"/>
      <w:r>
        <w:rPr>
          <w:rFonts w:ascii="Arial" w:eastAsia="Arial" w:hAnsi="Arial" w:cs="Arial"/>
          <w:color w:val="000000"/>
          <w:sz w:val="20"/>
        </w:rPr>
        <w:t xml:space="preserve">On the other hand, at least one New York court has held that the Policy language does require—and New York public policy allows—an insurer to defend an insured against a </w:t>
      </w:r>
      <w:r>
        <w:rPr>
          <w:rFonts w:ascii="Arial" w:eastAsia="Arial" w:hAnsi="Arial" w:cs="Arial"/>
          <w:i/>
          <w:color w:val="000000"/>
          <w:sz w:val="20"/>
        </w:rPr>
        <w:t>disparate-impact</w:t>
      </w:r>
      <w:r>
        <w:rPr>
          <w:rFonts w:ascii="Arial" w:eastAsia="Arial" w:hAnsi="Arial" w:cs="Arial"/>
          <w:color w:val="000000"/>
          <w:sz w:val="20"/>
        </w:rPr>
        <w:t xml:space="preserve"> discrimination suit. </w:t>
      </w:r>
      <w:r>
        <w:rPr>
          <w:rFonts w:ascii="Arial" w:eastAsia="Arial" w:hAnsi="Arial" w:cs="Arial"/>
          <w:i/>
          <w:color w:val="000000"/>
          <w:sz w:val="20"/>
        </w:rPr>
        <w:t xml:space="preserve">See </w:t>
      </w:r>
      <w:bookmarkStart w:id="6699" w:name="Bookmark_I5YMT1FM2SF8D80010000400"/>
      <w:bookmarkEnd w:id="6699"/>
      <w:r>
        <w:rPr>
          <w:rFonts w:ascii="Arial" w:eastAsia="Arial" w:hAnsi="Arial" w:cs="Arial"/>
          <w:i/>
          <w:color w:val="000000"/>
          <w:sz w:val="20"/>
        </w:rPr>
        <w:t>Am. Mgmt. Ass'n</w:t>
      </w:r>
      <w:r>
        <w:rPr>
          <w:rFonts w:ascii="Arial" w:eastAsia="Arial" w:hAnsi="Arial" w:cs="Arial"/>
          <w:color w:val="000000"/>
          <w:sz w:val="20"/>
        </w:rPr>
        <w:t xml:space="preserve">, 168 Misc. 2d at 979. And the Superintendent has explained that in disparate-impact cases, "the discriminatory result does not directly proceed from specific discriminatory acts against [**11]  individuals; in fact, such acts are not an element of the wrong and need play no part in the facts alleged." N.Y. Circular Letter No. 1994-6; </w:t>
      </w:r>
      <w:r>
        <w:rPr>
          <w:rFonts w:ascii="Arial" w:eastAsia="Arial" w:hAnsi="Arial" w:cs="Arial"/>
          <w:i/>
          <w:color w:val="000000"/>
          <w:sz w:val="20"/>
        </w:rPr>
        <w:t>see also</w:t>
      </w:r>
      <w:r>
        <w:rPr>
          <w:rFonts w:ascii="Arial" w:eastAsia="Arial" w:hAnsi="Arial" w:cs="Arial"/>
          <w:color w:val="000000"/>
          <w:sz w:val="20"/>
        </w:rPr>
        <w:t xml:space="preserve"> N.Y. Ins. Op. (Dec. 20, 2005), https://www.dfs.ny.gov/insurance/ ogco2005/rg051216.htm (last visited Mar.  [*313]  26, 2020) ("[T]he Department has consistently disallowed intentional discrimination (disparate treatment) claims to be covered under liability insurance policies. The Department does, however, permit coverage to be provided for claims arising from unintentional discrimination: disparate impact claims and employer's vicarious liability.").</w:t>
      </w:r>
    </w:p>
    <w:p w14:paraId="57C16473" w14:textId="77777777" w:rsidR="002B10A6" w:rsidRDefault="00000000">
      <w:pPr>
        <w:pStyle w:val="Normal34"/>
        <w:widowControl w:val="0"/>
        <w:spacing w:before="200" w:line="260" w:lineRule="atLeast"/>
        <w:jc w:val="both"/>
      </w:pPr>
      <w:bookmarkStart w:id="6700" w:name="Bookmark_para_29_19"/>
      <w:bookmarkStart w:id="6701" w:name="Bookmark_I5YMT1FM2SF8D80040000400"/>
      <w:bookmarkEnd w:id="6700"/>
      <w:bookmarkEnd w:id="6701"/>
      <w:r>
        <w:rPr>
          <w:rFonts w:ascii="Arial" w:eastAsia="Arial" w:hAnsi="Arial" w:cs="Arial"/>
          <w:color w:val="000000"/>
          <w:sz w:val="20"/>
        </w:rPr>
        <w:t xml:space="preserve">Neither New York courts nor the Superintendent, however, have provided guidance on failure-to-accommodate claims. Here, Brooklyn Center argues that failure-to-accommodate claims are more like disparate-impact claims than disparate-treatment claims because plaintiffs need not prove discriminatory intent to succeed on failure-to-accommodate claims. Indeed, the decision to refuse a particular accommodation may be justified, and will not provide a basis for liability, if the requested accommodation is unreasonable or "would impose an undue hardship on the operation of the business." </w:t>
      </w:r>
      <w:bookmarkStart w:id="6702" w:name="Bookmark_I5YMT1FM2SF8D80030000400"/>
      <w:bookmarkEnd w:id="6702"/>
      <w:r>
        <w:rPr>
          <w:rFonts w:ascii="Arial" w:eastAsia="Arial" w:hAnsi="Arial" w:cs="Arial"/>
          <w:i/>
          <w:color w:val="000000"/>
          <w:sz w:val="20"/>
        </w:rPr>
        <w:t>Felix v. New York City Transit Auth.</w:t>
      </w:r>
      <w:r>
        <w:rPr>
          <w:rFonts w:ascii="Arial" w:eastAsia="Arial" w:hAnsi="Arial" w:cs="Arial"/>
          <w:color w:val="000000"/>
          <w:sz w:val="20"/>
        </w:rPr>
        <w:t xml:space="preserve">, 324 F.3d 102, 104 (2d Cir. 2003) (quoting 42 U.S.C. § 12112(b)(5)(A)); </w:t>
      </w:r>
      <w:r>
        <w:rPr>
          <w:rFonts w:ascii="Arial" w:eastAsia="Arial" w:hAnsi="Arial" w:cs="Arial"/>
          <w:i/>
          <w:color w:val="000000"/>
          <w:sz w:val="20"/>
        </w:rPr>
        <w:t xml:space="preserve">see [**12]  also </w:t>
      </w:r>
      <w:bookmarkStart w:id="6703" w:name="Bookmark_I5YMT1FM2SF8D80050000400"/>
      <w:bookmarkEnd w:id="6703"/>
      <w:r>
        <w:rPr>
          <w:rFonts w:ascii="Arial" w:eastAsia="Arial" w:hAnsi="Arial" w:cs="Arial"/>
          <w:i/>
          <w:color w:val="000000"/>
          <w:sz w:val="20"/>
        </w:rPr>
        <w:t>Goord</w:t>
      </w:r>
      <w:r>
        <w:rPr>
          <w:rFonts w:ascii="Arial" w:eastAsia="Arial" w:hAnsi="Arial" w:cs="Arial"/>
          <w:color w:val="000000"/>
          <w:sz w:val="20"/>
        </w:rPr>
        <w:t xml:space="preserve">, 591 F.3d at 44 ("'Reasonable' is a relational term: it evaluates the desirability of a particular accommodation according to the consequences that the accommodation will produce. </w:t>
      </w:r>
      <w:bookmarkStart w:id="6704" w:name="Bookmark_I3S76G2V2490000BNRD00001"/>
      <w:bookmarkStart w:id="6705" w:name="Bookmark_I5YMT1FM2HM5WC0030000400"/>
      <w:bookmarkEnd w:id="6704"/>
      <w:bookmarkEnd w:id="6705"/>
      <w:r>
        <w:rPr>
          <w:rFonts w:ascii="Arial" w:eastAsia="Arial" w:hAnsi="Arial" w:cs="Arial"/>
          <w:color w:val="000000"/>
          <w:sz w:val="20"/>
        </w:rPr>
        <w:t xml:space="preserve">This requires a fact-specific, case-by-case inquiry, not only into the benefits of the accommodation but into its costs as well.") (cleaned up). Thus, as long as Brooklyn Center believed that hiring interpreters to accommodate Goldman's hearing disability would have been unreasonable or would have imposed an undue hardship on its business, any cognizable harm resulting from its refusal to do so would have been accidental. This position finds support in New York case law. </w:t>
      </w:r>
      <w:r>
        <w:rPr>
          <w:rFonts w:ascii="Arial" w:eastAsia="Arial" w:hAnsi="Arial" w:cs="Arial"/>
          <w:i/>
          <w:color w:val="000000"/>
          <w:sz w:val="20"/>
        </w:rPr>
        <w:t xml:space="preserve">See, e.g., </w:t>
      </w:r>
      <w:bookmarkStart w:id="6706" w:name="Bookmark_I5YMT1FM2HM5WC0020000400"/>
      <w:bookmarkEnd w:id="6706"/>
      <w:r>
        <w:rPr>
          <w:rFonts w:ascii="Arial" w:eastAsia="Arial" w:hAnsi="Arial" w:cs="Arial"/>
          <w:i/>
          <w:color w:val="000000"/>
          <w:sz w:val="20"/>
        </w:rPr>
        <w:t>Graphic Arts Mut. Ins. Co.</w:t>
      </w:r>
      <w:r>
        <w:rPr>
          <w:rFonts w:ascii="Arial" w:eastAsia="Arial" w:hAnsi="Arial" w:cs="Arial"/>
          <w:color w:val="000000"/>
          <w:sz w:val="20"/>
        </w:rPr>
        <w:t>, 73 N.Y.S.3d at 245 ("An act that is intentionally committed or performed may still be considered an accident within the meaning of an insurance policy, as long as the insured did not expect or intend the harm caused.").</w:t>
      </w:r>
    </w:p>
    <w:p w14:paraId="31378784" w14:textId="77777777" w:rsidR="002B10A6" w:rsidRDefault="00000000">
      <w:pPr>
        <w:pStyle w:val="Normal34"/>
        <w:widowControl w:val="0"/>
        <w:spacing w:before="200" w:line="260" w:lineRule="atLeast"/>
        <w:jc w:val="both"/>
      </w:pPr>
      <w:bookmarkStart w:id="6707" w:name="Bookmark_para_30_18"/>
      <w:bookmarkStart w:id="6708" w:name="Bookmark_I5YMT1FM2HM5WC0050000400"/>
      <w:bookmarkStart w:id="6709" w:name="Bookmark_I3S76G2VBWN0000BNRD00002"/>
      <w:bookmarkStart w:id="6710" w:name="Bookmark_I5YMT1FM2D6MXC0020000400"/>
      <w:bookmarkEnd w:id="6707"/>
      <w:bookmarkEnd w:id="6708"/>
      <w:bookmarkEnd w:id="6709"/>
      <w:bookmarkEnd w:id="6710"/>
      <w:r>
        <w:rPr>
          <w:rFonts w:ascii="Arial" w:eastAsia="Arial" w:hAnsi="Arial" w:cs="Arial"/>
          <w:color w:val="000000"/>
          <w:sz w:val="20"/>
        </w:rPr>
        <w:t xml:space="preserve">In response, PIIC focuses on Brooklyn Center's refusal to accommodate Goldman's disability, irrespective of its reasons for doing so. Brooklyn Center's refusal to hire interpreters, PIIC argues, was an intentional act that "directly and immediately" caused damage to Goldman. </w:t>
      </w:r>
      <w:bookmarkStart w:id="6711" w:name="Bookmark_I5YMT1FM2HM5WC0040000400"/>
      <w:bookmarkEnd w:id="6711"/>
      <w:r>
        <w:rPr>
          <w:rFonts w:ascii="Arial" w:eastAsia="Arial" w:hAnsi="Arial" w:cs="Arial"/>
          <w:i/>
          <w:color w:val="000000"/>
          <w:sz w:val="20"/>
        </w:rPr>
        <w:t>Mary &amp; Alice Ford Nursing Home Co.</w:t>
      </w:r>
      <w:r>
        <w:rPr>
          <w:rFonts w:ascii="Arial" w:eastAsia="Arial" w:hAnsi="Arial" w:cs="Arial"/>
          <w:color w:val="000000"/>
          <w:sz w:val="20"/>
        </w:rPr>
        <w:t xml:space="preserve">, 446 N.Y.S.2d at 601. This position also finds support in New York case law. </w:t>
      </w:r>
      <w:r>
        <w:rPr>
          <w:rFonts w:ascii="Arial" w:eastAsia="Arial" w:hAnsi="Arial" w:cs="Arial"/>
          <w:i/>
          <w:color w:val="000000"/>
          <w:sz w:val="20"/>
        </w:rPr>
        <w:t xml:space="preserve">See, e.g., [**13]  </w:t>
      </w:r>
      <w:bookmarkStart w:id="6712" w:name="Bookmark_I5YMT1FM2D6MXC0010000400"/>
      <w:bookmarkEnd w:id="6712"/>
      <w:r>
        <w:rPr>
          <w:rFonts w:ascii="Arial" w:eastAsia="Arial" w:hAnsi="Arial" w:cs="Arial"/>
          <w:i/>
          <w:color w:val="000000"/>
          <w:sz w:val="20"/>
        </w:rPr>
        <w:t>Cont'l Ins. Co. v. Colangione</w:t>
      </w:r>
      <w:r>
        <w:rPr>
          <w:rFonts w:ascii="Arial" w:eastAsia="Arial" w:hAnsi="Arial" w:cs="Arial"/>
          <w:color w:val="000000"/>
          <w:sz w:val="20"/>
        </w:rPr>
        <w:t>, 107 A.D.2d 978, 484 N.Y.S.2d 929, 930 (N.Y. App. Div. 1985) ("This court . . . has distinguished between damages which flow directly and immediately from an intended act, thereby precluding coverage, and damages which accidentally arise out of a chain of unintended though expected or foreseeable events that occurred after an intentional act."). Thus, it is not clear under New York law whether a failure to accommodate a disability can be an "occurrence" for purposes of coverage under the Policy.</w:t>
      </w:r>
    </w:p>
    <w:p w14:paraId="3A569078" w14:textId="77777777" w:rsidR="002B10A6" w:rsidRDefault="00000000">
      <w:pPr>
        <w:pStyle w:val="Normal34"/>
        <w:widowControl w:val="0"/>
        <w:spacing w:before="240" w:line="260" w:lineRule="atLeast"/>
      </w:pPr>
      <w:r>
        <w:br/>
      </w:r>
      <w:r>
        <w:rPr>
          <w:rFonts w:ascii="Arial" w:eastAsia="Arial" w:hAnsi="Arial" w:cs="Arial"/>
          <w:b/>
          <w:color w:val="000000"/>
          <w:sz w:val="20"/>
        </w:rPr>
        <w:t>IV. CERTIFICATION</w:t>
      </w:r>
    </w:p>
    <w:p w14:paraId="25F12A4E" w14:textId="77777777" w:rsidR="002B10A6" w:rsidRDefault="00000000">
      <w:pPr>
        <w:pStyle w:val="Normal34"/>
        <w:widowControl w:val="0"/>
        <w:spacing w:before="200" w:line="260" w:lineRule="atLeast"/>
        <w:jc w:val="both"/>
      </w:pPr>
      <w:bookmarkStart w:id="6713" w:name="Bookmark_para_31_18"/>
      <w:bookmarkStart w:id="6714" w:name="Bookmark_I5YMT1FM2D6MXC0040000400"/>
      <w:bookmarkStart w:id="6715" w:name="Bookmark_I5YMT1FM2SF8DB0010000400"/>
      <w:bookmarkStart w:id="6716" w:name="Bookmark_LNHNREFclscc11_19"/>
      <w:bookmarkEnd w:id="6713"/>
      <w:bookmarkEnd w:id="6714"/>
      <w:bookmarkEnd w:id="6715"/>
      <w:bookmarkEnd w:id="6716"/>
      <w:r>
        <w:rPr>
          <w:rFonts w:ascii="Arial" w:eastAsia="Arial" w:hAnsi="Arial" w:cs="Arial"/>
          <w:color w:val="000000"/>
          <w:sz w:val="20"/>
        </w:rPr>
        <w:t xml:space="preserve">"Although the parties did not request certification, we are empowered to seek certification </w:t>
      </w:r>
      <w:r>
        <w:rPr>
          <w:rFonts w:ascii="Arial" w:eastAsia="Arial" w:hAnsi="Arial" w:cs="Arial"/>
          <w:i/>
          <w:color w:val="000000"/>
          <w:sz w:val="20"/>
        </w:rPr>
        <w:t>nostra sponte</w:t>
      </w:r>
      <w:r>
        <w:rPr>
          <w:rFonts w:ascii="Arial" w:eastAsia="Arial" w:hAnsi="Arial" w:cs="Arial"/>
          <w:color w:val="000000"/>
          <w:sz w:val="20"/>
        </w:rPr>
        <w:t xml:space="preserve">." </w:t>
      </w:r>
      <w:bookmarkStart w:id="6717" w:name="Bookmark_I5YMT1FM2D6MXC0030000400"/>
      <w:bookmarkEnd w:id="6717"/>
      <w:r>
        <w:rPr>
          <w:rFonts w:ascii="Arial" w:eastAsia="Arial" w:hAnsi="Arial" w:cs="Arial"/>
          <w:i/>
          <w:color w:val="000000"/>
          <w:sz w:val="20"/>
        </w:rPr>
        <w:t>Kuhne v. Cohen &amp; Slamowitz, LLP</w:t>
      </w:r>
      <w:r>
        <w:rPr>
          <w:rFonts w:ascii="Arial" w:eastAsia="Arial" w:hAnsi="Arial" w:cs="Arial"/>
          <w:color w:val="000000"/>
          <w:sz w:val="20"/>
        </w:rPr>
        <w:t xml:space="preserve">, 579 F.3d 189, 198 (2d Cir. 2009). </w:t>
      </w:r>
      <w:bookmarkStart w:id="6718" w:name="Bookmark_I3S76G2VF2B0000BNRD00003"/>
      <w:bookmarkStart w:id="6719" w:name="Bookmark_I5YMT1FM2SF8DB0030000400"/>
      <w:bookmarkEnd w:id="6718"/>
      <w:bookmarkEnd w:id="6719"/>
      <w:r>
        <w:rPr>
          <w:rFonts w:ascii="Arial" w:eastAsia="Arial" w:hAnsi="Arial" w:cs="Arial"/>
          <w:color w:val="000000"/>
          <w:sz w:val="20"/>
        </w:rPr>
        <w:t xml:space="preserve">"We have long recognized the appropriateness of according to state courts the opportunity to decide significant issues of state law through the certification process." </w:t>
      </w:r>
      <w:bookmarkStart w:id="6720" w:name="Bookmark_I5YMT1FM2D6MXC0050000400"/>
      <w:bookmarkEnd w:id="6720"/>
      <w:r>
        <w:rPr>
          <w:rFonts w:ascii="Arial" w:eastAsia="Arial" w:hAnsi="Arial" w:cs="Arial"/>
          <w:i/>
          <w:color w:val="000000"/>
          <w:sz w:val="20"/>
        </w:rPr>
        <w:t>Corsair Special Situations Fund, L.P. v. Pesiri</w:t>
      </w:r>
      <w:r>
        <w:rPr>
          <w:rFonts w:ascii="Arial" w:eastAsia="Arial" w:hAnsi="Arial" w:cs="Arial"/>
          <w:color w:val="000000"/>
          <w:sz w:val="20"/>
        </w:rPr>
        <w:t xml:space="preserve">, 863 F.3d 176, 183 (2d Cir. 2017); </w:t>
      </w:r>
      <w:r>
        <w:rPr>
          <w:rFonts w:ascii="Arial" w:eastAsia="Arial" w:hAnsi="Arial" w:cs="Arial"/>
          <w:i/>
          <w:color w:val="000000"/>
          <w:sz w:val="20"/>
        </w:rPr>
        <w:t>see also</w:t>
      </w:r>
      <w:r>
        <w:rPr>
          <w:rFonts w:ascii="Arial" w:eastAsia="Arial" w:hAnsi="Arial" w:cs="Arial"/>
          <w:color w:val="000000"/>
          <w:sz w:val="20"/>
        </w:rPr>
        <w:t xml:space="preserve"> 22 N.Y.C.R.R. § 500.27(a).</w:t>
      </w:r>
    </w:p>
    <w:p w14:paraId="2FF0BC97" w14:textId="77777777" w:rsidR="002B10A6" w:rsidRDefault="00000000">
      <w:pPr>
        <w:pStyle w:val="Normal34"/>
        <w:widowControl w:val="0"/>
        <w:spacing w:before="200" w:line="260" w:lineRule="atLeast"/>
        <w:ind w:left="400"/>
        <w:jc w:val="both"/>
      </w:pPr>
      <w:bookmarkStart w:id="6721" w:name="Bookmark_para_32_18"/>
      <w:bookmarkStart w:id="6722" w:name="Bookmark_I5YMT1FM2SF8DB0030000400_2"/>
      <w:bookmarkStart w:id="6723" w:name="Bookmark_I5YMT1FM2SF8DB0010000400_2"/>
      <w:bookmarkStart w:id="6724" w:name="Bookmark_I5YMT1FM2D6MXC0040000400_2"/>
      <w:bookmarkEnd w:id="6721"/>
      <w:bookmarkEnd w:id="6722"/>
      <w:bookmarkEnd w:id="6723"/>
      <w:bookmarkEnd w:id="6724"/>
      <w:r>
        <w:rPr>
          <w:rFonts w:ascii="Arial" w:eastAsia="Arial" w:hAnsi="Arial" w:cs="Arial"/>
          <w:color w:val="000000"/>
          <w:sz w:val="20"/>
        </w:rPr>
        <w:t>Our decision to certify questions to the Court of Appeals is discretionary, and when exercising that discretion we consider whether: (1) the New York Court of Appeals has not squarely addressed an issue and other decisions by New York courts are insufficient to predict  [*314]  how the Court of Appeals would resolve it; (2) the statute's [or, in this case, the standard "occurrence" provision's] plain language does not indicate the answer; (3) a decision on the [**14]  merits requires value judgments and important public policy choices that the New York Court of Appeals is better situated than we to make; and (4) the questions certified will control the outcome of the case.</w:t>
      </w:r>
    </w:p>
    <w:p w14:paraId="417FC6EB" w14:textId="77777777" w:rsidR="002B10A6" w:rsidRDefault="00000000">
      <w:pPr>
        <w:pStyle w:val="Normal34"/>
        <w:widowControl w:val="0"/>
        <w:spacing w:before="200" w:line="260" w:lineRule="atLeast"/>
        <w:jc w:val="both"/>
      </w:pPr>
      <w:bookmarkStart w:id="6725" w:name="Bookmark_I5YMT1FM2SF8DB0030000400_3"/>
      <w:bookmarkStart w:id="6726" w:name="Bookmark_I5YMT1FM2SF8DB0020000400"/>
      <w:bookmarkEnd w:id="6725"/>
      <w:bookmarkEnd w:id="6726"/>
      <w:r>
        <w:rPr>
          <w:rFonts w:ascii="Arial" w:eastAsia="Arial" w:hAnsi="Arial" w:cs="Arial"/>
          <w:i/>
          <w:color w:val="000000"/>
          <w:sz w:val="20"/>
        </w:rPr>
        <w:t>CIT Bank N.A. v. Schiffman</w:t>
      </w:r>
      <w:r>
        <w:rPr>
          <w:rFonts w:ascii="Arial" w:eastAsia="Arial" w:hAnsi="Arial" w:cs="Arial"/>
          <w:color w:val="000000"/>
          <w:sz w:val="20"/>
        </w:rPr>
        <w:t>, 948 F.3d 529, 537 (2d Cir. 2020) (internal quotation marks omitted). All four factors weigh in favor of certification here.</w:t>
      </w:r>
    </w:p>
    <w:p w14:paraId="5DFF0BF2" w14:textId="77777777" w:rsidR="002B10A6" w:rsidRDefault="00000000">
      <w:pPr>
        <w:pStyle w:val="Normal34"/>
        <w:widowControl w:val="0"/>
        <w:spacing w:before="200" w:line="260" w:lineRule="atLeast"/>
        <w:jc w:val="both"/>
      </w:pPr>
      <w:bookmarkStart w:id="6727" w:name="Bookmark_para_33_17"/>
      <w:bookmarkStart w:id="6728" w:name="Bookmark_I5YMT1FM2SF8DB0050000400"/>
      <w:bookmarkEnd w:id="6727"/>
      <w:bookmarkEnd w:id="6728"/>
      <w:r>
        <w:rPr>
          <w:rFonts w:ascii="Arial" w:eastAsia="Arial" w:hAnsi="Arial" w:cs="Arial"/>
          <w:color w:val="000000"/>
          <w:sz w:val="20"/>
        </w:rPr>
        <w:t xml:space="preserve">First, as discussed above, the New York Court of Appeals has not decided whether insurers must defend insureds in actions alleging failure-to-accommodate discrimination under the language of the Policy. And "issues similar to those raised here [have not] been litigated in New York courts often enough that sufficient precedents exist for us[] to make a determination concerning their proper outcome." </w:t>
      </w:r>
      <w:bookmarkStart w:id="6729" w:name="Bookmark_I5YMT1FM2SF8DB0040000400"/>
      <w:bookmarkEnd w:id="6729"/>
      <w:r>
        <w:rPr>
          <w:rFonts w:ascii="Arial" w:eastAsia="Arial" w:hAnsi="Arial" w:cs="Arial"/>
          <w:i/>
          <w:color w:val="000000"/>
          <w:sz w:val="20"/>
        </w:rPr>
        <w:t>Commodity Futures Trading Comm'n v. Walsh</w:t>
      </w:r>
      <w:r>
        <w:rPr>
          <w:rFonts w:ascii="Arial" w:eastAsia="Arial" w:hAnsi="Arial" w:cs="Arial"/>
          <w:color w:val="000000"/>
          <w:sz w:val="20"/>
        </w:rPr>
        <w:t xml:space="preserve">, 618 F.3d 218, 231 (2d Cir. 2010) (cleaned up). Second, as interpreted by the New York courts, the language of the Policy is ambiguous with respect to coverage for failure-to-accommodate claims. </w:t>
      </w:r>
      <w:bookmarkStart w:id="6730" w:name="Bookmark_I5YMT1FN28T3XW0020000400"/>
      <w:bookmarkEnd w:id="6730"/>
      <w:r>
        <w:rPr>
          <w:rFonts w:ascii="Arial" w:eastAsia="Arial" w:hAnsi="Arial" w:cs="Arial"/>
          <w:i/>
          <w:color w:val="000000"/>
          <w:sz w:val="20"/>
        </w:rPr>
        <w:t>See</w:t>
      </w:r>
      <w:r>
        <w:rPr>
          <w:rFonts w:ascii="Arial" w:eastAsia="Arial" w:hAnsi="Arial" w:cs="Arial"/>
          <w:color w:val="000000"/>
          <w:sz w:val="20"/>
        </w:rPr>
        <w:t xml:space="preserve"> Section III, </w:t>
      </w:r>
      <w:r>
        <w:rPr>
          <w:rFonts w:ascii="Arial" w:eastAsia="Arial" w:hAnsi="Arial" w:cs="Arial"/>
          <w:i/>
          <w:color w:val="000000"/>
          <w:sz w:val="20"/>
        </w:rPr>
        <w:t>supra</w:t>
      </w:r>
      <w:r>
        <w:rPr>
          <w:rFonts w:ascii="Arial" w:eastAsia="Arial" w:hAnsi="Arial" w:cs="Arial"/>
          <w:color w:val="000000"/>
          <w:sz w:val="20"/>
        </w:rPr>
        <w:t xml:space="preserve">. Third, a decision on the merits would require us to determine whether New York public policy bars the defense of a failure-to-accommodate claim. This would clearly implicate "important public policy choices that the New York Court of Appeals is better situated than we to make." </w:t>
      </w:r>
      <w:bookmarkStart w:id="6731" w:name="Bookmark_I5YMT1FN28T3XW0010000400"/>
      <w:bookmarkEnd w:id="6731"/>
      <w:r>
        <w:rPr>
          <w:rFonts w:ascii="Arial" w:eastAsia="Arial" w:hAnsi="Arial" w:cs="Arial"/>
          <w:i/>
          <w:color w:val="000000"/>
          <w:sz w:val="20"/>
        </w:rPr>
        <w:t>CIT Bank N.A.</w:t>
      </w:r>
      <w:r>
        <w:rPr>
          <w:rFonts w:ascii="Arial" w:eastAsia="Arial" w:hAnsi="Arial" w:cs="Arial"/>
          <w:color w:val="000000"/>
          <w:sz w:val="20"/>
        </w:rPr>
        <w:t>, 948 F.3d at 537 (internal quotation marks omitted). And finally, the [**15]  answer to the question that we now certify is wholly determinative of the outcome of this appeal.</w:t>
      </w:r>
    </w:p>
    <w:p w14:paraId="1C7A364E" w14:textId="77777777" w:rsidR="002B10A6" w:rsidRDefault="00000000">
      <w:pPr>
        <w:pStyle w:val="Normal34"/>
        <w:widowControl w:val="0"/>
        <w:spacing w:before="240" w:line="260" w:lineRule="atLeast"/>
      </w:pPr>
      <w:r>
        <w:br/>
      </w:r>
      <w:r>
        <w:rPr>
          <w:rFonts w:ascii="Arial" w:eastAsia="Arial" w:hAnsi="Arial" w:cs="Arial"/>
          <w:b/>
          <w:color w:val="000000"/>
          <w:sz w:val="20"/>
        </w:rPr>
        <w:t>V. CONCLUSION</w:t>
      </w:r>
    </w:p>
    <w:p w14:paraId="17821DB0" w14:textId="77777777" w:rsidR="002B10A6" w:rsidRDefault="00000000">
      <w:pPr>
        <w:pStyle w:val="Normal34"/>
        <w:widowControl w:val="0"/>
        <w:spacing w:before="200" w:line="260" w:lineRule="atLeast"/>
        <w:jc w:val="both"/>
      </w:pPr>
      <w:bookmarkStart w:id="6732" w:name="Bookmark_para_34_16"/>
      <w:bookmarkEnd w:id="6732"/>
      <w:r>
        <w:rPr>
          <w:rFonts w:ascii="Arial" w:eastAsia="Arial" w:hAnsi="Arial" w:cs="Arial"/>
          <w:color w:val="000000"/>
          <w:sz w:val="20"/>
        </w:rPr>
        <w:t>For the foregoing reasons, we certify the following question to the New York Court of Appeals:</w:t>
      </w:r>
    </w:p>
    <w:p w14:paraId="75B9AA1F" w14:textId="77777777" w:rsidR="002B10A6" w:rsidRDefault="00000000">
      <w:pPr>
        <w:pStyle w:val="Normal34"/>
        <w:widowControl w:val="0"/>
        <w:spacing w:line="260" w:lineRule="atLeast"/>
        <w:ind w:left="400"/>
        <w:jc w:val="both"/>
      </w:pPr>
      <w:bookmarkStart w:id="6733" w:name="Bookmark_para_35_16"/>
      <w:bookmarkEnd w:id="6733"/>
      <w:r>
        <w:rPr>
          <w:rFonts w:ascii="Arial" w:eastAsia="Arial" w:hAnsi="Arial" w:cs="Arial"/>
          <w:color w:val="000000"/>
          <w:sz w:val="20"/>
        </w:rPr>
        <w:t>Must a general liability insurance carrier defend an insured in an action alleging discrimination under a failure-to-accommodate theory?</w:t>
      </w:r>
    </w:p>
    <w:p w14:paraId="6EC06883" w14:textId="77777777" w:rsidR="002B10A6" w:rsidRDefault="00000000">
      <w:pPr>
        <w:pStyle w:val="Normal34"/>
        <w:widowControl w:val="0"/>
        <w:spacing w:before="200" w:line="260" w:lineRule="atLeast"/>
        <w:jc w:val="both"/>
      </w:pPr>
      <w:bookmarkStart w:id="6734" w:name="Bookmark_para_36_16"/>
      <w:bookmarkStart w:id="6735" w:name="Bookmark_I5YMT1FN28T3XW0040000400"/>
      <w:bookmarkEnd w:id="6734"/>
      <w:bookmarkEnd w:id="6735"/>
      <w:r>
        <w:rPr>
          <w:rFonts w:ascii="Arial" w:eastAsia="Arial" w:hAnsi="Arial" w:cs="Arial"/>
          <w:color w:val="000000"/>
          <w:sz w:val="20"/>
        </w:rPr>
        <w:t xml:space="preserve">"As is our practice, we do not intend to limit the scope of the Court of Appeals' analysis through the formulation of our question, and we invite the Court of Appeals to expand upon or alter this question as it should deem appropriate." </w:t>
      </w:r>
      <w:bookmarkStart w:id="6736" w:name="Bookmark_I5YMT1FN28T3XW0030000400"/>
      <w:bookmarkEnd w:id="6736"/>
      <w:r>
        <w:rPr>
          <w:rFonts w:ascii="Arial" w:eastAsia="Arial" w:hAnsi="Arial" w:cs="Arial"/>
          <w:i/>
          <w:color w:val="000000"/>
          <w:sz w:val="20"/>
        </w:rPr>
        <w:t>10 Ellicott Square Court Corp. v. Mountain Valley Indem. Co.</w:t>
      </w:r>
      <w:r>
        <w:rPr>
          <w:rFonts w:ascii="Arial" w:eastAsia="Arial" w:hAnsi="Arial" w:cs="Arial"/>
          <w:color w:val="000000"/>
          <w:sz w:val="20"/>
        </w:rPr>
        <w:t>, 634 F.3d 112, 126 (2d Cir. 2011).</w:t>
      </w:r>
    </w:p>
    <w:p w14:paraId="6676502A" w14:textId="77777777" w:rsidR="002B10A6" w:rsidRDefault="00000000">
      <w:pPr>
        <w:pStyle w:val="Normal34"/>
        <w:widowControl w:val="0"/>
        <w:spacing w:before="200" w:line="260" w:lineRule="atLeast"/>
        <w:jc w:val="both"/>
      </w:pPr>
      <w:bookmarkStart w:id="6737" w:name="Bookmark_para_37_15"/>
      <w:bookmarkEnd w:id="6737"/>
      <w:r>
        <w:rPr>
          <w:rFonts w:ascii="Arial" w:eastAsia="Arial" w:hAnsi="Arial" w:cs="Arial"/>
          <w:color w:val="000000"/>
          <w:sz w:val="20"/>
        </w:rPr>
        <w:t>It is hereby ORDERED that the Clerk of this Court transmit to the Clerk of the New York Court of Appeals this opinion as our certification, together with a complete set of briefs, appendices, and the record filed in this case by the parties. This panel retains jurisdiction for purposes of resolving this appeal after the disposition of the certification by the New York Court of Appeals.</w:t>
      </w:r>
    </w:p>
    <w:p w14:paraId="63EE4EB8" w14:textId="77777777" w:rsidR="002B10A6" w:rsidRDefault="002B10A6">
      <w:pPr>
        <w:pStyle w:val="Normal34"/>
      </w:pPr>
    </w:p>
    <w:p w14:paraId="484EE586" w14:textId="47687DFF" w:rsidR="002B10A6" w:rsidRDefault="00000000">
      <w:pPr>
        <w:pStyle w:val="Normal34"/>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35040" behindDoc="0" locked="0" layoutInCell="1" allowOverlap="1" wp14:anchorId="4C3668CC" wp14:editId="04B8FA57">
                <wp:simplePos x="0" y="0"/>
                <wp:positionH relativeFrom="column">
                  <wp:posOffset>0</wp:posOffset>
                </wp:positionH>
                <wp:positionV relativeFrom="paragraph">
                  <wp:posOffset>127000</wp:posOffset>
                </wp:positionV>
                <wp:extent cx="6502400" cy="0"/>
                <wp:effectExtent l="9525" t="12700" r="12700" b="6350"/>
                <wp:wrapNone/>
                <wp:docPr id="506492956"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4A6273" id="Line 76"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5C8291D" w14:textId="77777777" w:rsidR="002B10A6" w:rsidRDefault="002B10A6">
      <w:pPr>
        <w:pStyle w:val="Normal35"/>
        <w:sectPr w:rsidR="002B10A6">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gutter="0"/>
          <w:cols w:space="720"/>
          <w:titlePg/>
        </w:sectPr>
      </w:pPr>
    </w:p>
    <w:p w14:paraId="3ADDF26F" w14:textId="77777777" w:rsidR="002B10A6" w:rsidRDefault="002B10A6">
      <w:pPr>
        <w:pStyle w:val="Normal35"/>
      </w:pPr>
    </w:p>
    <w:p w14:paraId="6FAA6F4D" w14:textId="77777777" w:rsidR="002B10A6" w:rsidRDefault="00000000">
      <w:pPr>
        <w:pStyle w:val="Heading134"/>
        <w:keepNext w:val="0"/>
        <w:widowControl w:val="0"/>
        <w:spacing w:after="200" w:line="340" w:lineRule="atLeast"/>
        <w:jc w:val="center"/>
      </w:pPr>
      <w:r>
        <w:rPr>
          <w:rFonts w:eastAsia="Arial"/>
          <w:color w:val="000000"/>
          <w:sz w:val="28"/>
        </w:rPr>
        <w:t>His House Recovery Residence, Inc. v. Cobb Cty.</w:t>
      </w:r>
    </w:p>
    <w:p w14:paraId="787CDB26" w14:textId="77777777" w:rsidR="002B10A6" w:rsidRDefault="00000000">
      <w:pPr>
        <w:pStyle w:val="Normal35"/>
        <w:widowControl w:val="0"/>
        <w:spacing w:before="120" w:line="260" w:lineRule="atLeast"/>
        <w:jc w:val="center"/>
      </w:pPr>
      <w:r>
        <w:rPr>
          <w:rFonts w:ascii="Arial" w:eastAsia="Arial" w:hAnsi="Arial" w:cs="Arial"/>
          <w:color w:val="000000"/>
          <w:sz w:val="20"/>
        </w:rPr>
        <w:t>United States Court of Appeals for the Eleventh Circuit</w:t>
      </w:r>
    </w:p>
    <w:p w14:paraId="68F03C82" w14:textId="77777777" w:rsidR="002B10A6" w:rsidRDefault="00000000">
      <w:pPr>
        <w:pStyle w:val="Normal35"/>
        <w:widowControl w:val="0"/>
        <w:spacing w:before="120" w:line="260" w:lineRule="atLeast"/>
        <w:jc w:val="center"/>
      </w:pPr>
      <w:r>
        <w:rPr>
          <w:rFonts w:ascii="Arial" w:eastAsia="Arial" w:hAnsi="Arial" w:cs="Arial"/>
          <w:color w:val="000000"/>
          <w:sz w:val="20"/>
        </w:rPr>
        <w:t>March 26, 2020, Decided</w:t>
      </w:r>
    </w:p>
    <w:p w14:paraId="634E433B" w14:textId="77777777" w:rsidR="002B10A6" w:rsidRDefault="00000000">
      <w:pPr>
        <w:pStyle w:val="Normal35"/>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19-11613 Non-Argument Calendar</w:t>
      </w:r>
    </w:p>
    <w:p w14:paraId="4C761FE0" w14:textId="77777777" w:rsidR="002B10A6" w:rsidRDefault="002B10A6">
      <w:pPr>
        <w:pStyle w:val="Normal35"/>
        <w:widowControl w:val="0"/>
        <w:spacing w:line="240" w:lineRule="atLeast"/>
        <w:jc w:val="both"/>
      </w:pPr>
      <w:bookmarkStart w:id="6738" w:name="Bookmark_36"/>
      <w:bookmarkEnd w:id="6738"/>
    </w:p>
    <w:p w14:paraId="6AB1AE5D" w14:textId="77777777" w:rsidR="002B10A6" w:rsidRDefault="00000000">
      <w:pPr>
        <w:pStyle w:val="Normal35"/>
        <w:widowControl w:val="0"/>
        <w:spacing w:before="200" w:line="240" w:lineRule="atLeast"/>
      </w:pPr>
      <w:bookmarkStart w:id="6739" w:name="Reporter_34"/>
      <w:bookmarkEnd w:id="6739"/>
      <w:r>
        <w:rPr>
          <w:rFonts w:ascii="Arial" w:eastAsia="Arial" w:hAnsi="Arial" w:cs="Arial"/>
          <w:b/>
          <w:color w:val="000000"/>
          <w:sz w:val="18"/>
        </w:rPr>
        <w:t>Reporter</w:t>
      </w:r>
    </w:p>
    <w:p w14:paraId="3D7B0565" w14:textId="77777777" w:rsidR="002B10A6" w:rsidRDefault="00000000">
      <w:pPr>
        <w:pStyle w:val="Normal35"/>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806 Fed. Appx. 780 *; 2020 U.S. App. LEXIS 9442 **; 2020 WL 1487226</w:t>
      </w:r>
    </w:p>
    <w:p w14:paraId="338AC4D7" w14:textId="77777777" w:rsidR="002B10A6" w:rsidRDefault="00000000">
      <w:pPr>
        <w:pStyle w:val="Normal35"/>
        <w:widowControl w:val="0"/>
        <w:spacing w:before="120" w:line="260" w:lineRule="atLeast"/>
      </w:pPr>
      <w:r>
        <w:rPr>
          <w:rFonts w:ascii="Arial" w:eastAsia="Arial" w:hAnsi="Arial" w:cs="Arial"/>
          <w:color w:val="000000"/>
          <w:sz w:val="20"/>
        </w:rPr>
        <w:t>HIS HOUSE RECOVERY RESIDENCE, INC., a Georgia not-for-profit corporation, KEVIN WEIKUM, Plaintiffs-Appellants, versus COBB COUNTY, GEORGIA, a political subdivision of the State of Georgia, Defendant-Appellee.</w:t>
      </w:r>
    </w:p>
    <w:p w14:paraId="6DAE3B14" w14:textId="77777777" w:rsidR="002B10A6" w:rsidRDefault="00000000">
      <w:pPr>
        <w:pStyle w:val="Normal35"/>
        <w:widowControl w:val="0"/>
        <w:spacing w:before="240" w:line="260" w:lineRule="atLeast"/>
        <w:jc w:val="both"/>
      </w:pPr>
      <w:bookmarkStart w:id="6740" w:name="Notice_12"/>
      <w:bookmarkEnd w:id="6740"/>
      <w:r>
        <w:rPr>
          <w:rFonts w:ascii="Arial" w:eastAsia="Arial" w:hAnsi="Arial" w:cs="Arial"/>
          <w:b/>
          <w:color w:val="000000"/>
          <w:sz w:val="20"/>
        </w:rPr>
        <w:t>Notice:</w:t>
      </w:r>
      <w:r>
        <w:rPr>
          <w:rFonts w:ascii="Arial" w:eastAsia="Arial" w:hAnsi="Arial" w:cs="Arial"/>
          <w:color w:val="000000"/>
          <w:sz w:val="20"/>
        </w:rPr>
        <w:t> </w:t>
      </w:r>
      <w:bookmarkStart w:id="6741" w:name="Bookmark_para_1_34"/>
      <w:bookmarkEnd w:id="6741"/>
      <w:r>
        <w:rPr>
          <w:rFonts w:ascii="Arial" w:eastAsia="Arial" w:hAnsi="Arial" w:cs="Arial"/>
          <w:color w:val="000000"/>
          <w:sz w:val="20"/>
        </w:rPr>
        <w:t>PLEASE REFER TO FEDERAL RULES OF APPELLATE PROCEDURE RULE 32.1 GOVERNING THE CITATION TO UNPUBLISHED OPINIONS.</w:t>
      </w:r>
    </w:p>
    <w:p w14:paraId="501D5956" w14:textId="77777777" w:rsidR="002B10A6" w:rsidRDefault="00000000">
      <w:pPr>
        <w:pStyle w:val="Normal35"/>
        <w:widowControl w:val="0"/>
        <w:spacing w:before="240" w:line="260" w:lineRule="atLeast"/>
        <w:jc w:val="both"/>
      </w:pPr>
      <w:bookmarkStart w:id="6742" w:name="Prior_History_34"/>
      <w:bookmarkEnd w:id="6742"/>
      <w:r>
        <w:rPr>
          <w:rFonts w:ascii="Arial" w:eastAsia="Arial" w:hAnsi="Arial" w:cs="Arial"/>
          <w:b/>
          <w:color w:val="000000"/>
          <w:sz w:val="20"/>
        </w:rPr>
        <w:t>Prior History:</w:t>
      </w:r>
      <w:r>
        <w:rPr>
          <w:rFonts w:ascii="Arial" w:eastAsia="Arial" w:hAnsi="Arial" w:cs="Arial"/>
          <w:color w:val="000000"/>
          <w:sz w:val="20"/>
        </w:rPr>
        <w:t> </w:t>
      </w:r>
      <w:bookmarkStart w:id="6743" w:name="Bookmark_para_2_34"/>
      <w:bookmarkEnd w:id="6743"/>
      <w:r>
        <w:rPr>
          <w:rFonts w:ascii="Arial" w:eastAsia="Arial" w:hAnsi="Arial" w:cs="Arial"/>
          <w:color w:val="000000"/>
          <w:sz w:val="20"/>
        </w:rPr>
        <w:t> [**1] Appeal from the United States District Court for the Northern District of Georgia. D.C. Docket No. 1:17-cv-00243-SCJ.</w:t>
      </w:r>
    </w:p>
    <w:p w14:paraId="10F927D0" w14:textId="77777777" w:rsidR="002B10A6" w:rsidRDefault="00000000">
      <w:pPr>
        <w:pStyle w:val="Normal35"/>
        <w:widowControl w:val="0"/>
        <w:spacing w:before="120" w:line="260" w:lineRule="atLeast"/>
      </w:pPr>
      <w:r>
        <w:rPr>
          <w:rFonts w:ascii="Arial" w:eastAsia="Arial" w:hAnsi="Arial" w:cs="Arial"/>
          <w:color w:val="000000"/>
          <w:sz w:val="20"/>
        </w:rPr>
        <w:t>His House Recovery Residence v. Cobb County, 2019 U.S. Dist. LEXIS 234970 (N.D. Ga., Mar. 27, 2019)</w:t>
      </w:r>
    </w:p>
    <w:p w14:paraId="41791BCC" w14:textId="77777777" w:rsidR="002B10A6" w:rsidRDefault="00000000">
      <w:pPr>
        <w:pStyle w:val="Normal35"/>
        <w:widowControl w:val="0"/>
        <w:spacing w:before="240" w:line="260" w:lineRule="atLeast"/>
      </w:pPr>
      <w:bookmarkStart w:id="6744" w:name="Counsel_33"/>
      <w:bookmarkEnd w:id="6744"/>
      <w:r>
        <w:rPr>
          <w:rFonts w:ascii="Arial" w:eastAsia="Arial" w:hAnsi="Arial" w:cs="Arial"/>
          <w:b/>
          <w:color w:val="000000"/>
          <w:sz w:val="20"/>
        </w:rPr>
        <w:t>Counsel:</w:t>
      </w:r>
      <w:r>
        <w:rPr>
          <w:rFonts w:ascii="Arial" w:eastAsia="Arial" w:hAnsi="Arial" w:cs="Arial"/>
          <w:color w:val="000000"/>
          <w:sz w:val="20"/>
        </w:rPr>
        <w:t> For HIS HOUSE RECOVERY RESIDENCE, INC., a Georgia not-for-profit corporation, Plaintiff - Appellant: Ethan J. Loeb, Allison C. Doucette, Kevin Joseph Healey, Latasha C. Scott, Smolker Bartlett Loeb Hinds &amp; Thompson, PA, TAMPA, FL; Steven Gary Polin, Law Office of Steven G. Polin, WASHINGTON, DC; Ryan Tyler Pumpian, Bloom Parham, LLP, ATLANTA, GA.</w:t>
      </w:r>
    </w:p>
    <w:p w14:paraId="5E2C34A7" w14:textId="77777777" w:rsidR="002B10A6" w:rsidRDefault="00000000">
      <w:pPr>
        <w:pStyle w:val="Normal35"/>
        <w:widowControl w:val="0"/>
        <w:spacing w:before="120" w:line="260" w:lineRule="atLeast"/>
      </w:pPr>
      <w:r>
        <w:rPr>
          <w:rFonts w:ascii="Arial" w:eastAsia="Arial" w:hAnsi="Arial" w:cs="Arial"/>
          <w:color w:val="000000"/>
          <w:sz w:val="20"/>
        </w:rPr>
        <w:t>For KEVIN WEIKUM, Plaintiff - Appellant: Ethan J. Loeb, Allison C. Doucette, Kevin Joseph Healey, Jon P. Tasso,, Smolker Bartlett Loeb Hinds &amp; Thompson, PA, TAMPA, FL; Steven Gary Polin, Law Office of Steven G. Polin, WASHINGTON, DC; Ryan Tyler Pumpian, Bloom Parham, LLP, ATLANTA, GA.</w:t>
      </w:r>
    </w:p>
    <w:p w14:paraId="60ECD8D0" w14:textId="77777777" w:rsidR="002B10A6" w:rsidRDefault="00000000">
      <w:pPr>
        <w:pStyle w:val="Normal35"/>
        <w:widowControl w:val="0"/>
        <w:spacing w:before="120" w:line="260" w:lineRule="atLeast"/>
      </w:pPr>
      <w:r>
        <w:rPr>
          <w:rFonts w:ascii="Arial" w:eastAsia="Arial" w:hAnsi="Arial" w:cs="Arial"/>
          <w:color w:val="000000"/>
          <w:sz w:val="20"/>
        </w:rPr>
        <w:t>For COBB COUNTY, GEORGIA, a political subdivision of the State of Georgia, Defendant - Appellee: Robert David Ware, Russell A. Britt, Hall Booth Smith, PC, ATLANTA, GA; Debra Lynn Blair, Brian Scott Johnson, Attorney, Hugh William Rowling, Jr., Cobb County Attorney's Office, MARIETTA, GA; Deborah L. Dance, Jarrard &amp; Davis, LLP, CUMMING, GA.</w:t>
      </w:r>
    </w:p>
    <w:p w14:paraId="79467DD9" w14:textId="77777777" w:rsidR="002B10A6" w:rsidRDefault="00000000">
      <w:pPr>
        <w:pStyle w:val="Normal35"/>
        <w:widowControl w:val="0"/>
        <w:spacing w:before="240" w:line="260" w:lineRule="atLeast"/>
      </w:pPr>
      <w:bookmarkStart w:id="6745" w:name="Judges_34"/>
      <w:bookmarkEnd w:id="6745"/>
      <w:r>
        <w:rPr>
          <w:rFonts w:ascii="Arial" w:eastAsia="Arial" w:hAnsi="Arial" w:cs="Arial"/>
          <w:b/>
          <w:color w:val="000000"/>
          <w:sz w:val="20"/>
        </w:rPr>
        <w:t>Judges:</w:t>
      </w:r>
      <w:r>
        <w:rPr>
          <w:rFonts w:ascii="Arial" w:eastAsia="Arial" w:hAnsi="Arial" w:cs="Arial"/>
          <w:color w:val="000000"/>
          <w:sz w:val="20"/>
        </w:rPr>
        <w:t> Before WILSON, WILLIAM PRYOR, and JILL PRYOR, Circuit Judges.</w:t>
      </w:r>
    </w:p>
    <w:p w14:paraId="2056E951" w14:textId="77777777" w:rsidR="002B10A6" w:rsidRDefault="00000000">
      <w:pPr>
        <w:pStyle w:val="Normal35"/>
        <w:keepNext/>
        <w:widowControl w:val="0"/>
        <w:spacing w:before="240" w:line="340" w:lineRule="atLeast"/>
      </w:pPr>
      <w:bookmarkStart w:id="6746" w:name="Opinion_34"/>
      <w:bookmarkEnd w:id="6746"/>
      <w:r>
        <w:rPr>
          <w:rFonts w:ascii="Arial" w:eastAsia="Arial" w:hAnsi="Arial" w:cs="Arial"/>
          <w:b/>
          <w:color w:val="000000"/>
          <w:sz w:val="28"/>
        </w:rPr>
        <w:t>Opinion</w:t>
      </w:r>
    </w:p>
    <w:p w14:paraId="41418917" w14:textId="529AB74B" w:rsidR="002B10A6" w:rsidRDefault="002D6974">
      <w:pPr>
        <w:pStyle w:val="Normal35"/>
        <w:spacing w:line="60" w:lineRule="exact"/>
      </w:pPr>
      <w:r>
        <w:rPr>
          <w:noProof/>
        </w:rPr>
        <mc:AlternateContent>
          <mc:Choice Requires="wps">
            <w:drawing>
              <wp:anchor distT="0" distB="0" distL="114300" distR="114300" simplePos="0" relativeHeight="251736064" behindDoc="0" locked="0" layoutInCell="1" allowOverlap="1" wp14:anchorId="5E5F3286" wp14:editId="0242AAAF">
                <wp:simplePos x="0" y="0"/>
                <wp:positionH relativeFrom="column">
                  <wp:posOffset>0</wp:posOffset>
                </wp:positionH>
                <wp:positionV relativeFrom="paragraph">
                  <wp:posOffset>25400</wp:posOffset>
                </wp:positionV>
                <wp:extent cx="3187700" cy="0"/>
                <wp:effectExtent l="19050" t="15875" r="12700" b="12700"/>
                <wp:wrapTopAndBottom/>
                <wp:docPr id="1360180251"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56F59" id="Line 77"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A3507D5" w14:textId="77777777" w:rsidR="002B10A6" w:rsidRDefault="002B10A6">
      <w:pPr>
        <w:pStyle w:val="Normal35"/>
      </w:pPr>
    </w:p>
    <w:p w14:paraId="2F7A2D01" w14:textId="77777777" w:rsidR="002B10A6" w:rsidRDefault="00000000">
      <w:pPr>
        <w:pStyle w:val="Normal35"/>
        <w:widowControl w:val="0"/>
        <w:spacing w:before="200" w:line="260" w:lineRule="atLeast"/>
        <w:jc w:val="both"/>
      </w:pPr>
      <w:bookmarkStart w:id="6747" w:name="Bookmark_para_3_34"/>
      <w:bookmarkEnd w:id="6747"/>
      <w:r>
        <w:rPr>
          <w:rFonts w:ascii="Arial" w:eastAsia="Arial" w:hAnsi="Arial" w:cs="Arial"/>
          <w:color w:val="000000"/>
          <w:sz w:val="20"/>
        </w:rPr>
        <w:t> [*781]  PER CURIAM:</w:t>
      </w:r>
    </w:p>
    <w:p w14:paraId="7D1D42CC" w14:textId="77777777" w:rsidR="002B10A6" w:rsidRDefault="00000000">
      <w:pPr>
        <w:pStyle w:val="Normal35"/>
        <w:widowControl w:val="0"/>
        <w:spacing w:before="200" w:line="260" w:lineRule="atLeast"/>
        <w:jc w:val="both"/>
      </w:pPr>
      <w:bookmarkStart w:id="6748" w:name="Bookmark_para_4_34"/>
      <w:bookmarkEnd w:id="6748"/>
      <w:r>
        <w:rPr>
          <w:rFonts w:ascii="Arial" w:eastAsia="Arial" w:hAnsi="Arial" w:cs="Arial"/>
          <w:color w:val="000000"/>
          <w:sz w:val="20"/>
        </w:rPr>
        <w:t>This is a housing discrimination case [**2]  brought under both the Fair Housing Act (FHA) and the Americans with Disabilities Act (ADA). It was brought by His House Recovery Residence, Inc. and its founder, Kevin Weikum (collectively, His House), against Cobb County, Georgia (the County). Before the district court, the parties filed cross-motions for summary judgment. The district court denied His House's motion for summary judgement and denied in part and granted in part summary judgment in favor of the County. On appeal,  [*782]  His House alleges that the district court erred in two ways. First, His House asserts that the district court improperly concluded that it did not sufficiently establish a disparate treatment claim because it failed to provide evidence of non-recovering people being treated differently. Second, His House argues that the district court erred when it found that the County ordinance at issue is facially neutral. After a thorough review of the record and the parties' briefs, we affirm.</w:t>
      </w:r>
    </w:p>
    <w:p w14:paraId="6698783B" w14:textId="77777777" w:rsidR="002B10A6" w:rsidRDefault="00000000">
      <w:pPr>
        <w:pStyle w:val="Normal35"/>
        <w:widowControl w:val="0"/>
        <w:spacing w:before="240" w:line="260" w:lineRule="atLeast"/>
      </w:pPr>
      <w:r>
        <w:br/>
      </w:r>
      <w:r>
        <w:rPr>
          <w:rFonts w:ascii="Arial" w:eastAsia="Arial" w:hAnsi="Arial" w:cs="Arial"/>
          <w:b/>
          <w:color w:val="000000"/>
          <w:sz w:val="20"/>
        </w:rPr>
        <w:t>BACKGROUND</w:t>
      </w:r>
    </w:p>
    <w:p w14:paraId="02494D79" w14:textId="77777777" w:rsidR="002B10A6" w:rsidRDefault="00000000">
      <w:pPr>
        <w:pStyle w:val="Normal35"/>
        <w:widowControl w:val="0"/>
        <w:spacing w:before="200" w:line="260" w:lineRule="atLeast"/>
        <w:jc w:val="both"/>
      </w:pPr>
      <w:bookmarkStart w:id="6749" w:name="Bookmark_para_5_34"/>
      <w:bookmarkEnd w:id="6749"/>
      <w:r>
        <w:rPr>
          <w:rFonts w:ascii="Arial" w:eastAsia="Arial" w:hAnsi="Arial" w:cs="Arial"/>
          <w:color w:val="000000"/>
          <w:sz w:val="20"/>
        </w:rPr>
        <w:t>We recount only the essential facts. His House operates sober-living residences in which clients voluntarily choose to participate in a substance-free, communal-living environment. At least one of these residences is in [**3]  an area of the County that is zoned for single-family, residential use—a classification that includes "group home" as a permitted use.</w:t>
      </w:r>
    </w:p>
    <w:p w14:paraId="512DCCDC" w14:textId="77777777" w:rsidR="002B10A6" w:rsidRDefault="00000000">
      <w:pPr>
        <w:pStyle w:val="Normal35"/>
        <w:widowControl w:val="0"/>
        <w:spacing w:before="200" w:line="260" w:lineRule="atLeast"/>
        <w:jc w:val="both"/>
      </w:pPr>
      <w:bookmarkStart w:id="6750" w:name="Bookmark_para_6_34"/>
      <w:bookmarkEnd w:id="6750"/>
      <w:r>
        <w:rPr>
          <w:rFonts w:ascii="Arial" w:eastAsia="Arial" w:hAnsi="Arial" w:cs="Arial"/>
          <w:color w:val="000000"/>
          <w:sz w:val="20"/>
        </w:rPr>
        <w:t>Under the County's Code of Ordinances, a group home is</w:t>
      </w:r>
    </w:p>
    <w:p w14:paraId="6518ECB6" w14:textId="77777777" w:rsidR="002B10A6" w:rsidRDefault="00000000">
      <w:pPr>
        <w:pStyle w:val="Normal35"/>
        <w:widowControl w:val="0"/>
        <w:spacing w:before="200" w:line="260" w:lineRule="atLeast"/>
        <w:ind w:left="400"/>
        <w:jc w:val="both"/>
      </w:pPr>
      <w:bookmarkStart w:id="6751" w:name="Bookmark_para_7_34"/>
      <w:bookmarkEnd w:id="6751"/>
      <w:r>
        <w:rPr>
          <w:rFonts w:ascii="Arial" w:eastAsia="Arial" w:hAnsi="Arial" w:cs="Arial"/>
          <w:color w:val="000000"/>
          <w:sz w:val="20"/>
        </w:rPr>
        <w:t>a dwelling unit . . . shared by four or fewer persons, excluding resident staff, who live together as a single housekeeping unit and in a long term, family-like environment in which staff persons provide care, education and participation in community activities, under a structured and scheduled plan that must be provided to the county, for the residents with the primary goal of enabling the residents to live as independently as possible in order to reach their maximum potential under the direction and guidance of a designated managing caregiver, designated as such by the affiliate organization, who must be a resident of the group home and available by telephone on a 24-hour basis in case of complaints. A copy of the home rules shall be provided to the county as well as (if applicable) evidence of active enforcement under the Georgia Association of Recovery Residence [(GARR)] standards. The schedule of activities may be verified via periodic inspection by community development staff . . . . A group [**4]  home shall not allow use of the dwelling as a home for individuals on parole, probation, or convicted and released from incarceration . . . . A group home may include a home for the disabled.</w:t>
      </w:r>
    </w:p>
    <w:p w14:paraId="083DFC54" w14:textId="77777777" w:rsidR="002B10A6" w:rsidRDefault="00000000">
      <w:pPr>
        <w:pStyle w:val="Normal35"/>
        <w:widowControl w:val="0"/>
        <w:spacing w:before="200" w:line="260" w:lineRule="atLeast"/>
        <w:jc w:val="both"/>
      </w:pPr>
      <w:r>
        <w:rPr>
          <w:rFonts w:ascii="Arial" w:eastAsia="Arial" w:hAnsi="Arial" w:cs="Arial"/>
          <w:smallCaps/>
          <w:color w:val="000000"/>
          <w:sz w:val="20"/>
        </w:rPr>
        <w:t>Cobb County, Ga., Code Of Ordinances</w:t>
      </w:r>
      <w:r>
        <w:rPr>
          <w:rFonts w:ascii="Arial" w:eastAsia="Arial" w:hAnsi="Arial" w:cs="Arial"/>
          <w:color w:val="000000"/>
          <w:sz w:val="20"/>
        </w:rPr>
        <w:t xml:space="preserve"> ch. 134, art. 1, § 134-1 (2019) (the Ordinance). The current definition of "group home" was enacted in 2010, after a collaborative effort with GARR. Before 2010, recovery residences were considered halfway houses and could not qualify as group homes. The Ordinance now allows recovery residences to qualify as group homes where the relevant conditions of the County's zoning ordinance are met.</w:t>
      </w:r>
    </w:p>
    <w:p w14:paraId="4D05DFCE" w14:textId="77777777" w:rsidR="002B10A6" w:rsidRDefault="00000000">
      <w:pPr>
        <w:pStyle w:val="Normal35"/>
        <w:widowControl w:val="0"/>
        <w:spacing w:before="200" w:line="260" w:lineRule="atLeast"/>
        <w:jc w:val="both"/>
      </w:pPr>
      <w:bookmarkStart w:id="6752" w:name="Bookmark_para_8_34"/>
      <w:bookmarkEnd w:id="6752"/>
      <w:r>
        <w:rPr>
          <w:rFonts w:ascii="Arial" w:eastAsia="Arial" w:hAnsi="Arial" w:cs="Arial"/>
          <w:color w:val="000000"/>
          <w:sz w:val="20"/>
        </w:rPr>
        <w:t>In the County, reasonable accommodations may be sought through the Temporary Land Use Permit (TLUP) process. TLUPs allow for the use of a property that is otherwise prohibited under the County's zoning ordinance. For example, for His House to house more residents than the Ordinance allows, it would need to seek a TLUP.</w:t>
      </w:r>
    </w:p>
    <w:p w14:paraId="7567D200" w14:textId="77777777" w:rsidR="002B10A6" w:rsidRDefault="00000000">
      <w:pPr>
        <w:pStyle w:val="Normal35"/>
        <w:widowControl w:val="0"/>
        <w:spacing w:before="200" w:line="260" w:lineRule="atLeast"/>
        <w:jc w:val="both"/>
      </w:pPr>
      <w:bookmarkStart w:id="6753" w:name="Bookmark_para_9_34"/>
      <w:bookmarkEnd w:id="6753"/>
      <w:r>
        <w:rPr>
          <w:rFonts w:ascii="Arial" w:eastAsia="Arial" w:hAnsi="Arial" w:cs="Arial"/>
          <w:color w:val="000000"/>
          <w:sz w:val="20"/>
        </w:rPr>
        <w:t>In 2013, His House began housing residents at 1793 Miller Drive (Miller Drive). In December 2014, His House was cited by the County for illegally occupying a single-family dwelling because it exceeded the number of allowed residents. In January of 2015, the County issued [**5]  a criminal citation to Weikum for violation of the Ordinance. His House hired counsel and, in April 2015, applied for a TLUP that, in part, requested that His House be allowed to exceed the number of allowed residents.</w:t>
      </w:r>
    </w:p>
    <w:p w14:paraId="2AF046FB" w14:textId="77777777" w:rsidR="002B10A6" w:rsidRDefault="00000000">
      <w:pPr>
        <w:pStyle w:val="Normal35"/>
        <w:widowControl w:val="0"/>
        <w:spacing w:before="200" w:line="260" w:lineRule="atLeast"/>
        <w:jc w:val="both"/>
      </w:pPr>
      <w:bookmarkStart w:id="6754" w:name="Bookmark_para_10_33"/>
      <w:bookmarkEnd w:id="6754"/>
      <w:r>
        <w:rPr>
          <w:rFonts w:ascii="Arial" w:eastAsia="Arial" w:hAnsi="Arial" w:cs="Arial"/>
          <w:color w:val="000000"/>
          <w:sz w:val="20"/>
        </w:rPr>
        <w:t>County staff recommended denial of His House's TLUP noting, in part, that "[h]aving a multitude of people living on a property [*783]  starts to erode the low intensity character of a residential neighborhood and could have a negative effect on the property values." In early June of 2015, the County Planning Commission held a hearing on His House's TLUP application. Concerns expressed by Planning Commission members included His House's lack of oversight and the number of people that would be residing on the property. The Planning Commission recommended denial of His House's TLUP application, but the ultimate decision lay with the County's Board of Commissioners (the Board).</w:t>
      </w:r>
    </w:p>
    <w:p w14:paraId="5EDFE41F" w14:textId="77777777" w:rsidR="002B10A6" w:rsidRDefault="00000000">
      <w:pPr>
        <w:pStyle w:val="Normal35"/>
        <w:widowControl w:val="0"/>
        <w:spacing w:before="200" w:line="260" w:lineRule="atLeast"/>
        <w:jc w:val="both"/>
      </w:pPr>
      <w:bookmarkStart w:id="6755" w:name="Bookmark_para_11_29"/>
      <w:bookmarkEnd w:id="6755"/>
      <w:r>
        <w:rPr>
          <w:rFonts w:ascii="Arial" w:eastAsia="Arial" w:hAnsi="Arial" w:cs="Arial"/>
          <w:color w:val="000000"/>
          <w:sz w:val="20"/>
        </w:rPr>
        <w:t>Following the Planning Commission hearing, but before His House's hearing before the Board, the County's Code Enforcement Manager, Jerry Lanham, sent County Commissioner JoAnn Birrell an email. In that e-mail, Lanham stated that he wanted to make Birrell "aware of some of [his] concerns about" His House's TLUP [**6]  application. After Lanham documented His House's history of violations at another location on Latimer Lane, he expressed concern that His House "is starting off the same way [it] did at 19 Latimer Lane" and that "based on [its] past performance this will become an issue for the neighborhoods surrounding this property."</w:t>
      </w:r>
      <w:r>
        <w:rPr>
          <w:rFonts w:ascii="Arial" w:eastAsia="Arial" w:hAnsi="Arial" w:cs="Arial"/>
          <w:vertAlign w:val="superscript"/>
        </w:rPr>
        <w:footnoteReference w:customMarkFollows="1" w:id="285"/>
        <w:t>1</w:t>
      </w:r>
    </w:p>
    <w:p w14:paraId="4E3F6A67" w14:textId="77777777" w:rsidR="002B10A6" w:rsidRDefault="00000000">
      <w:pPr>
        <w:pStyle w:val="Normal35"/>
        <w:widowControl w:val="0"/>
        <w:spacing w:before="200" w:line="260" w:lineRule="atLeast"/>
        <w:jc w:val="both"/>
      </w:pPr>
      <w:bookmarkStart w:id="6757" w:name="Bookmark_para_12_28"/>
      <w:bookmarkEnd w:id="6757"/>
      <w:r>
        <w:rPr>
          <w:rFonts w:ascii="Arial" w:eastAsia="Arial" w:hAnsi="Arial" w:cs="Arial"/>
          <w:color w:val="000000"/>
          <w:sz w:val="20"/>
        </w:rPr>
        <w:t>About two weeks after the Planning Commission hearing, the Board considered His House's TLUP application. The application was met with opposition from citizens whose concerns included Miller Drive's proximity to a school and playgrounds and the effect of a group home on property values. The neighborhood association that encompassed Miller Drive introduced a petition that contained 60 signatures and complained of a recent increase in vandalism and drug paraphernalia in the neighborhood.</w:t>
      </w:r>
    </w:p>
    <w:p w14:paraId="71E1D5E5" w14:textId="77777777" w:rsidR="002B10A6" w:rsidRDefault="00000000">
      <w:pPr>
        <w:pStyle w:val="Normal35"/>
        <w:widowControl w:val="0"/>
        <w:spacing w:before="200" w:line="260" w:lineRule="atLeast"/>
        <w:jc w:val="both"/>
      </w:pPr>
      <w:bookmarkStart w:id="6758" w:name="Bookmark_para_13_28"/>
      <w:bookmarkEnd w:id="6758"/>
      <w:r>
        <w:rPr>
          <w:rFonts w:ascii="Arial" w:eastAsia="Arial" w:hAnsi="Arial" w:cs="Arial"/>
          <w:color w:val="000000"/>
          <w:sz w:val="20"/>
        </w:rPr>
        <w:t>Birrell questioned His House during the meeting, asking about its prior residences as well as other current residences. Before she moved to deny the application, she said</w:t>
      </w:r>
    </w:p>
    <w:p w14:paraId="7FD7A248" w14:textId="77777777" w:rsidR="002B10A6" w:rsidRDefault="00000000">
      <w:pPr>
        <w:pStyle w:val="Normal35"/>
        <w:widowControl w:val="0"/>
        <w:spacing w:before="200" w:line="260" w:lineRule="atLeast"/>
        <w:ind w:left="400"/>
        <w:jc w:val="both"/>
      </w:pPr>
      <w:bookmarkStart w:id="6759" w:name="Bookmark_para_14_28"/>
      <w:bookmarkEnd w:id="6759"/>
      <w:r>
        <w:rPr>
          <w:rFonts w:ascii="Arial" w:eastAsia="Arial" w:hAnsi="Arial" w:cs="Arial"/>
          <w:color w:val="000000"/>
          <w:sz w:val="20"/>
        </w:rPr>
        <w:t>I've heard the concerns of the neighbors today . . . . I do have concerns with this being in a residential area and the close proximity of the school and there is a history here with a previous location, and I would just [**7]  like to recommend to the neighbors: if anyone, no matter where you are, approaches your child or anything suspicious in your neighborhood—you need to call 911. So, sorry, but I just had to say that. And so with that, I would like to make a motion that would deny this application. And should this motion to deny pass, I would like to direct code enforcement to be on the property within the next thirty days to enforce compliance.</w:t>
      </w:r>
    </w:p>
    <w:p w14:paraId="0E799A2C" w14:textId="77777777" w:rsidR="002B10A6" w:rsidRDefault="00000000">
      <w:pPr>
        <w:pStyle w:val="Normal35"/>
        <w:widowControl w:val="0"/>
        <w:spacing w:line="260" w:lineRule="atLeast"/>
        <w:jc w:val="both"/>
      </w:pPr>
      <w:r>
        <w:rPr>
          <w:rFonts w:ascii="Arial" w:eastAsia="Arial" w:hAnsi="Arial" w:cs="Arial"/>
          <w:color w:val="000000"/>
          <w:sz w:val="20"/>
        </w:rPr>
        <w:t>Another commissioner offered an amendment to the motion to include the Planning Commission's and County staff's recommendations to deny the application.</w:t>
      </w:r>
    </w:p>
    <w:p w14:paraId="6A1C40C1" w14:textId="77777777" w:rsidR="002B10A6" w:rsidRDefault="00000000">
      <w:pPr>
        <w:pStyle w:val="Normal35"/>
        <w:widowControl w:val="0"/>
        <w:spacing w:before="200" w:line="260" w:lineRule="atLeast"/>
        <w:jc w:val="both"/>
      </w:pPr>
      <w:bookmarkStart w:id="6760" w:name="Bookmark_para_15_28"/>
      <w:bookmarkEnd w:id="6760"/>
      <w:r>
        <w:rPr>
          <w:rFonts w:ascii="Arial" w:eastAsia="Arial" w:hAnsi="Arial" w:cs="Arial"/>
          <w:color w:val="000000"/>
          <w:sz w:val="20"/>
        </w:rPr>
        <w:t>The Board denied the application and gave His House 30 days to reduce the number of residents at Miller Drive. After the denial, Birrell continued to follow up with County officials to see if notice had been provided to Miller Drive and if Code Enforcement would be going to Miller Drive. After His House reduced the number of residents, Code Enforcement continued to monitor and cite violations for unrelated issues at the property.</w:t>
      </w:r>
    </w:p>
    <w:p w14:paraId="58ED23D9" w14:textId="77777777" w:rsidR="002B10A6" w:rsidRDefault="00000000">
      <w:pPr>
        <w:pStyle w:val="Normal35"/>
        <w:widowControl w:val="0"/>
        <w:spacing w:before="240" w:line="260" w:lineRule="atLeast"/>
      </w:pPr>
      <w:r>
        <w:br/>
      </w:r>
      <w:r>
        <w:rPr>
          <w:rFonts w:ascii="Arial" w:eastAsia="Arial" w:hAnsi="Arial" w:cs="Arial"/>
          <w:b/>
          <w:color w:val="000000"/>
          <w:sz w:val="20"/>
        </w:rPr>
        <w:t>DISCUSSION</w:t>
      </w:r>
    </w:p>
    <w:p w14:paraId="1C851FB7" w14:textId="77777777" w:rsidR="002B10A6" w:rsidRDefault="00000000">
      <w:pPr>
        <w:pStyle w:val="Normal35"/>
        <w:widowControl w:val="0"/>
        <w:spacing w:before="200" w:line="260" w:lineRule="atLeast"/>
        <w:jc w:val="both"/>
      </w:pPr>
      <w:bookmarkStart w:id="6761" w:name="Bookmark_para_16_25"/>
      <w:bookmarkStart w:id="6762" w:name="Bookmark_LNHNREFclscc1_28"/>
      <w:bookmarkStart w:id="6763" w:name="Bookmark_I5YJ7C442N1R640020000400"/>
      <w:bookmarkStart w:id="6764" w:name="Bookmark_I5YJ7C442N1R640040000400"/>
      <w:bookmarkStart w:id="6765" w:name="Bookmark_I5YJ7C4528T4XM0010000400"/>
      <w:bookmarkEnd w:id="6761"/>
      <w:bookmarkEnd w:id="6762"/>
      <w:bookmarkEnd w:id="6763"/>
      <w:bookmarkEnd w:id="6764"/>
      <w:bookmarkEnd w:id="6765"/>
      <w:r>
        <w:rPr>
          <w:rFonts w:ascii="Arial" w:eastAsia="Arial" w:hAnsi="Arial" w:cs="Arial"/>
          <w:color w:val="000000"/>
          <w:sz w:val="20"/>
        </w:rPr>
        <w:t xml:space="preserve">We review a district court's grant of summary judgment de novo, viewing "all evidence and factual inferences reasonably drawn from the evidence in the light most  [*784]  favorable to [**8]  the non-moving party." </w:t>
      </w:r>
      <w:bookmarkStart w:id="6766" w:name="Bookmark_I5YJ7C442N1R640010000400"/>
      <w:bookmarkEnd w:id="6766"/>
      <w:r>
        <w:rPr>
          <w:rFonts w:ascii="Arial" w:eastAsia="Arial" w:hAnsi="Arial" w:cs="Arial"/>
          <w:i/>
          <w:color w:val="000000"/>
          <w:sz w:val="20"/>
        </w:rPr>
        <w:t>Burton v. Tampa Hous. Auth.</w:t>
      </w:r>
      <w:r>
        <w:rPr>
          <w:rFonts w:ascii="Arial" w:eastAsia="Arial" w:hAnsi="Arial" w:cs="Arial"/>
          <w:color w:val="000000"/>
          <w:sz w:val="20"/>
        </w:rPr>
        <w:t xml:space="preserve">, 271 F.3d 1274, 1276-77 (11th Cir. 2001). Summary judgment is proper when "the movant shows that there is no genuine dispute as to any material fact and the movant is entitled to judgment as a matter of law." Fed. R. Civ. P. 56(a); </w:t>
      </w:r>
      <w:r>
        <w:rPr>
          <w:rFonts w:ascii="Arial" w:eastAsia="Arial" w:hAnsi="Arial" w:cs="Arial"/>
          <w:i/>
          <w:color w:val="000000"/>
          <w:sz w:val="20"/>
        </w:rPr>
        <w:t xml:space="preserve">see </w:t>
      </w:r>
      <w:bookmarkStart w:id="6767" w:name="Bookmark_I5YJ7C442N1R640030000400"/>
      <w:bookmarkEnd w:id="6767"/>
      <w:r>
        <w:rPr>
          <w:rFonts w:ascii="Arial" w:eastAsia="Arial" w:hAnsi="Arial" w:cs="Arial"/>
          <w:i/>
          <w:color w:val="000000"/>
          <w:sz w:val="20"/>
        </w:rPr>
        <w:t>Celotex Corp. v. Catrett</w:t>
      </w:r>
      <w:r>
        <w:rPr>
          <w:rFonts w:ascii="Arial" w:eastAsia="Arial" w:hAnsi="Arial" w:cs="Arial"/>
          <w:color w:val="000000"/>
          <w:sz w:val="20"/>
        </w:rPr>
        <w:t xml:space="preserve">, 477 U.S. 317, 322-23, 106 S. Ct. 2548, 91 L. Ed. 2d 265 (1986). This standard means "that the mere existence of </w:t>
      </w:r>
      <w:r>
        <w:rPr>
          <w:rFonts w:ascii="Arial" w:eastAsia="Arial" w:hAnsi="Arial" w:cs="Arial"/>
          <w:i/>
          <w:color w:val="000000"/>
          <w:sz w:val="20"/>
        </w:rPr>
        <w:t>some</w:t>
      </w:r>
      <w:r>
        <w:rPr>
          <w:rFonts w:ascii="Arial" w:eastAsia="Arial" w:hAnsi="Arial" w:cs="Arial"/>
          <w:color w:val="000000"/>
          <w:sz w:val="20"/>
        </w:rPr>
        <w:t xml:space="preserve"> alleged factual dispute between the parties will not defeat an otherwise properly supported motion for summary judgment; the requirement is that there be no </w:t>
      </w:r>
      <w:r>
        <w:rPr>
          <w:rFonts w:ascii="Arial" w:eastAsia="Arial" w:hAnsi="Arial" w:cs="Arial"/>
          <w:i/>
          <w:color w:val="000000"/>
          <w:sz w:val="20"/>
        </w:rPr>
        <w:t>genuine</w:t>
      </w:r>
      <w:r>
        <w:rPr>
          <w:rFonts w:ascii="Arial" w:eastAsia="Arial" w:hAnsi="Arial" w:cs="Arial"/>
          <w:color w:val="000000"/>
          <w:sz w:val="20"/>
        </w:rPr>
        <w:t xml:space="preserve"> issue of </w:t>
      </w:r>
      <w:r>
        <w:rPr>
          <w:rFonts w:ascii="Arial" w:eastAsia="Arial" w:hAnsi="Arial" w:cs="Arial"/>
          <w:i/>
          <w:color w:val="000000"/>
          <w:sz w:val="20"/>
        </w:rPr>
        <w:t>material</w:t>
      </w:r>
      <w:r>
        <w:rPr>
          <w:rFonts w:ascii="Arial" w:eastAsia="Arial" w:hAnsi="Arial" w:cs="Arial"/>
          <w:color w:val="000000"/>
          <w:sz w:val="20"/>
        </w:rPr>
        <w:t xml:space="preserve"> fact." </w:t>
      </w:r>
      <w:bookmarkStart w:id="6768" w:name="Bookmark_I5YJ7C442N1R640050000400"/>
      <w:bookmarkEnd w:id="6768"/>
      <w:r>
        <w:rPr>
          <w:rFonts w:ascii="Arial" w:eastAsia="Arial" w:hAnsi="Arial" w:cs="Arial"/>
          <w:i/>
          <w:color w:val="000000"/>
          <w:sz w:val="20"/>
        </w:rPr>
        <w:t>Anderson v. Liberty Lobby, Inc.</w:t>
      </w:r>
      <w:r>
        <w:rPr>
          <w:rFonts w:ascii="Arial" w:eastAsia="Arial" w:hAnsi="Arial" w:cs="Arial"/>
          <w:color w:val="000000"/>
          <w:sz w:val="20"/>
        </w:rPr>
        <w:t>, 477 U.S. 242, 247-48, 106 S. Ct. 2505, 91 L. Ed. 2d 202 (1986).</w:t>
      </w:r>
    </w:p>
    <w:p w14:paraId="3A1E67D4" w14:textId="77777777" w:rsidR="002B10A6" w:rsidRDefault="00000000">
      <w:pPr>
        <w:pStyle w:val="Normal35"/>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3B81FA45" w14:textId="77777777" w:rsidR="002B10A6" w:rsidRDefault="00000000">
      <w:pPr>
        <w:pStyle w:val="Normal35"/>
        <w:widowControl w:val="0"/>
        <w:spacing w:before="200" w:line="260" w:lineRule="atLeast"/>
        <w:jc w:val="both"/>
      </w:pPr>
      <w:bookmarkStart w:id="6769" w:name="Bookmark_para_17_25"/>
      <w:bookmarkStart w:id="6770" w:name="Bookmark_I5YJ7C4528T4XM0030000400"/>
      <w:bookmarkStart w:id="6771" w:name="Bookmark_I5YJ7C462N1R680020000400"/>
      <w:bookmarkEnd w:id="6769"/>
      <w:bookmarkEnd w:id="6770"/>
      <w:bookmarkEnd w:id="6771"/>
      <w:r>
        <w:rPr>
          <w:rFonts w:ascii="Arial" w:eastAsia="Arial" w:hAnsi="Arial" w:cs="Arial"/>
          <w:color w:val="000000"/>
          <w:sz w:val="20"/>
        </w:rPr>
        <w:t>First, His House argues that the district court erred when it granted summary judgment on its disparate treatment claim.</w:t>
      </w:r>
      <w:r>
        <w:rPr>
          <w:rFonts w:ascii="Arial" w:eastAsia="Arial" w:hAnsi="Arial" w:cs="Arial"/>
          <w:vertAlign w:val="superscript"/>
        </w:rPr>
        <w:footnoteReference w:customMarkFollows="1" w:id="286"/>
        <w:t>2</w:t>
      </w:r>
      <w:r>
        <w:rPr>
          <w:rFonts w:ascii="Arial" w:eastAsia="Arial" w:hAnsi="Arial" w:cs="Arial"/>
          <w:color w:val="000000"/>
          <w:sz w:val="20"/>
        </w:rPr>
        <w:t xml:space="preserve"> </w:t>
      </w:r>
      <w:bookmarkStart w:id="6773" w:name="Bookmark_LNHNREFclscc2_28"/>
      <w:bookmarkEnd w:id="6773"/>
      <w:r>
        <w:rPr>
          <w:rFonts w:ascii="Arial" w:eastAsia="Arial" w:hAnsi="Arial" w:cs="Arial"/>
          <w:color w:val="000000"/>
          <w:sz w:val="20"/>
        </w:rPr>
        <w:t>We have said that a disparate treatment claim "requires a plaintiff to show that he has actually been treated differently than similarly situated non-handicapped people."</w:t>
      </w:r>
      <w:r>
        <w:rPr>
          <w:rFonts w:ascii="Arial" w:eastAsia="Arial" w:hAnsi="Arial" w:cs="Arial"/>
          <w:vertAlign w:val="superscript"/>
        </w:rPr>
        <w:footnoteReference w:customMarkFollows="1" w:id="287"/>
        <w:t>3</w:t>
      </w:r>
      <w:r>
        <w:rPr>
          <w:rFonts w:ascii="Arial" w:eastAsia="Arial" w:hAnsi="Arial" w:cs="Arial"/>
          <w:color w:val="000000"/>
          <w:sz w:val="20"/>
        </w:rPr>
        <w:t xml:space="preserve"> </w:t>
      </w:r>
      <w:bookmarkStart w:id="6781" w:name="Bookmark_I5YJ7C4528T4XM0020000400"/>
      <w:bookmarkEnd w:id="6781"/>
      <w:r>
        <w:rPr>
          <w:rFonts w:ascii="Arial" w:eastAsia="Arial" w:hAnsi="Arial" w:cs="Arial"/>
          <w:i/>
          <w:color w:val="000000"/>
          <w:sz w:val="20"/>
        </w:rPr>
        <w:t>Schwarz v. City of Treasure Island</w:t>
      </w:r>
      <w:r>
        <w:rPr>
          <w:rFonts w:ascii="Arial" w:eastAsia="Arial" w:hAnsi="Arial" w:cs="Arial"/>
          <w:color w:val="000000"/>
          <w:sz w:val="20"/>
        </w:rPr>
        <w:t xml:space="preserve">, 544 F.3d 1201, 1216-17 (11th Cir. 2008) (affirming summary judgment on an intentional discrimination claim where the owner of halfway houses failed to establish disparate treatment because there was no evidence that the city failed to enforce the statute against non-recovering substance abusers); </w:t>
      </w:r>
      <w:r>
        <w:rPr>
          <w:rFonts w:ascii="Arial" w:eastAsia="Arial" w:hAnsi="Arial" w:cs="Arial"/>
          <w:i/>
          <w:color w:val="000000"/>
          <w:sz w:val="20"/>
        </w:rPr>
        <w:t xml:space="preserve">see also </w:t>
      </w:r>
      <w:bookmarkStart w:id="6782" w:name="Bookmark_I5YJ7C4528T4XM0040000400"/>
      <w:bookmarkEnd w:id="6782"/>
      <w:r>
        <w:rPr>
          <w:rFonts w:ascii="Arial" w:eastAsia="Arial" w:hAnsi="Arial" w:cs="Arial"/>
          <w:i/>
          <w:color w:val="000000"/>
          <w:sz w:val="20"/>
        </w:rPr>
        <w:t>Hunt v. Aimco Props., L.P.</w:t>
      </w:r>
      <w:r>
        <w:rPr>
          <w:rFonts w:ascii="Arial" w:eastAsia="Arial" w:hAnsi="Arial" w:cs="Arial"/>
          <w:color w:val="000000"/>
          <w:sz w:val="20"/>
        </w:rPr>
        <w:t xml:space="preserve">, 814 F.3d 1213, 1224-25 (11th Cir. 2016) (determining that a tenant plausibly alleged disability discrimination based on disparate treatment because the tenant alleged various treatments, conditions, and restrictions placed on her disabled [**9]  child, but not other residents). Disparate treatment may be proved using either direct or circumstantial evidence. </w:t>
      </w:r>
      <w:bookmarkStart w:id="6783" w:name="Bookmark_I5YJ7C462N1R680040000400"/>
      <w:bookmarkEnd w:id="6783"/>
      <w:r>
        <w:rPr>
          <w:rFonts w:ascii="Arial" w:eastAsia="Arial" w:hAnsi="Arial" w:cs="Arial"/>
          <w:i/>
          <w:color w:val="000000"/>
          <w:sz w:val="20"/>
        </w:rPr>
        <w:t xml:space="preserve">See </w:t>
      </w:r>
      <w:bookmarkStart w:id="6784" w:name="Bookmark_I5YJ7C462N1R680010000400"/>
      <w:bookmarkEnd w:id="6784"/>
      <w:r>
        <w:rPr>
          <w:rFonts w:ascii="Arial" w:eastAsia="Arial" w:hAnsi="Arial" w:cs="Arial"/>
          <w:i/>
          <w:color w:val="000000"/>
          <w:sz w:val="20"/>
        </w:rPr>
        <w:t>Vill. of Arlington Heights v. Metro. Hous. Dev. Corp.</w:t>
      </w:r>
      <w:r>
        <w:rPr>
          <w:rFonts w:ascii="Arial" w:eastAsia="Arial" w:hAnsi="Arial" w:cs="Arial"/>
          <w:color w:val="000000"/>
          <w:sz w:val="20"/>
        </w:rPr>
        <w:t xml:space="preserve">, 429 U.S. 252, 266, 97 S. Ct. 555, 50 L. Ed. 2d 450 (1977). </w:t>
      </w:r>
      <w:bookmarkStart w:id="6785" w:name="Bookmark_I5YJ7C462N1R680040000400_2"/>
      <w:bookmarkStart w:id="6786" w:name="Bookmark_I5YJ7C462N1R690010000400"/>
      <w:bookmarkEnd w:id="6785"/>
      <w:bookmarkEnd w:id="6786"/>
      <w:r>
        <w:rPr>
          <w:rFonts w:ascii="Arial" w:eastAsia="Arial" w:hAnsi="Arial" w:cs="Arial"/>
          <w:color w:val="000000"/>
          <w:sz w:val="20"/>
        </w:rPr>
        <w:t xml:space="preserve">When a plaintiff establishes discrimination through direct evidence, our inquiry ends there. </w:t>
      </w:r>
      <w:bookmarkStart w:id="6787" w:name="Bookmark_I5YJ7C462N1R690030000400"/>
      <w:bookmarkEnd w:id="6787"/>
      <w:r>
        <w:rPr>
          <w:rFonts w:ascii="Arial" w:eastAsia="Arial" w:hAnsi="Arial" w:cs="Arial"/>
          <w:i/>
          <w:color w:val="000000"/>
          <w:sz w:val="20"/>
        </w:rPr>
        <w:t xml:space="preserve">See </w:t>
      </w:r>
      <w:bookmarkStart w:id="6788" w:name="Bookmark_I5YJ7C462N1R680030000400"/>
      <w:bookmarkEnd w:id="6788"/>
      <w:r>
        <w:rPr>
          <w:rFonts w:ascii="Arial" w:eastAsia="Arial" w:hAnsi="Arial" w:cs="Arial"/>
          <w:i/>
          <w:color w:val="000000"/>
          <w:sz w:val="20"/>
        </w:rPr>
        <w:t>Massaro v. Mainlands Section 1 &amp; 2 Civic Ass'n</w:t>
      </w:r>
      <w:r>
        <w:rPr>
          <w:rFonts w:ascii="Arial" w:eastAsia="Arial" w:hAnsi="Arial" w:cs="Arial"/>
          <w:color w:val="000000"/>
          <w:sz w:val="20"/>
        </w:rPr>
        <w:t xml:space="preserve">, 3 F.3d 1472, 1476 n.6 (11th Cir. 1993). </w:t>
      </w:r>
      <w:bookmarkStart w:id="6789" w:name="Bookmark_I5YJ7C462N1R690030000400_2"/>
      <w:bookmarkStart w:id="6790" w:name="Bookmark_I5YJ7C462N1R690010000400_2"/>
      <w:bookmarkEnd w:id="6789"/>
      <w:bookmarkEnd w:id="6790"/>
      <w:r>
        <w:rPr>
          <w:rFonts w:ascii="Arial" w:eastAsia="Arial" w:hAnsi="Arial" w:cs="Arial"/>
          <w:color w:val="000000"/>
          <w:sz w:val="20"/>
        </w:rPr>
        <w:t xml:space="preserve">We analyze circumstantial evidence using the burden-shifting framework provided in </w:t>
      </w:r>
      <w:bookmarkStart w:id="6791" w:name="Bookmark_I5YJ7C462N1R680050000400"/>
      <w:bookmarkEnd w:id="6791"/>
      <w:r>
        <w:rPr>
          <w:rFonts w:ascii="Arial" w:eastAsia="Arial" w:hAnsi="Arial" w:cs="Arial"/>
          <w:i/>
          <w:color w:val="000000"/>
          <w:sz w:val="20"/>
        </w:rPr>
        <w:t>McDonnell Douglas Corp. v. Green</w:t>
      </w:r>
      <w:r>
        <w:rPr>
          <w:rFonts w:ascii="Arial" w:eastAsia="Arial" w:hAnsi="Arial" w:cs="Arial"/>
          <w:color w:val="000000"/>
          <w:sz w:val="20"/>
        </w:rPr>
        <w:t xml:space="preserve">, 411 U.S. 792, 802, 93 S. Ct. 1817, 36 L. Ed. 2d 668 (1973), which requires a plaintiff to first make a prima facie case of discrimination. </w:t>
      </w:r>
      <w:r>
        <w:rPr>
          <w:rFonts w:ascii="Arial" w:eastAsia="Arial" w:hAnsi="Arial" w:cs="Arial"/>
          <w:i/>
          <w:color w:val="000000"/>
          <w:sz w:val="20"/>
        </w:rPr>
        <w:t xml:space="preserve">See </w:t>
      </w:r>
      <w:bookmarkStart w:id="6792" w:name="Bookmark_I5YJ7C462N1R690020000400"/>
      <w:bookmarkEnd w:id="6792"/>
      <w:r>
        <w:rPr>
          <w:rFonts w:ascii="Arial" w:eastAsia="Arial" w:hAnsi="Arial" w:cs="Arial"/>
          <w:i/>
          <w:color w:val="000000"/>
          <w:sz w:val="20"/>
        </w:rPr>
        <w:t>Massaro</w:t>
      </w:r>
      <w:r>
        <w:rPr>
          <w:rFonts w:ascii="Arial" w:eastAsia="Arial" w:hAnsi="Arial" w:cs="Arial"/>
          <w:color w:val="000000"/>
          <w:sz w:val="20"/>
        </w:rPr>
        <w:t>, 3 F.3d at 1476 n.6.</w:t>
      </w:r>
    </w:p>
    <w:p w14:paraId="046B0322" w14:textId="77777777" w:rsidR="002B10A6" w:rsidRDefault="00000000">
      <w:pPr>
        <w:pStyle w:val="Normal35"/>
        <w:widowControl w:val="0"/>
        <w:spacing w:before="200" w:line="260" w:lineRule="atLeast"/>
        <w:jc w:val="both"/>
      </w:pPr>
      <w:bookmarkStart w:id="6793" w:name="Bookmark_para_18_24"/>
      <w:bookmarkStart w:id="6794" w:name="Bookmark_I5YJ7C4728T4XR0040000400"/>
      <w:bookmarkEnd w:id="6793"/>
      <w:bookmarkEnd w:id="6794"/>
      <w:r>
        <w:rPr>
          <w:rFonts w:ascii="Arial" w:eastAsia="Arial" w:hAnsi="Arial" w:cs="Arial"/>
          <w:color w:val="000000"/>
          <w:sz w:val="20"/>
        </w:rPr>
        <w:t xml:space="preserve">In its brief, His House asserts that it has presented both direct and circumstantial evidence of disparate treatment sufficient to survive summary judgment. We do not believe that His House has proffered direct evidence of disparate treatment as none of the instances and allegations described in its brief can fairly be described as "evidence, which if believed, proves existence of fact in issue </w:t>
      </w:r>
      <w:r>
        <w:rPr>
          <w:rFonts w:ascii="Arial" w:eastAsia="Arial" w:hAnsi="Arial" w:cs="Arial"/>
          <w:i/>
          <w:color w:val="000000"/>
          <w:sz w:val="20"/>
        </w:rPr>
        <w:t>without inference or presumption</w:t>
      </w:r>
      <w:r>
        <w:rPr>
          <w:rFonts w:ascii="Arial" w:eastAsia="Arial" w:hAnsi="Arial" w:cs="Arial"/>
          <w:color w:val="000000"/>
          <w:sz w:val="20"/>
        </w:rPr>
        <w:t xml:space="preserve">." </w:t>
      </w:r>
      <w:bookmarkStart w:id="6795" w:name="Bookmark_I5YJ7C4728T4XR0030000400"/>
      <w:bookmarkEnd w:id="6795"/>
      <w:r>
        <w:rPr>
          <w:rFonts w:ascii="Arial" w:eastAsia="Arial" w:hAnsi="Arial" w:cs="Arial"/>
          <w:i/>
          <w:color w:val="000000"/>
          <w:sz w:val="20"/>
        </w:rPr>
        <w:t>Rollins v. TechSouth, Inc.</w:t>
      </w:r>
      <w:r>
        <w:rPr>
          <w:rFonts w:ascii="Arial" w:eastAsia="Arial" w:hAnsi="Arial" w:cs="Arial"/>
          <w:color w:val="000000"/>
          <w:sz w:val="20"/>
        </w:rPr>
        <w:t xml:space="preserve">, 833 F.2d 1525, 1529 n.6 (11th Cir. 1987)  [*785]  (alternation accepted). Instead, His House's allegations are more appropriately described as suggesting discrimination and, by definition, are circumstantial evidence. </w:t>
      </w:r>
      <w:r>
        <w:rPr>
          <w:rFonts w:ascii="Arial" w:eastAsia="Arial" w:hAnsi="Arial" w:cs="Arial"/>
          <w:i/>
          <w:color w:val="000000"/>
          <w:sz w:val="20"/>
        </w:rPr>
        <w:t>See id.</w:t>
      </w:r>
    </w:p>
    <w:p w14:paraId="1863EF91" w14:textId="77777777" w:rsidR="002B10A6" w:rsidRDefault="00000000">
      <w:pPr>
        <w:pStyle w:val="Normal35"/>
        <w:widowControl w:val="0"/>
        <w:spacing w:before="200" w:line="260" w:lineRule="atLeast"/>
        <w:jc w:val="both"/>
      </w:pPr>
      <w:bookmarkStart w:id="6796" w:name="Bookmark_para_19_23"/>
      <w:bookmarkEnd w:id="6796"/>
      <w:r>
        <w:rPr>
          <w:rFonts w:ascii="Arial" w:eastAsia="Arial" w:hAnsi="Arial" w:cs="Arial"/>
          <w:color w:val="000000"/>
          <w:sz w:val="20"/>
        </w:rPr>
        <w:t xml:space="preserve">His House specifically argues that the legislative history of the Ordinance, the County's prior actions at Latimer Lane, the County's alleged [**10]  departure from its normal code enforcement efforts, animus from neighbors, and Commissioner Birrell's comments, are all evidence of discrimination. We disagree because His House fails to provide sufficient evidence that the County treated them differently from similarly situated non-disabled citizens. The fact that the Ordinance was amended as a result of a complaint by an advocacy group does not, without more, prove that His House has been treated differently than similarly situated non-recovering people or that there was discriminatory intent behind the amendment. </w:t>
      </w:r>
      <w:bookmarkStart w:id="6797" w:name="Bookmark_I703M5Y2CKP00003M8K00003"/>
      <w:bookmarkStart w:id="6798" w:name="Bookmark_I5YJ7C472N1R6B0010000400"/>
      <w:bookmarkEnd w:id="6797"/>
      <w:bookmarkEnd w:id="6798"/>
      <w:r>
        <w:rPr>
          <w:rFonts w:ascii="Arial" w:eastAsia="Arial" w:hAnsi="Arial" w:cs="Arial"/>
          <w:color w:val="000000"/>
          <w:sz w:val="20"/>
        </w:rPr>
        <w:t xml:space="preserve">That the County previously cited the Latimer Lane residence is unpersuasive evidence for the same reason—His House does not offer evidence that the County unevenly enforced the Ordinance. </w:t>
      </w:r>
      <w:bookmarkStart w:id="6799" w:name="Bookmark_I5YJ7C472N1R6B0030000400"/>
      <w:bookmarkEnd w:id="6799"/>
      <w:r>
        <w:rPr>
          <w:rFonts w:ascii="Arial" w:eastAsia="Arial" w:hAnsi="Arial" w:cs="Arial"/>
          <w:color w:val="000000"/>
          <w:sz w:val="20"/>
        </w:rPr>
        <w:t xml:space="preserve">The record is also bereft of evidence that the County departed from its normal code enforcement procedures when it cited His House's residence at Miller Drive. While the record is clear that some neighbors were opposed to His House's presence on Miller Drive, "evidence that neighbors and city officials are biased against recovering substance abusers is irrelevant absent some indication that the recoverers were treated differently than [**11]  non-recoverers." </w:t>
      </w:r>
      <w:r>
        <w:rPr>
          <w:rFonts w:ascii="Arial" w:eastAsia="Arial" w:hAnsi="Arial" w:cs="Arial"/>
          <w:i/>
          <w:color w:val="000000"/>
          <w:sz w:val="20"/>
        </w:rPr>
        <w:t>See</w:t>
      </w:r>
      <w:r>
        <w:rPr>
          <w:rFonts w:ascii="Arial" w:eastAsia="Arial" w:hAnsi="Arial" w:cs="Arial"/>
          <w:color w:val="000000"/>
          <w:sz w:val="20"/>
        </w:rPr>
        <w:t xml:space="preserve"> </w:t>
      </w:r>
      <w:bookmarkStart w:id="6800" w:name="Bookmark_I5YJ7C4728T4XR0050000400"/>
      <w:bookmarkEnd w:id="6800"/>
      <w:r>
        <w:rPr>
          <w:rFonts w:ascii="Arial" w:eastAsia="Arial" w:hAnsi="Arial" w:cs="Arial"/>
          <w:color w:val="000000"/>
          <w:sz w:val="20"/>
        </w:rPr>
        <w:t xml:space="preserve">Schwarz, 544 F.3d at 1216. </w:t>
      </w:r>
      <w:bookmarkStart w:id="6801" w:name="Bookmark_I5YJ7C472N1R6B0030000400_2"/>
      <w:bookmarkEnd w:id="6801"/>
      <w:r>
        <w:rPr>
          <w:rFonts w:ascii="Arial" w:eastAsia="Arial" w:hAnsi="Arial" w:cs="Arial"/>
          <w:color w:val="000000"/>
          <w:sz w:val="20"/>
        </w:rPr>
        <w:t xml:space="preserve">There is no such evidence here. And regardless, His House still fails to provide evidence that the "members of the [Board] were aware of the motivations of the private citizens" or that, despite these motivations, the Board was not justified in denying the TLUP. </w:t>
      </w:r>
      <w:r>
        <w:rPr>
          <w:rFonts w:ascii="Arial" w:eastAsia="Arial" w:hAnsi="Arial" w:cs="Arial"/>
          <w:i/>
          <w:color w:val="000000"/>
          <w:sz w:val="20"/>
        </w:rPr>
        <w:t xml:space="preserve">See </w:t>
      </w:r>
      <w:bookmarkStart w:id="6802" w:name="Bookmark_I5YJ7C472N1R6B0020000400"/>
      <w:bookmarkEnd w:id="6802"/>
      <w:r>
        <w:rPr>
          <w:rFonts w:ascii="Arial" w:eastAsia="Arial" w:hAnsi="Arial" w:cs="Arial"/>
          <w:i/>
          <w:color w:val="000000"/>
          <w:sz w:val="20"/>
        </w:rPr>
        <w:t>Hallmark</w:t>
      </w:r>
      <w:r>
        <w:rPr>
          <w:rFonts w:ascii="Arial" w:eastAsia="Arial" w:hAnsi="Arial" w:cs="Arial"/>
          <w:color w:val="000000"/>
          <w:sz w:val="20"/>
        </w:rPr>
        <w:t>, 466 F.3d at 1284. As for Commissioner Birrell's comments, while we understand why His House might view them as unfair and unwarranted, those comments do not clearly evidence discriminatory intent. Therefore, the district court did not err in granting summary judgment on the disparate treatment claim.</w:t>
      </w:r>
    </w:p>
    <w:p w14:paraId="4CEA5AB4" w14:textId="77777777" w:rsidR="002B10A6" w:rsidRDefault="00000000">
      <w:pPr>
        <w:pStyle w:val="Normal35"/>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55A67ABD" w14:textId="77777777" w:rsidR="002B10A6" w:rsidRDefault="00000000">
      <w:pPr>
        <w:pStyle w:val="Normal35"/>
        <w:widowControl w:val="0"/>
        <w:spacing w:before="200" w:line="260" w:lineRule="atLeast"/>
        <w:jc w:val="both"/>
      </w:pPr>
      <w:bookmarkStart w:id="6803" w:name="Bookmark_para_20_23"/>
      <w:bookmarkEnd w:id="6803"/>
      <w:r>
        <w:rPr>
          <w:rFonts w:ascii="Arial" w:eastAsia="Arial" w:hAnsi="Arial" w:cs="Arial"/>
          <w:color w:val="000000"/>
          <w:sz w:val="20"/>
        </w:rPr>
        <w:t>His House further argues that the Ordinance is facially discriminatory. According to His House, the Ordinance discriminates because it (1) limits group homes to four or fewer residents; (2) demands that group homes have an in-resident caregiver who is available on a 24-hour basis; (3) requires "active enforcement of the [GARR] rules"; (4) prescribes "periodic inspections by County enforcement staff; and (5) prohibits persons on parole or probation who are also in recovery from residing in a group home. The effect of these criteria, His House suggests, is to single out disabled individuals and "limit[] recovering individuals' [**12]  ability to obtain and maintain housing."</w:t>
      </w:r>
    </w:p>
    <w:p w14:paraId="6EBF8C35" w14:textId="77777777" w:rsidR="002B10A6" w:rsidRDefault="00000000">
      <w:pPr>
        <w:pStyle w:val="Normal35"/>
        <w:widowControl w:val="0"/>
        <w:spacing w:before="200" w:line="260" w:lineRule="atLeast"/>
        <w:jc w:val="both"/>
      </w:pPr>
      <w:bookmarkStart w:id="6804" w:name="Bookmark_para_21_23"/>
      <w:bookmarkEnd w:id="6804"/>
      <w:r>
        <w:rPr>
          <w:rFonts w:ascii="Arial" w:eastAsia="Arial" w:hAnsi="Arial" w:cs="Arial"/>
          <w:color w:val="000000"/>
          <w:sz w:val="20"/>
        </w:rPr>
        <w:t>We disagree. For this claim to have survived summary judgment, the Ordinance, on its face, would need to discriminate against people with disabilities. But the Ordinance, does not, on its face, treat recovering individuals any differently than non-recovering individuals. None of the Ordinance's provisions distinguish based on the presence of disability. The limitation on the number of residents applies to all group homes, as do the requirement that group homes have a resident caregiver, the provision allowing review of the schedule of activities by periodic inspections, and the prohibition against persons on parole or on probation. And we reject His House's remaining contention that the Ordinance requires "active enforcement"  [*786]  of the GARR rules by recovery group homes, because the Ordinance only requires such enforcement "</w:t>
      </w:r>
      <w:r>
        <w:rPr>
          <w:rFonts w:ascii="Arial" w:eastAsia="Arial" w:hAnsi="Arial" w:cs="Arial"/>
          <w:i/>
          <w:color w:val="000000"/>
          <w:sz w:val="20"/>
        </w:rPr>
        <w:t>if applicable</w:t>
      </w:r>
      <w:r>
        <w:rPr>
          <w:rFonts w:ascii="Arial" w:eastAsia="Arial" w:hAnsi="Arial" w:cs="Arial"/>
          <w:color w:val="000000"/>
          <w:sz w:val="20"/>
        </w:rPr>
        <w:t>." Therefore, the Ordinance is facially neutral.</w:t>
      </w:r>
    </w:p>
    <w:p w14:paraId="4572CE81" w14:textId="77777777" w:rsidR="002B10A6" w:rsidRDefault="00000000">
      <w:pPr>
        <w:pStyle w:val="Normal35"/>
        <w:widowControl w:val="0"/>
        <w:spacing w:before="120" w:line="260" w:lineRule="atLeast"/>
      </w:pPr>
      <w:r>
        <w:rPr>
          <w:rFonts w:ascii="Arial" w:eastAsia="Arial" w:hAnsi="Arial" w:cs="Arial"/>
          <w:color w:val="000000"/>
          <w:sz w:val="20"/>
        </w:rPr>
        <w:t>* * *</w:t>
      </w:r>
    </w:p>
    <w:p w14:paraId="60691170" w14:textId="77777777" w:rsidR="002B10A6" w:rsidRDefault="00000000">
      <w:pPr>
        <w:pStyle w:val="Normal35"/>
        <w:widowControl w:val="0"/>
        <w:spacing w:before="200" w:line="260" w:lineRule="atLeast"/>
        <w:jc w:val="both"/>
      </w:pPr>
      <w:bookmarkStart w:id="6805" w:name="Bookmark_para_22_22"/>
      <w:bookmarkEnd w:id="6805"/>
      <w:r>
        <w:rPr>
          <w:rFonts w:ascii="Arial" w:eastAsia="Arial" w:hAnsi="Arial" w:cs="Arial"/>
          <w:color w:val="000000"/>
          <w:sz w:val="20"/>
        </w:rPr>
        <w:t xml:space="preserve">In sum, the district court did not err because His House has not presented either direct or circumstantial evidence of disparate treatment and the County's ordinance is facially neutral. The judgement of the district court is therefore </w:t>
      </w:r>
      <w:r>
        <w:rPr>
          <w:rFonts w:ascii="Arial" w:eastAsia="Arial" w:hAnsi="Arial" w:cs="Arial"/>
          <w:b/>
          <w:color w:val="000000"/>
          <w:sz w:val="20"/>
        </w:rPr>
        <w:t>AFFIRMED</w:t>
      </w:r>
      <w:r>
        <w:rPr>
          <w:rFonts w:ascii="Arial" w:eastAsia="Arial" w:hAnsi="Arial" w:cs="Arial"/>
          <w:color w:val="000000"/>
          <w:sz w:val="20"/>
        </w:rPr>
        <w:t>.</w:t>
      </w:r>
    </w:p>
    <w:p w14:paraId="39CEE914" w14:textId="77777777" w:rsidR="002B10A6" w:rsidRDefault="002B10A6">
      <w:pPr>
        <w:pStyle w:val="Normal35"/>
      </w:pPr>
    </w:p>
    <w:p w14:paraId="51D0739D" w14:textId="543FEDAA" w:rsidR="002B10A6" w:rsidRDefault="00000000">
      <w:pPr>
        <w:pStyle w:val="Normal35"/>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37088" behindDoc="0" locked="0" layoutInCell="1" allowOverlap="1" wp14:anchorId="05222569" wp14:editId="48EA0147">
                <wp:simplePos x="0" y="0"/>
                <wp:positionH relativeFrom="column">
                  <wp:posOffset>0</wp:posOffset>
                </wp:positionH>
                <wp:positionV relativeFrom="paragraph">
                  <wp:posOffset>127000</wp:posOffset>
                </wp:positionV>
                <wp:extent cx="6502400" cy="0"/>
                <wp:effectExtent l="9525" t="12700" r="12700" b="6350"/>
                <wp:wrapNone/>
                <wp:docPr id="1267660719"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35FCB" id="Line 78"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4F03596" w14:textId="77777777" w:rsidR="002B10A6" w:rsidRDefault="002B10A6">
      <w:pPr>
        <w:pStyle w:val="Normal36"/>
        <w:sectPr w:rsidR="002B10A6">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gutter="0"/>
          <w:cols w:space="720"/>
          <w:titlePg/>
        </w:sectPr>
      </w:pPr>
    </w:p>
    <w:p w14:paraId="4E449661" w14:textId="77777777" w:rsidR="002B10A6" w:rsidRDefault="002B10A6">
      <w:pPr>
        <w:pStyle w:val="Normal36"/>
      </w:pPr>
    </w:p>
    <w:p w14:paraId="3849EDBE" w14:textId="77777777" w:rsidR="002B10A6" w:rsidRDefault="00000000">
      <w:pPr>
        <w:pStyle w:val="Heading135"/>
        <w:keepNext w:val="0"/>
        <w:widowControl w:val="0"/>
        <w:spacing w:after="200" w:line="340" w:lineRule="atLeast"/>
        <w:jc w:val="center"/>
      </w:pPr>
      <w:r>
        <w:rPr>
          <w:rFonts w:eastAsia="Arial"/>
          <w:color w:val="000000"/>
          <w:sz w:val="28"/>
        </w:rPr>
        <w:t>Block v. Tex. Bd. of Law Examiners</w:t>
      </w:r>
    </w:p>
    <w:p w14:paraId="07325816" w14:textId="77777777" w:rsidR="002B10A6" w:rsidRDefault="00000000">
      <w:pPr>
        <w:pStyle w:val="Normal36"/>
        <w:widowControl w:val="0"/>
        <w:spacing w:before="120" w:line="260" w:lineRule="atLeast"/>
        <w:jc w:val="center"/>
      </w:pPr>
      <w:r>
        <w:rPr>
          <w:rFonts w:ascii="Arial" w:eastAsia="Arial" w:hAnsi="Arial" w:cs="Arial"/>
          <w:color w:val="000000"/>
          <w:sz w:val="20"/>
        </w:rPr>
        <w:t>United States Court of Appeals for the Fifth Circuit</w:t>
      </w:r>
    </w:p>
    <w:p w14:paraId="3169F11A" w14:textId="77777777" w:rsidR="002B10A6" w:rsidRDefault="00000000">
      <w:pPr>
        <w:pStyle w:val="Normal36"/>
        <w:widowControl w:val="0"/>
        <w:spacing w:before="120" w:line="260" w:lineRule="atLeast"/>
        <w:jc w:val="center"/>
      </w:pPr>
      <w:r>
        <w:rPr>
          <w:rFonts w:ascii="Arial" w:eastAsia="Arial" w:hAnsi="Arial" w:cs="Arial"/>
          <w:color w:val="000000"/>
          <w:sz w:val="20"/>
        </w:rPr>
        <w:t>March 10, 2020, Filed</w:t>
      </w:r>
    </w:p>
    <w:p w14:paraId="48533342" w14:textId="77777777" w:rsidR="002B10A6" w:rsidRDefault="00000000">
      <w:pPr>
        <w:pStyle w:val="Normal36"/>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19-50286</w:t>
      </w:r>
    </w:p>
    <w:p w14:paraId="3AE24963" w14:textId="77777777" w:rsidR="002B10A6" w:rsidRDefault="002B10A6">
      <w:pPr>
        <w:pStyle w:val="Normal36"/>
        <w:widowControl w:val="0"/>
        <w:spacing w:line="240" w:lineRule="atLeast"/>
        <w:jc w:val="both"/>
      </w:pPr>
      <w:bookmarkStart w:id="6806" w:name="Bookmark_37"/>
      <w:bookmarkEnd w:id="6806"/>
    </w:p>
    <w:p w14:paraId="16262FB6" w14:textId="77777777" w:rsidR="002B10A6" w:rsidRDefault="00000000">
      <w:pPr>
        <w:pStyle w:val="Normal36"/>
        <w:widowControl w:val="0"/>
        <w:spacing w:before="200" w:line="240" w:lineRule="atLeast"/>
      </w:pPr>
      <w:bookmarkStart w:id="6807" w:name="Reporter_35"/>
      <w:bookmarkEnd w:id="6807"/>
      <w:r>
        <w:rPr>
          <w:rFonts w:ascii="Arial" w:eastAsia="Arial" w:hAnsi="Arial" w:cs="Arial"/>
          <w:b/>
          <w:color w:val="000000"/>
          <w:sz w:val="18"/>
        </w:rPr>
        <w:t>Reporter</w:t>
      </w:r>
    </w:p>
    <w:p w14:paraId="52011D4D" w14:textId="77777777" w:rsidR="002B10A6" w:rsidRDefault="00000000">
      <w:pPr>
        <w:pStyle w:val="Normal36"/>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952 F.3d 613 *; 2020 U.S. App. LEXIS 7465 **; 2020 WL 1149547</w:t>
      </w:r>
    </w:p>
    <w:p w14:paraId="0FCDF80E" w14:textId="77777777" w:rsidR="002B10A6" w:rsidRDefault="00000000">
      <w:pPr>
        <w:pStyle w:val="Normal36"/>
        <w:widowControl w:val="0"/>
        <w:spacing w:before="120" w:line="260" w:lineRule="atLeast"/>
      </w:pPr>
      <w:r>
        <w:rPr>
          <w:rFonts w:ascii="Arial" w:eastAsia="Arial" w:hAnsi="Arial" w:cs="Arial"/>
          <w:color w:val="000000"/>
          <w:sz w:val="20"/>
        </w:rPr>
        <w:t>ALBERT W. BLOCK, JR., Plaintiff - Appellant v. TEXAS BOARD OF LAW EXAMINERS, Defendant - Appellee</w:t>
      </w:r>
    </w:p>
    <w:p w14:paraId="6BB1E5D5" w14:textId="77777777" w:rsidR="002B10A6" w:rsidRDefault="00000000">
      <w:pPr>
        <w:pStyle w:val="Normal36"/>
        <w:widowControl w:val="0"/>
        <w:spacing w:before="240" w:line="260" w:lineRule="atLeast"/>
        <w:jc w:val="both"/>
      </w:pPr>
      <w:bookmarkStart w:id="6808" w:name="Prior_History_35"/>
      <w:bookmarkEnd w:id="6808"/>
      <w:r>
        <w:rPr>
          <w:rFonts w:ascii="Arial" w:eastAsia="Arial" w:hAnsi="Arial" w:cs="Arial"/>
          <w:b/>
          <w:color w:val="000000"/>
          <w:sz w:val="20"/>
        </w:rPr>
        <w:t>Prior History:</w:t>
      </w:r>
      <w:r>
        <w:rPr>
          <w:rFonts w:ascii="Arial" w:eastAsia="Arial" w:hAnsi="Arial" w:cs="Arial"/>
          <w:color w:val="000000"/>
          <w:sz w:val="20"/>
        </w:rPr>
        <w:t> </w:t>
      </w:r>
      <w:bookmarkStart w:id="6809" w:name="Bookmark_para_1_35"/>
      <w:bookmarkEnd w:id="6809"/>
      <w:r>
        <w:rPr>
          <w:rFonts w:ascii="Arial" w:eastAsia="Arial" w:hAnsi="Arial" w:cs="Arial"/>
          <w:color w:val="000000"/>
          <w:sz w:val="20"/>
        </w:rPr>
        <w:t> [**1] Appeals from the United States District Court for the Western District of Texas.</w:t>
      </w:r>
    </w:p>
    <w:p w14:paraId="22CB17CA" w14:textId="77777777" w:rsidR="002B10A6" w:rsidRDefault="00000000">
      <w:pPr>
        <w:pStyle w:val="Normal36"/>
        <w:widowControl w:val="0"/>
        <w:spacing w:before="120" w:line="260" w:lineRule="atLeast"/>
      </w:pPr>
      <w:r>
        <w:rPr>
          <w:rFonts w:ascii="Arial" w:eastAsia="Arial" w:hAnsi="Arial" w:cs="Arial"/>
          <w:color w:val="000000"/>
          <w:sz w:val="20"/>
        </w:rPr>
        <w:t>Block v. Tex. Bd. of Law Examiners, 2019 U.S. Dist. LEXIS 16942 (W.D. Tex., Feb. 1, 2019)</w:t>
      </w:r>
    </w:p>
    <w:p w14:paraId="645C5A27" w14:textId="77777777" w:rsidR="002B10A6" w:rsidRDefault="00000000">
      <w:pPr>
        <w:pStyle w:val="Normal36"/>
        <w:widowControl w:val="0"/>
        <w:spacing w:before="240" w:line="260" w:lineRule="atLeast"/>
      </w:pPr>
      <w:bookmarkStart w:id="6810" w:name="Counsel_34"/>
      <w:bookmarkEnd w:id="6810"/>
      <w:r>
        <w:rPr>
          <w:rFonts w:ascii="Arial" w:eastAsia="Arial" w:hAnsi="Arial" w:cs="Arial"/>
          <w:b/>
          <w:color w:val="000000"/>
          <w:sz w:val="20"/>
        </w:rPr>
        <w:t>Counsel:</w:t>
      </w:r>
      <w:r>
        <w:rPr>
          <w:rFonts w:ascii="Arial" w:eastAsia="Arial" w:hAnsi="Arial" w:cs="Arial"/>
          <w:color w:val="000000"/>
          <w:sz w:val="20"/>
        </w:rPr>
        <w:t> ALBERT W. BLOCK, JR., Plaintiff - Appellant, Pro se, Round Rock, TX.</w:t>
      </w:r>
    </w:p>
    <w:p w14:paraId="45FB65BB" w14:textId="77777777" w:rsidR="002B10A6" w:rsidRDefault="00000000">
      <w:pPr>
        <w:pStyle w:val="Normal36"/>
        <w:widowControl w:val="0"/>
        <w:spacing w:before="120" w:line="260" w:lineRule="atLeast"/>
      </w:pPr>
      <w:r>
        <w:rPr>
          <w:rFonts w:ascii="Arial" w:eastAsia="Arial" w:hAnsi="Arial" w:cs="Arial"/>
          <w:color w:val="000000"/>
          <w:sz w:val="20"/>
        </w:rPr>
        <w:t>For TEXAS BOARD OF LAW EXAMINERS, Defendant - Appellee: Summer Rayne Lee, Assistant Attorney General, Office of the Attorney General, General Litigation Division, Austin, TX.</w:t>
      </w:r>
    </w:p>
    <w:p w14:paraId="587A8F6C" w14:textId="77777777" w:rsidR="002B10A6" w:rsidRDefault="00000000">
      <w:pPr>
        <w:pStyle w:val="Normal36"/>
        <w:widowControl w:val="0"/>
        <w:spacing w:before="240" w:line="260" w:lineRule="atLeast"/>
      </w:pPr>
      <w:bookmarkStart w:id="6811" w:name="Judges_35"/>
      <w:bookmarkEnd w:id="6811"/>
      <w:r>
        <w:rPr>
          <w:rFonts w:ascii="Arial" w:eastAsia="Arial" w:hAnsi="Arial" w:cs="Arial"/>
          <w:b/>
          <w:color w:val="000000"/>
          <w:sz w:val="20"/>
        </w:rPr>
        <w:t>Judges:</w:t>
      </w:r>
      <w:r>
        <w:rPr>
          <w:rFonts w:ascii="Arial" w:eastAsia="Arial" w:hAnsi="Arial" w:cs="Arial"/>
          <w:color w:val="000000"/>
          <w:sz w:val="20"/>
        </w:rPr>
        <w:t> Before DAVIS, SMITH, and STEWART, Circuit Judges.</w:t>
      </w:r>
    </w:p>
    <w:p w14:paraId="70DD0FED" w14:textId="77777777" w:rsidR="002B10A6" w:rsidRDefault="00000000">
      <w:pPr>
        <w:pStyle w:val="Normal36"/>
        <w:widowControl w:val="0"/>
        <w:spacing w:before="240" w:line="260" w:lineRule="atLeast"/>
      </w:pPr>
      <w:bookmarkStart w:id="6812" w:name="Opinion_by_24"/>
      <w:bookmarkEnd w:id="6812"/>
      <w:r>
        <w:rPr>
          <w:rFonts w:ascii="Arial" w:eastAsia="Arial" w:hAnsi="Arial" w:cs="Arial"/>
          <w:b/>
          <w:color w:val="000000"/>
          <w:sz w:val="20"/>
        </w:rPr>
        <w:t>Opinion by:</w:t>
      </w:r>
      <w:r>
        <w:rPr>
          <w:rFonts w:ascii="Arial" w:eastAsia="Arial" w:hAnsi="Arial" w:cs="Arial"/>
          <w:color w:val="000000"/>
          <w:sz w:val="20"/>
        </w:rPr>
        <w:t> W. EUGENE DAVIS</w:t>
      </w:r>
    </w:p>
    <w:p w14:paraId="6BB8F44D" w14:textId="77777777" w:rsidR="002B10A6" w:rsidRDefault="00000000">
      <w:pPr>
        <w:pStyle w:val="Normal36"/>
        <w:keepNext/>
        <w:widowControl w:val="0"/>
        <w:spacing w:before="240" w:line="340" w:lineRule="atLeast"/>
      </w:pPr>
      <w:bookmarkStart w:id="6813" w:name="Opinion_35"/>
      <w:bookmarkEnd w:id="6813"/>
      <w:r>
        <w:rPr>
          <w:rFonts w:ascii="Arial" w:eastAsia="Arial" w:hAnsi="Arial" w:cs="Arial"/>
          <w:b/>
          <w:color w:val="000000"/>
          <w:sz w:val="28"/>
        </w:rPr>
        <w:t>Opinion</w:t>
      </w:r>
    </w:p>
    <w:p w14:paraId="31811BE5" w14:textId="2D7B3F85" w:rsidR="002B10A6" w:rsidRDefault="002D6974">
      <w:pPr>
        <w:pStyle w:val="Normal36"/>
        <w:spacing w:line="60" w:lineRule="exact"/>
      </w:pPr>
      <w:r>
        <w:rPr>
          <w:noProof/>
        </w:rPr>
        <mc:AlternateContent>
          <mc:Choice Requires="wps">
            <w:drawing>
              <wp:anchor distT="0" distB="0" distL="114300" distR="114300" simplePos="0" relativeHeight="251738112" behindDoc="0" locked="0" layoutInCell="1" allowOverlap="1" wp14:anchorId="0A01E1BF" wp14:editId="1BCD4921">
                <wp:simplePos x="0" y="0"/>
                <wp:positionH relativeFrom="column">
                  <wp:posOffset>0</wp:posOffset>
                </wp:positionH>
                <wp:positionV relativeFrom="paragraph">
                  <wp:posOffset>25400</wp:posOffset>
                </wp:positionV>
                <wp:extent cx="3187700" cy="0"/>
                <wp:effectExtent l="19050" t="15875" r="12700" b="12700"/>
                <wp:wrapTopAndBottom/>
                <wp:docPr id="1352925671"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94558" id="Line 79"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4117E5A6" w14:textId="77777777" w:rsidR="002B10A6" w:rsidRDefault="002B10A6">
      <w:pPr>
        <w:pStyle w:val="Normal36"/>
      </w:pPr>
    </w:p>
    <w:p w14:paraId="4CD1F9C1" w14:textId="77777777" w:rsidR="002B10A6" w:rsidRDefault="00000000">
      <w:pPr>
        <w:pStyle w:val="Normal36"/>
        <w:widowControl w:val="0"/>
        <w:spacing w:before="200" w:line="260" w:lineRule="atLeast"/>
        <w:jc w:val="both"/>
      </w:pPr>
      <w:bookmarkStart w:id="6814" w:name="Bookmark_para_2_35"/>
      <w:bookmarkEnd w:id="6814"/>
      <w:r>
        <w:rPr>
          <w:rFonts w:ascii="Arial" w:eastAsia="Arial" w:hAnsi="Arial" w:cs="Arial"/>
          <w:color w:val="000000"/>
          <w:sz w:val="20"/>
        </w:rPr>
        <w:t> [*615]  W. EUGENE DAVIS, Circuit Judge:</w:t>
      </w:r>
    </w:p>
    <w:p w14:paraId="2E6742E5" w14:textId="77777777" w:rsidR="002B10A6" w:rsidRDefault="00000000">
      <w:pPr>
        <w:pStyle w:val="Normal36"/>
        <w:widowControl w:val="0"/>
        <w:spacing w:before="200" w:line="260" w:lineRule="atLeast"/>
        <w:jc w:val="both"/>
      </w:pPr>
      <w:bookmarkStart w:id="6815" w:name="Bookmark_para_3_35"/>
      <w:bookmarkEnd w:id="6815"/>
      <w:r>
        <w:rPr>
          <w:rFonts w:ascii="Arial" w:eastAsia="Arial" w:hAnsi="Arial" w:cs="Arial"/>
          <w:color w:val="000000"/>
          <w:sz w:val="20"/>
        </w:rPr>
        <w:t>Out-of-state lawyers can be admitted to the State Bar of Texas without taking the Texas bar exam if, among other things, they have actively practiced law for at least five of the last seven years. Albert Block, Jr., a licensed Louisiana lawyer, sued the Texas Board of Law Examiners  [*616]  for its refusal to waive that requirement to accommodate his disability. Block appeals the district court's dismissal of his claims as barred by sovereign immunity.</w:t>
      </w:r>
    </w:p>
    <w:p w14:paraId="4A7E269B" w14:textId="77777777" w:rsidR="002B10A6" w:rsidRDefault="00000000">
      <w:pPr>
        <w:pStyle w:val="Normal36"/>
        <w:widowControl w:val="0"/>
        <w:spacing w:before="200" w:line="260" w:lineRule="atLeast"/>
        <w:jc w:val="both"/>
      </w:pPr>
      <w:bookmarkStart w:id="6816" w:name="Bookmark_para_4_35"/>
      <w:bookmarkStart w:id="6817" w:name="Bookmark_I2B526DKC9K0000P4SD0000J"/>
      <w:bookmarkStart w:id="6818" w:name="Bookmark_I5YDCW6T2D6ND40020000400"/>
      <w:bookmarkEnd w:id="6816"/>
      <w:bookmarkEnd w:id="6817"/>
      <w:bookmarkEnd w:id="6818"/>
      <w:r>
        <w:rPr>
          <w:rFonts w:ascii="Arial" w:eastAsia="Arial" w:hAnsi="Arial" w:cs="Arial"/>
          <w:color w:val="000000"/>
          <w:sz w:val="20"/>
        </w:rPr>
        <w:t xml:space="preserve">The district court held "that the accommodation obligation imposed by Title II" of the Americans with Disabilities Act ("ADA")—at least "as it relates to non-fundamental rights"—"exceeds that imposed by the Constitution and is not a valid abrogation of state sovereign immunity." But because Block did not allege any conduct that violates [**2]  Title II, we AFFIRM the dismissal of his claims under the first prong of </w:t>
      </w:r>
      <w:bookmarkStart w:id="6819" w:name="Bookmark_I5YDCW6T2D6ND40010000400"/>
      <w:bookmarkEnd w:id="6819"/>
      <w:r>
        <w:rPr>
          <w:rFonts w:ascii="Arial" w:eastAsia="Arial" w:hAnsi="Arial" w:cs="Arial"/>
          <w:i/>
          <w:color w:val="000000"/>
          <w:sz w:val="20"/>
        </w:rPr>
        <w:t>United States v. Georgia</w:t>
      </w:r>
      <w:r>
        <w:rPr>
          <w:rFonts w:ascii="Arial" w:eastAsia="Arial" w:hAnsi="Arial" w:cs="Arial"/>
          <w:color w:val="000000"/>
          <w:sz w:val="20"/>
        </w:rPr>
        <w:t xml:space="preserve">, and do not reach the issue relied on by the district court. However, because Block's claims should have been dismissed </w:t>
      </w:r>
      <w:r>
        <w:rPr>
          <w:rFonts w:ascii="Arial" w:eastAsia="Arial" w:hAnsi="Arial" w:cs="Arial"/>
          <w:i/>
          <w:color w:val="000000"/>
          <w:sz w:val="20"/>
        </w:rPr>
        <w:t>without</w:t>
      </w:r>
      <w:r>
        <w:rPr>
          <w:rFonts w:ascii="Arial" w:eastAsia="Arial" w:hAnsi="Arial" w:cs="Arial"/>
          <w:color w:val="000000"/>
          <w:sz w:val="20"/>
        </w:rPr>
        <w:t xml:space="preserve"> prejudice, we modify the district court's judgment from a dismissal with prejudice to a dismissal without prejudice.</w:t>
      </w:r>
    </w:p>
    <w:p w14:paraId="649BD2DC" w14:textId="77777777" w:rsidR="002B10A6" w:rsidRDefault="00000000">
      <w:pPr>
        <w:pStyle w:val="Normal36"/>
        <w:widowControl w:val="0"/>
        <w:spacing w:before="240" w:line="260" w:lineRule="atLeast"/>
      </w:pPr>
      <w:r>
        <w:br/>
      </w:r>
      <w:r>
        <w:rPr>
          <w:rFonts w:ascii="Arial" w:eastAsia="Arial" w:hAnsi="Arial" w:cs="Arial"/>
          <w:b/>
          <w:color w:val="000000"/>
          <w:sz w:val="20"/>
        </w:rPr>
        <w:t>I. Background</w:t>
      </w:r>
    </w:p>
    <w:p w14:paraId="48F537DC" w14:textId="77777777" w:rsidR="002B10A6" w:rsidRDefault="00000000">
      <w:pPr>
        <w:pStyle w:val="Normal36"/>
        <w:widowControl w:val="0"/>
        <w:spacing w:before="200" w:line="260" w:lineRule="atLeast"/>
        <w:jc w:val="both"/>
      </w:pPr>
      <w:bookmarkStart w:id="6820" w:name="Bookmark_para_5_35"/>
      <w:bookmarkEnd w:id="6820"/>
      <w:r>
        <w:rPr>
          <w:rFonts w:ascii="Arial" w:eastAsia="Arial" w:hAnsi="Arial" w:cs="Arial"/>
          <w:color w:val="000000"/>
          <w:sz w:val="20"/>
        </w:rPr>
        <w:t>Albert Block, Jr. practiced law in Louisiana from 1977 until 2004, when his disability</w:t>
      </w:r>
      <w:r>
        <w:rPr>
          <w:rFonts w:ascii="Arial" w:eastAsia="Arial" w:hAnsi="Arial" w:cs="Arial"/>
          <w:vertAlign w:val="superscript"/>
        </w:rPr>
        <w:footnoteReference w:customMarkFollows="1" w:id="288"/>
        <w:t>1</w:t>
      </w:r>
      <w:r>
        <w:rPr>
          <w:rFonts w:ascii="Arial" w:eastAsia="Arial" w:hAnsi="Arial" w:cs="Arial"/>
          <w:color w:val="000000"/>
          <w:sz w:val="20"/>
        </w:rPr>
        <w:t xml:space="preserve"> forced him to stop. Over ten years later, Block sought admission to the State Bar of Texas. Licensed lawyers can be admitted without taking the Texas bar exam if they (1) have actively practiced law for at least five of the last seven years (the "active practice requirement"); (2) have a J.D. from an approved law school; and (3) have not previously failed the Texas bar exam. Block decided to sit for the bar exam because, he says, he was told there would be no waiver of the active practice requirement for a disabled applicant.</w:t>
      </w:r>
    </w:p>
    <w:p w14:paraId="026CC905" w14:textId="77777777" w:rsidR="002B10A6" w:rsidRDefault="00000000">
      <w:pPr>
        <w:pStyle w:val="Normal36"/>
        <w:widowControl w:val="0"/>
        <w:spacing w:before="200" w:line="260" w:lineRule="atLeast"/>
        <w:jc w:val="both"/>
      </w:pPr>
      <w:bookmarkStart w:id="6822" w:name="Bookmark_para_6_35"/>
      <w:bookmarkEnd w:id="6822"/>
      <w:r>
        <w:rPr>
          <w:rFonts w:ascii="Arial" w:eastAsia="Arial" w:hAnsi="Arial" w:cs="Arial"/>
          <w:color w:val="000000"/>
          <w:sz w:val="20"/>
        </w:rPr>
        <w:t>Block failed the Texas bar exam in July 2015 and again in February 2016. Then, in May 2017, Block applied for admission without examination to the Texas bar, explaining that his disability prevented him from satisfying the active [**3]  practice requirement. Because Block "recently failed the bar exam twice" and "ha[d] not practiced law since 2004," the Texas Board of Law Examiners ("TBLE") denied his application.</w:t>
      </w:r>
    </w:p>
    <w:p w14:paraId="22686CFB" w14:textId="77777777" w:rsidR="002B10A6" w:rsidRDefault="00000000">
      <w:pPr>
        <w:pStyle w:val="Normal36"/>
        <w:widowControl w:val="0"/>
        <w:spacing w:before="200" w:line="260" w:lineRule="atLeast"/>
        <w:jc w:val="both"/>
      </w:pPr>
      <w:bookmarkStart w:id="6823" w:name="Bookmark_para_7_35"/>
      <w:bookmarkEnd w:id="6823"/>
      <w:r>
        <w:rPr>
          <w:rFonts w:ascii="Arial" w:eastAsia="Arial" w:hAnsi="Arial" w:cs="Arial"/>
          <w:color w:val="000000"/>
          <w:sz w:val="20"/>
        </w:rPr>
        <w:t>Block sued TBLE, alleging that the active practice requirement—and TBLE's refusal to waive it for him—violate the Americans with Disabilities Act ("ADA"), the Rehabilitation Act, and the Equal Protection Clause. He also alleged that TBLE retaliated against him for requesting the waiver by filing a complaint against him for the unauthorized practice of law.</w:t>
      </w:r>
    </w:p>
    <w:p w14:paraId="1B299A73" w14:textId="77777777" w:rsidR="002B10A6" w:rsidRDefault="00000000">
      <w:pPr>
        <w:pStyle w:val="Normal36"/>
        <w:widowControl w:val="0"/>
        <w:spacing w:before="200" w:line="260" w:lineRule="atLeast"/>
        <w:jc w:val="both"/>
      </w:pPr>
      <w:bookmarkStart w:id="6824" w:name="Bookmark_para_8_35"/>
      <w:bookmarkEnd w:id="6824"/>
      <w:r>
        <w:rPr>
          <w:rFonts w:ascii="Arial" w:eastAsia="Arial" w:hAnsi="Arial" w:cs="Arial"/>
          <w:color w:val="000000"/>
          <w:sz w:val="20"/>
        </w:rPr>
        <w:t xml:space="preserve">TBLE moved to dismiss Block's complaint under Rules 12(b)(1) and (6). The district court adopted the magistrate judge's report and recommendation and dismissed Block's claims. Specifically, the court found that (1) Title II of the ADA does not validly abrogate states' sovereign immunity "as it relates to non-fundamental rights"; (2) Block did not plead that TBLE waived its immunity under the Rehabilitation Act by accepting federal funds; and (3) the </w:t>
      </w:r>
      <w:r>
        <w:rPr>
          <w:rFonts w:ascii="Arial" w:eastAsia="Arial" w:hAnsi="Arial" w:cs="Arial"/>
          <w:i/>
          <w:color w:val="000000"/>
          <w:sz w:val="20"/>
        </w:rPr>
        <w:t>Ex parte Young</w:t>
      </w:r>
      <w:r>
        <w:rPr>
          <w:rFonts w:ascii="Arial" w:eastAsia="Arial" w:hAnsi="Arial" w:cs="Arial"/>
          <w:color w:val="000000"/>
          <w:sz w:val="20"/>
        </w:rPr>
        <w:t xml:space="preserve"> exception did not apply to Block's Fourteenth Amendment claims.</w:t>
      </w:r>
    </w:p>
    <w:p w14:paraId="26170046" w14:textId="77777777" w:rsidR="002B10A6" w:rsidRDefault="00000000">
      <w:pPr>
        <w:pStyle w:val="Normal36"/>
        <w:widowControl w:val="0"/>
        <w:spacing w:before="240" w:line="260" w:lineRule="atLeast"/>
      </w:pPr>
      <w:r>
        <w:br/>
      </w:r>
      <w:r>
        <w:rPr>
          <w:rFonts w:ascii="Arial" w:eastAsia="Arial" w:hAnsi="Arial" w:cs="Arial"/>
          <w:b/>
          <w:color w:val="000000"/>
          <w:sz w:val="20"/>
        </w:rPr>
        <w:t>II. Discussion</w:t>
      </w:r>
    </w:p>
    <w:p w14:paraId="5B7256BE" w14:textId="77777777" w:rsidR="002B10A6" w:rsidRDefault="00000000">
      <w:pPr>
        <w:pStyle w:val="Normal36"/>
        <w:widowControl w:val="0"/>
        <w:spacing w:before="200" w:line="260" w:lineRule="atLeast"/>
        <w:jc w:val="both"/>
      </w:pPr>
      <w:bookmarkStart w:id="6825" w:name="Bookmark_para_9_35"/>
      <w:bookmarkStart w:id="6826" w:name="Bookmark_I5YDCW6T2D6ND40040000400"/>
      <w:bookmarkStart w:id="6827" w:name="Bookmark_I5YDCW6V2HM6C80010000400"/>
      <w:bookmarkStart w:id="6828" w:name="Bookmark_LNHNREFclscc1_29"/>
      <w:bookmarkEnd w:id="6825"/>
      <w:bookmarkEnd w:id="6826"/>
      <w:bookmarkEnd w:id="6827"/>
      <w:bookmarkEnd w:id="6828"/>
      <w:r>
        <w:rPr>
          <w:rFonts w:ascii="Arial" w:eastAsia="Arial" w:hAnsi="Arial" w:cs="Arial"/>
          <w:color w:val="000000"/>
          <w:sz w:val="20"/>
        </w:rPr>
        <w:t>We review de novo a Rule 12(b)(1) dismissal based on sovereign immunity,</w:t>
      </w:r>
      <w:r>
        <w:rPr>
          <w:rFonts w:ascii="Arial" w:eastAsia="Arial" w:hAnsi="Arial" w:cs="Arial"/>
          <w:vertAlign w:val="superscript"/>
        </w:rPr>
        <w:footnoteReference w:customMarkFollows="1" w:id="289"/>
        <w:t>2</w:t>
      </w:r>
      <w:r>
        <w:rPr>
          <w:rFonts w:ascii="Arial" w:eastAsia="Arial" w:hAnsi="Arial" w:cs="Arial"/>
          <w:color w:val="000000"/>
          <w:sz w:val="20"/>
        </w:rPr>
        <w:t xml:space="preserve"> applying the same standard as the district court. "When a Rule 12(b)(1) motion is filed in conjunction with other Rule 12 motions, the court [**4]  should consider  [*617]  the Rule 12(b)(1) jurisdictional attack before addressing any attack on the merits."</w:t>
      </w:r>
      <w:r>
        <w:rPr>
          <w:rFonts w:ascii="Arial" w:eastAsia="Arial" w:hAnsi="Arial" w:cs="Arial"/>
          <w:vertAlign w:val="superscript"/>
        </w:rPr>
        <w:footnoteReference w:customMarkFollows="1" w:id="290"/>
        <w:t>3</w:t>
      </w:r>
    </w:p>
    <w:p w14:paraId="4C76A4A5" w14:textId="77777777" w:rsidR="002B10A6" w:rsidRDefault="00000000">
      <w:pPr>
        <w:pStyle w:val="Normal36"/>
        <w:widowControl w:val="0"/>
        <w:spacing w:before="240" w:line="260" w:lineRule="atLeast"/>
      </w:pPr>
      <w:r>
        <w:br/>
      </w:r>
      <w:r>
        <w:rPr>
          <w:rFonts w:ascii="Arial" w:eastAsia="Arial" w:hAnsi="Arial" w:cs="Arial"/>
          <w:b/>
          <w:color w:val="000000"/>
          <w:sz w:val="20"/>
        </w:rPr>
        <w:t>A. ADA Title II Claims</w:t>
      </w:r>
    </w:p>
    <w:p w14:paraId="7E971DD0" w14:textId="77777777" w:rsidR="002B10A6" w:rsidRDefault="00000000">
      <w:pPr>
        <w:pStyle w:val="Normal36"/>
        <w:widowControl w:val="0"/>
        <w:spacing w:before="200" w:line="260" w:lineRule="atLeast"/>
        <w:jc w:val="both"/>
      </w:pPr>
      <w:bookmarkStart w:id="6833" w:name="Bookmark_para_10_34"/>
      <w:bookmarkStart w:id="6834" w:name="Bookmark_I2B526DHWJ80000P4SD00001"/>
      <w:bookmarkStart w:id="6835" w:name="Bookmark_I5YDCW6V2HM6C80030000400"/>
      <w:bookmarkStart w:id="6836" w:name="Bookmark_LNHNREFclscc2_29"/>
      <w:bookmarkEnd w:id="6833"/>
      <w:bookmarkEnd w:id="6834"/>
      <w:bookmarkEnd w:id="6835"/>
      <w:bookmarkEnd w:id="6836"/>
      <w:r>
        <w:rPr>
          <w:rFonts w:ascii="Arial" w:eastAsia="Arial" w:hAnsi="Arial" w:cs="Arial"/>
          <w:color w:val="000000"/>
          <w:sz w:val="20"/>
        </w:rPr>
        <w:t>Under the Eleventh Amendment, federal courts lack jurisdiction over suits against nonconsenting states. Congress can abrogate this immunity if it (1) "makes its intention to abrogate unmistakably clear in the language of the statute" and (2) "acts pursuant to a valid exercise of its power under § 5 of the Fourteenth Amendment."</w:t>
      </w:r>
      <w:r>
        <w:rPr>
          <w:rFonts w:ascii="Arial" w:eastAsia="Arial" w:hAnsi="Arial" w:cs="Arial"/>
          <w:vertAlign w:val="superscript"/>
        </w:rPr>
        <w:footnoteReference w:customMarkFollows="1" w:id="291"/>
        <w:t>4</w:t>
      </w:r>
      <w:r>
        <w:rPr>
          <w:rFonts w:ascii="Arial" w:eastAsia="Arial" w:hAnsi="Arial" w:cs="Arial"/>
          <w:color w:val="000000"/>
          <w:sz w:val="20"/>
        </w:rPr>
        <w:t xml:space="preserve"> Here, the first prong is easy: Congress expressly declared that states "shall not be immune" from suit for a violation of the ADA.</w:t>
      </w:r>
      <w:r>
        <w:rPr>
          <w:rFonts w:ascii="Arial" w:eastAsia="Arial" w:hAnsi="Arial" w:cs="Arial"/>
          <w:vertAlign w:val="superscript"/>
        </w:rPr>
        <w:footnoteReference w:customMarkFollows="1" w:id="292"/>
        <w:t>5</w:t>
      </w:r>
      <w:r>
        <w:rPr>
          <w:rFonts w:ascii="Arial" w:eastAsia="Arial" w:hAnsi="Arial" w:cs="Arial"/>
          <w:color w:val="000000"/>
          <w:sz w:val="20"/>
        </w:rPr>
        <w:t xml:space="preserve"> The second—whether Congress's purported abrogation was a valid exercise of its § 5 power—is more complicated.</w:t>
      </w:r>
    </w:p>
    <w:p w14:paraId="065FA688" w14:textId="77777777" w:rsidR="002B10A6" w:rsidRDefault="00000000">
      <w:pPr>
        <w:pStyle w:val="Normal36"/>
        <w:widowControl w:val="0"/>
        <w:spacing w:before="200" w:line="260" w:lineRule="atLeast"/>
        <w:jc w:val="both"/>
      </w:pPr>
      <w:bookmarkStart w:id="6840" w:name="Bookmark_para_11_30"/>
      <w:bookmarkStart w:id="6841" w:name="Bookmark_I5YDCW6V2HM6C80050000400"/>
      <w:bookmarkStart w:id="6842" w:name="Bookmark_I5YDCW6W2D6NDB0020000400"/>
      <w:bookmarkStart w:id="6843" w:name="Bookmark_I5YDCW6W2D6NDB0040000400"/>
      <w:bookmarkStart w:id="6844" w:name="Bookmark_I5YDCW6W28T4DR0010000400"/>
      <w:bookmarkStart w:id="6845" w:name="Bookmark_LNHNREFclscc3_28"/>
      <w:bookmarkEnd w:id="6840"/>
      <w:bookmarkEnd w:id="6841"/>
      <w:bookmarkEnd w:id="6842"/>
      <w:bookmarkEnd w:id="6843"/>
      <w:bookmarkEnd w:id="6844"/>
      <w:bookmarkEnd w:id="6845"/>
      <w:r>
        <w:rPr>
          <w:rFonts w:ascii="Arial" w:eastAsia="Arial" w:hAnsi="Arial" w:cs="Arial"/>
          <w:color w:val="000000"/>
          <w:sz w:val="20"/>
        </w:rPr>
        <w:t>Section 5 legislation that targets facially constitutional conduct is valid only if it demonstrates "a congruence and proportionality between the injury to be prevented or remedied and the means adopted to that end."</w:t>
      </w:r>
      <w:r>
        <w:rPr>
          <w:rFonts w:ascii="Arial" w:eastAsia="Arial" w:hAnsi="Arial" w:cs="Arial"/>
          <w:vertAlign w:val="superscript"/>
        </w:rPr>
        <w:footnoteReference w:customMarkFollows="1" w:id="293"/>
        <w:t>6</w:t>
      </w:r>
      <w:r>
        <w:rPr>
          <w:rFonts w:ascii="Arial" w:eastAsia="Arial" w:hAnsi="Arial" w:cs="Arial"/>
          <w:color w:val="000000"/>
          <w:sz w:val="20"/>
        </w:rPr>
        <w:t xml:space="preserve"> In </w:t>
      </w:r>
      <w:r>
        <w:rPr>
          <w:rFonts w:ascii="Arial" w:eastAsia="Arial" w:hAnsi="Arial" w:cs="Arial"/>
          <w:i/>
          <w:color w:val="000000"/>
          <w:sz w:val="20"/>
        </w:rPr>
        <w:t>Reickenbacker v. Foster</w:t>
      </w:r>
      <w:r>
        <w:rPr>
          <w:rFonts w:ascii="Arial" w:eastAsia="Arial" w:hAnsi="Arial" w:cs="Arial"/>
          <w:color w:val="000000"/>
          <w:sz w:val="20"/>
        </w:rPr>
        <w:t>, we held that Title II of the ADA, as a whole, fails that test.</w:t>
      </w:r>
      <w:r>
        <w:rPr>
          <w:rFonts w:ascii="Arial" w:eastAsia="Arial" w:hAnsi="Arial" w:cs="Arial"/>
          <w:vertAlign w:val="superscript"/>
        </w:rPr>
        <w:footnoteReference w:customMarkFollows="1" w:id="294"/>
        <w:t>7</w:t>
      </w:r>
      <w:r>
        <w:rPr>
          <w:rFonts w:ascii="Arial" w:eastAsia="Arial" w:hAnsi="Arial" w:cs="Arial"/>
          <w:color w:val="000000"/>
          <w:sz w:val="20"/>
        </w:rPr>
        <w:t xml:space="preserve"> But three years later, the Supreme Court held that Title II </w:t>
      </w:r>
      <w:r>
        <w:rPr>
          <w:rFonts w:ascii="Arial" w:eastAsia="Arial" w:hAnsi="Arial" w:cs="Arial"/>
          <w:i/>
          <w:color w:val="000000"/>
          <w:sz w:val="20"/>
        </w:rPr>
        <w:t>is</w:t>
      </w:r>
      <w:r>
        <w:rPr>
          <w:rFonts w:ascii="Arial" w:eastAsia="Arial" w:hAnsi="Arial" w:cs="Arial"/>
          <w:color w:val="000000"/>
          <w:sz w:val="20"/>
        </w:rPr>
        <w:t xml:space="preserve"> congruent and proportional—and </w:t>
      </w:r>
      <w:r>
        <w:rPr>
          <w:rFonts w:ascii="Arial" w:eastAsia="Arial" w:hAnsi="Arial" w:cs="Arial"/>
          <w:i/>
          <w:color w:val="000000"/>
          <w:sz w:val="20"/>
        </w:rPr>
        <w:t>does</w:t>
      </w:r>
      <w:r>
        <w:rPr>
          <w:rFonts w:ascii="Arial" w:eastAsia="Arial" w:hAnsi="Arial" w:cs="Arial"/>
          <w:color w:val="000000"/>
          <w:sz w:val="20"/>
        </w:rPr>
        <w:t xml:space="preserve"> validly abrogate states' sovereign immunity—in "cases implicating the fundamental right of access to the courts."</w:t>
      </w:r>
      <w:r>
        <w:rPr>
          <w:rFonts w:ascii="Arial" w:eastAsia="Arial" w:hAnsi="Arial" w:cs="Arial"/>
          <w:vertAlign w:val="superscript"/>
        </w:rPr>
        <w:footnoteReference w:customMarkFollows="1" w:id="295"/>
        <w:t>8</w:t>
      </w:r>
      <w:r>
        <w:rPr>
          <w:rFonts w:ascii="Arial" w:eastAsia="Arial" w:hAnsi="Arial" w:cs="Arial"/>
          <w:color w:val="000000"/>
          <w:sz w:val="20"/>
        </w:rPr>
        <w:t xml:space="preserve"> We did not decide whether </w:t>
      </w:r>
      <w:r>
        <w:rPr>
          <w:rFonts w:ascii="Arial" w:eastAsia="Arial" w:hAnsi="Arial" w:cs="Arial"/>
          <w:i/>
          <w:color w:val="000000"/>
          <w:sz w:val="20"/>
        </w:rPr>
        <w:t>Reickenbacker</w:t>
      </w:r>
      <w:r>
        <w:rPr>
          <w:rFonts w:ascii="Arial" w:eastAsia="Arial" w:hAnsi="Arial" w:cs="Arial"/>
          <w:color w:val="000000"/>
          <w:sz w:val="20"/>
        </w:rPr>
        <w:t>'s holding remains valid [**5]  in cases beyond that specific purview.</w:t>
      </w:r>
      <w:r>
        <w:rPr>
          <w:rFonts w:ascii="Arial" w:eastAsia="Arial" w:hAnsi="Arial" w:cs="Arial"/>
          <w:vertAlign w:val="superscript"/>
        </w:rPr>
        <w:footnoteReference w:customMarkFollows="1" w:id="296"/>
        <w:t>9</w:t>
      </w:r>
    </w:p>
    <w:p w14:paraId="1E846D86" w14:textId="77777777" w:rsidR="002B10A6" w:rsidRDefault="00000000">
      <w:pPr>
        <w:pStyle w:val="Normal36"/>
        <w:widowControl w:val="0"/>
        <w:spacing w:before="200" w:line="260" w:lineRule="atLeast"/>
        <w:jc w:val="both"/>
      </w:pPr>
      <w:bookmarkStart w:id="6854" w:name="Bookmark_para_12_29"/>
      <w:bookmarkStart w:id="6855" w:name="Bookmark_I5YDCW6W28T4DR0030000400"/>
      <w:bookmarkStart w:id="6856" w:name="Bookmark_LNHNREFclscc4_28"/>
      <w:bookmarkEnd w:id="6854"/>
      <w:bookmarkEnd w:id="6855"/>
      <w:bookmarkEnd w:id="6856"/>
      <w:r>
        <w:rPr>
          <w:rFonts w:ascii="Arial" w:eastAsia="Arial" w:hAnsi="Arial" w:cs="Arial"/>
          <w:color w:val="000000"/>
          <w:sz w:val="20"/>
        </w:rPr>
        <w:t xml:space="preserve">The Supreme Court changed the Title II abrogation landscape a second time with </w:t>
      </w:r>
      <w:r>
        <w:rPr>
          <w:rFonts w:ascii="Arial" w:eastAsia="Arial" w:hAnsi="Arial" w:cs="Arial"/>
          <w:i/>
          <w:color w:val="000000"/>
          <w:sz w:val="20"/>
        </w:rPr>
        <w:t>United States v. Georgia</w:t>
      </w:r>
      <w:r>
        <w:rPr>
          <w:rFonts w:ascii="Arial" w:eastAsia="Arial" w:hAnsi="Arial" w:cs="Arial"/>
          <w:color w:val="000000"/>
          <w:sz w:val="20"/>
        </w:rPr>
        <w:t>.</w:t>
      </w:r>
      <w:r>
        <w:rPr>
          <w:rFonts w:ascii="Arial" w:eastAsia="Arial" w:hAnsi="Arial" w:cs="Arial"/>
          <w:vertAlign w:val="superscript"/>
        </w:rPr>
        <w:footnoteReference w:customMarkFollows="1" w:id="297"/>
        <w:t>10</w:t>
      </w:r>
      <w:r>
        <w:rPr>
          <w:rFonts w:ascii="Arial" w:eastAsia="Arial" w:hAnsi="Arial" w:cs="Arial"/>
          <w:color w:val="000000"/>
          <w:sz w:val="20"/>
        </w:rPr>
        <w:t xml:space="preserve"> Importantly, the Court established a three-part test for determining whether Title II validly abrogates states' sovereign immunity. A court must determine, on a "claim-by-claim basis":</w:t>
      </w:r>
    </w:p>
    <w:p w14:paraId="596A7768" w14:textId="77777777" w:rsidR="002B10A6" w:rsidRDefault="00000000">
      <w:pPr>
        <w:pStyle w:val="Normal36"/>
        <w:widowControl w:val="0"/>
        <w:spacing w:before="200" w:line="260" w:lineRule="atLeast"/>
        <w:ind w:left="400"/>
        <w:jc w:val="both"/>
      </w:pPr>
      <w:bookmarkStart w:id="6859" w:name="Bookmark_para_13_29"/>
      <w:bookmarkStart w:id="6860" w:name="Bookmark_I2B526DK9WV0000P4SD0000H"/>
      <w:bookmarkStart w:id="6861" w:name="Bookmark_I5YDCW6W28T4DR0050000400"/>
      <w:bookmarkEnd w:id="6859"/>
      <w:bookmarkEnd w:id="6860"/>
      <w:bookmarkEnd w:id="6861"/>
      <w:r>
        <w:rPr>
          <w:rFonts w:ascii="Arial" w:eastAsia="Arial" w:hAnsi="Arial" w:cs="Arial"/>
          <w:color w:val="000000"/>
          <w:sz w:val="20"/>
        </w:rPr>
        <w:t>(1) which aspects of the State's alleged conduct violated Title II; (2) to what extent such misconduct also violated the Fourteenth Amendment; and (3) insofar as such misconduct violated Title II but did not violate the Fourteenth Amendment, whether Congress's purported abrogation of sovereign immunity as to that class of conduct is nevertheless valid.</w:t>
      </w:r>
      <w:r>
        <w:rPr>
          <w:rFonts w:ascii="Arial" w:eastAsia="Arial" w:hAnsi="Arial" w:cs="Arial"/>
          <w:vertAlign w:val="superscript"/>
        </w:rPr>
        <w:footnoteReference w:customMarkFollows="1" w:id="298"/>
        <w:t>11</w:t>
      </w:r>
    </w:p>
    <w:p w14:paraId="6473C6CB" w14:textId="77777777" w:rsidR="002B10A6" w:rsidRDefault="00000000">
      <w:pPr>
        <w:pStyle w:val="Normal36"/>
        <w:widowControl w:val="0"/>
        <w:spacing w:before="200" w:line="260" w:lineRule="atLeast"/>
        <w:jc w:val="both"/>
      </w:pPr>
      <w:bookmarkStart w:id="6864" w:name="Bookmark_para_14_29"/>
      <w:bookmarkEnd w:id="6864"/>
      <w:r>
        <w:rPr>
          <w:rFonts w:ascii="Arial" w:eastAsia="Arial" w:hAnsi="Arial" w:cs="Arial"/>
          <w:color w:val="000000"/>
          <w:sz w:val="20"/>
        </w:rPr>
        <w:t xml:space="preserve">Here, the magistrate judge's report and recommendation (adopted by the district court) skipped to Step 3, and held that "the accommodation obligation imposed by Title II, as it relates to non-fundamental rights" like the right to practice law involved here, "exceeds that imposed by the Constitution and is not a valid abrogation of state sovereign immunity." But under </w:t>
      </w:r>
      <w:r>
        <w:rPr>
          <w:rFonts w:ascii="Arial" w:eastAsia="Arial" w:hAnsi="Arial" w:cs="Arial"/>
          <w:i/>
          <w:color w:val="000000"/>
          <w:sz w:val="20"/>
        </w:rPr>
        <w:t>Georgia</w:t>
      </w:r>
      <w:r>
        <w:rPr>
          <w:rFonts w:ascii="Arial" w:eastAsia="Arial" w:hAnsi="Arial" w:cs="Arial"/>
          <w:color w:val="000000"/>
          <w:sz w:val="20"/>
        </w:rPr>
        <w:t>, we do not reach that question  [*618]  unless and until it is decided that Block has stated a claim under Title II.</w:t>
      </w:r>
      <w:r>
        <w:rPr>
          <w:rFonts w:ascii="Arial" w:eastAsia="Arial" w:hAnsi="Arial" w:cs="Arial"/>
          <w:vertAlign w:val="superscript"/>
        </w:rPr>
        <w:footnoteReference w:customMarkFollows="1" w:id="299"/>
        <w:t>12</w:t>
      </w:r>
    </w:p>
    <w:p w14:paraId="489E36CF" w14:textId="77777777" w:rsidR="002B10A6" w:rsidRDefault="00000000">
      <w:pPr>
        <w:pStyle w:val="Normal36"/>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78A96D9A" w14:textId="77777777" w:rsidR="002B10A6" w:rsidRDefault="00000000">
      <w:pPr>
        <w:pStyle w:val="Normal36"/>
        <w:widowControl w:val="0"/>
        <w:spacing w:before="200" w:line="260" w:lineRule="atLeast"/>
        <w:jc w:val="both"/>
      </w:pPr>
      <w:bookmarkStart w:id="6885" w:name="Bookmark_para_15_29"/>
      <w:bookmarkStart w:id="6886" w:name="Bookmark_I5YDCW6Y2D6NDM0010000400"/>
      <w:bookmarkStart w:id="6887" w:name="Bookmark_I5YDCW6Y2D6NDM0030000400"/>
      <w:bookmarkStart w:id="6888" w:name="Bookmark_I5YDCW6Y2D6NDM0050000400"/>
      <w:bookmarkStart w:id="6889" w:name="Bookmark_I5YDCW702N1PPR0020000400"/>
      <w:bookmarkStart w:id="6890" w:name="Bookmark_LNHNREFclscc6_25"/>
      <w:bookmarkEnd w:id="6885"/>
      <w:bookmarkEnd w:id="6886"/>
      <w:bookmarkEnd w:id="6887"/>
      <w:bookmarkEnd w:id="6888"/>
      <w:bookmarkEnd w:id="6889"/>
      <w:bookmarkEnd w:id="6890"/>
      <w:r>
        <w:rPr>
          <w:rFonts w:ascii="Arial" w:eastAsia="Arial" w:hAnsi="Arial" w:cs="Arial"/>
          <w:color w:val="000000"/>
          <w:sz w:val="20"/>
        </w:rPr>
        <w:t>To [**6]  establish a prima facie case of discrimination under the ADA, Block must show (1) he is a "qualified individual" under the ADA; (2) he was excluded from participation in, or denied the benefits of, services, programs, or activities for which TBLE is responsible; and (3) the exclusion was by reason of disability.</w:t>
      </w:r>
      <w:r>
        <w:rPr>
          <w:rFonts w:ascii="Arial" w:eastAsia="Arial" w:hAnsi="Arial" w:cs="Arial"/>
          <w:vertAlign w:val="superscript"/>
        </w:rPr>
        <w:footnoteReference w:customMarkFollows="1" w:id="300"/>
        <w:t>13</w:t>
      </w:r>
      <w:r>
        <w:rPr>
          <w:rFonts w:ascii="Arial" w:eastAsia="Arial" w:hAnsi="Arial" w:cs="Arial"/>
          <w:color w:val="000000"/>
          <w:sz w:val="20"/>
        </w:rPr>
        <w:t xml:space="preserve"> Title II requires public entities to make "reasonable modifications in policies, practices, or procedures" for disabled individuals, unless the entity can show that a modification would "fundamentally alter the nature" of the service or program it offers.</w:t>
      </w:r>
      <w:r>
        <w:rPr>
          <w:rFonts w:ascii="Arial" w:eastAsia="Arial" w:hAnsi="Arial" w:cs="Arial"/>
          <w:vertAlign w:val="superscript"/>
        </w:rPr>
        <w:footnoteReference w:customMarkFollows="1" w:id="301"/>
        <w:t>14</w:t>
      </w:r>
      <w:r>
        <w:rPr>
          <w:rFonts w:ascii="Arial" w:eastAsia="Arial" w:hAnsi="Arial" w:cs="Arial"/>
          <w:color w:val="000000"/>
          <w:sz w:val="20"/>
        </w:rPr>
        <w:t xml:space="preserve"> A public entity's failure to make a reasonable modification may satisfy the second and third prongs of the prima facie case.</w:t>
      </w:r>
      <w:r>
        <w:rPr>
          <w:rFonts w:ascii="Arial" w:eastAsia="Arial" w:hAnsi="Arial" w:cs="Arial"/>
          <w:vertAlign w:val="superscript"/>
        </w:rPr>
        <w:footnoteReference w:customMarkFollows="1" w:id="302"/>
        <w:t>15</w:t>
      </w:r>
      <w:r>
        <w:rPr>
          <w:rFonts w:ascii="Arial" w:eastAsia="Arial" w:hAnsi="Arial" w:cs="Arial"/>
          <w:color w:val="000000"/>
          <w:sz w:val="20"/>
        </w:rPr>
        <w:t xml:space="preserve"> Block bears the burden of showing that he requested a modification and that it was reasonable.</w:t>
      </w:r>
      <w:r>
        <w:rPr>
          <w:rFonts w:ascii="Arial" w:eastAsia="Arial" w:hAnsi="Arial" w:cs="Arial"/>
          <w:vertAlign w:val="superscript"/>
        </w:rPr>
        <w:footnoteReference w:customMarkFollows="1" w:id="303"/>
        <w:t>16</w:t>
      </w:r>
    </w:p>
    <w:p w14:paraId="16DE94F3" w14:textId="77777777" w:rsidR="002B10A6" w:rsidRDefault="00000000">
      <w:pPr>
        <w:pStyle w:val="Normal36"/>
        <w:widowControl w:val="0"/>
        <w:spacing w:before="200" w:line="260" w:lineRule="atLeast"/>
        <w:jc w:val="both"/>
      </w:pPr>
      <w:bookmarkStart w:id="6899" w:name="Bookmark_para_16_26"/>
      <w:bookmarkStart w:id="6900" w:name="Bookmark_I5YDCW702N1PPR0040000400"/>
      <w:bookmarkEnd w:id="6899"/>
      <w:bookmarkEnd w:id="6900"/>
      <w:r>
        <w:rPr>
          <w:rFonts w:ascii="Arial" w:eastAsia="Arial" w:hAnsi="Arial" w:cs="Arial"/>
          <w:color w:val="000000"/>
          <w:sz w:val="20"/>
        </w:rPr>
        <w:t xml:space="preserve">Block alleges that TBLE violated Title II by refusing to waive the active practice requirement for admission without examination to the State Bar of Texas. </w:t>
      </w:r>
      <w:bookmarkStart w:id="6901" w:name="Bookmark_LNHNREFclscc7_23"/>
      <w:bookmarkEnd w:id="6901"/>
      <w:r>
        <w:rPr>
          <w:rFonts w:ascii="Arial" w:eastAsia="Arial" w:hAnsi="Arial" w:cs="Arial"/>
          <w:color w:val="000000"/>
          <w:sz w:val="20"/>
        </w:rPr>
        <w:t>But Title II "does not require States to compromise their essential eligibility criteria for public programs"—"[i]t requires only reasonable modifications," and "only when the individual seeking modification is otherwise eligible for the service." [**7] </w:t>
      </w:r>
      <w:r>
        <w:rPr>
          <w:rFonts w:ascii="Arial" w:eastAsia="Arial" w:hAnsi="Arial" w:cs="Arial"/>
          <w:vertAlign w:val="superscript"/>
        </w:rPr>
        <w:footnoteReference w:customMarkFollows="1" w:id="304"/>
        <w:t>17</w:t>
      </w:r>
    </w:p>
    <w:p w14:paraId="7404E63F" w14:textId="77777777" w:rsidR="002B10A6" w:rsidRDefault="00000000">
      <w:pPr>
        <w:pStyle w:val="Normal36"/>
        <w:widowControl w:val="0"/>
        <w:spacing w:before="200" w:line="260" w:lineRule="atLeast"/>
        <w:jc w:val="both"/>
      </w:pPr>
      <w:bookmarkStart w:id="6904" w:name="Bookmark_para_17_26"/>
      <w:bookmarkStart w:id="6905" w:name="Bookmark_I5YDCW7028T4F40010000400"/>
      <w:bookmarkEnd w:id="6904"/>
      <w:bookmarkEnd w:id="6905"/>
      <w:r>
        <w:rPr>
          <w:rFonts w:ascii="Arial" w:eastAsia="Arial" w:hAnsi="Arial" w:cs="Arial"/>
          <w:color w:val="000000"/>
          <w:sz w:val="20"/>
        </w:rPr>
        <w:t>TBLE protects the integrity of its bar by requiring applicants to either pass the Texas bar exam or meet the three requirements for admission without examination.</w:t>
      </w:r>
      <w:r>
        <w:rPr>
          <w:rFonts w:ascii="Arial" w:eastAsia="Arial" w:hAnsi="Arial" w:cs="Arial"/>
          <w:vertAlign w:val="superscript"/>
        </w:rPr>
        <w:footnoteReference w:customMarkFollows="1" w:id="305"/>
        <w:t>18</w:t>
      </w:r>
      <w:r>
        <w:rPr>
          <w:rFonts w:ascii="Arial" w:eastAsia="Arial" w:hAnsi="Arial" w:cs="Arial"/>
          <w:color w:val="000000"/>
          <w:sz w:val="20"/>
        </w:rPr>
        <w:t xml:space="preserve"> The active practice requirement ensures that applicants have both achieved and </w:t>
      </w:r>
      <w:r>
        <w:rPr>
          <w:rFonts w:ascii="Arial" w:eastAsia="Arial" w:hAnsi="Arial" w:cs="Arial"/>
          <w:i/>
          <w:color w:val="000000"/>
          <w:sz w:val="20"/>
        </w:rPr>
        <w:t>maintained</w:t>
      </w:r>
      <w:r>
        <w:rPr>
          <w:rFonts w:ascii="Arial" w:eastAsia="Arial" w:hAnsi="Arial" w:cs="Arial"/>
          <w:color w:val="000000"/>
          <w:sz w:val="20"/>
        </w:rPr>
        <w:t xml:space="preserve"> the skill and knowledge required to practice law in Texas. Waiving it to admit a lawyer who has neither passed the Texas bar exam nor practiced law for thirteen years would not inform TBLE of a vital fact: does Block </w:t>
      </w:r>
      <w:r>
        <w:rPr>
          <w:rFonts w:ascii="Arial" w:eastAsia="Arial" w:hAnsi="Arial" w:cs="Arial"/>
          <w:i/>
          <w:color w:val="000000"/>
          <w:sz w:val="20"/>
        </w:rPr>
        <w:t>currently</w:t>
      </w:r>
      <w:r>
        <w:rPr>
          <w:rFonts w:ascii="Arial" w:eastAsia="Arial" w:hAnsi="Arial" w:cs="Arial"/>
          <w:color w:val="000000"/>
          <w:sz w:val="20"/>
        </w:rPr>
        <w:t xml:space="preserve">  [*619]  have the necessary knowledge and skill to practice law? The modification Block seeks is not a reasonable one.</w:t>
      </w:r>
      <w:r>
        <w:rPr>
          <w:rFonts w:ascii="Arial" w:eastAsia="Arial" w:hAnsi="Arial" w:cs="Arial"/>
          <w:vertAlign w:val="superscript"/>
        </w:rPr>
        <w:footnoteReference w:customMarkFollows="1" w:id="306"/>
        <w:t>19</w:t>
      </w:r>
    </w:p>
    <w:p w14:paraId="7B01F306" w14:textId="77777777" w:rsidR="002B10A6" w:rsidRDefault="00000000">
      <w:pPr>
        <w:pStyle w:val="Normal36"/>
        <w:widowControl w:val="0"/>
        <w:spacing w:before="200" w:line="260" w:lineRule="atLeast"/>
        <w:jc w:val="both"/>
      </w:pPr>
      <w:bookmarkStart w:id="6914" w:name="Bookmark_para_18_25"/>
      <w:bookmarkEnd w:id="6914"/>
      <w:r>
        <w:rPr>
          <w:rFonts w:ascii="Arial" w:eastAsia="Arial" w:hAnsi="Arial" w:cs="Arial"/>
          <w:color w:val="000000"/>
          <w:sz w:val="20"/>
        </w:rPr>
        <w:t>Because Block has alleged no conduct that violates Title II, TBLE is entitled to Eleventh Amendment immunity.</w:t>
      </w:r>
    </w:p>
    <w:p w14:paraId="14D51C00" w14:textId="77777777" w:rsidR="002B10A6" w:rsidRDefault="00000000">
      <w:pPr>
        <w:pStyle w:val="Normal36"/>
        <w:widowControl w:val="0"/>
        <w:spacing w:before="240" w:line="260" w:lineRule="atLeast"/>
      </w:pPr>
      <w:r>
        <w:br/>
      </w:r>
      <w:r>
        <w:rPr>
          <w:rFonts w:ascii="Arial" w:eastAsia="Arial" w:hAnsi="Arial" w:cs="Arial"/>
          <w:b/>
          <w:color w:val="000000"/>
          <w:sz w:val="20"/>
        </w:rPr>
        <w:t>B. ADA Title V Claims</w:t>
      </w:r>
    </w:p>
    <w:p w14:paraId="4E9FF85A" w14:textId="77777777" w:rsidR="002B10A6" w:rsidRDefault="00000000">
      <w:pPr>
        <w:pStyle w:val="Normal36"/>
        <w:widowControl w:val="0"/>
        <w:spacing w:before="200" w:line="260" w:lineRule="atLeast"/>
        <w:jc w:val="both"/>
      </w:pPr>
      <w:bookmarkStart w:id="6915" w:name="Bookmark_para_19_24"/>
      <w:bookmarkStart w:id="6916" w:name="Bookmark_I5YDCW712D6NDW0020000400"/>
      <w:bookmarkEnd w:id="6915"/>
      <w:bookmarkEnd w:id="6916"/>
      <w:r>
        <w:rPr>
          <w:rFonts w:ascii="Arial" w:eastAsia="Arial" w:hAnsi="Arial" w:cs="Arial"/>
          <w:color w:val="000000"/>
          <w:sz w:val="20"/>
        </w:rPr>
        <w:t xml:space="preserve">With his Title V retaliation claim, Block alleges that TBLE retaliated against him for requesting a waiver of the active practice requirement by filing a complaint against him for the unauthorized practice of law. </w:t>
      </w:r>
      <w:bookmarkStart w:id="6917" w:name="Bookmark_LNHNREFclscc10_20"/>
      <w:bookmarkEnd w:id="6917"/>
      <w:r>
        <w:rPr>
          <w:rFonts w:ascii="Arial" w:eastAsia="Arial" w:hAnsi="Arial" w:cs="Arial"/>
          <w:color w:val="000000"/>
          <w:sz w:val="20"/>
        </w:rPr>
        <w:t>"Title V itself does not abrogate a state's sovereign immunity. Instead, a plaintiff may bring a retaliation claim against a state entity only to the extent that the underlying claim of discrimination effectively abrogates sovereign immunity of the particular state." [**8] </w:t>
      </w:r>
      <w:r>
        <w:rPr>
          <w:rFonts w:ascii="Arial" w:eastAsia="Arial" w:hAnsi="Arial" w:cs="Arial"/>
          <w:vertAlign w:val="superscript"/>
        </w:rPr>
        <w:footnoteReference w:customMarkFollows="1" w:id="307"/>
        <w:t>20</w:t>
      </w:r>
      <w:r>
        <w:rPr>
          <w:rFonts w:ascii="Arial" w:eastAsia="Arial" w:hAnsi="Arial" w:cs="Arial"/>
          <w:color w:val="000000"/>
          <w:sz w:val="20"/>
        </w:rPr>
        <w:t xml:space="preserve"> Because Block's underlying Title II claim is barred by sovereign immunity, so is his Title V retaliation claim.</w:t>
      </w:r>
    </w:p>
    <w:p w14:paraId="6A07720E" w14:textId="77777777" w:rsidR="002B10A6" w:rsidRDefault="00000000">
      <w:pPr>
        <w:pStyle w:val="Normal36"/>
        <w:widowControl w:val="0"/>
        <w:spacing w:before="240" w:line="260" w:lineRule="atLeast"/>
      </w:pPr>
      <w:r>
        <w:br/>
      </w:r>
      <w:r>
        <w:rPr>
          <w:rFonts w:ascii="Arial" w:eastAsia="Arial" w:hAnsi="Arial" w:cs="Arial"/>
          <w:b/>
          <w:color w:val="000000"/>
          <w:sz w:val="20"/>
        </w:rPr>
        <w:t>C. Rehabilitation Act Claims</w:t>
      </w:r>
    </w:p>
    <w:p w14:paraId="3AAF695D" w14:textId="77777777" w:rsidR="002B10A6" w:rsidRDefault="00000000">
      <w:pPr>
        <w:pStyle w:val="Normal36"/>
        <w:widowControl w:val="0"/>
        <w:spacing w:before="200" w:line="260" w:lineRule="atLeast"/>
        <w:jc w:val="both"/>
      </w:pPr>
      <w:bookmarkStart w:id="6920" w:name="Bookmark_para_20_24"/>
      <w:bookmarkStart w:id="6921" w:name="Bookmark_I5YDCW712D6NDW0040000400"/>
      <w:bookmarkStart w:id="6922" w:name="Bookmark_I5YDCW712D6NF00010000400"/>
      <w:bookmarkEnd w:id="6920"/>
      <w:bookmarkEnd w:id="6921"/>
      <w:bookmarkEnd w:id="6922"/>
      <w:r>
        <w:rPr>
          <w:rFonts w:ascii="Arial" w:eastAsia="Arial" w:hAnsi="Arial" w:cs="Arial"/>
          <w:color w:val="000000"/>
          <w:sz w:val="20"/>
        </w:rPr>
        <w:t xml:space="preserve">Block also brings discrimination and retaliation claims under the Rehabilitation Act. </w:t>
      </w:r>
      <w:bookmarkStart w:id="6923" w:name="Bookmark_LNHNREFclscc11_20"/>
      <w:bookmarkEnd w:id="6923"/>
      <w:r>
        <w:rPr>
          <w:rFonts w:ascii="Arial" w:eastAsia="Arial" w:hAnsi="Arial" w:cs="Arial"/>
          <w:color w:val="000000"/>
          <w:sz w:val="20"/>
        </w:rPr>
        <w:t>A state entity waives sovereign immunity under § 504 of the Rehabilitation Act by accepting federal financial assistance.</w:t>
      </w:r>
      <w:r>
        <w:rPr>
          <w:rFonts w:ascii="Arial" w:eastAsia="Arial" w:hAnsi="Arial" w:cs="Arial"/>
          <w:vertAlign w:val="superscript"/>
        </w:rPr>
        <w:footnoteReference w:customMarkFollows="1" w:id="308"/>
        <w:t>21</w:t>
      </w:r>
      <w:r>
        <w:rPr>
          <w:rFonts w:ascii="Arial" w:eastAsia="Arial" w:hAnsi="Arial" w:cs="Arial"/>
          <w:color w:val="000000"/>
          <w:sz w:val="20"/>
        </w:rPr>
        <w:t xml:space="preserve"> To state a claim under the Rehabilitation Act, "a plaintiff must allege that the specific program or activity with which he or she was involved receives or directly benefits from federal financial assistance."</w:t>
      </w:r>
      <w:r>
        <w:rPr>
          <w:rFonts w:ascii="Arial" w:eastAsia="Arial" w:hAnsi="Arial" w:cs="Arial"/>
          <w:vertAlign w:val="superscript"/>
        </w:rPr>
        <w:footnoteReference w:customMarkFollows="1" w:id="309"/>
        <w:t>22</w:t>
      </w:r>
      <w:r>
        <w:rPr>
          <w:rFonts w:ascii="Arial" w:eastAsia="Arial" w:hAnsi="Arial" w:cs="Arial"/>
          <w:color w:val="000000"/>
          <w:sz w:val="20"/>
        </w:rPr>
        <w:t xml:space="preserve"> Because Block did not allege that TBLE receives federal funds, the district court did not err in dismissing his Rehabilitation Act claims.</w:t>
      </w:r>
      <w:r>
        <w:rPr>
          <w:rFonts w:ascii="Arial" w:eastAsia="Arial" w:hAnsi="Arial" w:cs="Arial"/>
          <w:vertAlign w:val="superscript"/>
        </w:rPr>
        <w:footnoteReference w:customMarkFollows="1" w:id="310"/>
        <w:t>23</w:t>
      </w:r>
    </w:p>
    <w:p w14:paraId="7669EC4C" w14:textId="77777777" w:rsidR="002B10A6" w:rsidRDefault="00000000">
      <w:pPr>
        <w:pStyle w:val="Normal36"/>
        <w:widowControl w:val="0"/>
        <w:spacing w:before="240" w:line="260" w:lineRule="atLeast"/>
      </w:pPr>
      <w:r>
        <w:br/>
      </w:r>
      <w:r>
        <w:rPr>
          <w:rFonts w:ascii="Arial" w:eastAsia="Arial" w:hAnsi="Arial" w:cs="Arial"/>
          <w:b/>
          <w:color w:val="000000"/>
          <w:sz w:val="20"/>
        </w:rPr>
        <w:t>D. Fourteenth Amendment Claims</w:t>
      </w:r>
    </w:p>
    <w:p w14:paraId="589B25CE" w14:textId="77777777" w:rsidR="002B10A6" w:rsidRDefault="00000000">
      <w:pPr>
        <w:pStyle w:val="Normal36"/>
        <w:widowControl w:val="0"/>
        <w:spacing w:before="200" w:line="260" w:lineRule="atLeast"/>
        <w:jc w:val="both"/>
      </w:pPr>
      <w:bookmarkStart w:id="6930" w:name="Bookmark_para_21_24"/>
      <w:bookmarkStart w:id="6931" w:name="Bookmark_I5YDCW712D6NF00050000400"/>
      <w:bookmarkStart w:id="6932" w:name="Bookmark_I5YDCW722N1PR10020000400"/>
      <w:bookmarkEnd w:id="6930"/>
      <w:bookmarkEnd w:id="6931"/>
      <w:bookmarkEnd w:id="6932"/>
      <w:r>
        <w:rPr>
          <w:rFonts w:ascii="Arial" w:eastAsia="Arial" w:hAnsi="Arial" w:cs="Arial"/>
          <w:color w:val="000000"/>
          <w:sz w:val="20"/>
        </w:rPr>
        <w:t xml:space="preserve">Block next argues the district court erred in holding that the </w:t>
      </w:r>
      <w:r>
        <w:rPr>
          <w:rFonts w:ascii="Arial" w:eastAsia="Arial" w:hAnsi="Arial" w:cs="Arial"/>
          <w:i/>
          <w:color w:val="000000"/>
          <w:sz w:val="20"/>
        </w:rPr>
        <w:t>Ex parte Young</w:t>
      </w:r>
      <w:r>
        <w:rPr>
          <w:rFonts w:ascii="Arial" w:eastAsia="Arial" w:hAnsi="Arial" w:cs="Arial"/>
          <w:color w:val="000000"/>
          <w:sz w:val="20"/>
        </w:rPr>
        <w:t xml:space="preserve"> exception to Eleventh Amendment immunity does not apply to his Fourteenth Amendment claims. </w:t>
      </w:r>
      <w:bookmarkStart w:id="6933" w:name="Bookmark_LNHNREFclscc12_18"/>
      <w:bookmarkEnd w:id="6933"/>
      <w:r>
        <w:rPr>
          <w:rFonts w:ascii="Arial" w:eastAsia="Arial" w:hAnsi="Arial" w:cs="Arial"/>
          <w:color w:val="000000"/>
          <w:sz w:val="20"/>
        </w:rPr>
        <w:t xml:space="preserve">That exception allows a plaintiff to sue individual state officials for prospective relief—a legal fiction that skirts around the Eleventh Amendment. "To fall within the </w:t>
      </w:r>
      <w:r>
        <w:rPr>
          <w:rFonts w:ascii="Arial" w:eastAsia="Arial" w:hAnsi="Arial" w:cs="Arial"/>
          <w:i/>
          <w:color w:val="000000"/>
          <w:sz w:val="20"/>
        </w:rPr>
        <w:t>Ex parte Young</w:t>
      </w:r>
      <w:r>
        <w:rPr>
          <w:rFonts w:ascii="Arial" w:eastAsia="Arial" w:hAnsi="Arial" w:cs="Arial"/>
          <w:color w:val="000000"/>
          <w:sz w:val="20"/>
        </w:rPr>
        <w:t xml:space="preserve"> exception to sovereign immunity, however, a plaintiff must name individual state officials as defendants in their official capacities."</w:t>
      </w:r>
      <w:r>
        <w:rPr>
          <w:rFonts w:ascii="Arial" w:eastAsia="Arial" w:hAnsi="Arial" w:cs="Arial"/>
          <w:vertAlign w:val="superscript"/>
        </w:rPr>
        <w:footnoteReference w:customMarkFollows="1" w:id="311"/>
        <w:t>24</w:t>
      </w:r>
      <w:r>
        <w:rPr>
          <w:rFonts w:ascii="Arial" w:eastAsia="Arial" w:hAnsi="Arial" w:cs="Arial"/>
          <w:color w:val="000000"/>
          <w:sz w:val="20"/>
        </w:rPr>
        <w:t xml:space="preserve"> Because Block sued only TBLE, and no members in their official [**9]  capacities, </w:t>
      </w:r>
      <w:r>
        <w:rPr>
          <w:rFonts w:ascii="Arial" w:eastAsia="Arial" w:hAnsi="Arial" w:cs="Arial"/>
          <w:i/>
          <w:color w:val="000000"/>
          <w:sz w:val="20"/>
        </w:rPr>
        <w:t>Ex parte Young</w:t>
      </w:r>
      <w:r>
        <w:rPr>
          <w:rFonts w:ascii="Arial" w:eastAsia="Arial" w:hAnsi="Arial" w:cs="Arial"/>
          <w:color w:val="000000"/>
          <w:sz w:val="20"/>
        </w:rPr>
        <w:t xml:space="preserve"> does not apply.</w:t>
      </w:r>
      <w:r>
        <w:rPr>
          <w:rFonts w:ascii="Arial" w:eastAsia="Arial" w:hAnsi="Arial" w:cs="Arial"/>
          <w:vertAlign w:val="superscript"/>
        </w:rPr>
        <w:footnoteReference w:customMarkFollows="1" w:id="312"/>
        <w:t>25</w:t>
      </w:r>
    </w:p>
    <w:p w14:paraId="530635F6" w14:textId="77777777" w:rsidR="002B10A6" w:rsidRDefault="00000000">
      <w:pPr>
        <w:pStyle w:val="Normal36"/>
        <w:widowControl w:val="0"/>
        <w:spacing w:before="240" w:line="260" w:lineRule="atLeast"/>
      </w:pPr>
      <w:r>
        <w:br/>
      </w:r>
      <w:r>
        <w:rPr>
          <w:rFonts w:ascii="Arial" w:eastAsia="Arial" w:hAnsi="Arial" w:cs="Arial"/>
          <w:color w:val="000000"/>
          <w:sz w:val="20"/>
        </w:rPr>
        <w:t xml:space="preserve"> [*620]  </w:t>
      </w:r>
      <w:r>
        <w:rPr>
          <w:rFonts w:ascii="Arial" w:eastAsia="Arial" w:hAnsi="Arial" w:cs="Arial"/>
          <w:b/>
          <w:color w:val="000000"/>
          <w:sz w:val="20"/>
        </w:rPr>
        <w:t>III. CONCLUSION</w:t>
      </w:r>
    </w:p>
    <w:p w14:paraId="30510E50" w14:textId="77777777" w:rsidR="002B10A6" w:rsidRDefault="00000000">
      <w:pPr>
        <w:pStyle w:val="Normal36"/>
        <w:widowControl w:val="0"/>
        <w:spacing w:before="200" w:line="260" w:lineRule="atLeast"/>
        <w:jc w:val="both"/>
      </w:pPr>
      <w:bookmarkStart w:id="6939" w:name="Bookmark_para_22_23"/>
      <w:bookmarkStart w:id="6940" w:name="Bookmark_I2B526DK8GH0000P4SD0000G"/>
      <w:bookmarkStart w:id="6941" w:name="Bookmark_I5YDCW722N1PR10040000400"/>
      <w:bookmarkStart w:id="6942" w:name="Bookmark_I5YDCW722D6NF40010000400"/>
      <w:bookmarkEnd w:id="6939"/>
      <w:bookmarkEnd w:id="6940"/>
      <w:bookmarkEnd w:id="6941"/>
      <w:bookmarkEnd w:id="6942"/>
      <w:r>
        <w:rPr>
          <w:rFonts w:ascii="Arial" w:eastAsia="Arial" w:hAnsi="Arial" w:cs="Arial"/>
          <w:color w:val="000000"/>
          <w:sz w:val="20"/>
        </w:rPr>
        <w:t xml:space="preserve">Because Block has not alleged conduct that violates Title II (the first step of </w:t>
      </w:r>
      <w:bookmarkStart w:id="6943" w:name="Bookmark_I5YDCW722N1PR10030000400"/>
      <w:bookmarkEnd w:id="6943"/>
      <w:r>
        <w:rPr>
          <w:rFonts w:ascii="Arial" w:eastAsia="Arial" w:hAnsi="Arial" w:cs="Arial"/>
          <w:i/>
          <w:color w:val="000000"/>
          <w:sz w:val="20"/>
        </w:rPr>
        <w:t>Georgia</w:t>
      </w:r>
      <w:r>
        <w:rPr>
          <w:rFonts w:ascii="Arial" w:eastAsia="Arial" w:hAnsi="Arial" w:cs="Arial"/>
          <w:color w:val="000000"/>
          <w:sz w:val="20"/>
        </w:rPr>
        <w:t xml:space="preserve">), we AFFIRM the dismissal of his ADA claims as barred by sovereign immunity, and do not decide whether Congress's purported abrogation was a valid exercise of its power under § 5 of the Fourteenth Amendment. We also AFFIRM the district court's dismissal of Block's Rehabilitation Act and Fourteenth Amendment claims as barred by sovereign immunity. </w:t>
      </w:r>
      <w:bookmarkStart w:id="6944" w:name="Bookmark_LNHNREFclscc14_14"/>
      <w:bookmarkEnd w:id="6944"/>
      <w:r>
        <w:rPr>
          <w:rFonts w:ascii="Arial" w:eastAsia="Arial" w:hAnsi="Arial" w:cs="Arial"/>
          <w:color w:val="000000"/>
          <w:sz w:val="20"/>
        </w:rPr>
        <w:t>However, because "[c]laims barred by sovereign immunity are dismissed without prejudice, not with prejudice,"</w:t>
      </w:r>
      <w:r>
        <w:rPr>
          <w:rFonts w:ascii="Arial" w:eastAsia="Arial" w:hAnsi="Arial" w:cs="Arial"/>
          <w:vertAlign w:val="superscript"/>
        </w:rPr>
        <w:footnoteReference w:customMarkFollows="1" w:id="313"/>
        <w:t>26</w:t>
      </w:r>
      <w:r>
        <w:rPr>
          <w:rFonts w:ascii="Arial" w:eastAsia="Arial" w:hAnsi="Arial" w:cs="Arial"/>
          <w:color w:val="000000"/>
          <w:sz w:val="20"/>
        </w:rPr>
        <w:t xml:space="preserve"> we modify the district court's judgment from a dismissal with prejudice to a dismissal without prejudice.</w:t>
      </w:r>
    </w:p>
    <w:p w14:paraId="309ED4C7" w14:textId="77777777" w:rsidR="002B10A6" w:rsidRDefault="00000000">
      <w:pPr>
        <w:pStyle w:val="Normal36"/>
        <w:widowControl w:val="0"/>
        <w:spacing w:before="200" w:line="260" w:lineRule="atLeast"/>
        <w:jc w:val="both"/>
      </w:pPr>
      <w:bookmarkStart w:id="6947" w:name="Bookmark_para_23_21"/>
      <w:bookmarkEnd w:id="6947"/>
      <w:r>
        <w:rPr>
          <w:rFonts w:ascii="Arial" w:eastAsia="Arial" w:hAnsi="Arial" w:cs="Arial"/>
          <w:color w:val="000000"/>
          <w:sz w:val="20"/>
        </w:rPr>
        <w:t>As modified, we AFFIRM the district court's judgment.</w:t>
      </w:r>
    </w:p>
    <w:p w14:paraId="5855953B" w14:textId="77777777" w:rsidR="002B10A6" w:rsidRDefault="002B10A6">
      <w:pPr>
        <w:pStyle w:val="Normal36"/>
      </w:pPr>
    </w:p>
    <w:p w14:paraId="664AE873" w14:textId="479770C2" w:rsidR="002B10A6" w:rsidRDefault="00000000">
      <w:pPr>
        <w:pStyle w:val="Normal36"/>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39136" behindDoc="0" locked="0" layoutInCell="1" allowOverlap="1" wp14:anchorId="053E237F" wp14:editId="22984B8F">
                <wp:simplePos x="0" y="0"/>
                <wp:positionH relativeFrom="column">
                  <wp:posOffset>0</wp:posOffset>
                </wp:positionH>
                <wp:positionV relativeFrom="paragraph">
                  <wp:posOffset>127000</wp:posOffset>
                </wp:positionV>
                <wp:extent cx="6502400" cy="0"/>
                <wp:effectExtent l="9525" t="12700" r="12700" b="6350"/>
                <wp:wrapNone/>
                <wp:docPr id="1177241475"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72C074" id="Line 80"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2C472D2" w14:textId="77777777" w:rsidR="002B10A6" w:rsidRDefault="002B10A6">
      <w:pPr>
        <w:pStyle w:val="Normal37"/>
        <w:sectPr w:rsidR="002B10A6">
          <w:headerReference w:type="even" r:id="rId228"/>
          <w:headerReference w:type="default" r:id="rId229"/>
          <w:footerReference w:type="even" r:id="rId230"/>
          <w:footerReference w:type="default" r:id="rId231"/>
          <w:headerReference w:type="first" r:id="rId232"/>
          <w:footerReference w:type="first" r:id="rId233"/>
          <w:pgSz w:w="12240" w:h="15840"/>
          <w:pgMar w:top="840" w:right="1000" w:bottom="840" w:left="1000" w:header="400" w:footer="400" w:gutter="0"/>
          <w:cols w:space="720"/>
          <w:titlePg/>
        </w:sectPr>
      </w:pPr>
    </w:p>
    <w:p w14:paraId="2575C379" w14:textId="77777777" w:rsidR="002B10A6" w:rsidRDefault="002B10A6">
      <w:pPr>
        <w:pStyle w:val="Normal37"/>
      </w:pPr>
    </w:p>
    <w:p w14:paraId="31D8C2FD" w14:textId="77777777" w:rsidR="002B10A6" w:rsidRDefault="00000000">
      <w:pPr>
        <w:pStyle w:val="Heading136"/>
        <w:keepNext w:val="0"/>
        <w:widowControl w:val="0"/>
        <w:spacing w:after="200" w:line="340" w:lineRule="atLeast"/>
        <w:jc w:val="center"/>
      </w:pPr>
      <w:r>
        <w:rPr>
          <w:rFonts w:eastAsia="Arial"/>
          <w:color w:val="000000"/>
          <w:sz w:val="28"/>
        </w:rPr>
        <w:t>Quality of Life, Corp. v. City of Margate</w:t>
      </w:r>
    </w:p>
    <w:p w14:paraId="63BD2911" w14:textId="77777777" w:rsidR="002B10A6" w:rsidRDefault="00000000">
      <w:pPr>
        <w:pStyle w:val="Normal37"/>
        <w:widowControl w:val="0"/>
        <w:spacing w:before="120" w:line="260" w:lineRule="atLeast"/>
        <w:jc w:val="center"/>
      </w:pPr>
      <w:r>
        <w:rPr>
          <w:rFonts w:ascii="Arial" w:eastAsia="Arial" w:hAnsi="Arial" w:cs="Arial"/>
          <w:color w:val="000000"/>
          <w:sz w:val="20"/>
        </w:rPr>
        <w:t>United States Court of Appeals for the Eleventh Circuit</w:t>
      </w:r>
    </w:p>
    <w:p w14:paraId="6ADD641D" w14:textId="77777777" w:rsidR="002B10A6" w:rsidRDefault="00000000">
      <w:pPr>
        <w:pStyle w:val="Normal37"/>
        <w:widowControl w:val="0"/>
        <w:spacing w:before="120" w:line="260" w:lineRule="atLeast"/>
        <w:jc w:val="center"/>
      </w:pPr>
      <w:r>
        <w:rPr>
          <w:rFonts w:ascii="Arial" w:eastAsia="Arial" w:hAnsi="Arial" w:cs="Arial"/>
          <w:color w:val="000000"/>
          <w:sz w:val="20"/>
        </w:rPr>
        <w:t>February 28, 2020, Decided; February 28, 2020, Filed</w:t>
      </w:r>
    </w:p>
    <w:p w14:paraId="4A569ECD" w14:textId="77777777" w:rsidR="002B10A6" w:rsidRDefault="00000000">
      <w:pPr>
        <w:pStyle w:val="Normal37"/>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18-14443</w:t>
      </w:r>
    </w:p>
    <w:p w14:paraId="7816F875" w14:textId="77777777" w:rsidR="002B10A6" w:rsidRDefault="002B10A6">
      <w:pPr>
        <w:pStyle w:val="Normal37"/>
        <w:widowControl w:val="0"/>
        <w:spacing w:line="240" w:lineRule="atLeast"/>
        <w:jc w:val="both"/>
      </w:pPr>
      <w:bookmarkStart w:id="6948" w:name="Bookmark_38"/>
      <w:bookmarkEnd w:id="6948"/>
    </w:p>
    <w:p w14:paraId="2446A67A" w14:textId="77777777" w:rsidR="002B10A6" w:rsidRDefault="00000000">
      <w:pPr>
        <w:pStyle w:val="Normal37"/>
        <w:widowControl w:val="0"/>
        <w:spacing w:before="200" w:line="240" w:lineRule="atLeast"/>
      </w:pPr>
      <w:bookmarkStart w:id="6949" w:name="Reporter_36"/>
      <w:bookmarkEnd w:id="6949"/>
      <w:r>
        <w:rPr>
          <w:rFonts w:ascii="Arial" w:eastAsia="Arial" w:hAnsi="Arial" w:cs="Arial"/>
          <w:b/>
          <w:color w:val="000000"/>
          <w:sz w:val="18"/>
        </w:rPr>
        <w:t>Reporter</w:t>
      </w:r>
    </w:p>
    <w:p w14:paraId="456D6778" w14:textId="77777777" w:rsidR="002B10A6" w:rsidRDefault="00000000">
      <w:pPr>
        <w:pStyle w:val="Normal37"/>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805 Fed. Appx. 762 *; 2020 U.S. App. LEXIS 6174 **</w:t>
      </w:r>
    </w:p>
    <w:p w14:paraId="11273592" w14:textId="77777777" w:rsidR="002B10A6" w:rsidRDefault="00000000">
      <w:pPr>
        <w:pStyle w:val="Normal37"/>
        <w:widowControl w:val="0"/>
        <w:spacing w:before="120" w:line="260" w:lineRule="atLeast"/>
      </w:pPr>
      <w:r>
        <w:rPr>
          <w:rFonts w:ascii="Arial" w:eastAsia="Arial" w:hAnsi="Arial" w:cs="Arial"/>
          <w:color w:val="000000"/>
          <w:sz w:val="20"/>
        </w:rPr>
        <w:t>QUALITY OF LIFE, CORP., formerly known as Margate Rehabilitation Center, MMJ FINANCIAL SERVICES, INC., Plaintiffs - Appellants, versus THE CITY OF MARGATE, Defendant - Appellee.</w:t>
      </w:r>
    </w:p>
    <w:p w14:paraId="283EE6C0" w14:textId="77777777" w:rsidR="002B10A6" w:rsidRDefault="00000000">
      <w:pPr>
        <w:pStyle w:val="Normal37"/>
        <w:widowControl w:val="0"/>
        <w:spacing w:before="240" w:line="260" w:lineRule="atLeast"/>
        <w:jc w:val="both"/>
      </w:pPr>
      <w:bookmarkStart w:id="6950" w:name="Notice_13"/>
      <w:bookmarkEnd w:id="6950"/>
      <w:r>
        <w:rPr>
          <w:rFonts w:ascii="Arial" w:eastAsia="Arial" w:hAnsi="Arial" w:cs="Arial"/>
          <w:b/>
          <w:color w:val="000000"/>
          <w:sz w:val="20"/>
        </w:rPr>
        <w:t>Notice:</w:t>
      </w:r>
      <w:r>
        <w:rPr>
          <w:rFonts w:ascii="Arial" w:eastAsia="Arial" w:hAnsi="Arial" w:cs="Arial"/>
          <w:color w:val="000000"/>
          <w:sz w:val="20"/>
        </w:rPr>
        <w:t> </w:t>
      </w:r>
      <w:bookmarkStart w:id="6951" w:name="Bookmark_para_1_36"/>
      <w:bookmarkEnd w:id="6951"/>
      <w:r>
        <w:rPr>
          <w:rFonts w:ascii="Arial" w:eastAsia="Arial" w:hAnsi="Arial" w:cs="Arial"/>
          <w:color w:val="000000"/>
          <w:sz w:val="20"/>
        </w:rPr>
        <w:t>PLEASE REFER TO FEDERAL RULES OF APPELLATE PROCEDURE RULE 32.1 GOVERNING THE CITATION TO UNPUBLISHED OPINIONS.</w:t>
      </w:r>
    </w:p>
    <w:p w14:paraId="10271CE2" w14:textId="77777777" w:rsidR="002B10A6" w:rsidRDefault="00000000">
      <w:pPr>
        <w:pStyle w:val="Normal37"/>
        <w:widowControl w:val="0"/>
        <w:spacing w:before="240" w:line="260" w:lineRule="atLeast"/>
        <w:jc w:val="both"/>
      </w:pPr>
      <w:bookmarkStart w:id="6952" w:name="Prior_History_36"/>
      <w:bookmarkEnd w:id="6952"/>
      <w:r>
        <w:rPr>
          <w:rFonts w:ascii="Arial" w:eastAsia="Arial" w:hAnsi="Arial" w:cs="Arial"/>
          <w:b/>
          <w:color w:val="000000"/>
          <w:sz w:val="20"/>
        </w:rPr>
        <w:t>Prior History:</w:t>
      </w:r>
      <w:r>
        <w:rPr>
          <w:rFonts w:ascii="Arial" w:eastAsia="Arial" w:hAnsi="Arial" w:cs="Arial"/>
          <w:color w:val="000000"/>
          <w:sz w:val="20"/>
        </w:rPr>
        <w:t> </w:t>
      </w:r>
      <w:bookmarkStart w:id="6953" w:name="Bookmark_para_2_36"/>
      <w:bookmarkEnd w:id="6953"/>
      <w:r>
        <w:rPr>
          <w:rFonts w:ascii="Arial" w:eastAsia="Arial" w:hAnsi="Arial" w:cs="Arial"/>
          <w:color w:val="000000"/>
          <w:sz w:val="20"/>
        </w:rPr>
        <w:t> [**1] Appeal from the United States District Court for the Southern District of Florida. D.C. Docket No. 0:17-cv-61894-BB.</w:t>
      </w:r>
    </w:p>
    <w:p w14:paraId="478BC85E" w14:textId="77777777" w:rsidR="002B10A6" w:rsidRDefault="00000000">
      <w:pPr>
        <w:pStyle w:val="Normal37"/>
        <w:widowControl w:val="0"/>
        <w:spacing w:before="120" w:line="260" w:lineRule="atLeast"/>
      </w:pPr>
      <w:r>
        <w:rPr>
          <w:rFonts w:ascii="Arial" w:eastAsia="Arial" w:hAnsi="Arial" w:cs="Arial"/>
          <w:color w:val="000000"/>
          <w:sz w:val="20"/>
        </w:rPr>
        <w:t>Quality of Life v. City of Margate, 2018 U.S. Dist. LEXIS 232758 (S.D. Fla., Sept. 14, 2018)</w:t>
      </w:r>
    </w:p>
    <w:p w14:paraId="589295D0" w14:textId="77777777" w:rsidR="002B10A6" w:rsidRDefault="00000000">
      <w:pPr>
        <w:pStyle w:val="Normal37"/>
        <w:widowControl w:val="0"/>
        <w:spacing w:before="240" w:line="260" w:lineRule="atLeast"/>
        <w:jc w:val="both"/>
      </w:pPr>
      <w:bookmarkStart w:id="6954" w:name="Disposition_11"/>
      <w:bookmarkEnd w:id="6954"/>
      <w:r>
        <w:rPr>
          <w:rFonts w:ascii="Arial" w:eastAsia="Arial" w:hAnsi="Arial" w:cs="Arial"/>
          <w:b/>
          <w:color w:val="000000"/>
          <w:sz w:val="20"/>
        </w:rPr>
        <w:t>Disposition:</w:t>
      </w:r>
      <w:r>
        <w:rPr>
          <w:rFonts w:ascii="Arial" w:eastAsia="Arial" w:hAnsi="Arial" w:cs="Arial"/>
          <w:color w:val="000000"/>
          <w:sz w:val="20"/>
        </w:rPr>
        <w:t> </w:t>
      </w:r>
      <w:bookmarkStart w:id="6955" w:name="Bookmark_clspara_4_10"/>
      <w:bookmarkEnd w:id="6955"/>
      <w:r>
        <w:rPr>
          <w:rFonts w:ascii="Arial" w:eastAsia="Arial" w:hAnsi="Arial" w:cs="Arial"/>
          <w:color w:val="000000"/>
          <w:sz w:val="20"/>
        </w:rPr>
        <w:t>AFFIRMED.</w:t>
      </w:r>
    </w:p>
    <w:p w14:paraId="0A8A3A56" w14:textId="77777777" w:rsidR="002B10A6" w:rsidRDefault="00000000">
      <w:pPr>
        <w:pStyle w:val="Normal37"/>
        <w:widowControl w:val="0"/>
        <w:spacing w:before="240" w:line="260" w:lineRule="atLeast"/>
      </w:pPr>
      <w:bookmarkStart w:id="6956" w:name="Counsel_35"/>
      <w:bookmarkEnd w:id="6956"/>
      <w:r>
        <w:rPr>
          <w:rFonts w:ascii="Arial" w:eastAsia="Arial" w:hAnsi="Arial" w:cs="Arial"/>
          <w:b/>
          <w:color w:val="000000"/>
          <w:sz w:val="20"/>
        </w:rPr>
        <w:t>Counsel:</w:t>
      </w:r>
      <w:r>
        <w:rPr>
          <w:rFonts w:ascii="Arial" w:eastAsia="Arial" w:hAnsi="Arial" w:cs="Arial"/>
          <w:color w:val="000000"/>
          <w:sz w:val="20"/>
        </w:rPr>
        <w:t> For QUALITY OF LIFE, CORP., MMJ FINANCIAL SERVICES, INC., Plaintiffs - Appellants: Jennifer Olmedo-Rodriguez, Kyle Teal, Buchanan Ingersoll &amp; Rooney, PC, MIAMI, FL.</w:t>
      </w:r>
    </w:p>
    <w:p w14:paraId="73ECACB0" w14:textId="77777777" w:rsidR="002B10A6" w:rsidRDefault="00000000">
      <w:pPr>
        <w:pStyle w:val="Normal37"/>
        <w:widowControl w:val="0"/>
        <w:spacing w:before="120" w:line="260" w:lineRule="atLeast"/>
      </w:pPr>
      <w:r>
        <w:rPr>
          <w:rFonts w:ascii="Arial" w:eastAsia="Arial" w:hAnsi="Arial" w:cs="Arial"/>
          <w:color w:val="000000"/>
          <w:sz w:val="20"/>
        </w:rPr>
        <w:t>For CITY OF MARGATE, Defendant - Appellee: Lyman Hawley Reynolds, Jr., George Preston Roberts, Jr., Andrea G. Amigo, Roberts Reynolds Bedard &amp; Tuzzio, PLLC, WEST PALM BEACH, FL.</w:t>
      </w:r>
    </w:p>
    <w:p w14:paraId="59A9C5A9" w14:textId="77777777" w:rsidR="002B10A6" w:rsidRDefault="00000000">
      <w:pPr>
        <w:pStyle w:val="Normal37"/>
        <w:widowControl w:val="0"/>
        <w:spacing w:before="240" w:line="260" w:lineRule="atLeast"/>
      </w:pPr>
      <w:bookmarkStart w:id="6957" w:name="Judges_36"/>
      <w:bookmarkEnd w:id="6957"/>
      <w:r>
        <w:rPr>
          <w:rFonts w:ascii="Arial" w:eastAsia="Arial" w:hAnsi="Arial" w:cs="Arial"/>
          <w:b/>
          <w:color w:val="000000"/>
          <w:sz w:val="20"/>
        </w:rPr>
        <w:t>Judges:</w:t>
      </w:r>
      <w:r>
        <w:rPr>
          <w:rFonts w:ascii="Arial" w:eastAsia="Arial" w:hAnsi="Arial" w:cs="Arial"/>
          <w:color w:val="000000"/>
          <w:sz w:val="20"/>
        </w:rPr>
        <w:t> Before NEWSOM, TJOFLAT, and GINSBURG,</w:t>
      </w:r>
      <w:r>
        <w:rPr>
          <w:rFonts w:ascii="Arial" w:eastAsia="Arial" w:hAnsi="Arial" w:cs="Arial"/>
          <w:vertAlign w:val="superscript"/>
        </w:rPr>
        <w:footnoteReference w:customMarkFollows="1" w:id="314"/>
        <w:t>*</w:t>
      </w:r>
      <w:r>
        <w:rPr>
          <w:rFonts w:ascii="Arial" w:eastAsia="Arial" w:hAnsi="Arial" w:cs="Arial"/>
          <w:color w:val="000000"/>
          <w:sz w:val="20"/>
        </w:rPr>
        <w:t xml:space="preserve"> Circuit Judges.</w:t>
      </w:r>
    </w:p>
    <w:p w14:paraId="6110C99F" w14:textId="77777777" w:rsidR="002B10A6" w:rsidRDefault="00000000">
      <w:pPr>
        <w:pStyle w:val="Normal37"/>
        <w:widowControl w:val="0"/>
        <w:spacing w:before="240" w:line="260" w:lineRule="atLeast"/>
      </w:pPr>
      <w:bookmarkStart w:id="6959" w:name="Opinion_by_25"/>
      <w:bookmarkEnd w:id="6959"/>
      <w:r>
        <w:rPr>
          <w:rFonts w:ascii="Arial" w:eastAsia="Arial" w:hAnsi="Arial" w:cs="Arial"/>
          <w:b/>
          <w:color w:val="000000"/>
          <w:sz w:val="20"/>
        </w:rPr>
        <w:t>Opinion by:</w:t>
      </w:r>
      <w:r>
        <w:rPr>
          <w:rFonts w:ascii="Arial" w:eastAsia="Arial" w:hAnsi="Arial" w:cs="Arial"/>
          <w:color w:val="000000"/>
          <w:sz w:val="20"/>
        </w:rPr>
        <w:t> NEWSOM</w:t>
      </w:r>
    </w:p>
    <w:p w14:paraId="5C13C1CF" w14:textId="77777777" w:rsidR="002B10A6" w:rsidRDefault="00000000">
      <w:pPr>
        <w:pStyle w:val="Normal37"/>
        <w:keepNext/>
        <w:widowControl w:val="0"/>
        <w:spacing w:before="240" w:line="340" w:lineRule="atLeast"/>
      </w:pPr>
      <w:bookmarkStart w:id="6960" w:name="Opinion_36"/>
      <w:bookmarkEnd w:id="6960"/>
      <w:r>
        <w:rPr>
          <w:rFonts w:ascii="Arial" w:eastAsia="Arial" w:hAnsi="Arial" w:cs="Arial"/>
          <w:b/>
          <w:color w:val="000000"/>
          <w:sz w:val="28"/>
        </w:rPr>
        <w:t>Opinion</w:t>
      </w:r>
    </w:p>
    <w:p w14:paraId="7CFF155C" w14:textId="11E1CD54" w:rsidR="002B10A6" w:rsidRDefault="002D6974">
      <w:pPr>
        <w:pStyle w:val="Normal37"/>
        <w:spacing w:line="60" w:lineRule="exact"/>
      </w:pPr>
      <w:r>
        <w:rPr>
          <w:noProof/>
        </w:rPr>
        <mc:AlternateContent>
          <mc:Choice Requires="wps">
            <w:drawing>
              <wp:anchor distT="0" distB="0" distL="114300" distR="114300" simplePos="0" relativeHeight="251740160" behindDoc="0" locked="0" layoutInCell="1" allowOverlap="1" wp14:anchorId="3BE48113" wp14:editId="6F8D1169">
                <wp:simplePos x="0" y="0"/>
                <wp:positionH relativeFrom="column">
                  <wp:posOffset>0</wp:posOffset>
                </wp:positionH>
                <wp:positionV relativeFrom="paragraph">
                  <wp:posOffset>25400</wp:posOffset>
                </wp:positionV>
                <wp:extent cx="3187700" cy="0"/>
                <wp:effectExtent l="19050" t="15875" r="12700" b="12700"/>
                <wp:wrapTopAndBottom/>
                <wp:docPr id="1738521598"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0C9AA" id="Line 8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0E37197" w14:textId="77777777" w:rsidR="002B10A6" w:rsidRDefault="002B10A6">
      <w:pPr>
        <w:pStyle w:val="Normal37"/>
      </w:pPr>
    </w:p>
    <w:p w14:paraId="1089A1C6" w14:textId="77777777" w:rsidR="002B10A6" w:rsidRDefault="00000000">
      <w:pPr>
        <w:pStyle w:val="Normal37"/>
        <w:widowControl w:val="0"/>
        <w:spacing w:before="200" w:line="260" w:lineRule="atLeast"/>
        <w:jc w:val="both"/>
      </w:pPr>
      <w:bookmarkStart w:id="6961" w:name="Bookmark_para_3_36"/>
      <w:bookmarkEnd w:id="6961"/>
      <w:r>
        <w:rPr>
          <w:rFonts w:ascii="Arial" w:eastAsia="Arial" w:hAnsi="Arial" w:cs="Arial"/>
          <w:color w:val="000000"/>
          <w:sz w:val="20"/>
        </w:rPr>
        <w:t> [*765]  NEWSOM, Circuit Judge:</w:t>
      </w:r>
    </w:p>
    <w:p w14:paraId="0B0FDC56" w14:textId="77777777" w:rsidR="002B10A6" w:rsidRDefault="00000000">
      <w:pPr>
        <w:pStyle w:val="Normal37"/>
        <w:widowControl w:val="0"/>
        <w:spacing w:before="200" w:line="260" w:lineRule="atLeast"/>
        <w:jc w:val="both"/>
      </w:pPr>
      <w:bookmarkStart w:id="6962" w:name="Bookmark_para_4_36"/>
      <w:bookmarkEnd w:id="6962"/>
      <w:r>
        <w:rPr>
          <w:rFonts w:ascii="Arial" w:eastAsia="Arial" w:hAnsi="Arial" w:cs="Arial"/>
          <w:color w:val="000000"/>
          <w:sz w:val="20"/>
        </w:rPr>
        <w:t>This case arises from a protracted zoning dispute between Quality of Life and MMJ Financial Services (two Florida entities owned by Miryam Jimenez to which we'll refer collectively as "Quality of Life") and the City of Margate, Florida. Quality of Life sought and received permission from the City to operate an assisted-living facility for the elderly in an area zoned for residential use. Rather than following through with that plan, though, Quality of Life decided to open a drug-detoxification facility and insisted that the City's green light to operate an assisted-living facility also permitted it to operate a detox. When the City opposed its change [**2]  of plans, Quality of Life took the dispute to court, alleging that the City's actions were motivated by discrimination against people in recovery. Having lost at summary judgment in the district court, Quality of Life argues on appeal (1) that the City's actions violated the Fair Housing Act and the Americans with Disabilities Act, (2) that the City is estopped from preventing it from operating as a drug-detox facility, (3) that the district court didn't properly address its declaratory and injunctive relief claims, and (4) that the district court erred in denying its motion for reconsideration.</w:t>
      </w:r>
    </w:p>
    <w:p w14:paraId="7A847394" w14:textId="77777777" w:rsidR="002B10A6" w:rsidRDefault="00000000">
      <w:pPr>
        <w:pStyle w:val="Normal37"/>
        <w:widowControl w:val="0"/>
        <w:spacing w:before="200" w:line="260" w:lineRule="atLeast"/>
        <w:jc w:val="both"/>
      </w:pPr>
      <w:bookmarkStart w:id="6963" w:name="Bookmark_para_5_36"/>
      <w:bookmarkEnd w:id="6963"/>
      <w:r>
        <w:rPr>
          <w:rFonts w:ascii="Arial" w:eastAsia="Arial" w:hAnsi="Arial" w:cs="Arial"/>
          <w:color w:val="000000"/>
          <w:sz w:val="20"/>
        </w:rPr>
        <w:t>We reject each of Quality of Life's contentions. We therefore affirm the district court's orders granting the City's motion for summary judgment and denying Quality of Life's motion for reconsideration.</w:t>
      </w:r>
    </w:p>
    <w:p w14:paraId="4652F8A4" w14:textId="77777777" w:rsidR="002B10A6" w:rsidRDefault="00000000">
      <w:pPr>
        <w:pStyle w:val="Normal37"/>
        <w:widowControl w:val="0"/>
        <w:spacing w:before="240" w:line="260" w:lineRule="atLeast"/>
      </w:pPr>
      <w:r>
        <w:br/>
      </w:r>
      <w:r>
        <w:rPr>
          <w:rFonts w:ascii="Arial" w:eastAsia="Arial" w:hAnsi="Arial" w:cs="Arial"/>
          <w:b/>
          <w:color w:val="000000"/>
          <w:sz w:val="20"/>
        </w:rPr>
        <w:t>I</w:t>
      </w:r>
    </w:p>
    <w:p w14:paraId="7819796D" w14:textId="77777777" w:rsidR="002B10A6" w:rsidRDefault="00000000">
      <w:pPr>
        <w:pStyle w:val="Normal37"/>
        <w:widowControl w:val="0"/>
        <w:spacing w:before="200" w:line="260" w:lineRule="atLeast"/>
        <w:jc w:val="both"/>
      </w:pPr>
      <w:bookmarkStart w:id="6964" w:name="Bookmark_para_6_36"/>
      <w:bookmarkEnd w:id="6964"/>
      <w:r>
        <w:rPr>
          <w:rFonts w:ascii="Arial" w:eastAsia="Arial" w:hAnsi="Arial" w:cs="Arial"/>
          <w:color w:val="000000"/>
          <w:sz w:val="20"/>
        </w:rPr>
        <w:t>In any given zone within the City of Margate, there are three categories of uses: (1) permitted use (</w:t>
      </w:r>
      <w:r>
        <w:rPr>
          <w:rFonts w:ascii="Arial" w:eastAsia="Arial" w:hAnsi="Arial" w:cs="Arial"/>
          <w:i/>
          <w:color w:val="000000"/>
          <w:sz w:val="20"/>
        </w:rPr>
        <w:t>i.e.</w:t>
      </w:r>
      <w:r>
        <w:rPr>
          <w:rFonts w:ascii="Arial" w:eastAsia="Arial" w:hAnsi="Arial" w:cs="Arial"/>
          <w:color w:val="000000"/>
          <w:sz w:val="20"/>
        </w:rPr>
        <w:t>, the use is allowed as of right), (2) special-exception use (</w:t>
      </w:r>
      <w:r>
        <w:rPr>
          <w:rFonts w:ascii="Arial" w:eastAsia="Arial" w:hAnsi="Arial" w:cs="Arial"/>
          <w:i/>
          <w:color w:val="000000"/>
          <w:sz w:val="20"/>
        </w:rPr>
        <w:t>i.e.</w:t>
      </w:r>
      <w:r>
        <w:rPr>
          <w:rFonts w:ascii="Arial" w:eastAsia="Arial" w:hAnsi="Arial" w:cs="Arial"/>
          <w:color w:val="000000"/>
          <w:sz w:val="20"/>
        </w:rPr>
        <w:t>, the use is allowed, so long as the City approves it), and (3) prohibited use (</w:t>
      </w:r>
      <w:r>
        <w:rPr>
          <w:rFonts w:ascii="Arial" w:eastAsia="Arial" w:hAnsi="Arial" w:cs="Arial"/>
          <w:i/>
          <w:color w:val="000000"/>
          <w:sz w:val="20"/>
        </w:rPr>
        <w:t>i.e.</w:t>
      </w:r>
      <w:r>
        <w:rPr>
          <w:rFonts w:ascii="Arial" w:eastAsia="Arial" w:hAnsi="Arial" w:cs="Arial"/>
          <w:color w:val="000000"/>
          <w:sz w:val="20"/>
        </w:rPr>
        <w:t>, the use isn't allowed in the zoning district at all). Quality of Life owns the property at issue, which is located in a multi-family residential [**3]  zoning district.</w:t>
      </w:r>
    </w:p>
    <w:p w14:paraId="0454403D" w14:textId="77777777" w:rsidR="002B10A6" w:rsidRDefault="00000000">
      <w:pPr>
        <w:pStyle w:val="Normal37"/>
        <w:widowControl w:val="0"/>
        <w:spacing w:before="200" w:line="260" w:lineRule="atLeast"/>
        <w:jc w:val="both"/>
      </w:pPr>
      <w:bookmarkStart w:id="6965" w:name="Bookmark_para_7_36"/>
      <w:bookmarkEnd w:id="6965"/>
      <w:r>
        <w:rPr>
          <w:rFonts w:ascii="Arial" w:eastAsia="Arial" w:hAnsi="Arial" w:cs="Arial"/>
          <w:color w:val="000000"/>
          <w:sz w:val="20"/>
        </w:rPr>
        <w:t>Quality of Life's founder, Miryam Jimenez, sought a special-exception use from the City to operate an assisted-living facility on the property. In her application, and when appearing before the City's governing bodies, Jimenez repeatedly represented that she was applying to open an independent- or assisted-living facility for the elderly. The City Commissioners voted 5-0 in favor of approving Jimenez's application.</w:t>
      </w:r>
    </w:p>
    <w:p w14:paraId="2F311E88" w14:textId="77777777" w:rsidR="002B10A6" w:rsidRDefault="00000000">
      <w:pPr>
        <w:pStyle w:val="Normal37"/>
        <w:widowControl w:val="0"/>
        <w:spacing w:before="200" w:line="260" w:lineRule="atLeast"/>
        <w:jc w:val="both"/>
      </w:pPr>
      <w:bookmarkStart w:id="6966" w:name="Bookmark_para_8_36"/>
      <w:bookmarkEnd w:id="6966"/>
      <w:r>
        <w:rPr>
          <w:rFonts w:ascii="Arial" w:eastAsia="Arial" w:hAnsi="Arial" w:cs="Arial"/>
          <w:color w:val="000000"/>
          <w:sz w:val="20"/>
        </w:rPr>
        <w:t>After this approval, though, Jimenez notified the City that she instead wanted to open a drug-detoxification facility and began representing to others that she would do so. For example, she put up a sign in front of the property stating "COMING SOON MARGATE DETOX" and submitted building plans to the City that included labels such as "Margate Rehabilitation Center" and references to inpatient treatment areas. The City rejected the building plans, giving as its reason that the "[s]pecial exception approval was given for [an] independent living facility."</w:t>
      </w:r>
    </w:p>
    <w:p w14:paraId="0A6D0DFE" w14:textId="77777777" w:rsidR="002B10A6" w:rsidRDefault="00000000">
      <w:pPr>
        <w:pStyle w:val="Normal37"/>
        <w:widowControl w:val="0"/>
        <w:spacing w:before="200" w:line="260" w:lineRule="atLeast"/>
        <w:jc w:val="both"/>
      </w:pPr>
      <w:bookmarkStart w:id="6967" w:name="Bookmark_para_9_36"/>
      <w:bookmarkEnd w:id="6967"/>
      <w:r>
        <w:rPr>
          <w:rFonts w:ascii="Arial" w:eastAsia="Arial" w:hAnsi="Arial" w:cs="Arial"/>
          <w:color w:val="000000"/>
          <w:sz w:val="20"/>
        </w:rPr>
        <w:t> [*766]  The City sought assurances from Jimenez that she would not operate a detox facility without the City's approval. Jimenez tendered an affidavit (requested by the City, but prepared by her attorney), in which she [**4]  swore (1) that she "intend[ed] to operate a group care facility, as defined by the City of Margate Code of Ordinances, and as approved in City Resolution No. 15-010," which had approved her special-use application, and (2) that she would "not operate a detoxification facility from the Property without the prior approval of the City." Jimenez also revised her building plans, changing the project's name from "Margate Rehabilitation Center" to "Quality of Life," and removing references to doctor's offices, exam rooms, and a laboratory. The City subsequently approved the building plans as satisfying the "Institutional Group I-2 standards" of Florida's Building Code, which are used for both medical and residential properties.</w:t>
      </w:r>
    </w:p>
    <w:p w14:paraId="14BE80CC" w14:textId="77777777" w:rsidR="002B10A6" w:rsidRDefault="00000000">
      <w:pPr>
        <w:pStyle w:val="Normal37"/>
        <w:widowControl w:val="0"/>
        <w:spacing w:before="200" w:line="260" w:lineRule="atLeast"/>
        <w:jc w:val="both"/>
      </w:pPr>
      <w:bookmarkStart w:id="6968" w:name="Bookmark_para_10_35"/>
      <w:bookmarkEnd w:id="6968"/>
      <w:r>
        <w:rPr>
          <w:rFonts w:ascii="Arial" w:eastAsia="Arial" w:hAnsi="Arial" w:cs="Arial"/>
          <w:color w:val="000000"/>
          <w:sz w:val="20"/>
        </w:rPr>
        <w:t>Despite the affidavit and revised building plans, Jimenez continued to pursue a detox facility. She contended that the special-exception use that the City had granted her to open an assisted-living facility also allowed her to open a drug-detox facility. In a letter to the City, Jimenez acknowledged that she had said "under oath that [she would] not operate a Detoxification facility" without the City's approval. Jimenez explained, however, that because there was a state-imposed [**5]  moratorium on hospital beds,</w:t>
      </w:r>
      <w:r>
        <w:rPr>
          <w:rFonts w:ascii="Arial" w:eastAsia="Arial" w:hAnsi="Arial" w:cs="Arial"/>
          <w:vertAlign w:val="superscript"/>
        </w:rPr>
        <w:footnoteReference w:customMarkFollows="1" w:id="315"/>
        <w:t>1</w:t>
      </w:r>
      <w:r>
        <w:rPr>
          <w:rFonts w:ascii="Arial" w:eastAsia="Arial" w:hAnsi="Arial" w:cs="Arial"/>
          <w:color w:val="000000"/>
          <w:sz w:val="20"/>
        </w:rPr>
        <w:t xml:space="preserve"> she wanted to use her existing special exception to open a detox, which, according to her, wouldn't require "chang[ing] the zoning since the facilities are equivalent in nature."</w:t>
      </w:r>
    </w:p>
    <w:p w14:paraId="6B5FDC70" w14:textId="77777777" w:rsidR="002B10A6" w:rsidRDefault="00000000">
      <w:pPr>
        <w:pStyle w:val="Normal37"/>
        <w:widowControl w:val="0"/>
        <w:spacing w:before="200" w:line="260" w:lineRule="atLeast"/>
        <w:jc w:val="both"/>
      </w:pPr>
      <w:bookmarkStart w:id="6970" w:name="Bookmark_para_11_31"/>
      <w:bookmarkEnd w:id="6970"/>
      <w:r>
        <w:rPr>
          <w:rFonts w:ascii="Arial" w:eastAsia="Arial" w:hAnsi="Arial" w:cs="Arial"/>
          <w:color w:val="000000"/>
          <w:sz w:val="20"/>
        </w:rPr>
        <w:t>When the City refused Jimenez's requests to open a detox under her existing approval, she—through Quality of Life—sued. As relevant here, Quality of Life claimed violations of the Fair Housing Act and Americans with Disabilities Act, argued that the City was estopped under state law from rejecting Jimenez's request, and sought declaratory and injunctive relief. After dueling motions, the district court ultimately granted summary judgment in favor of the City and denied Quality of Life's motion for reconsideration.</w:t>
      </w:r>
    </w:p>
    <w:p w14:paraId="579895B8" w14:textId="77777777" w:rsidR="002B10A6" w:rsidRDefault="00000000">
      <w:pPr>
        <w:pStyle w:val="Normal37"/>
        <w:widowControl w:val="0"/>
        <w:spacing w:before="200" w:line="260" w:lineRule="atLeast"/>
        <w:jc w:val="both"/>
      </w:pPr>
      <w:bookmarkStart w:id="6971" w:name="Bookmark_para_12_30"/>
      <w:bookmarkEnd w:id="6971"/>
      <w:r>
        <w:rPr>
          <w:rFonts w:ascii="Arial" w:eastAsia="Arial" w:hAnsi="Arial" w:cs="Arial"/>
          <w:color w:val="000000"/>
          <w:sz w:val="20"/>
        </w:rPr>
        <w:t>This is Quality of Life's appeal.</w:t>
      </w:r>
      <w:r>
        <w:rPr>
          <w:rFonts w:ascii="Arial" w:eastAsia="Arial" w:hAnsi="Arial" w:cs="Arial"/>
          <w:vertAlign w:val="superscript"/>
        </w:rPr>
        <w:footnoteReference w:customMarkFollows="1" w:id="316"/>
        <w:t>2</w:t>
      </w:r>
    </w:p>
    <w:p w14:paraId="13B49661" w14:textId="77777777" w:rsidR="002B10A6" w:rsidRDefault="00000000">
      <w:pPr>
        <w:pStyle w:val="Normal37"/>
        <w:widowControl w:val="0"/>
        <w:spacing w:before="240" w:line="260" w:lineRule="atLeast"/>
      </w:pPr>
      <w:r>
        <w:br/>
      </w:r>
      <w:r>
        <w:rPr>
          <w:rFonts w:ascii="Arial" w:eastAsia="Arial" w:hAnsi="Arial" w:cs="Arial"/>
          <w:b/>
          <w:color w:val="000000"/>
          <w:sz w:val="20"/>
        </w:rPr>
        <w:t>II</w:t>
      </w:r>
    </w:p>
    <w:p w14:paraId="11F9B53F" w14:textId="77777777" w:rsidR="002B10A6" w:rsidRDefault="00000000">
      <w:pPr>
        <w:pStyle w:val="Normal37"/>
        <w:widowControl w:val="0"/>
        <w:spacing w:before="240" w:line="260" w:lineRule="atLeast"/>
      </w:pPr>
      <w:r>
        <w:br/>
      </w:r>
      <w:r>
        <w:rPr>
          <w:rFonts w:ascii="Arial" w:eastAsia="Arial" w:hAnsi="Arial" w:cs="Arial"/>
          <w:b/>
          <w:color w:val="000000"/>
          <w:sz w:val="20"/>
        </w:rPr>
        <w:t>A</w:t>
      </w:r>
    </w:p>
    <w:p w14:paraId="33AAF998" w14:textId="77777777" w:rsidR="002B10A6" w:rsidRDefault="00000000">
      <w:pPr>
        <w:pStyle w:val="Normal37"/>
        <w:widowControl w:val="0"/>
        <w:spacing w:before="200" w:line="260" w:lineRule="atLeast"/>
        <w:jc w:val="both"/>
      </w:pPr>
      <w:bookmarkStart w:id="6980" w:name="Bookmark_para_13_30"/>
      <w:bookmarkStart w:id="6981" w:name="Bookmark_I5YBP9GB2N1PX90010000400"/>
      <w:bookmarkStart w:id="6982" w:name="Bookmark_I5YBP9GB2N1PX90030000400"/>
      <w:bookmarkEnd w:id="6980"/>
      <w:bookmarkEnd w:id="6981"/>
      <w:bookmarkEnd w:id="6982"/>
      <w:r>
        <w:rPr>
          <w:rFonts w:ascii="Arial" w:eastAsia="Arial" w:hAnsi="Arial" w:cs="Arial"/>
          <w:color w:val="000000"/>
          <w:sz w:val="20"/>
        </w:rPr>
        <w:t xml:space="preserve">We first examine Quality of Life's argument that the City discriminated against it in violation of the Fair Housing Act and the Americans with Disabilities Act. </w:t>
      </w:r>
      <w:bookmarkStart w:id="6983" w:name="Bookmark_LNHNREFclscc3_29"/>
      <w:bookmarkEnd w:id="6983"/>
      <w:r>
        <w:rPr>
          <w:rFonts w:ascii="Arial" w:eastAsia="Arial" w:hAnsi="Arial" w:cs="Arial"/>
          <w:color w:val="000000"/>
          <w:sz w:val="20"/>
        </w:rPr>
        <w:t xml:space="preserve">The FHA prohibits, among other things, discrimination on the basis of a handicap in the sale, rental, and financing of "dwellings" and in other housing-related matters. 42 U.S.C. § 3604(f); </w:t>
      </w:r>
      <w:r>
        <w:rPr>
          <w:rFonts w:ascii="Arial" w:eastAsia="Arial" w:hAnsi="Arial" w:cs="Arial"/>
          <w:i/>
          <w:color w:val="000000"/>
          <w:sz w:val="20"/>
        </w:rPr>
        <w:t xml:space="preserve">see also </w:t>
      </w:r>
      <w:bookmarkStart w:id="6984" w:name="Bookmark_I5YBP9G92D6NM60050000400"/>
      <w:bookmarkEnd w:id="6984"/>
      <w:r>
        <w:rPr>
          <w:rFonts w:ascii="Arial" w:eastAsia="Arial" w:hAnsi="Arial" w:cs="Arial"/>
          <w:i/>
          <w:color w:val="000000"/>
          <w:sz w:val="20"/>
        </w:rPr>
        <w:t>Schwarz v. City of Treasure Island</w:t>
      </w:r>
      <w:r>
        <w:rPr>
          <w:rFonts w:ascii="Arial" w:eastAsia="Arial" w:hAnsi="Arial" w:cs="Arial"/>
          <w:color w:val="000000"/>
          <w:sz w:val="20"/>
        </w:rPr>
        <w:t xml:space="preserve">, 544 F.3d 1201, 1212 (11th Cir. 2008) (explaining that the Fair Housing Amendments Act of 1988 amended the FHA to add the handicapped as a protected class). </w:t>
      </w:r>
      <w:bookmarkStart w:id="6985" w:name="Bookmark_LNHNREFclscc4_29"/>
      <w:bookmarkEnd w:id="6985"/>
      <w:r>
        <w:rPr>
          <w:rFonts w:ascii="Arial" w:eastAsia="Arial" w:hAnsi="Arial" w:cs="Arial"/>
          <w:color w:val="000000"/>
          <w:sz w:val="20"/>
        </w:rPr>
        <w:t xml:space="preserve">Title II of [**6]  the ADA prohibits public entities from discriminating against individuals with disabilities. 42 U.S.C. § 12132; </w:t>
      </w:r>
      <w:bookmarkStart w:id="6986" w:name="Bookmark_I5YBP9GB2N1PX90020000400"/>
      <w:bookmarkEnd w:id="6986"/>
      <w:r>
        <w:rPr>
          <w:rFonts w:ascii="Arial" w:eastAsia="Arial" w:hAnsi="Arial" w:cs="Arial"/>
          <w:i/>
          <w:color w:val="000000"/>
          <w:sz w:val="20"/>
        </w:rPr>
        <w:t>Bircoll v. Miami-Dade  [*767]  County</w:t>
      </w:r>
      <w:r>
        <w:rPr>
          <w:rFonts w:ascii="Arial" w:eastAsia="Arial" w:hAnsi="Arial" w:cs="Arial"/>
          <w:color w:val="000000"/>
          <w:sz w:val="20"/>
        </w:rPr>
        <w:t>, 480 F.3d 1072, 1081 (11th Cir. 2007).</w:t>
      </w:r>
      <w:r>
        <w:rPr>
          <w:rFonts w:ascii="Arial" w:eastAsia="Arial" w:hAnsi="Arial" w:cs="Arial"/>
          <w:vertAlign w:val="superscript"/>
        </w:rPr>
        <w:footnoteReference w:customMarkFollows="1" w:id="317"/>
        <w:t>3</w:t>
      </w:r>
    </w:p>
    <w:p w14:paraId="41360F8A" w14:textId="77777777" w:rsidR="002B10A6" w:rsidRDefault="00000000">
      <w:pPr>
        <w:pStyle w:val="Normal37"/>
        <w:widowControl w:val="0"/>
        <w:spacing w:before="200" w:line="260" w:lineRule="atLeast"/>
        <w:jc w:val="both"/>
      </w:pPr>
      <w:bookmarkStart w:id="6992" w:name="Bookmark_para_14_30"/>
      <w:bookmarkStart w:id="6993" w:name="Bookmark_I5YBP9GC2N1PXB0040000400"/>
      <w:bookmarkEnd w:id="6992"/>
      <w:bookmarkEnd w:id="6993"/>
      <w:r>
        <w:rPr>
          <w:rFonts w:ascii="Arial" w:eastAsia="Arial" w:hAnsi="Arial" w:cs="Arial"/>
          <w:color w:val="000000"/>
          <w:sz w:val="20"/>
        </w:rPr>
        <w:t xml:space="preserve">Quality of Life asserts violations of the FHA and ADA under three theories: (1) disparate treatment, (2) disparate impact, and (3) failure to provide a reasonable accommodation. </w:t>
      </w:r>
      <w:r>
        <w:rPr>
          <w:rFonts w:ascii="Arial" w:eastAsia="Arial" w:hAnsi="Arial" w:cs="Arial"/>
          <w:i/>
          <w:color w:val="000000"/>
          <w:sz w:val="20"/>
        </w:rPr>
        <w:t xml:space="preserve">See, e.g., </w:t>
      </w:r>
      <w:bookmarkStart w:id="6994" w:name="Bookmark_I5YBP9GC2N1PXB0030000400"/>
      <w:bookmarkEnd w:id="6994"/>
      <w:r>
        <w:rPr>
          <w:rFonts w:ascii="Arial" w:eastAsia="Arial" w:hAnsi="Arial" w:cs="Arial"/>
          <w:i/>
          <w:color w:val="000000"/>
          <w:sz w:val="20"/>
        </w:rPr>
        <w:t>Schwarz</w:t>
      </w:r>
      <w:r>
        <w:rPr>
          <w:rFonts w:ascii="Arial" w:eastAsia="Arial" w:hAnsi="Arial" w:cs="Arial"/>
          <w:color w:val="000000"/>
          <w:sz w:val="20"/>
        </w:rPr>
        <w:t xml:space="preserve">, 544 F.3d at 1216-28 (analyzing a plaintiff's FHA claims under each theory); </w:t>
      </w:r>
      <w:bookmarkStart w:id="6995" w:name="Bookmark_I5YBP9GC2N1PXB0050000400"/>
      <w:bookmarkEnd w:id="6995"/>
      <w:r>
        <w:rPr>
          <w:rFonts w:ascii="Arial" w:eastAsia="Arial" w:hAnsi="Arial" w:cs="Arial"/>
          <w:i/>
          <w:color w:val="000000"/>
          <w:sz w:val="20"/>
        </w:rPr>
        <w:t>Nat'l Fed'n of the Blind v. Lamone</w:t>
      </w:r>
      <w:r>
        <w:rPr>
          <w:rFonts w:ascii="Arial" w:eastAsia="Arial" w:hAnsi="Arial" w:cs="Arial"/>
          <w:color w:val="000000"/>
          <w:sz w:val="20"/>
        </w:rPr>
        <w:t>, 813 F.3d 494, 503 n.5 (4th Cir. 2016) (explaining that "Title II [of the ADA] allows plaintiffs to pursue three distinct grounds for relief"). We'll consider each theory in turn.</w:t>
      </w:r>
      <w:r>
        <w:rPr>
          <w:rFonts w:ascii="Arial" w:eastAsia="Arial" w:hAnsi="Arial" w:cs="Arial"/>
          <w:vertAlign w:val="superscript"/>
        </w:rPr>
        <w:footnoteReference w:customMarkFollows="1" w:id="318"/>
        <w:t>4</w:t>
      </w:r>
    </w:p>
    <w:p w14:paraId="51FEFA5F" w14:textId="77777777" w:rsidR="002B10A6" w:rsidRDefault="00000000">
      <w:pPr>
        <w:pStyle w:val="Normal37"/>
        <w:widowControl w:val="0"/>
        <w:spacing w:before="240" w:line="260" w:lineRule="atLeast"/>
      </w:pPr>
      <w:r>
        <w:br/>
      </w:r>
      <w:r>
        <w:rPr>
          <w:rFonts w:ascii="Arial" w:eastAsia="Arial" w:hAnsi="Arial" w:cs="Arial"/>
          <w:b/>
          <w:color w:val="000000"/>
          <w:sz w:val="20"/>
        </w:rPr>
        <w:t>1</w:t>
      </w:r>
    </w:p>
    <w:p w14:paraId="3DD7F52A" w14:textId="77777777" w:rsidR="002B10A6" w:rsidRDefault="00000000">
      <w:pPr>
        <w:pStyle w:val="Normal37"/>
        <w:widowControl w:val="0"/>
        <w:spacing w:before="200" w:line="260" w:lineRule="atLeast"/>
        <w:jc w:val="both"/>
      </w:pPr>
      <w:bookmarkStart w:id="7003" w:name="Bookmark_para_15_30"/>
      <w:bookmarkStart w:id="7004" w:name="Bookmark_I5YBP9GC2SF7VP0040000400"/>
      <w:bookmarkStart w:id="7005" w:name="Bookmark_I5YBP9GD2N1PXD0010000400"/>
      <w:bookmarkStart w:id="7006" w:name="Bookmark_LNHNREFclscc6_26"/>
      <w:bookmarkEnd w:id="7003"/>
      <w:bookmarkEnd w:id="7004"/>
      <w:bookmarkEnd w:id="7005"/>
      <w:bookmarkEnd w:id="7006"/>
      <w:r>
        <w:rPr>
          <w:rFonts w:ascii="Arial" w:eastAsia="Arial" w:hAnsi="Arial" w:cs="Arial"/>
          <w:color w:val="000000"/>
          <w:sz w:val="20"/>
        </w:rPr>
        <w:t xml:space="preserve">To succeed on its disparate-treatment claim, Quality of Life must show that, because of the disabilities of its potential clients, it "has actually been treated differently than similarly situated non-handicapped people." </w:t>
      </w:r>
      <w:bookmarkStart w:id="7007" w:name="Bookmark_I5YBP9GC2SF7VP0030000400"/>
      <w:bookmarkEnd w:id="7007"/>
      <w:r>
        <w:rPr>
          <w:rFonts w:ascii="Arial" w:eastAsia="Arial" w:hAnsi="Arial" w:cs="Arial"/>
          <w:i/>
          <w:color w:val="000000"/>
          <w:sz w:val="20"/>
        </w:rPr>
        <w:t>Schwarz</w:t>
      </w:r>
      <w:r>
        <w:rPr>
          <w:rFonts w:ascii="Arial" w:eastAsia="Arial" w:hAnsi="Arial" w:cs="Arial"/>
          <w:color w:val="000000"/>
          <w:sz w:val="20"/>
        </w:rPr>
        <w:t xml:space="preserve">, 544 F.3d at 1216. </w:t>
      </w:r>
      <w:bookmarkStart w:id="7008" w:name="Bookmark_I5YBP9GD2N1PXD0030000400"/>
      <w:bookmarkEnd w:id="7008"/>
      <w:r>
        <w:rPr>
          <w:rFonts w:ascii="Arial" w:eastAsia="Arial" w:hAnsi="Arial" w:cs="Arial"/>
          <w:color w:val="000000"/>
          <w:sz w:val="20"/>
        </w:rPr>
        <w:t xml:space="preserve">Quality of Life could prove disparate treatment through either direct or circumstantial evidence. </w:t>
      </w:r>
      <w:r>
        <w:rPr>
          <w:rFonts w:ascii="Arial" w:eastAsia="Arial" w:hAnsi="Arial" w:cs="Arial"/>
          <w:i/>
          <w:color w:val="000000"/>
          <w:sz w:val="20"/>
        </w:rPr>
        <w:t xml:space="preserve">See, e.g., </w:t>
      </w:r>
      <w:bookmarkStart w:id="7009" w:name="Bookmark_I5YBP9GC2SF7VP0050000400"/>
      <w:bookmarkEnd w:id="7009"/>
      <w:r>
        <w:rPr>
          <w:rFonts w:ascii="Arial" w:eastAsia="Arial" w:hAnsi="Arial" w:cs="Arial"/>
          <w:i/>
          <w:color w:val="000000"/>
          <w:sz w:val="20"/>
        </w:rPr>
        <w:t>Hallmark Developers, Inc. v. Fulton County</w:t>
      </w:r>
      <w:r>
        <w:rPr>
          <w:rFonts w:ascii="Arial" w:eastAsia="Arial" w:hAnsi="Arial" w:cs="Arial"/>
          <w:color w:val="000000"/>
          <w:sz w:val="20"/>
        </w:rPr>
        <w:t xml:space="preserve">, 466 F.3d 1276, 1283 (11th Cir. 2006). </w:t>
      </w:r>
      <w:bookmarkStart w:id="7010" w:name="Bookmark_I5YBP9GD2N1PXD0030000400_2"/>
      <w:bookmarkEnd w:id="7010"/>
      <w:r>
        <w:rPr>
          <w:rFonts w:ascii="Arial" w:eastAsia="Arial" w:hAnsi="Arial" w:cs="Arial"/>
          <w:color w:val="000000"/>
          <w:sz w:val="20"/>
        </w:rPr>
        <w:t xml:space="preserve">If direct evidence is put forward, the inquiry is straightforward; if circumstantial evidence is presented, however, we analyze the evidence through the burden-shifting framework provided in </w:t>
      </w:r>
      <w:r>
        <w:rPr>
          <w:rFonts w:ascii="Arial" w:eastAsia="Arial" w:hAnsi="Arial" w:cs="Arial"/>
          <w:i/>
          <w:color w:val="000000"/>
          <w:sz w:val="20"/>
        </w:rPr>
        <w:t>McDonnell Douglas Corp. v. Green</w:t>
      </w:r>
      <w:r>
        <w:rPr>
          <w:rFonts w:ascii="Arial" w:eastAsia="Arial" w:hAnsi="Arial" w:cs="Arial"/>
          <w:color w:val="000000"/>
          <w:sz w:val="20"/>
        </w:rPr>
        <w:t xml:space="preserve">, which requires a plaintiff to first make a prima facie case of discrimination. </w:t>
      </w:r>
      <w:bookmarkStart w:id="7011" w:name="Bookmark_I5YBP9GD2N1PXD0020000400"/>
      <w:bookmarkEnd w:id="7011"/>
      <w:r>
        <w:rPr>
          <w:rFonts w:ascii="Arial" w:eastAsia="Arial" w:hAnsi="Arial" w:cs="Arial"/>
          <w:color w:val="000000"/>
          <w:sz w:val="20"/>
        </w:rPr>
        <w:t xml:space="preserve">411 U.S. 792, 802, 93 S. Ct. 1817, 36 L. Ed. 2d 668 (1973); </w:t>
      </w:r>
      <w:r>
        <w:rPr>
          <w:rFonts w:ascii="Arial" w:eastAsia="Arial" w:hAnsi="Arial" w:cs="Arial"/>
          <w:i/>
          <w:color w:val="000000"/>
          <w:sz w:val="20"/>
        </w:rPr>
        <w:t xml:space="preserve">see also </w:t>
      </w:r>
      <w:bookmarkStart w:id="7012" w:name="Bookmark_I5YBP9GD2N1PXD0040000400"/>
      <w:bookmarkEnd w:id="7012"/>
      <w:r>
        <w:rPr>
          <w:rFonts w:ascii="Arial" w:eastAsia="Arial" w:hAnsi="Arial" w:cs="Arial"/>
          <w:i/>
          <w:color w:val="000000"/>
          <w:sz w:val="20"/>
        </w:rPr>
        <w:t>Cinnamon Hills Youth Crisis Ctr., Inc. v. Saint George City</w:t>
      </w:r>
      <w:r>
        <w:rPr>
          <w:rFonts w:ascii="Arial" w:eastAsia="Arial" w:hAnsi="Arial" w:cs="Arial"/>
          <w:color w:val="000000"/>
          <w:sz w:val="20"/>
        </w:rPr>
        <w:t xml:space="preserve">, 685 F.3d 917, 920 (10th Cir. 2012) (Gorsuch, J.) (applying </w:t>
      </w:r>
      <w:r>
        <w:rPr>
          <w:rFonts w:ascii="Arial" w:eastAsia="Arial" w:hAnsi="Arial" w:cs="Arial"/>
          <w:i/>
          <w:color w:val="000000"/>
          <w:sz w:val="20"/>
        </w:rPr>
        <w:t>McDonnell Douglas [**7] </w:t>
      </w:r>
      <w:r>
        <w:rPr>
          <w:rFonts w:ascii="Arial" w:eastAsia="Arial" w:hAnsi="Arial" w:cs="Arial"/>
          <w:color w:val="000000"/>
          <w:sz w:val="20"/>
        </w:rPr>
        <w:t xml:space="preserve"> to FHA and ADA claims).</w:t>
      </w:r>
    </w:p>
    <w:p w14:paraId="20E52041" w14:textId="77777777" w:rsidR="002B10A6" w:rsidRDefault="00000000">
      <w:pPr>
        <w:pStyle w:val="Normal37"/>
        <w:widowControl w:val="0"/>
        <w:spacing w:before="200" w:line="260" w:lineRule="atLeast"/>
        <w:jc w:val="both"/>
      </w:pPr>
      <w:bookmarkStart w:id="7013" w:name="Bookmark_para_16_27"/>
      <w:bookmarkEnd w:id="7013"/>
      <w:r>
        <w:rPr>
          <w:rFonts w:ascii="Arial" w:eastAsia="Arial" w:hAnsi="Arial" w:cs="Arial"/>
          <w:color w:val="000000"/>
          <w:sz w:val="20"/>
        </w:rPr>
        <w:t>Quality of Life argues that it has presented direct and circumstantial evidence of disparate treatment in the form of (a) statements from City officials and the City's administrative acts, (b) the "facially discriminatory" language of City Zoning Ordinance § 16.2(B), and (c) an amendment to the zoning code that added detoxification facilities as a permitted use in community-facility zones, but "limit[ed] detoxification facilities" to such zones. We're unpersuaded. As we'll explain, Quality of  [*768]  Life has not put forward either direct or circumstantial evidence of discrimination.</w:t>
      </w:r>
    </w:p>
    <w:p w14:paraId="111328D8" w14:textId="77777777" w:rsidR="002B10A6" w:rsidRDefault="00000000">
      <w:pPr>
        <w:pStyle w:val="Normal37"/>
        <w:widowControl w:val="0"/>
        <w:spacing w:before="240" w:line="260" w:lineRule="atLeast"/>
      </w:pPr>
      <w:r>
        <w:br/>
      </w:r>
      <w:r>
        <w:rPr>
          <w:rFonts w:ascii="Arial" w:eastAsia="Arial" w:hAnsi="Arial" w:cs="Arial"/>
          <w:b/>
          <w:color w:val="000000"/>
          <w:sz w:val="20"/>
        </w:rPr>
        <w:t>a</w:t>
      </w:r>
    </w:p>
    <w:p w14:paraId="2712A808" w14:textId="77777777" w:rsidR="002B10A6" w:rsidRDefault="00000000">
      <w:pPr>
        <w:pStyle w:val="Normal37"/>
        <w:widowControl w:val="0"/>
        <w:spacing w:before="200" w:line="260" w:lineRule="atLeast"/>
        <w:jc w:val="both"/>
      </w:pPr>
      <w:bookmarkStart w:id="7014" w:name="Bookmark_para_17_27"/>
      <w:bookmarkEnd w:id="7014"/>
      <w:r>
        <w:rPr>
          <w:rFonts w:ascii="Arial" w:eastAsia="Arial" w:hAnsi="Arial" w:cs="Arial"/>
          <w:color w:val="000000"/>
          <w:sz w:val="20"/>
        </w:rPr>
        <w:t>Quality of Life contends that statements made by City officials and some of the City's administrative acts constitute evidence of disparate treatment. We first consider Quality of Life's argument regarding City of Margate Mayor Arlene Schwartz's deposition, in which she testified (1) that having a sober house or a drug-recovery facility in a residential community "would be a concern as much as any sexual predator . . . who lives in my neighborhood," and (2) that a drug-detox facility may have a greater impact on the neighborhood because of "the clientele"—</w:t>
      </w:r>
      <w:r>
        <w:rPr>
          <w:rFonts w:ascii="Arial" w:eastAsia="Arial" w:hAnsi="Arial" w:cs="Arial"/>
          <w:i/>
          <w:color w:val="000000"/>
          <w:sz w:val="20"/>
        </w:rPr>
        <w:t>i.e.</w:t>
      </w:r>
      <w:r>
        <w:rPr>
          <w:rFonts w:ascii="Arial" w:eastAsia="Arial" w:hAnsi="Arial" w:cs="Arial"/>
          <w:color w:val="000000"/>
          <w:sz w:val="20"/>
        </w:rPr>
        <w:t>, "people in a medical detox could be a [**8]  possible danger because their condition is far more critical and possibly far more dangerous than people in a skilled nursing facility."</w:t>
      </w:r>
    </w:p>
    <w:p w14:paraId="11C51247" w14:textId="77777777" w:rsidR="002B10A6" w:rsidRDefault="00000000">
      <w:pPr>
        <w:pStyle w:val="Normal37"/>
        <w:widowControl w:val="0"/>
        <w:spacing w:before="200" w:line="260" w:lineRule="atLeast"/>
        <w:jc w:val="both"/>
      </w:pPr>
      <w:bookmarkStart w:id="7015" w:name="Bookmark_para_18_26"/>
      <w:bookmarkEnd w:id="7015"/>
      <w:r>
        <w:rPr>
          <w:rFonts w:ascii="Arial" w:eastAsia="Arial" w:hAnsi="Arial" w:cs="Arial"/>
          <w:color w:val="000000"/>
          <w:sz w:val="20"/>
        </w:rPr>
        <w:t xml:space="preserve">Though Schwartz's first statement is a little jarring, the larger context of the deposition indicates that her fundamental concern was about businesses or other entities in residential zones. </w:t>
      </w:r>
      <w:bookmarkStart w:id="7016" w:name="Bookmark_I5YBP9GD2D6NMJ0020000400"/>
      <w:bookmarkEnd w:id="7016"/>
      <w:r>
        <w:rPr>
          <w:rFonts w:ascii="Arial" w:eastAsia="Arial" w:hAnsi="Arial" w:cs="Arial"/>
          <w:color w:val="000000"/>
          <w:sz w:val="20"/>
        </w:rPr>
        <w:t>Schwartz said that she would want to know if a detox facility was coming into her neighborhood because "residential is zoned that way for a reason" and that she probably wouldn't want a general practitioner's office in her neighborhood either "if it wasn't zoned that way." Schwartz's second comment, in context, likewise doesn't reveal discriminatory intent. In the deposition, Quality of Life's attorney defined "detox" for Schwartz as "a facility . . . where people who have significant levels of drugs or alcohol in their system go for medical care, tranquilizing and other care, until the drugs and alcohol work their way out of the system." Given this definition, Schwartz's comment that detox-facility patients have a "far more critical and possibly far more dangerous" condition seemed to recognize that, in withdrawing from harmful substances, such patients are in [**9]  a vulnerable position and require medical attention. And when stating that detox-facility patients may be a "possible danger," Schwartz specified that she thought they could pose a danger to "themselves," as well as others, "because [of] their condition." In addition, these comments were made during a deposition—not while Schwartz was "explaining [her] basis for the contested decision"—which renders them even less persuasive.</w:t>
      </w:r>
      <w:r>
        <w:rPr>
          <w:rFonts w:ascii="Arial" w:eastAsia="Arial" w:hAnsi="Arial" w:cs="Arial"/>
          <w:vertAlign w:val="superscript"/>
        </w:rPr>
        <w:footnoteReference w:customMarkFollows="1" w:id="319"/>
        <w:t>5</w:t>
      </w:r>
      <w:r>
        <w:rPr>
          <w:rFonts w:ascii="Arial" w:eastAsia="Arial" w:hAnsi="Arial" w:cs="Arial"/>
          <w:color w:val="000000"/>
          <w:sz w:val="20"/>
        </w:rPr>
        <w:t xml:space="preserve"> </w:t>
      </w:r>
      <w:r>
        <w:rPr>
          <w:rFonts w:ascii="Arial" w:eastAsia="Arial" w:hAnsi="Arial" w:cs="Arial"/>
          <w:i/>
          <w:color w:val="000000"/>
          <w:sz w:val="20"/>
        </w:rPr>
        <w:t xml:space="preserve">See </w:t>
      </w:r>
      <w:bookmarkStart w:id="7020" w:name="Bookmark_I5YBP9GD2D6NMJ0010000400"/>
      <w:bookmarkEnd w:id="7020"/>
      <w:r>
        <w:rPr>
          <w:rFonts w:ascii="Arial" w:eastAsia="Arial" w:hAnsi="Arial" w:cs="Arial"/>
          <w:i/>
          <w:color w:val="000000"/>
          <w:sz w:val="20"/>
        </w:rPr>
        <w:t>Cinnamon Hills</w:t>
      </w:r>
      <w:r>
        <w:rPr>
          <w:rFonts w:ascii="Arial" w:eastAsia="Arial" w:hAnsi="Arial" w:cs="Arial"/>
          <w:color w:val="000000"/>
          <w:sz w:val="20"/>
        </w:rPr>
        <w:t>, 685 F.3d at 920.</w:t>
      </w:r>
    </w:p>
    <w:p w14:paraId="505AD953" w14:textId="77777777" w:rsidR="002B10A6" w:rsidRDefault="00000000">
      <w:pPr>
        <w:pStyle w:val="Normal37"/>
        <w:widowControl w:val="0"/>
        <w:spacing w:before="200" w:line="260" w:lineRule="atLeast"/>
        <w:jc w:val="both"/>
      </w:pPr>
      <w:bookmarkStart w:id="7021" w:name="Bookmark_para_19_25"/>
      <w:bookmarkEnd w:id="7021"/>
      <w:r>
        <w:rPr>
          <w:rFonts w:ascii="Arial" w:eastAsia="Arial" w:hAnsi="Arial" w:cs="Arial"/>
          <w:color w:val="000000"/>
          <w:sz w:val="20"/>
        </w:rPr>
        <w:t>Quality of Life also asserts that the City's administrative acts—specifically, the City's request that Jimenez sign an affidavit and the noted restriction on her property's certificate of occupancy—evidence disparate treatment. Not so. The City sought assurances from Jimenez through the affidavit only after she indicated that she might use the City's approval for an assisted-living facility to instead operate a detox. Moreover, the affidavit was prepared by Jimenez's attorney. Quality of Life's argument about the certificate of occupancy fares no better. The City specified "no medical detox" on the certificate of occupancy because of its concern that Jimenez might use the certificate to seek licensure from the state to operate a detox facility—a use that [**10]  Jimenez had never applied for and that the City had never approved. The City's acts constitute neither  [*769]  direct nor circumstantial evidence of disparate treatment.</w:t>
      </w:r>
    </w:p>
    <w:p w14:paraId="48503372" w14:textId="77777777" w:rsidR="002B10A6" w:rsidRDefault="00000000">
      <w:pPr>
        <w:pStyle w:val="Normal37"/>
        <w:widowControl w:val="0"/>
        <w:spacing w:before="240" w:line="260" w:lineRule="atLeast"/>
      </w:pPr>
      <w:r>
        <w:br/>
      </w:r>
      <w:r>
        <w:rPr>
          <w:rFonts w:ascii="Arial" w:eastAsia="Arial" w:hAnsi="Arial" w:cs="Arial"/>
          <w:b/>
          <w:color w:val="000000"/>
          <w:sz w:val="20"/>
        </w:rPr>
        <w:t>b</w:t>
      </w:r>
    </w:p>
    <w:p w14:paraId="47D284A4" w14:textId="77777777" w:rsidR="002B10A6" w:rsidRDefault="00000000">
      <w:pPr>
        <w:pStyle w:val="Normal37"/>
        <w:widowControl w:val="0"/>
        <w:spacing w:before="200" w:line="260" w:lineRule="atLeast"/>
        <w:jc w:val="both"/>
      </w:pPr>
      <w:bookmarkStart w:id="7022" w:name="Bookmark_para_20_25"/>
      <w:bookmarkEnd w:id="7022"/>
      <w:r>
        <w:rPr>
          <w:rFonts w:ascii="Arial" w:eastAsia="Arial" w:hAnsi="Arial" w:cs="Arial"/>
          <w:color w:val="000000"/>
          <w:sz w:val="20"/>
        </w:rPr>
        <w:t>Quality of Life further argues that § 16.2(B)—the City's zoning ordinance governing special-exception uses for residential zones—is facially discriminatory. According to Quality of Life, the ordinance impermissibly applies different criteria to special-exception uses for the elderly than it does to special-exception uses for dependent children and the physically handicapped. More specifically, Quality of Life points to language in § 16.2(B) that indicates special-exception uses catering to dependent children and the physically handicapped, but not those catering to the elderly, (1) must be designed for "sixteen (16) clients or less," (2) are permitted only if they don't "provid[e] psychiatric care," (3) and are subject to other impact-related criteria. This, Quality of Life contends, "exclude[s] people in recovery from [residential] zones."</w:t>
      </w:r>
    </w:p>
    <w:p w14:paraId="72375474" w14:textId="77777777" w:rsidR="002B10A6" w:rsidRDefault="00000000">
      <w:pPr>
        <w:pStyle w:val="Normal37"/>
        <w:widowControl w:val="0"/>
        <w:spacing w:before="200" w:line="260" w:lineRule="atLeast"/>
        <w:jc w:val="both"/>
      </w:pPr>
      <w:bookmarkStart w:id="7023" w:name="Bookmark_para_21_25"/>
      <w:bookmarkStart w:id="7024" w:name="Bookmark_I5YBP9GF2D6NMK0010000400"/>
      <w:bookmarkEnd w:id="7023"/>
      <w:bookmarkEnd w:id="7024"/>
      <w:r>
        <w:rPr>
          <w:rFonts w:ascii="Arial" w:eastAsia="Arial" w:hAnsi="Arial" w:cs="Arial"/>
          <w:color w:val="000000"/>
          <w:sz w:val="20"/>
        </w:rPr>
        <w:t xml:space="preserve">By alleging that § 16.2(B) is discriminatory, Quality of Life is, in effect, challenging </w:t>
      </w:r>
      <w:bookmarkStart w:id="7025" w:name="Bookmark_LNHNREFclscc7_24"/>
      <w:bookmarkEnd w:id="7025"/>
      <w:r>
        <w:rPr>
          <w:rFonts w:ascii="Arial" w:eastAsia="Arial" w:hAnsi="Arial" w:cs="Arial"/>
          <w:color w:val="000000"/>
          <w:sz w:val="20"/>
        </w:rPr>
        <w:t xml:space="preserve">"[t]he basic purpose of zoning," which "is to bring complementary land uses together, while separating incompatible ones." </w:t>
      </w:r>
      <w:bookmarkStart w:id="7026" w:name="Bookmark_I5YBP9GD2D6NMJ0050000400"/>
      <w:bookmarkEnd w:id="7026"/>
      <w:r>
        <w:rPr>
          <w:rFonts w:ascii="Arial" w:eastAsia="Arial" w:hAnsi="Arial" w:cs="Arial"/>
          <w:i/>
          <w:color w:val="000000"/>
          <w:sz w:val="20"/>
        </w:rPr>
        <w:t>Schwarz</w:t>
      </w:r>
      <w:r>
        <w:rPr>
          <w:rFonts w:ascii="Arial" w:eastAsia="Arial" w:hAnsi="Arial" w:cs="Arial"/>
          <w:color w:val="000000"/>
          <w:sz w:val="20"/>
        </w:rPr>
        <w:t xml:space="preserve">, 544 F.3d at 1221 [**11] . </w:t>
      </w:r>
      <w:bookmarkStart w:id="7027" w:name="Bookmark_I5YBP9GF2D6NMK0030000400"/>
      <w:bookmarkEnd w:id="7027"/>
      <w:r>
        <w:rPr>
          <w:rFonts w:ascii="Arial" w:eastAsia="Arial" w:hAnsi="Arial" w:cs="Arial"/>
          <w:color w:val="000000"/>
          <w:sz w:val="20"/>
        </w:rPr>
        <w:t xml:space="preserve">Even if a drug-detox facility wouldn't be allowed in a residential zone because of § 16.2(B), the City acknowledges that detox facilities are, and always have been, allowed to operate in community-facility zones. Unlike other cases in which zoning ordinances have been invalidated as facially discriminatory, the City's zoning ordinance doesn't operate to ban detox facilities entirely. </w:t>
      </w:r>
      <w:bookmarkStart w:id="7028" w:name="Bookmark_I5YBP9GF2D6NMK0030000400_2"/>
      <w:bookmarkEnd w:id="7028"/>
      <w:r>
        <w:rPr>
          <w:rFonts w:ascii="Arial" w:eastAsia="Arial" w:hAnsi="Arial" w:cs="Arial"/>
          <w:i/>
          <w:color w:val="000000"/>
          <w:sz w:val="20"/>
        </w:rPr>
        <w:t xml:space="preserve">Cf. </w:t>
      </w:r>
      <w:bookmarkStart w:id="7029" w:name="Bookmark_I5YBP9GF2D6NMK0020000400"/>
      <w:bookmarkEnd w:id="7029"/>
      <w:r>
        <w:rPr>
          <w:rFonts w:ascii="Arial" w:eastAsia="Arial" w:hAnsi="Arial" w:cs="Arial"/>
          <w:i/>
          <w:color w:val="000000"/>
          <w:sz w:val="20"/>
        </w:rPr>
        <w:t>MX Grp., Inc. v. City of Covington</w:t>
      </w:r>
      <w:r>
        <w:rPr>
          <w:rFonts w:ascii="Arial" w:eastAsia="Arial" w:hAnsi="Arial" w:cs="Arial"/>
          <w:color w:val="000000"/>
          <w:sz w:val="20"/>
        </w:rPr>
        <w:t>, 293 F.3d 326, 345 (6th Cir. 2002) (holding that "the blanket prohibition of all methadone clinics from the entire city is discriminatory on its face"). Section 16.2(B) is neither facially discriminatory nor evidence of disparate treatment.</w:t>
      </w:r>
    </w:p>
    <w:p w14:paraId="4FAFCDEA" w14:textId="77777777" w:rsidR="002B10A6" w:rsidRDefault="00000000">
      <w:pPr>
        <w:pStyle w:val="Normal37"/>
        <w:widowControl w:val="0"/>
        <w:spacing w:before="240" w:line="260" w:lineRule="atLeast"/>
      </w:pPr>
      <w:r>
        <w:br/>
      </w:r>
      <w:r>
        <w:rPr>
          <w:rFonts w:ascii="Arial" w:eastAsia="Arial" w:hAnsi="Arial" w:cs="Arial"/>
          <w:b/>
          <w:color w:val="000000"/>
          <w:sz w:val="20"/>
        </w:rPr>
        <w:t>c</w:t>
      </w:r>
    </w:p>
    <w:p w14:paraId="267B79E1" w14:textId="77777777" w:rsidR="002B10A6" w:rsidRDefault="00000000">
      <w:pPr>
        <w:pStyle w:val="Normal37"/>
        <w:widowControl w:val="0"/>
        <w:spacing w:before="200" w:line="260" w:lineRule="atLeast"/>
        <w:jc w:val="both"/>
      </w:pPr>
      <w:bookmarkStart w:id="7030" w:name="Bookmark_para_22_24"/>
      <w:bookmarkEnd w:id="7030"/>
      <w:r>
        <w:rPr>
          <w:rFonts w:ascii="Arial" w:eastAsia="Arial" w:hAnsi="Arial" w:cs="Arial"/>
          <w:color w:val="000000"/>
          <w:sz w:val="20"/>
        </w:rPr>
        <w:t>As its last piece of disparate-treatment evidence, Quality of Life contends that a 2017 amendment to the City's zoning code—which added "detoxification facilities" as a permitted use in community-facility zones, alongside hospitals and other long-term care facilities—is discriminatory.</w:t>
      </w:r>
      <w:r>
        <w:rPr>
          <w:rFonts w:ascii="Arial" w:eastAsia="Arial" w:hAnsi="Arial" w:cs="Arial"/>
          <w:vertAlign w:val="superscript"/>
        </w:rPr>
        <w:footnoteReference w:customMarkFollows="1" w:id="320"/>
        <w:t>6</w:t>
      </w:r>
      <w:r>
        <w:rPr>
          <w:rFonts w:ascii="Arial" w:eastAsia="Arial" w:hAnsi="Arial" w:cs="Arial"/>
          <w:color w:val="000000"/>
          <w:sz w:val="20"/>
        </w:rPr>
        <w:t xml:space="preserve"> This amendment to the City's code isn't evidence of disparate treatment. Under the City's zoning categories, a "permitted use" is a use allowed </w:t>
      </w:r>
      <w:r>
        <w:rPr>
          <w:rFonts w:ascii="Arial" w:eastAsia="Arial" w:hAnsi="Arial" w:cs="Arial"/>
          <w:i/>
          <w:color w:val="000000"/>
          <w:sz w:val="20"/>
        </w:rPr>
        <w:t>as of right</w:t>
      </w:r>
      <w:r>
        <w:rPr>
          <w:rFonts w:ascii="Arial" w:eastAsia="Arial" w:hAnsi="Arial" w:cs="Arial"/>
          <w:color w:val="000000"/>
          <w:sz w:val="20"/>
        </w:rPr>
        <w:t xml:space="preserve">. The addition of "detoxification facilities" as a permitted use actually shows that the City's zoning code </w:t>
      </w:r>
      <w:r>
        <w:rPr>
          <w:rFonts w:ascii="Arial" w:eastAsia="Arial" w:hAnsi="Arial" w:cs="Arial"/>
          <w:i/>
          <w:color w:val="000000"/>
          <w:sz w:val="20"/>
        </w:rPr>
        <w:t>expressly permits</w:t>
      </w:r>
      <w:r>
        <w:rPr>
          <w:rFonts w:ascii="Arial" w:eastAsia="Arial" w:hAnsi="Arial" w:cs="Arial"/>
          <w:color w:val="000000"/>
          <w:sz w:val="20"/>
        </w:rPr>
        <w:t xml:space="preserve"> detox facilities, albeit in certain zones. And as far as we can tell, nothing would prevent Quality of Life from seeking, through the City's normal variance-request procedures, that its property be re-zoned to a community-facility designation so that it could support a detox facility.</w:t>
      </w:r>
    </w:p>
    <w:p w14:paraId="69FF677B" w14:textId="77777777" w:rsidR="002B10A6" w:rsidRDefault="00000000">
      <w:pPr>
        <w:pStyle w:val="Normal37"/>
        <w:widowControl w:val="0"/>
        <w:spacing w:before="240" w:line="260" w:lineRule="atLeast"/>
      </w:pPr>
      <w:r>
        <w:br/>
      </w:r>
      <w:r>
        <w:rPr>
          <w:rFonts w:ascii="Arial" w:eastAsia="Arial" w:hAnsi="Arial" w:cs="Arial"/>
          <w:b/>
          <w:color w:val="000000"/>
          <w:sz w:val="20"/>
        </w:rPr>
        <w:t>2</w:t>
      </w:r>
    </w:p>
    <w:p w14:paraId="0631C31D" w14:textId="77777777" w:rsidR="002B10A6" w:rsidRDefault="00000000">
      <w:pPr>
        <w:pStyle w:val="Normal37"/>
        <w:widowControl w:val="0"/>
        <w:spacing w:before="200" w:line="260" w:lineRule="atLeast"/>
        <w:jc w:val="both"/>
      </w:pPr>
      <w:bookmarkStart w:id="7032" w:name="Bookmark_para_23_22"/>
      <w:bookmarkStart w:id="7033" w:name="Bookmark_I5YBP9GF2D6NMK0050000400"/>
      <w:bookmarkStart w:id="7034" w:name="Bookmark_I5YBP9GF2N1PXJ0040000400"/>
      <w:bookmarkEnd w:id="7032"/>
      <w:bookmarkEnd w:id="7033"/>
      <w:bookmarkEnd w:id="7034"/>
      <w:r>
        <w:rPr>
          <w:rFonts w:ascii="Arial" w:eastAsia="Arial" w:hAnsi="Arial" w:cs="Arial"/>
          <w:color w:val="000000"/>
          <w:sz w:val="20"/>
        </w:rPr>
        <w:t xml:space="preserve">Now, to Quality of Life's disparate-impact claim. </w:t>
      </w:r>
      <w:bookmarkStart w:id="7035" w:name="Bookmark_I5YBP9GG2SF7VX0010000400"/>
      <w:bookmarkEnd w:id="7035"/>
      <w:r>
        <w:rPr>
          <w:rFonts w:ascii="Arial" w:eastAsia="Arial" w:hAnsi="Arial" w:cs="Arial"/>
          <w:color w:val="000000"/>
          <w:sz w:val="20"/>
        </w:rPr>
        <w:t xml:space="preserve">We've held that "the relevant comparison for disparate impact purposes 'is between (1) recovering alcoholics and recovering drug abusers [**12]  ("recoverings") and (2) people who are neither recovering alcoholics nor recovering drug abusers ("non-recoverings").'" </w:t>
      </w:r>
      <w:bookmarkStart w:id="7036" w:name="Bookmark_I5YBP9GF2D6NMK0040000400"/>
      <w:bookmarkEnd w:id="7036"/>
      <w:r>
        <w:rPr>
          <w:rFonts w:ascii="Arial" w:eastAsia="Arial" w:hAnsi="Arial" w:cs="Arial"/>
          <w:i/>
          <w:color w:val="000000"/>
          <w:sz w:val="20"/>
        </w:rPr>
        <w:t>Schwarz</w:t>
      </w:r>
      <w:r>
        <w:rPr>
          <w:rFonts w:ascii="Arial" w:eastAsia="Arial" w:hAnsi="Arial" w:cs="Arial"/>
          <w:color w:val="000000"/>
          <w:sz w:val="20"/>
        </w:rPr>
        <w:t xml:space="preserve">, 544 F.3d at 1217 (quoting </w:t>
      </w:r>
      <w:bookmarkStart w:id="7037" w:name="Bookmark_I5YBP9GF2N1PXJ0010000400"/>
      <w:bookmarkEnd w:id="7037"/>
      <w:r>
        <w:rPr>
          <w:rFonts w:ascii="Arial" w:eastAsia="Arial" w:hAnsi="Arial" w:cs="Arial"/>
          <w:i/>
          <w:color w:val="000000"/>
          <w:sz w:val="20"/>
        </w:rPr>
        <w:t>Tsombanidis v. West Haven Fire Dep't</w:t>
      </w:r>
      <w:r>
        <w:rPr>
          <w:rFonts w:ascii="Arial" w:eastAsia="Arial" w:hAnsi="Arial" w:cs="Arial"/>
          <w:color w:val="000000"/>
          <w:sz w:val="20"/>
        </w:rPr>
        <w:t xml:space="preserve">, 352 F.3d 565, 577 (2d Cir. 2003)). </w:t>
      </w:r>
      <w:bookmarkStart w:id="7038" w:name="Bookmark_LNHNREFclscc8_23"/>
      <w:bookmarkEnd w:id="7038"/>
      <w:r>
        <w:rPr>
          <w:rFonts w:ascii="Arial" w:eastAsia="Arial" w:hAnsi="Arial" w:cs="Arial"/>
          <w:color w:val="000000"/>
          <w:sz w:val="20"/>
        </w:rPr>
        <w:t xml:space="preserve">"[I]t's not enough to show that a few people are affected by a policy—rather,  [*770]  the disparity must be substantial enough to raise an inference of causation." </w:t>
      </w:r>
      <w:bookmarkStart w:id="7039" w:name="Bookmark_I5YBP9GF2N1PXJ0030000400"/>
      <w:bookmarkEnd w:id="7039"/>
      <w:r>
        <w:rPr>
          <w:rFonts w:ascii="Arial" w:eastAsia="Arial" w:hAnsi="Arial" w:cs="Arial"/>
          <w:i/>
          <w:color w:val="000000"/>
          <w:sz w:val="20"/>
        </w:rPr>
        <w:t>Schaw v. Habitat for Humanity of Citrus Cty., Inc.</w:t>
      </w:r>
      <w:r>
        <w:rPr>
          <w:rFonts w:ascii="Arial" w:eastAsia="Arial" w:hAnsi="Arial" w:cs="Arial"/>
          <w:color w:val="000000"/>
          <w:sz w:val="20"/>
        </w:rPr>
        <w:t xml:space="preserve">, 938 F.3d 1259, 1274 (11th Cir. 2019). </w:t>
      </w:r>
      <w:bookmarkStart w:id="7040" w:name="Bookmark_I5YBP9GG2SF7VX0010000400_2"/>
      <w:bookmarkEnd w:id="7040"/>
      <w:r>
        <w:rPr>
          <w:rFonts w:ascii="Arial" w:eastAsia="Arial" w:hAnsi="Arial" w:cs="Arial"/>
          <w:color w:val="000000"/>
          <w:sz w:val="20"/>
        </w:rPr>
        <w:t xml:space="preserve">"Typically, a disparate impact is demonstrated by statistics." </w:t>
      </w:r>
      <w:bookmarkStart w:id="7041" w:name="Bookmark_I5YBP9GF2N1PXJ0050000400"/>
      <w:bookmarkEnd w:id="7041"/>
      <w:r>
        <w:rPr>
          <w:rFonts w:ascii="Arial" w:eastAsia="Arial" w:hAnsi="Arial" w:cs="Arial"/>
          <w:i/>
          <w:color w:val="000000"/>
          <w:sz w:val="20"/>
        </w:rPr>
        <w:t>Hallmark</w:t>
      </w:r>
      <w:r>
        <w:rPr>
          <w:rFonts w:ascii="Arial" w:eastAsia="Arial" w:hAnsi="Arial" w:cs="Arial"/>
          <w:color w:val="000000"/>
          <w:sz w:val="20"/>
        </w:rPr>
        <w:t xml:space="preserve">, 466 F.3d at 1286; </w:t>
      </w:r>
      <w:r>
        <w:rPr>
          <w:rFonts w:ascii="Arial" w:eastAsia="Arial" w:hAnsi="Arial" w:cs="Arial"/>
          <w:i/>
          <w:color w:val="000000"/>
          <w:sz w:val="20"/>
        </w:rPr>
        <w:t xml:space="preserve">see also </w:t>
      </w:r>
      <w:bookmarkStart w:id="7042" w:name="Bookmark_I5YBP9GG2SF7VX0020000400"/>
      <w:bookmarkEnd w:id="7042"/>
      <w:r>
        <w:rPr>
          <w:rFonts w:ascii="Arial" w:eastAsia="Arial" w:hAnsi="Arial" w:cs="Arial"/>
          <w:i/>
          <w:color w:val="000000"/>
          <w:sz w:val="20"/>
        </w:rPr>
        <w:t>Schwarz</w:t>
      </w:r>
      <w:r>
        <w:rPr>
          <w:rFonts w:ascii="Arial" w:eastAsia="Arial" w:hAnsi="Arial" w:cs="Arial"/>
          <w:color w:val="000000"/>
          <w:sz w:val="20"/>
        </w:rPr>
        <w:t xml:space="preserve">, 544 F.3d at 1217 (explaining that "plaintiffs could have made a </w:t>
      </w:r>
      <w:r>
        <w:rPr>
          <w:rFonts w:ascii="Arial" w:eastAsia="Arial" w:hAnsi="Arial" w:cs="Arial"/>
          <w:i/>
          <w:color w:val="000000"/>
          <w:sz w:val="20"/>
        </w:rPr>
        <w:t>prima facie</w:t>
      </w:r>
      <w:r>
        <w:rPr>
          <w:rFonts w:ascii="Arial" w:eastAsia="Arial" w:hAnsi="Arial" w:cs="Arial"/>
          <w:color w:val="000000"/>
          <w:sz w:val="20"/>
        </w:rPr>
        <w:t xml:space="preserve"> case of disparate impact by providing statistical evidence" (quotation omitted)).</w:t>
      </w:r>
    </w:p>
    <w:p w14:paraId="3E16D274" w14:textId="77777777" w:rsidR="002B10A6" w:rsidRDefault="00000000">
      <w:pPr>
        <w:pStyle w:val="Normal37"/>
        <w:widowControl w:val="0"/>
        <w:spacing w:before="200" w:line="260" w:lineRule="atLeast"/>
        <w:jc w:val="both"/>
      </w:pPr>
      <w:bookmarkStart w:id="7043" w:name="Bookmark_para_24_21"/>
      <w:bookmarkEnd w:id="7043"/>
      <w:r>
        <w:rPr>
          <w:rFonts w:ascii="Arial" w:eastAsia="Arial" w:hAnsi="Arial" w:cs="Arial"/>
          <w:color w:val="000000"/>
          <w:sz w:val="20"/>
        </w:rPr>
        <w:t>Quality of Life must demonstrate that the City's zoning decisions had a greater adverse impact on people in recovery (</w:t>
      </w:r>
      <w:r>
        <w:rPr>
          <w:rFonts w:ascii="Arial" w:eastAsia="Arial" w:hAnsi="Arial" w:cs="Arial"/>
          <w:i/>
          <w:color w:val="000000"/>
          <w:sz w:val="20"/>
        </w:rPr>
        <w:t>i.e.</w:t>
      </w:r>
      <w:r>
        <w:rPr>
          <w:rFonts w:ascii="Arial" w:eastAsia="Arial" w:hAnsi="Arial" w:cs="Arial"/>
          <w:color w:val="000000"/>
          <w:sz w:val="20"/>
        </w:rPr>
        <w:t xml:space="preserve">, its potential clients) than those not in recovery. It hasn't made this showing. Quality of Life presented only one entity, VIP Memory Care, as evidence of disparate impact. </w:t>
      </w:r>
      <w:bookmarkStart w:id="7044" w:name="Bookmark_I5YBP9GG2SF7VX0050000400"/>
      <w:bookmarkEnd w:id="7044"/>
      <w:r>
        <w:rPr>
          <w:rFonts w:ascii="Arial" w:eastAsia="Arial" w:hAnsi="Arial" w:cs="Arial"/>
          <w:color w:val="000000"/>
          <w:sz w:val="20"/>
        </w:rPr>
        <w:t xml:space="preserve">Because VIP is allowed to provide medical services to "patients who suffer from memory loss" in a residential zone, Quality of Life's argument goes, the City's decision to exclude a detox facility (which also provides medical services) from the same residential zoning category constitutes a disparate impact. But VIP isn't a true comparator. That entity received the exact same approval from the City [**13]  that Quality of Life received—permission to operate an assisted-living facility in a residential zone. In order for the City's treatment of VIP to constitute evidence of disparate impact, Quality of Life would've had to have applied to operate </w:t>
      </w:r>
      <w:r>
        <w:rPr>
          <w:rFonts w:ascii="Arial" w:eastAsia="Arial" w:hAnsi="Arial" w:cs="Arial"/>
          <w:i/>
          <w:color w:val="000000"/>
          <w:sz w:val="20"/>
        </w:rPr>
        <w:t>a detox</w:t>
      </w:r>
      <w:r>
        <w:rPr>
          <w:rFonts w:ascii="Arial" w:eastAsia="Arial" w:hAnsi="Arial" w:cs="Arial"/>
          <w:color w:val="000000"/>
          <w:sz w:val="20"/>
        </w:rPr>
        <w:t xml:space="preserve"> and been rejected.</w:t>
      </w:r>
      <w:r>
        <w:rPr>
          <w:rFonts w:ascii="Arial" w:eastAsia="Arial" w:hAnsi="Arial" w:cs="Arial"/>
          <w:vertAlign w:val="superscript"/>
        </w:rPr>
        <w:footnoteReference w:customMarkFollows="1" w:id="321"/>
        <w:t>7</w:t>
      </w:r>
      <w:r>
        <w:rPr>
          <w:rFonts w:ascii="Arial" w:eastAsia="Arial" w:hAnsi="Arial" w:cs="Arial"/>
          <w:color w:val="000000"/>
          <w:sz w:val="20"/>
        </w:rPr>
        <w:t xml:space="preserve"> It didn't do so. "Because [Quality of Life] has completely failed to present relevant comparative evidence, the district court was right to reject its disparate impact claim." </w:t>
      </w:r>
      <w:bookmarkStart w:id="7046" w:name="Bookmark_I5YBP9GG2SF7VX0040000400"/>
      <w:bookmarkEnd w:id="7046"/>
      <w:r>
        <w:rPr>
          <w:rFonts w:ascii="Arial" w:eastAsia="Arial" w:hAnsi="Arial" w:cs="Arial"/>
          <w:i/>
          <w:color w:val="000000"/>
          <w:sz w:val="20"/>
        </w:rPr>
        <w:t>Schwarz</w:t>
      </w:r>
      <w:r>
        <w:rPr>
          <w:rFonts w:ascii="Arial" w:eastAsia="Arial" w:hAnsi="Arial" w:cs="Arial"/>
          <w:color w:val="000000"/>
          <w:sz w:val="20"/>
        </w:rPr>
        <w:t>, 544 F.3d at 1218.</w:t>
      </w:r>
    </w:p>
    <w:p w14:paraId="0C947859" w14:textId="77777777" w:rsidR="002B10A6" w:rsidRDefault="00000000">
      <w:pPr>
        <w:pStyle w:val="Normal37"/>
        <w:widowControl w:val="0"/>
        <w:spacing w:before="240" w:line="260" w:lineRule="atLeast"/>
      </w:pPr>
      <w:r>
        <w:br/>
      </w:r>
      <w:r>
        <w:rPr>
          <w:rFonts w:ascii="Arial" w:eastAsia="Arial" w:hAnsi="Arial" w:cs="Arial"/>
          <w:b/>
          <w:color w:val="000000"/>
          <w:sz w:val="20"/>
        </w:rPr>
        <w:t>3</w:t>
      </w:r>
    </w:p>
    <w:p w14:paraId="36D99765" w14:textId="77777777" w:rsidR="002B10A6" w:rsidRDefault="00000000">
      <w:pPr>
        <w:pStyle w:val="Normal37"/>
        <w:widowControl w:val="0"/>
        <w:spacing w:before="200" w:line="260" w:lineRule="atLeast"/>
        <w:jc w:val="both"/>
      </w:pPr>
      <w:bookmarkStart w:id="7047" w:name="Bookmark_para_25_21"/>
      <w:bookmarkStart w:id="7048" w:name="Bookmark_I2J271FKTTY0000M4SS0002P"/>
      <w:bookmarkStart w:id="7049" w:name="Bookmark_I5YBP9GG2N1PXN0020000400"/>
      <w:bookmarkEnd w:id="7047"/>
      <w:bookmarkEnd w:id="7048"/>
      <w:bookmarkEnd w:id="7049"/>
      <w:r>
        <w:rPr>
          <w:rFonts w:ascii="Arial" w:eastAsia="Arial" w:hAnsi="Arial" w:cs="Arial"/>
          <w:color w:val="000000"/>
          <w:sz w:val="20"/>
        </w:rPr>
        <w:t xml:space="preserve">Lastly, we address Quality of Life's argument that the City failed to provide a reasonable accommodation. </w:t>
      </w:r>
      <w:bookmarkStart w:id="7050" w:name="Bookmark_LNHNREFclscc9_22"/>
      <w:bookmarkEnd w:id="7050"/>
      <w:r>
        <w:rPr>
          <w:rFonts w:ascii="Arial" w:eastAsia="Arial" w:hAnsi="Arial" w:cs="Arial"/>
          <w:color w:val="000000"/>
          <w:sz w:val="20"/>
        </w:rPr>
        <w:t xml:space="preserve">We've held that "the duty to make a reasonable accommodation does not simply spring from the fact that the handicapped person wants such an accommodation made." </w:t>
      </w:r>
      <w:bookmarkStart w:id="7051" w:name="Bookmark_I5YBP9GG2N1PXN0010000400"/>
      <w:bookmarkEnd w:id="7051"/>
      <w:r>
        <w:rPr>
          <w:rFonts w:ascii="Arial" w:eastAsia="Arial" w:hAnsi="Arial" w:cs="Arial"/>
          <w:i/>
          <w:color w:val="000000"/>
          <w:sz w:val="20"/>
        </w:rPr>
        <w:t>Schwarz</w:t>
      </w:r>
      <w:r>
        <w:rPr>
          <w:rFonts w:ascii="Arial" w:eastAsia="Arial" w:hAnsi="Arial" w:cs="Arial"/>
          <w:color w:val="000000"/>
          <w:sz w:val="20"/>
        </w:rPr>
        <w:t xml:space="preserve">, 544 F.3d at 1219 (quotation omitted). A defendant must be "given an opportunity to make a final decision with respect to [a plaintiff's] request, which necessarily includes the ability to conduct a meaningful review of the requested accommodation to determine if such an accommodation is required by law." </w:t>
      </w:r>
      <w:r>
        <w:rPr>
          <w:rFonts w:ascii="Arial" w:eastAsia="Arial" w:hAnsi="Arial" w:cs="Arial"/>
          <w:i/>
          <w:color w:val="000000"/>
          <w:sz w:val="20"/>
        </w:rPr>
        <w:t>Id.</w:t>
      </w:r>
      <w:r>
        <w:rPr>
          <w:rFonts w:ascii="Arial" w:eastAsia="Arial" w:hAnsi="Arial" w:cs="Arial"/>
          <w:color w:val="000000"/>
          <w:sz w:val="20"/>
        </w:rPr>
        <w:t xml:space="preserve"> (quotation omitted). "Simply put, a plaintiff must actually request an accommodation and be refused . . . ." </w:t>
      </w:r>
      <w:r>
        <w:rPr>
          <w:rFonts w:ascii="Arial" w:eastAsia="Arial" w:hAnsi="Arial" w:cs="Arial"/>
          <w:i/>
          <w:color w:val="000000"/>
          <w:sz w:val="20"/>
        </w:rPr>
        <w:t>Id.</w:t>
      </w:r>
    </w:p>
    <w:p w14:paraId="5491C5D9" w14:textId="77777777" w:rsidR="002B10A6" w:rsidRDefault="00000000">
      <w:pPr>
        <w:pStyle w:val="Normal37"/>
        <w:widowControl w:val="0"/>
        <w:spacing w:before="200" w:line="260" w:lineRule="atLeast"/>
        <w:jc w:val="both"/>
      </w:pPr>
      <w:bookmarkStart w:id="7052" w:name="Bookmark_para_26_21"/>
      <w:bookmarkEnd w:id="7052"/>
      <w:r>
        <w:rPr>
          <w:rFonts w:ascii="Arial" w:eastAsia="Arial" w:hAnsi="Arial" w:cs="Arial"/>
          <w:color w:val="000000"/>
          <w:sz w:val="20"/>
        </w:rPr>
        <w:t>Quality of Life's first problem is that it didn't request a reasonable accommodation. [**14]  It argues that Jimenez made two such requests: (1) a written request in a March 28, 2017 letter to the City, in which she wrote that, although she swore under oath that she would never operate a detox facility, she was now "requesting that approval"; and (2) an oral request for a reasonable accommodation at a May 3, 2017 meeting, when she told the City Commission that she was planning on using the building as a detox and that she "would like a reasonable accommodation" because she couldn't get a license from the state to open an assisted-living facility (due to the supposed moratorium).</w:t>
      </w:r>
    </w:p>
    <w:p w14:paraId="775FEC99" w14:textId="77777777" w:rsidR="002B10A6" w:rsidRDefault="00000000">
      <w:pPr>
        <w:pStyle w:val="Normal37"/>
        <w:widowControl w:val="0"/>
        <w:spacing w:before="200" w:line="260" w:lineRule="atLeast"/>
        <w:jc w:val="both"/>
      </w:pPr>
      <w:bookmarkStart w:id="7053" w:name="Bookmark_para_27_21"/>
      <w:bookmarkStart w:id="7054" w:name="Bookmark_I5YBP9GG2N1PXN0040000400"/>
      <w:bookmarkStart w:id="7055" w:name="Bookmark_I5YBP9GG2HM6KP0010000400"/>
      <w:bookmarkEnd w:id="7053"/>
      <w:bookmarkEnd w:id="7054"/>
      <w:bookmarkEnd w:id="7055"/>
      <w:r>
        <w:rPr>
          <w:rFonts w:ascii="Arial" w:eastAsia="Arial" w:hAnsi="Arial" w:cs="Arial"/>
          <w:color w:val="000000"/>
          <w:sz w:val="20"/>
        </w:rPr>
        <w:t>We note initially that Quality of Life didn't comply with the City's procedure for requesting reasonable accommodations. Even assuming that this failure isn't fatal to its claim,</w:t>
      </w:r>
      <w:r>
        <w:rPr>
          <w:rFonts w:ascii="Arial" w:eastAsia="Arial" w:hAnsi="Arial" w:cs="Arial"/>
          <w:vertAlign w:val="superscript"/>
        </w:rPr>
        <w:footnoteReference w:customMarkFollows="1" w:id="322"/>
        <w:t>8</w:t>
      </w:r>
      <w:r>
        <w:rPr>
          <w:rFonts w:ascii="Arial" w:eastAsia="Arial" w:hAnsi="Arial" w:cs="Arial"/>
          <w:color w:val="000000"/>
          <w:sz w:val="20"/>
        </w:rPr>
        <w:t xml:space="preserve"> it suggests that Quality of  [*771]  Life didn't provide the City with the information that it needed to "conduct a meaningful review" of its purported request. </w:t>
      </w:r>
      <w:r>
        <w:rPr>
          <w:rFonts w:ascii="Arial" w:eastAsia="Arial" w:hAnsi="Arial" w:cs="Arial"/>
          <w:i/>
          <w:color w:val="000000"/>
          <w:sz w:val="20"/>
        </w:rPr>
        <w:t xml:space="preserve">See </w:t>
      </w:r>
      <w:bookmarkStart w:id="7058" w:name="Bookmark_I5YBP9GG2N1PXN0030000400"/>
      <w:bookmarkEnd w:id="7058"/>
      <w:r>
        <w:rPr>
          <w:rFonts w:ascii="Arial" w:eastAsia="Arial" w:hAnsi="Arial" w:cs="Arial"/>
          <w:i/>
          <w:color w:val="000000"/>
          <w:sz w:val="20"/>
        </w:rPr>
        <w:t>Schwarz</w:t>
      </w:r>
      <w:r>
        <w:rPr>
          <w:rFonts w:ascii="Arial" w:eastAsia="Arial" w:hAnsi="Arial" w:cs="Arial"/>
          <w:color w:val="000000"/>
          <w:sz w:val="20"/>
        </w:rPr>
        <w:t>, 544 F.3d at 1219 (quotation omitted). Jimenez may have suggested in the letter, or stated explicitly at the meeting, that she wanted a "reasonable accommodation," but importantly, she never fully explained why the accommodation was reasonable or necessary to accommodate the detox facility's [**15]  potential patients. Rather, Jimenez seems to have cast her requests to operate a detox as necessary to avoid what she took to be a state-wide moratorium that prevented her from opening an assisted-living facility.</w:t>
      </w:r>
    </w:p>
    <w:p w14:paraId="36049076" w14:textId="77777777" w:rsidR="002B10A6" w:rsidRDefault="00000000">
      <w:pPr>
        <w:pStyle w:val="Normal37"/>
        <w:widowControl w:val="0"/>
        <w:spacing w:before="200" w:line="260" w:lineRule="atLeast"/>
        <w:jc w:val="both"/>
      </w:pPr>
      <w:bookmarkStart w:id="7059" w:name="Bookmark_para_28_21"/>
      <w:bookmarkEnd w:id="7059"/>
      <w:r>
        <w:rPr>
          <w:rFonts w:ascii="Arial" w:eastAsia="Arial" w:hAnsi="Arial" w:cs="Arial"/>
          <w:color w:val="000000"/>
          <w:sz w:val="20"/>
        </w:rPr>
        <w:t xml:space="preserve">Quality of Life attempts to escape its failure to request a reasonable accommodation by arguing that any efforts to do so would have been futile. It argues that several comments made at the May 3, 2017 meeting—including Commissioner Peerman's statement that private citizens had opposed a </w:t>
      </w:r>
      <w:r>
        <w:rPr>
          <w:rFonts w:ascii="Arial" w:eastAsia="Arial" w:hAnsi="Arial" w:cs="Arial"/>
          <w:i/>
          <w:color w:val="000000"/>
          <w:sz w:val="20"/>
        </w:rPr>
        <w:t>different</w:t>
      </w:r>
      <w:r>
        <w:rPr>
          <w:rFonts w:ascii="Arial" w:eastAsia="Arial" w:hAnsi="Arial" w:cs="Arial"/>
          <w:color w:val="000000"/>
          <w:sz w:val="20"/>
        </w:rPr>
        <w:t xml:space="preserve"> detox facility—demonstrate futility. But at that same meeting, Mayor Ruzzano suggested that Jimenez call the City to put her on the agenda, apparently for a future meeting. The mayor didn't say that Jimenez could </w:t>
      </w:r>
      <w:r>
        <w:rPr>
          <w:rFonts w:ascii="Arial" w:eastAsia="Arial" w:hAnsi="Arial" w:cs="Arial"/>
          <w:i/>
          <w:color w:val="000000"/>
          <w:sz w:val="20"/>
        </w:rPr>
        <w:t>never</w:t>
      </w:r>
      <w:r>
        <w:rPr>
          <w:rFonts w:ascii="Arial" w:eastAsia="Arial" w:hAnsi="Arial" w:cs="Arial"/>
          <w:color w:val="000000"/>
          <w:sz w:val="20"/>
        </w:rPr>
        <w:t xml:space="preserve"> operate a detox. </w:t>
      </w:r>
      <w:bookmarkStart w:id="7060" w:name="Bookmark_I5YBP9GG2HM6KP0030000400"/>
      <w:bookmarkEnd w:id="7060"/>
      <w:r>
        <w:rPr>
          <w:rFonts w:ascii="Arial" w:eastAsia="Arial" w:hAnsi="Arial" w:cs="Arial"/>
          <w:color w:val="000000"/>
          <w:sz w:val="20"/>
        </w:rPr>
        <w:t xml:space="preserve">Rather, he said "the thing is, right now, you cannot put the detox there," while also telling Jimenez that she could pick up the permit for the use that she </w:t>
      </w:r>
      <w:r>
        <w:rPr>
          <w:rFonts w:ascii="Arial" w:eastAsia="Arial" w:hAnsi="Arial" w:cs="Arial"/>
          <w:i/>
          <w:color w:val="000000"/>
          <w:sz w:val="20"/>
        </w:rPr>
        <w:t>was</w:t>
      </w:r>
      <w:r>
        <w:rPr>
          <w:rFonts w:ascii="Arial" w:eastAsia="Arial" w:hAnsi="Arial" w:cs="Arial"/>
          <w:color w:val="000000"/>
          <w:sz w:val="20"/>
        </w:rPr>
        <w:t xml:space="preserve"> approved for (an assisted-living facility). The lack of futility in this case is even more stark when compared with a case on which Quality of Life relies, </w:t>
      </w:r>
      <w:r>
        <w:rPr>
          <w:rFonts w:ascii="Arial" w:eastAsia="Arial" w:hAnsi="Arial" w:cs="Arial"/>
          <w:i/>
          <w:color w:val="000000"/>
          <w:sz w:val="20"/>
        </w:rPr>
        <w:t>MX Group, Inc. v. City of Covington</w:t>
      </w:r>
      <w:r>
        <w:rPr>
          <w:rFonts w:ascii="Arial" w:eastAsia="Arial" w:hAnsi="Arial" w:cs="Arial"/>
          <w:color w:val="000000"/>
          <w:sz w:val="20"/>
        </w:rPr>
        <w:t xml:space="preserve">. In that case, the Sixth Circuit held that the plaintiff had sufficiently exhausted [**16]  administrative remedies because he "had already faced substantial opposition from city administrators" and the City had—after the plaintiff found a </w:t>
      </w:r>
      <w:r>
        <w:rPr>
          <w:rFonts w:ascii="Arial" w:eastAsia="Arial" w:hAnsi="Arial" w:cs="Arial"/>
          <w:i/>
          <w:color w:val="000000"/>
          <w:sz w:val="20"/>
        </w:rPr>
        <w:t>new</w:t>
      </w:r>
      <w:r>
        <w:rPr>
          <w:rFonts w:ascii="Arial" w:eastAsia="Arial" w:hAnsi="Arial" w:cs="Arial"/>
          <w:color w:val="000000"/>
          <w:sz w:val="20"/>
        </w:rPr>
        <w:t xml:space="preserve"> location for his methadone clinic—changed the city's zoning code to bar such a clinic "from opening in any zone in the city." </w:t>
      </w:r>
      <w:bookmarkStart w:id="7061" w:name="Bookmark_I5YBP9GG2HM6KP0020000400"/>
      <w:bookmarkEnd w:id="7061"/>
      <w:r>
        <w:rPr>
          <w:rFonts w:ascii="Arial" w:eastAsia="Arial" w:hAnsi="Arial" w:cs="Arial"/>
          <w:i/>
          <w:color w:val="000000"/>
          <w:sz w:val="20"/>
        </w:rPr>
        <w:t>MX Group</w:t>
      </w:r>
      <w:r>
        <w:rPr>
          <w:rFonts w:ascii="Arial" w:eastAsia="Arial" w:hAnsi="Arial" w:cs="Arial"/>
          <w:color w:val="000000"/>
          <w:sz w:val="20"/>
        </w:rPr>
        <w:t>, 293 F.3d at 343-44.</w:t>
      </w:r>
      <w:r>
        <w:rPr>
          <w:rFonts w:ascii="Arial" w:eastAsia="Arial" w:hAnsi="Arial" w:cs="Arial"/>
          <w:vertAlign w:val="superscript"/>
        </w:rPr>
        <w:footnoteReference w:customMarkFollows="1" w:id="323"/>
        <w:t>9</w:t>
      </w:r>
    </w:p>
    <w:p w14:paraId="6826C17A" w14:textId="77777777" w:rsidR="002B10A6" w:rsidRDefault="00000000">
      <w:pPr>
        <w:pStyle w:val="Normal37"/>
        <w:widowControl w:val="0"/>
        <w:spacing w:before="200" w:line="260" w:lineRule="atLeast"/>
        <w:jc w:val="both"/>
      </w:pPr>
      <w:bookmarkStart w:id="7063" w:name="Bookmark_para_29_20"/>
      <w:bookmarkEnd w:id="7063"/>
      <w:r>
        <w:rPr>
          <w:rFonts w:ascii="Arial" w:eastAsia="Arial" w:hAnsi="Arial" w:cs="Arial"/>
          <w:color w:val="000000"/>
          <w:sz w:val="20"/>
        </w:rPr>
        <w:t>* * *</w:t>
      </w:r>
    </w:p>
    <w:p w14:paraId="31D95185" w14:textId="77777777" w:rsidR="002B10A6" w:rsidRDefault="00000000">
      <w:pPr>
        <w:pStyle w:val="Normal37"/>
        <w:widowControl w:val="0"/>
        <w:spacing w:before="200" w:line="260" w:lineRule="atLeast"/>
        <w:jc w:val="both"/>
      </w:pPr>
      <w:bookmarkStart w:id="7064" w:name="Bookmark_para_30_19"/>
      <w:bookmarkEnd w:id="7064"/>
      <w:r>
        <w:rPr>
          <w:rFonts w:ascii="Arial" w:eastAsia="Arial" w:hAnsi="Arial" w:cs="Arial"/>
          <w:color w:val="000000"/>
          <w:sz w:val="20"/>
        </w:rPr>
        <w:t>In sum, Quality of Life cannot show disparate treatment, disparate impact, or that the City failed to provide a reasonable accommodation. The district court didn't err in granting summary judgment in favor of the City on Quality of Life's discrimination claims.</w:t>
      </w:r>
    </w:p>
    <w:p w14:paraId="791919E1" w14:textId="77777777" w:rsidR="002B10A6" w:rsidRDefault="00000000">
      <w:pPr>
        <w:pStyle w:val="Normal37"/>
        <w:widowControl w:val="0"/>
        <w:spacing w:before="240" w:line="260" w:lineRule="atLeast"/>
      </w:pPr>
      <w:r>
        <w:br/>
      </w:r>
      <w:r>
        <w:rPr>
          <w:rFonts w:ascii="Arial" w:eastAsia="Arial" w:hAnsi="Arial" w:cs="Arial"/>
          <w:b/>
          <w:color w:val="000000"/>
          <w:sz w:val="20"/>
        </w:rPr>
        <w:t>B</w:t>
      </w:r>
    </w:p>
    <w:p w14:paraId="5302C047" w14:textId="77777777" w:rsidR="002B10A6" w:rsidRDefault="00000000">
      <w:pPr>
        <w:pStyle w:val="Normal37"/>
        <w:widowControl w:val="0"/>
        <w:spacing w:before="200" w:line="260" w:lineRule="atLeast"/>
        <w:jc w:val="both"/>
      </w:pPr>
      <w:bookmarkStart w:id="7065" w:name="Bookmark_para_31_19"/>
      <w:bookmarkStart w:id="7066" w:name="Bookmark_I5YBP9GG2HM6KP0050000400"/>
      <w:bookmarkEnd w:id="7065"/>
      <w:bookmarkEnd w:id="7066"/>
      <w:r>
        <w:rPr>
          <w:rFonts w:ascii="Arial" w:eastAsia="Arial" w:hAnsi="Arial" w:cs="Arial"/>
          <w:color w:val="000000"/>
          <w:sz w:val="20"/>
        </w:rPr>
        <w:t xml:space="preserve">We next address Quality of Life's claim that the district court erred in granting summary judgement on its state-law estoppel claim. </w:t>
      </w:r>
      <w:bookmarkStart w:id="7067" w:name="Bookmark_LNHNREFclscc10_21"/>
      <w:bookmarkEnd w:id="7067"/>
      <w:r>
        <w:rPr>
          <w:rFonts w:ascii="Arial" w:eastAsia="Arial" w:hAnsi="Arial" w:cs="Arial"/>
          <w:color w:val="000000"/>
          <w:sz w:val="20"/>
        </w:rPr>
        <w:t xml:space="preserve">In </w:t>
      </w:r>
      <w:r>
        <w:rPr>
          <w:rFonts w:ascii="Arial" w:eastAsia="Arial" w:hAnsi="Arial" w:cs="Arial"/>
          <w:i/>
          <w:color w:val="000000"/>
          <w:sz w:val="20"/>
        </w:rPr>
        <w:t>Coral Springs Street Systems, Inc. v. City of Sunrise</w:t>
      </w:r>
      <w:r>
        <w:rPr>
          <w:rFonts w:ascii="Arial" w:eastAsia="Arial" w:hAnsi="Arial" w:cs="Arial"/>
          <w:color w:val="000000"/>
          <w:sz w:val="20"/>
        </w:rPr>
        <w:t xml:space="preserve">, we explained that, under Florida law, vested rights in something like a building permit can be created in two ways: (1) "when a party has reasonably and detrimentally relied on existing law, creating the conditions of equitable estoppel," or (2) if detrimental reliance hasn't been demonstrated, "when the defendant municipality has acted in a clear display of bad faith." </w:t>
      </w:r>
      <w:bookmarkStart w:id="7068" w:name="Bookmark_I5YBP9GG2HM6KP0040000400"/>
      <w:bookmarkEnd w:id="7068"/>
      <w:r>
        <w:rPr>
          <w:rFonts w:ascii="Arial" w:eastAsia="Arial" w:hAnsi="Arial" w:cs="Arial"/>
          <w:color w:val="000000"/>
          <w:sz w:val="20"/>
        </w:rPr>
        <w:t xml:space="preserve">371 F.3d 1320, 1334 (11th Cir. 2004). The "first and more common way a vested right is created"—the doctrine of equitable [**17]  estoppel—can be invoked  [*772]  against a local government "when a property owner (1) in good faith (2) upon some act or omission of the government (3) has made such a substantial change in position or has incurred such extensive obligations and expenses that it would be highly inequitable and unjust to destroy the right he acquired." </w:t>
      </w:r>
      <w:r>
        <w:rPr>
          <w:rFonts w:ascii="Arial" w:eastAsia="Arial" w:hAnsi="Arial" w:cs="Arial"/>
          <w:i/>
          <w:color w:val="000000"/>
          <w:sz w:val="20"/>
        </w:rPr>
        <w:t>Id.</w:t>
      </w:r>
      <w:r>
        <w:rPr>
          <w:rFonts w:ascii="Arial" w:eastAsia="Arial" w:hAnsi="Arial" w:cs="Arial"/>
          <w:color w:val="000000"/>
          <w:sz w:val="20"/>
        </w:rPr>
        <w:t xml:space="preserve"> (quotation omitted).</w:t>
      </w:r>
    </w:p>
    <w:p w14:paraId="2B97413B" w14:textId="77777777" w:rsidR="002B10A6" w:rsidRDefault="00000000">
      <w:pPr>
        <w:pStyle w:val="Normal37"/>
        <w:widowControl w:val="0"/>
        <w:spacing w:before="200" w:line="260" w:lineRule="atLeast"/>
        <w:jc w:val="both"/>
      </w:pPr>
      <w:bookmarkStart w:id="7069" w:name="Bookmark_para_32_19"/>
      <w:bookmarkEnd w:id="7069"/>
      <w:r>
        <w:rPr>
          <w:rFonts w:ascii="Arial" w:eastAsia="Arial" w:hAnsi="Arial" w:cs="Arial"/>
          <w:color w:val="000000"/>
          <w:sz w:val="20"/>
        </w:rPr>
        <w:t xml:space="preserve">Quality of Life doesn't dispute that it never applied to operate a detox facility and that, accordingly, the City never gave its approval for such a use. </w:t>
      </w:r>
      <w:r>
        <w:rPr>
          <w:rFonts w:ascii="Arial" w:eastAsia="Arial" w:hAnsi="Arial" w:cs="Arial"/>
          <w:i/>
          <w:color w:val="000000"/>
          <w:sz w:val="20"/>
        </w:rPr>
        <w:t>See</w:t>
      </w:r>
      <w:r>
        <w:rPr>
          <w:rFonts w:ascii="Arial" w:eastAsia="Arial" w:hAnsi="Arial" w:cs="Arial"/>
          <w:color w:val="000000"/>
          <w:sz w:val="20"/>
        </w:rPr>
        <w:t xml:space="preserve"> Br. of Appellants at 52-53 ("[Quality of Life] did not obtain approval from the City specifically for a detoxification facility, and [Quality of Life] did not allege this."). It instead asserts that it has "vested rights to offer onsite medical services." But Quality of Life applied to operate an "independent living facility," which would require only "one nurse practitioner" and "[o]ne RN on call 24/7." When appearing before the City Commission, Jimenez described her project as "an assisted living facility" that would cater to "people that are mostly healthy." And while Jimenez stated that she would be "working with a doctor," she explained further that she would be "partnering up" [**18]  with him because the doctor's twin brother (also a doctor) operated an assisted-living facility elsewhere in Florida. The City approved Quality of Life's application based on these representations.</w:t>
      </w:r>
    </w:p>
    <w:p w14:paraId="64AE3B50" w14:textId="77777777" w:rsidR="002B10A6" w:rsidRDefault="00000000">
      <w:pPr>
        <w:pStyle w:val="Normal37"/>
        <w:widowControl w:val="0"/>
        <w:spacing w:before="200" w:line="260" w:lineRule="atLeast"/>
        <w:jc w:val="both"/>
      </w:pPr>
      <w:bookmarkStart w:id="7070" w:name="Bookmark_para_33_18"/>
      <w:bookmarkEnd w:id="7070"/>
      <w:r>
        <w:rPr>
          <w:rFonts w:ascii="Arial" w:eastAsia="Arial" w:hAnsi="Arial" w:cs="Arial"/>
          <w:color w:val="000000"/>
          <w:sz w:val="20"/>
        </w:rPr>
        <w:t xml:space="preserve">The City consistently rejected Quality of Life's attempts to operate a drug-detox facility because that is not the use that the City had approved. </w:t>
      </w:r>
      <w:bookmarkStart w:id="7071" w:name="Bookmark_I2J271FKX2G0000M4SS0002R"/>
      <w:bookmarkStart w:id="7072" w:name="Bookmark_I5YBP9GG2SF7VY0020000400"/>
      <w:bookmarkEnd w:id="7071"/>
      <w:bookmarkEnd w:id="7072"/>
      <w:r>
        <w:rPr>
          <w:rFonts w:ascii="Arial" w:eastAsia="Arial" w:hAnsi="Arial" w:cs="Arial"/>
          <w:color w:val="000000"/>
          <w:sz w:val="20"/>
        </w:rPr>
        <w:t>Quality of Life's building plans were accepted by City officials only after Jimenez removed labels (</w:t>
      </w:r>
      <w:r>
        <w:rPr>
          <w:rFonts w:ascii="Arial" w:eastAsia="Arial" w:hAnsi="Arial" w:cs="Arial"/>
          <w:i/>
          <w:color w:val="000000"/>
          <w:sz w:val="20"/>
        </w:rPr>
        <w:t>e.g.</w:t>
      </w:r>
      <w:r>
        <w:rPr>
          <w:rFonts w:ascii="Arial" w:eastAsia="Arial" w:hAnsi="Arial" w:cs="Arial"/>
          <w:color w:val="000000"/>
          <w:sz w:val="20"/>
        </w:rPr>
        <w:t xml:space="preserve">, "Margate Rehabilitation Center" and references to inpatient treatment areas) that indicated that she was attempting to build a drug-detox facility. Although the building plans apparently met "Institutional Group I-2" standards (which encompass medical facilities) under the Florida Building Code, such a distinction doesn't change the zoning designation or the approved use. Thus, Quality of Life cannot claim detrimental reliance because it is—and has always been—the City's position that Quality of Life could operate as an assisted-living facility, but not as a drug-detox facility. Because Quality of Life cannot prove equitable estoppel and there is no evidence that the City acted "in a clear display of bad faith," </w:t>
      </w:r>
      <w:bookmarkStart w:id="7073" w:name="Bookmark_I5YBP9GG2SF7VY0010000400"/>
      <w:bookmarkEnd w:id="7073"/>
      <w:r>
        <w:rPr>
          <w:rFonts w:ascii="Arial" w:eastAsia="Arial" w:hAnsi="Arial" w:cs="Arial"/>
          <w:i/>
          <w:color w:val="000000"/>
          <w:sz w:val="20"/>
        </w:rPr>
        <w:t>Coral Springs</w:t>
      </w:r>
      <w:r>
        <w:rPr>
          <w:rFonts w:ascii="Arial" w:eastAsia="Arial" w:hAnsi="Arial" w:cs="Arial"/>
          <w:color w:val="000000"/>
          <w:sz w:val="20"/>
        </w:rPr>
        <w:t>, 371 F.3d at 1334, Quality of Life's vested-rights [**19]  claim fails.</w:t>
      </w:r>
    </w:p>
    <w:p w14:paraId="0B2665D3" w14:textId="77777777" w:rsidR="002B10A6" w:rsidRDefault="00000000">
      <w:pPr>
        <w:pStyle w:val="Normal37"/>
        <w:widowControl w:val="0"/>
        <w:spacing w:before="240" w:line="260" w:lineRule="atLeast"/>
      </w:pPr>
      <w:r>
        <w:br/>
      </w:r>
      <w:r>
        <w:rPr>
          <w:rFonts w:ascii="Arial" w:eastAsia="Arial" w:hAnsi="Arial" w:cs="Arial"/>
          <w:b/>
          <w:color w:val="000000"/>
          <w:sz w:val="20"/>
        </w:rPr>
        <w:t>C</w:t>
      </w:r>
    </w:p>
    <w:p w14:paraId="5B1D097F" w14:textId="77777777" w:rsidR="002B10A6" w:rsidRDefault="00000000">
      <w:pPr>
        <w:pStyle w:val="Normal37"/>
        <w:widowControl w:val="0"/>
        <w:spacing w:before="200" w:line="260" w:lineRule="atLeast"/>
        <w:jc w:val="both"/>
      </w:pPr>
      <w:bookmarkStart w:id="7074" w:name="Bookmark_para_34_17"/>
      <w:bookmarkEnd w:id="7074"/>
      <w:r>
        <w:rPr>
          <w:rFonts w:ascii="Arial" w:eastAsia="Arial" w:hAnsi="Arial" w:cs="Arial"/>
          <w:color w:val="000000"/>
          <w:sz w:val="20"/>
        </w:rPr>
        <w:t xml:space="preserve">Quality of Life also argues that the district court erred in "failing to address" its request for declaratory and injunctive relief. </w:t>
      </w:r>
      <w:bookmarkStart w:id="7075" w:name="Bookmark_I5YBP9GG2SF7VY0040000400"/>
      <w:bookmarkEnd w:id="7075"/>
      <w:r>
        <w:rPr>
          <w:rFonts w:ascii="Arial" w:eastAsia="Arial" w:hAnsi="Arial" w:cs="Arial"/>
          <w:color w:val="000000"/>
          <w:sz w:val="20"/>
        </w:rPr>
        <w:t xml:space="preserve">Other than the blanket assertion that the district court committed "reversible error," Quality of Life doesn't cite any cases or flesh out its argument. </w:t>
      </w:r>
      <w:bookmarkStart w:id="7076" w:name="Bookmark_LNHNREFclscc11_21"/>
      <w:bookmarkEnd w:id="7076"/>
      <w:r>
        <w:rPr>
          <w:rFonts w:ascii="Arial" w:eastAsia="Arial" w:hAnsi="Arial" w:cs="Arial"/>
          <w:color w:val="000000"/>
          <w:sz w:val="20"/>
        </w:rPr>
        <w:t xml:space="preserve">By failing to explain its claim, we consider Quality of Life's argument to be abandoned. </w:t>
      </w:r>
      <w:r>
        <w:rPr>
          <w:rFonts w:ascii="Arial" w:eastAsia="Arial" w:hAnsi="Arial" w:cs="Arial"/>
          <w:i/>
          <w:color w:val="000000"/>
          <w:sz w:val="20"/>
        </w:rPr>
        <w:t xml:space="preserve">See </w:t>
      </w:r>
      <w:bookmarkStart w:id="7077" w:name="Bookmark_I5YBP9GG2SF7VY0030000400"/>
      <w:bookmarkEnd w:id="7077"/>
      <w:r>
        <w:rPr>
          <w:rFonts w:ascii="Arial" w:eastAsia="Arial" w:hAnsi="Arial" w:cs="Arial"/>
          <w:i/>
          <w:color w:val="000000"/>
          <w:sz w:val="20"/>
        </w:rPr>
        <w:t>Sapuppo v. Allstate Floridian Ins. Co.</w:t>
      </w:r>
      <w:r>
        <w:rPr>
          <w:rFonts w:ascii="Arial" w:eastAsia="Arial" w:hAnsi="Arial" w:cs="Arial"/>
          <w:color w:val="000000"/>
          <w:sz w:val="20"/>
        </w:rPr>
        <w:t xml:space="preserve">, 739 F.3d 678, 681 (11th Cir. 2014) ("We have long held that an appellant abandons a claim when he either makes only passing references to it or raises it in a perfunctory manner without supporting arguments and authority."). Even if we construed its briefs more liberally, the district court </w:t>
      </w:r>
      <w:r>
        <w:rPr>
          <w:rFonts w:ascii="Arial" w:eastAsia="Arial" w:hAnsi="Arial" w:cs="Arial"/>
          <w:i/>
          <w:color w:val="000000"/>
          <w:sz w:val="20"/>
        </w:rPr>
        <w:t>did</w:t>
      </w:r>
      <w:r>
        <w:rPr>
          <w:rFonts w:ascii="Arial" w:eastAsia="Arial" w:hAnsi="Arial" w:cs="Arial"/>
          <w:color w:val="000000"/>
          <w:sz w:val="20"/>
        </w:rPr>
        <w:t xml:space="preserve"> address Quality of Life's claims for declaratory and injunctive relief—and it denied them. The district court held that "[t]he declaratory and injunctive relief sought is neither necessary nor warranted." After deciding that the underlying FHA, ADA, and estoppel claims failed, neither injunctive nor declaratory relief </w:t>
      </w:r>
      <w:r>
        <w:rPr>
          <w:rFonts w:ascii="Arial" w:eastAsia="Arial" w:hAnsi="Arial" w:cs="Arial"/>
          <w:i/>
          <w:color w:val="000000"/>
          <w:sz w:val="20"/>
        </w:rPr>
        <w:t>could</w:t>
      </w:r>
      <w:r>
        <w:rPr>
          <w:rFonts w:ascii="Arial" w:eastAsia="Arial" w:hAnsi="Arial" w:cs="Arial"/>
          <w:color w:val="000000"/>
          <w:sz w:val="20"/>
        </w:rPr>
        <w:t xml:space="preserve"> be granted. We therefore affirm the district court's denial of declaratory and injunctive relief.</w:t>
      </w:r>
    </w:p>
    <w:p w14:paraId="04022FAC" w14:textId="77777777" w:rsidR="002B10A6" w:rsidRDefault="00000000">
      <w:pPr>
        <w:pStyle w:val="Normal37"/>
        <w:widowControl w:val="0"/>
        <w:spacing w:before="240" w:line="260" w:lineRule="atLeast"/>
      </w:pPr>
      <w:r>
        <w:br/>
      </w:r>
      <w:r>
        <w:rPr>
          <w:rFonts w:ascii="Arial" w:eastAsia="Arial" w:hAnsi="Arial" w:cs="Arial"/>
          <w:color w:val="000000"/>
          <w:sz w:val="20"/>
        </w:rPr>
        <w:t xml:space="preserve"> [*773]  </w:t>
      </w:r>
      <w:r>
        <w:rPr>
          <w:rFonts w:ascii="Arial" w:eastAsia="Arial" w:hAnsi="Arial" w:cs="Arial"/>
          <w:b/>
          <w:color w:val="000000"/>
          <w:sz w:val="20"/>
        </w:rPr>
        <w:t>D</w:t>
      </w:r>
    </w:p>
    <w:p w14:paraId="62EB877D" w14:textId="77777777" w:rsidR="002B10A6" w:rsidRDefault="00000000">
      <w:pPr>
        <w:pStyle w:val="Normal37"/>
        <w:widowControl w:val="0"/>
        <w:spacing w:before="200" w:line="260" w:lineRule="atLeast"/>
        <w:jc w:val="both"/>
      </w:pPr>
      <w:bookmarkStart w:id="7078" w:name="Bookmark_para_35_17"/>
      <w:bookmarkStart w:id="7079" w:name="Bookmark_I5YBP9GH2SF7W10010000400"/>
      <w:bookmarkStart w:id="7080" w:name="Bookmark_I5YBP9GH2SF7W10030000400"/>
      <w:bookmarkEnd w:id="7078"/>
      <w:bookmarkEnd w:id="7079"/>
      <w:bookmarkEnd w:id="7080"/>
      <w:r>
        <w:rPr>
          <w:rFonts w:ascii="Arial" w:eastAsia="Arial" w:hAnsi="Arial" w:cs="Arial"/>
          <w:color w:val="000000"/>
          <w:sz w:val="20"/>
        </w:rPr>
        <w:t xml:space="preserve">We turn, finally, to examine Quality of Life's last claim—that the district court erred in denying its motion for reconsideration. [**20]  Quality of Life devotes one sentence to challenging the district court's order by asserting that the district court abused its discretion and that the errors "resulted in manifest injustice." Quality of Life cites only one case, </w:t>
      </w:r>
      <w:bookmarkStart w:id="7081" w:name="Bookmark_I5YBP9GG2SF7VY0050000400"/>
      <w:bookmarkEnd w:id="7081"/>
      <w:r>
        <w:rPr>
          <w:rFonts w:ascii="Arial" w:eastAsia="Arial" w:hAnsi="Arial" w:cs="Arial"/>
          <w:i/>
          <w:color w:val="000000"/>
          <w:sz w:val="20"/>
        </w:rPr>
        <w:t>Rodriguez v. City of Doral</w:t>
      </w:r>
      <w:r>
        <w:rPr>
          <w:rFonts w:ascii="Arial" w:eastAsia="Arial" w:hAnsi="Arial" w:cs="Arial"/>
          <w:color w:val="000000"/>
          <w:sz w:val="20"/>
        </w:rPr>
        <w:t xml:space="preserve">, 863 F.3d 1343, 1349 (11th Cir. 2017), seemingly for the standard of review. </w:t>
      </w:r>
      <w:bookmarkStart w:id="7082" w:name="Bookmark_I5YBP9GH2SF7W10050000400"/>
      <w:bookmarkEnd w:id="7082"/>
      <w:r>
        <w:rPr>
          <w:rFonts w:ascii="Arial" w:eastAsia="Arial" w:hAnsi="Arial" w:cs="Arial"/>
          <w:color w:val="000000"/>
          <w:sz w:val="20"/>
        </w:rPr>
        <w:t xml:space="preserve">This lack of explanation leads us to consider this claim abandoned, as well. </w:t>
      </w:r>
      <w:r>
        <w:rPr>
          <w:rFonts w:ascii="Arial" w:eastAsia="Arial" w:hAnsi="Arial" w:cs="Arial"/>
          <w:i/>
          <w:color w:val="000000"/>
          <w:sz w:val="20"/>
        </w:rPr>
        <w:t xml:space="preserve">See </w:t>
      </w:r>
      <w:bookmarkStart w:id="7083" w:name="Bookmark_I5YBP9GH2SF7W10020000400"/>
      <w:bookmarkEnd w:id="7083"/>
      <w:r>
        <w:rPr>
          <w:rFonts w:ascii="Arial" w:eastAsia="Arial" w:hAnsi="Arial" w:cs="Arial"/>
          <w:i/>
          <w:color w:val="000000"/>
          <w:sz w:val="20"/>
        </w:rPr>
        <w:t>Sapuppo</w:t>
      </w:r>
      <w:r>
        <w:rPr>
          <w:rFonts w:ascii="Arial" w:eastAsia="Arial" w:hAnsi="Arial" w:cs="Arial"/>
          <w:color w:val="000000"/>
          <w:sz w:val="20"/>
        </w:rPr>
        <w:t xml:space="preserve">, 739 F.3d at 681. </w:t>
      </w:r>
      <w:bookmarkStart w:id="7084" w:name="Bookmark_I5YBP9GH2SF7W10050000400_2"/>
      <w:bookmarkEnd w:id="7084"/>
      <w:r>
        <w:rPr>
          <w:rFonts w:ascii="Arial" w:eastAsia="Arial" w:hAnsi="Arial" w:cs="Arial"/>
          <w:color w:val="000000"/>
          <w:sz w:val="20"/>
        </w:rPr>
        <w:t>In any event, the district court didn't abuse its discretion. "</w:t>
      </w:r>
      <w:bookmarkStart w:id="7085" w:name="Bookmark_LNHNREFclscc12_19"/>
      <w:bookmarkEnd w:id="7085"/>
      <w:r>
        <w:rPr>
          <w:rFonts w:ascii="Arial" w:eastAsia="Arial" w:hAnsi="Arial" w:cs="Arial"/>
          <w:color w:val="000000"/>
          <w:sz w:val="20"/>
        </w:rPr>
        <w:t xml:space="preserve">A motion for reconsideration cannot be used 'to relitigate old matters, raise argument or present evidence that could have been raised prior to the entry of judgment.'" </w:t>
      </w:r>
      <w:bookmarkStart w:id="7086" w:name="Bookmark_I5YBP9GH2SF7W10040000400"/>
      <w:bookmarkEnd w:id="7086"/>
      <w:r>
        <w:rPr>
          <w:rFonts w:ascii="Arial" w:eastAsia="Arial" w:hAnsi="Arial" w:cs="Arial"/>
          <w:i/>
          <w:color w:val="000000"/>
          <w:sz w:val="20"/>
        </w:rPr>
        <w:t>Richardson v. Johnson</w:t>
      </w:r>
      <w:r>
        <w:rPr>
          <w:rFonts w:ascii="Arial" w:eastAsia="Arial" w:hAnsi="Arial" w:cs="Arial"/>
          <w:color w:val="000000"/>
          <w:sz w:val="20"/>
        </w:rPr>
        <w:t xml:space="preserve">, 598 F.3d 734, 740 (11th Cir. 2010) (quoting </w:t>
      </w:r>
      <w:bookmarkStart w:id="7087" w:name="Bookmark_I5YBP9GH2HM6KW0010000400"/>
      <w:bookmarkEnd w:id="7087"/>
      <w:r>
        <w:rPr>
          <w:rFonts w:ascii="Arial" w:eastAsia="Arial" w:hAnsi="Arial" w:cs="Arial"/>
          <w:i/>
          <w:color w:val="000000"/>
          <w:sz w:val="20"/>
        </w:rPr>
        <w:t>Michael Linet, Inc. v. Village of Wellington</w:t>
      </w:r>
      <w:r>
        <w:rPr>
          <w:rFonts w:ascii="Arial" w:eastAsia="Arial" w:hAnsi="Arial" w:cs="Arial"/>
          <w:color w:val="000000"/>
          <w:sz w:val="20"/>
        </w:rPr>
        <w:t>, 408 F.3d 757, 763 (11th Cir. 2005)). The district court denied Quality of Life's motion because Quality of Life raised "many of the same arguments" as it did at summary judgment, confirming that it merely disagreed with the district court's summary judgment order. Refusing Quality of Life's attempt to get another bite at the apple is not an abuse of discretion and we therefore affirm the district court.</w:t>
      </w:r>
    </w:p>
    <w:p w14:paraId="00B9B47C" w14:textId="77777777" w:rsidR="002B10A6" w:rsidRDefault="00000000">
      <w:pPr>
        <w:pStyle w:val="Normal37"/>
        <w:widowControl w:val="0"/>
        <w:spacing w:before="240" w:line="260" w:lineRule="atLeast"/>
      </w:pPr>
      <w:r>
        <w:br/>
      </w:r>
      <w:r>
        <w:rPr>
          <w:rFonts w:ascii="Arial" w:eastAsia="Arial" w:hAnsi="Arial" w:cs="Arial"/>
          <w:b/>
          <w:color w:val="000000"/>
          <w:sz w:val="20"/>
        </w:rPr>
        <w:t>III</w:t>
      </w:r>
    </w:p>
    <w:p w14:paraId="6F4DA600" w14:textId="77777777" w:rsidR="002B10A6" w:rsidRDefault="00000000">
      <w:pPr>
        <w:pStyle w:val="Normal37"/>
        <w:widowControl w:val="0"/>
        <w:spacing w:before="200" w:line="260" w:lineRule="atLeast"/>
        <w:jc w:val="both"/>
      </w:pPr>
      <w:bookmarkStart w:id="7088" w:name="Bookmark_para_36_17"/>
      <w:bookmarkEnd w:id="7088"/>
      <w:r>
        <w:rPr>
          <w:rFonts w:ascii="Arial" w:eastAsia="Arial" w:hAnsi="Arial" w:cs="Arial"/>
          <w:color w:val="000000"/>
          <w:sz w:val="20"/>
        </w:rPr>
        <w:t>In conclusion, the district court didn't err in granting the City's motion for summary judgment. Quality of Life cannot show that the City discriminated against it in violation of the ADA and FHA. The district court also properly rejected [**21]  Quality of Life's state-law estoppel claim and its request for declaratory and injunctive relief. Finally, the district court didn't abuse its discretion in denying Quality of Life's motion for reconsideration.</w:t>
      </w:r>
    </w:p>
    <w:p w14:paraId="10E64D9B" w14:textId="77777777" w:rsidR="002B10A6" w:rsidRDefault="00000000">
      <w:pPr>
        <w:pStyle w:val="Normal37"/>
        <w:widowControl w:val="0"/>
        <w:spacing w:before="200" w:line="260" w:lineRule="atLeast"/>
        <w:jc w:val="both"/>
      </w:pPr>
      <w:bookmarkStart w:id="7089" w:name="Bookmark_para_37_16"/>
      <w:bookmarkEnd w:id="7089"/>
      <w:r>
        <w:rPr>
          <w:rFonts w:ascii="Arial" w:eastAsia="Arial" w:hAnsi="Arial" w:cs="Arial"/>
          <w:b/>
          <w:color w:val="000000"/>
          <w:sz w:val="20"/>
        </w:rPr>
        <w:t>AFFIRMED</w:t>
      </w:r>
      <w:r>
        <w:rPr>
          <w:rFonts w:ascii="Arial" w:eastAsia="Arial" w:hAnsi="Arial" w:cs="Arial"/>
          <w:color w:val="000000"/>
          <w:sz w:val="20"/>
        </w:rPr>
        <w:t>.</w:t>
      </w:r>
    </w:p>
    <w:p w14:paraId="6E3BFF35" w14:textId="77777777" w:rsidR="002B10A6" w:rsidRDefault="002B10A6">
      <w:pPr>
        <w:pStyle w:val="Normal37"/>
      </w:pPr>
    </w:p>
    <w:p w14:paraId="0EBA9489" w14:textId="52F757A2" w:rsidR="002B10A6" w:rsidRDefault="00000000">
      <w:pPr>
        <w:pStyle w:val="Normal37"/>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41184" behindDoc="0" locked="0" layoutInCell="1" allowOverlap="1" wp14:anchorId="483889BF" wp14:editId="10597557">
                <wp:simplePos x="0" y="0"/>
                <wp:positionH relativeFrom="column">
                  <wp:posOffset>0</wp:posOffset>
                </wp:positionH>
                <wp:positionV relativeFrom="paragraph">
                  <wp:posOffset>127000</wp:posOffset>
                </wp:positionV>
                <wp:extent cx="6502400" cy="0"/>
                <wp:effectExtent l="9525" t="12700" r="12700" b="6350"/>
                <wp:wrapNone/>
                <wp:docPr id="115818099"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A157"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6E0FE0C" w14:textId="77777777" w:rsidR="002B10A6" w:rsidRDefault="002B10A6">
      <w:pPr>
        <w:pStyle w:val="Normal38"/>
        <w:sectPr w:rsidR="002B10A6">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gutter="0"/>
          <w:cols w:space="720"/>
          <w:titlePg/>
        </w:sectPr>
      </w:pPr>
    </w:p>
    <w:p w14:paraId="207EE7A1" w14:textId="77777777" w:rsidR="002B10A6" w:rsidRDefault="002B10A6">
      <w:pPr>
        <w:pStyle w:val="Normal38"/>
      </w:pPr>
    </w:p>
    <w:p w14:paraId="3F88DA17" w14:textId="77777777" w:rsidR="002B10A6" w:rsidRDefault="00000000">
      <w:pPr>
        <w:pStyle w:val="Heading137"/>
        <w:keepNext w:val="0"/>
        <w:widowControl w:val="0"/>
        <w:spacing w:after="200" w:line="340" w:lineRule="atLeast"/>
        <w:jc w:val="center"/>
      </w:pPr>
      <w:r>
        <w:rPr>
          <w:rFonts w:eastAsia="Arial"/>
          <w:color w:val="000000"/>
          <w:sz w:val="28"/>
        </w:rPr>
        <w:t>Sprague v. N. Va. Crim. Justice Training Acad.</w:t>
      </w:r>
    </w:p>
    <w:p w14:paraId="00236C97" w14:textId="77777777" w:rsidR="002B10A6" w:rsidRDefault="00000000">
      <w:pPr>
        <w:pStyle w:val="Normal38"/>
        <w:widowControl w:val="0"/>
        <w:spacing w:before="120" w:line="260" w:lineRule="atLeast"/>
        <w:jc w:val="center"/>
      </w:pPr>
      <w:r>
        <w:rPr>
          <w:rFonts w:ascii="Arial" w:eastAsia="Arial" w:hAnsi="Arial" w:cs="Arial"/>
          <w:color w:val="000000"/>
          <w:sz w:val="20"/>
        </w:rPr>
        <w:t>United States Court of Appeals for the Fourth Circuit</w:t>
      </w:r>
    </w:p>
    <w:p w14:paraId="6A09943A" w14:textId="77777777" w:rsidR="002B10A6" w:rsidRDefault="00000000">
      <w:pPr>
        <w:pStyle w:val="Normal38"/>
        <w:widowControl w:val="0"/>
        <w:spacing w:before="120" w:line="260" w:lineRule="atLeast"/>
        <w:jc w:val="center"/>
      </w:pPr>
      <w:r>
        <w:rPr>
          <w:rFonts w:ascii="Arial" w:eastAsia="Arial" w:hAnsi="Arial" w:cs="Arial"/>
          <w:color w:val="000000"/>
          <w:sz w:val="20"/>
        </w:rPr>
        <w:t>November 22, 2019, Submitted; February 21, 2020, Decided</w:t>
      </w:r>
    </w:p>
    <w:p w14:paraId="0C8857D5" w14:textId="77777777" w:rsidR="002B10A6" w:rsidRDefault="00000000">
      <w:pPr>
        <w:pStyle w:val="Normal38"/>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19-1508</w:t>
      </w:r>
    </w:p>
    <w:p w14:paraId="659E3150" w14:textId="77777777" w:rsidR="002B10A6" w:rsidRDefault="002B10A6">
      <w:pPr>
        <w:pStyle w:val="Normal38"/>
        <w:widowControl w:val="0"/>
        <w:spacing w:line="240" w:lineRule="atLeast"/>
        <w:jc w:val="both"/>
      </w:pPr>
      <w:bookmarkStart w:id="7090" w:name="Bookmark_39"/>
      <w:bookmarkEnd w:id="7090"/>
    </w:p>
    <w:p w14:paraId="00D6A6FA" w14:textId="77777777" w:rsidR="002B10A6" w:rsidRDefault="00000000">
      <w:pPr>
        <w:pStyle w:val="Normal38"/>
        <w:widowControl w:val="0"/>
        <w:spacing w:before="200" w:line="240" w:lineRule="atLeast"/>
      </w:pPr>
      <w:bookmarkStart w:id="7091" w:name="Reporter_37"/>
      <w:bookmarkEnd w:id="7091"/>
      <w:r>
        <w:rPr>
          <w:rFonts w:ascii="Arial" w:eastAsia="Arial" w:hAnsi="Arial" w:cs="Arial"/>
          <w:b/>
          <w:color w:val="000000"/>
          <w:sz w:val="18"/>
        </w:rPr>
        <w:t>Reporter</w:t>
      </w:r>
    </w:p>
    <w:p w14:paraId="45D0814A" w14:textId="77777777" w:rsidR="002B10A6" w:rsidRDefault="00000000">
      <w:pPr>
        <w:pStyle w:val="Normal38"/>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794 Fed. Appx. 314 *; 2020 U.S. App. LEXIS 5361 **; 2020 WL 864904</w:t>
      </w:r>
    </w:p>
    <w:p w14:paraId="6AFCBDC3" w14:textId="77777777" w:rsidR="002B10A6" w:rsidRDefault="00000000">
      <w:pPr>
        <w:pStyle w:val="Normal38"/>
        <w:widowControl w:val="0"/>
        <w:spacing w:before="120" w:line="260" w:lineRule="atLeast"/>
      </w:pPr>
      <w:r>
        <w:rPr>
          <w:rFonts w:ascii="Arial" w:eastAsia="Arial" w:hAnsi="Arial" w:cs="Arial"/>
          <w:color w:val="000000"/>
          <w:sz w:val="20"/>
        </w:rPr>
        <w:t>SHERRY LYNN SPRAGUE, Plaintiff - Appellant, v. NORTHERN VIRGINIA CRIMINAL JUSTICE TRAINING ACADEMY; DEAN C. GOODWIN; DAVID S. VICE, Defendants - Appellees, and CITY OF FALLS CHURCH, Defendant.</w:t>
      </w:r>
    </w:p>
    <w:p w14:paraId="7D08CAE3" w14:textId="77777777" w:rsidR="002B10A6" w:rsidRDefault="00000000">
      <w:pPr>
        <w:pStyle w:val="Normal38"/>
        <w:widowControl w:val="0"/>
        <w:spacing w:before="240" w:line="260" w:lineRule="atLeast"/>
        <w:jc w:val="both"/>
      </w:pPr>
      <w:bookmarkStart w:id="7092" w:name="Notice_14"/>
      <w:bookmarkEnd w:id="7092"/>
      <w:r>
        <w:rPr>
          <w:rFonts w:ascii="Arial" w:eastAsia="Arial" w:hAnsi="Arial" w:cs="Arial"/>
          <w:b/>
          <w:color w:val="000000"/>
          <w:sz w:val="20"/>
        </w:rPr>
        <w:t>Notice:</w:t>
      </w:r>
      <w:r>
        <w:rPr>
          <w:rFonts w:ascii="Arial" w:eastAsia="Arial" w:hAnsi="Arial" w:cs="Arial"/>
          <w:color w:val="000000"/>
          <w:sz w:val="20"/>
        </w:rPr>
        <w:t> </w:t>
      </w:r>
      <w:bookmarkStart w:id="7093" w:name="Bookmark_para_1_37"/>
      <w:bookmarkEnd w:id="7093"/>
      <w:r>
        <w:rPr>
          <w:rFonts w:ascii="Arial" w:eastAsia="Arial" w:hAnsi="Arial" w:cs="Arial"/>
          <w:color w:val="000000"/>
          <w:sz w:val="20"/>
        </w:rPr>
        <w:t>PLEASE REFER TO FEDERAL RULES OF APPELLATE PROCEDURE RULE 32.1 GOVERNING THE CITATION TO UNPUBLISHED OPINIONS.</w:t>
      </w:r>
    </w:p>
    <w:p w14:paraId="555C59C7" w14:textId="77777777" w:rsidR="002B10A6" w:rsidRDefault="00000000">
      <w:pPr>
        <w:pStyle w:val="Normal38"/>
        <w:widowControl w:val="0"/>
        <w:spacing w:before="240" w:line="260" w:lineRule="atLeast"/>
        <w:jc w:val="both"/>
      </w:pPr>
      <w:bookmarkStart w:id="7094" w:name="Prior_History_37"/>
      <w:bookmarkEnd w:id="7094"/>
      <w:r>
        <w:rPr>
          <w:rFonts w:ascii="Arial" w:eastAsia="Arial" w:hAnsi="Arial" w:cs="Arial"/>
          <w:b/>
          <w:color w:val="000000"/>
          <w:sz w:val="20"/>
        </w:rPr>
        <w:t>Prior History:</w:t>
      </w:r>
      <w:r>
        <w:rPr>
          <w:rFonts w:ascii="Arial" w:eastAsia="Arial" w:hAnsi="Arial" w:cs="Arial"/>
          <w:color w:val="000000"/>
          <w:sz w:val="20"/>
        </w:rPr>
        <w:t> </w:t>
      </w:r>
      <w:bookmarkStart w:id="7095" w:name="Bookmark_para_2_37"/>
      <w:bookmarkEnd w:id="7095"/>
      <w:r>
        <w:rPr>
          <w:rFonts w:ascii="Arial" w:eastAsia="Arial" w:hAnsi="Arial" w:cs="Arial"/>
          <w:color w:val="000000"/>
          <w:sz w:val="20"/>
        </w:rPr>
        <w:t> [**1] Appeal from the United States District Court for the Eastern District of Virginia, at Alexandria. Leonie M. Brinkema, District Judge. (1:18-cv-00411-LMB-IDD).</w:t>
      </w:r>
    </w:p>
    <w:p w14:paraId="52ED161C" w14:textId="77777777" w:rsidR="002B10A6" w:rsidRDefault="00000000">
      <w:pPr>
        <w:pStyle w:val="Normal38"/>
        <w:widowControl w:val="0"/>
        <w:spacing w:before="240" w:line="260" w:lineRule="atLeast"/>
        <w:jc w:val="both"/>
      </w:pPr>
      <w:bookmarkStart w:id="7096" w:name="Disposition_12"/>
      <w:bookmarkEnd w:id="7096"/>
      <w:r>
        <w:rPr>
          <w:rFonts w:ascii="Arial" w:eastAsia="Arial" w:hAnsi="Arial" w:cs="Arial"/>
          <w:b/>
          <w:color w:val="000000"/>
          <w:sz w:val="20"/>
        </w:rPr>
        <w:t>Disposition:</w:t>
      </w:r>
      <w:r>
        <w:rPr>
          <w:rFonts w:ascii="Arial" w:eastAsia="Arial" w:hAnsi="Arial" w:cs="Arial"/>
          <w:color w:val="000000"/>
          <w:sz w:val="20"/>
        </w:rPr>
        <w:t> </w:t>
      </w:r>
      <w:bookmarkStart w:id="7097" w:name="Bookmark_clspara_1_1"/>
      <w:bookmarkEnd w:id="7097"/>
      <w:r>
        <w:rPr>
          <w:rFonts w:ascii="Arial" w:eastAsia="Arial" w:hAnsi="Arial" w:cs="Arial"/>
          <w:color w:val="000000"/>
          <w:sz w:val="20"/>
        </w:rPr>
        <w:t>AFFIRMED.</w:t>
      </w:r>
    </w:p>
    <w:p w14:paraId="6C7622CF" w14:textId="77777777" w:rsidR="002B10A6" w:rsidRDefault="00000000">
      <w:pPr>
        <w:pStyle w:val="Normal38"/>
        <w:widowControl w:val="0"/>
        <w:spacing w:before="240" w:line="260" w:lineRule="atLeast"/>
      </w:pPr>
      <w:bookmarkStart w:id="7098" w:name="Counsel_36"/>
      <w:bookmarkEnd w:id="7098"/>
      <w:r>
        <w:rPr>
          <w:rFonts w:ascii="Arial" w:eastAsia="Arial" w:hAnsi="Arial" w:cs="Arial"/>
          <w:b/>
          <w:color w:val="000000"/>
          <w:sz w:val="20"/>
        </w:rPr>
        <w:t>Counsel:</w:t>
      </w:r>
      <w:r>
        <w:rPr>
          <w:rFonts w:ascii="Arial" w:eastAsia="Arial" w:hAnsi="Arial" w:cs="Arial"/>
          <w:color w:val="000000"/>
          <w:sz w:val="20"/>
        </w:rPr>
        <w:t> Carla D. Brown, Daphne S. Gebauer, CHARLSON BREDEHOFT COHEN &amp; BROWN, P.C., Reston, Virginia, for Appellant.</w:t>
      </w:r>
    </w:p>
    <w:p w14:paraId="0B225BF5" w14:textId="77777777" w:rsidR="002B10A6" w:rsidRDefault="00000000">
      <w:pPr>
        <w:pStyle w:val="Normal38"/>
        <w:widowControl w:val="0"/>
        <w:spacing w:before="120" w:line="260" w:lineRule="atLeast"/>
      </w:pPr>
      <w:r>
        <w:rPr>
          <w:rFonts w:ascii="Arial" w:eastAsia="Arial" w:hAnsi="Arial" w:cs="Arial"/>
          <w:color w:val="000000"/>
          <w:sz w:val="20"/>
        </w:rPr>
        <w:t>Julia B. Judkins, BANCROFT, MCGAVIN, HORVATH &amp; JUDKINS, P.C., Fairfax, Virginia, for Appellees.</w:t>
      </w:r>
    </w:p>
    <w:p w14:paraId="402E8A1D" w14:textId="77777777" w:rsidR="002B10A6" w:rsidRDefault="00000000">
      <w:pPr>
        <w:pStyle w:val="Normal38"/>
        <w:widowControl w:val="0"/>
        <w:spacing w:before="240" w:line="260" w:lineRule="atLeast"/>
      </w:pPr>
      <w:bookmarkStart w:id="7099" w:name="Judges_37"/>
      <w:bookmarkEnd w:id="7099"/>
      <w:r>
        <w:rPr>
          <w:rFonts w:ascii="Arial" w:eastAsia="Arial" w:hAnsi="Arial" w:cs="Arial"/>
          <w:b/>
          <w:color w:val="000000"/>
          <w:sz w:val="20"/>
        </w:rPr>
        <w:t>Judges:</w:t>
      </w:r>
      <w:r>
        <w:rPr>
          <w:rFonts w:ascii="Arial" w:eastAsia="Arial" w:hAnsi="Arial" w:cs="Arial"/>
          <w:color w:val="000000"/>
          <w:sz w:val="20"/>
        </w:rPr>
        <w:t> Before GREGORY, Chief Judge, RICHARDSON, Circuit Judge, and HAMILTON, Senior Circuit Judge.</w:t>
      </w:r>
    </w:p>
    <w:p w14:paraId="547558A5" w14:textId="77777777" w:rsidR="002B10A6" w:rsidRDefault="00000000">
      <w:pPr>
        <w:pStyle w:val="Normal38"/>
        <w:keepNext/>
        <w:widowControl w:val="0"/>
        <w:spacing w:before="240" w:line="340" w:lineRule="atLeast"/>
      </w:pPr>
      <w:bookmarkStart w:id="7100" w:name="Opinion_37"/>
      <w:bookmarkEnd w:id="7100"/>
      <w:r>
        <w:rPr>
          <w:rFonts w:ascii="Arial" w:eastAsia="Arial" w:hAnsi="Arial" w:cs="Arial"/>
          <w:b/>
          <w:color w:val="000000"/>
          <w:sz w:val="28"/>
        </w:rPr>
        <w:t>Opinion</w:t>
      </w:r>
    </w:p>
    <w:p w14:paraId="34D6912D" w14:textId="1929609D" w:rsidR="002B10A6" w:rsidRDefault="002D6974">
      <w:pPr>
        <w:pStyle w:val="Normal38"/>
        <w:spacing w:line="60" w:lineRule="exact"/>
      </w:pPr>
      <w:r>
        <w:rPr>
          <w:noProof/>
        </w:rPr>
        <mc:AlternateContent>
          <mc:Choice Requires="wps">
            <w:drawing>
              <wp:anchor distT="0" distB="0" distL="114300" distR="114300" simplePos="0" relativeHeight="251742208" behindDoc="0" locked="0" layoutInCell="1" allowOverlap="1" wp14:anchorId="3C09480B" wp14:editId="0A4BCDF8">
                <wp:simplePos x="0" y="0"/>
                <wp:positionH relativeFrom="column">
                  <wp:posOffset>0</wp:posOffset>
                </wp:positionH>
                <wp:positionV relativeFrom="paragraph">
                  <wp:posOffset>25400</wp:posOffset>
                </wp:positionV>
                <wp:extent cx="3187700" cy="0"/>
                <wp:effectExtent l="19050" t="15875" r="12700" b="12700"/>
                <wp:wrapTopAndBottom/>
                <wp:docPr id="156207857"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D25CC5" id="Line 83"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68C4005" w14:textId="77777777" w:rsidR="002B10A6" w:rsidRDefault="002B10A6">
      <w:pPr>
        <w:pStyle w:val="Normal38"/>
      </w:pPr>
    </w:p>
    <w:p w14:paraId="6D80BD08" w14:textId="77777777" w:rsidR="002B10A6" w:rsidRDefault="00000000">
      <w:pPr>
        <w:pStyle w:val="Normal38"/>
        <w:widowControl w:val="0"/>
        <w:spacing w:before="200" w:line="260" w:lineRule="atLeast"/>
        <w:jc w:val="both"/>
      </w:pPr>
      <w:bookmarkStart w:id="7101" w:name="Bookmark_para_3_37"/>
      <w:bookmarkEnd w:id="7101"/>
      <w:r>
        <w:rPr>
          <w:rFonts w:ascii="Arial" w:eastAsia="Arial" w:hAnsi="Arial" w:cs="Arial"/>
          <w:color w:val="000000"/>
          <w:sz w:val="20"/>
        </w:rPr>
        <w:t> [*314]  PER CURIAM:</w:t>
      </w:r>
    </w:p>
    <w:p w14:paraId="7EE0C51A" w14:textId="77777777" w:rsidR="002B10A6" w:rsidRDefault="00000000">
      <w:pPr>
        <w:pStyle w:val="Normal38"/>
        <w:widowControl w:val="0"/>
        <w:spacing w:before="200" w:line="260" w:lineRule="atLeast"/>
        <w:jc w:val="both"/>
      </w:pPr>
      <w:bookmarkStart w:id="7102" w:name="Bookmark_para_4_37"/>
      <w:bookmarkEnd w:id="7102"/>
      <w:r>
        <w:rPr>
          <w:rFonts w:ascii="Arial" w:eastAsia="Arial" w:hAnsi="Arial" w:cs="Arial"/>
          <w:color w:val="000000"/>
          <w:sz w:val="20"/>
        </w:rPr>
        <w:t>On July 31, 2017, Sherry Lynn Sprague, then an employee of the Northern Virginia Criminal Justice Training Academy ("the Academy"), suffered a traumatic brain injury caused by an off-duty motorcycle accident. She tendered her resignation a year later, on July 25, 2018, her first day back to work. Believing that the Academy acted in bad faith in responding to her injury, Sprague commenced the instant action alleging that the Academy violated the Americans with Disabilities Act (ADA), 42 U.S.C.A. §§ 12101 to 12213 (West 2013 &amp; Supp. 2018), by discriminating against her and refusing to accommodate her disability.</w:t>
      </w:r>
      <w:r>
        <w:rPr>
          <w:rFonts w:ascii="Arial" w:eastAsia="Arial" w:hAnsi="Arial" w:cs="Arial"/>
          <w:vertAlign w:val="superscript"/>
        </w:rPr>
        <w:footnoteReference w:customMarkFollows="1" w:id="324"/>
        <w:t>*</w:t>
      </w:r>
      <w:r>
        <w:rPr>
          <w:rFonts w:ascii="Arial" w:eastAsia="Arial" w:hAnsi="Arial" w:cs="Arial"/>
          <w:color w:val="000000"/>
          <w:sz w:val="20"/>
        </w:rPr>
        <w:t xml:space="preserve"> The district court granted summary judgment to the Academy, and we affirm.</w:t>
      </w:r>
    </w:p>
    <w:p w14:paraId="0FF6778D" w14:textId="77777777" w:rsidR="002B10A6" w:rsidRDefault="00000000">
      <w:pPr>
        <w:pStyle w:val="Normal38"/>
        <w:widowControl w:val="0"/>
        <w:spacing w:before="200" w:line="260" w:lineRule="atLeast"/>
        <w:jc w:val="both"/>
      </w:pPr>
      <w:bookmarkStart w:id="7108" w:name="Bookmark_para_5_37"/>
      <w:bookmarkStart w:id="7109" w:name="Bookmark_I5Y90GWH2SF8TJ0010000400"/>
      <w:bookmarkEnd w:id="7108"/>
      <w:bookmarkEnd w:id="7109"/>
      <w:r>
        <w:rPr>
          <w:rFonts w:ascii="Arial" w:eastAsia="Arial" w:hAnsi="Arial" w:cs="Arial"/>
          <w:color w:val="000000"/>
          <w:sz w:val="20"/>
        </w:rPr>
        <w:t xml:space="preserve">"We review de novo a district court's grant or denial [**2]  of a motion for summary judgment, construing all facts and reasonable inferences therefrom in favor of the nonmoving party." </w:t>
      </w:r>
      <w:bookmarkStart w:id="7110" w:name="Bookmark_I5Y90GWG28T49T0050000400"/>
      <w:bookmarkEnd w:id="7110"/>
      <w:r>
        <w:rPr>
          <w:rFonts w:ascii="Arial" w:eastAsia="Arial" w:hAnsi="Arial" w:cs="Arial"/>
          <w:i/>
          <w:color w:val="000000"/>
          <w:sz w:val="20"/>
        </w:rPr>
        <w:t>Gen. Ins. Co. of Am. v. U.S. Fire Ins. Co.</w:t>
      </w:r>
      <w:r>
        <w:rPr>
          <w:rFonts w:ascii="Arial" w:eastAsia="Arial" w:hAnsi="Arial" w:cs="Arial"/>
          <w:color w:val="000000"/>
          <w:sz w:val="20"/>
        </w:rPr>
        <w:t>, 886 F.3d 346, 353 (4th Cir. 2018). Summary judgment is appropriate "if the movant shows that there is no genuine dispute as to any material fact and the movant is entitled to judgment as a matter of law." Fed. R. Civ. P. 56(a).</w:t>
      </w:r>
    </w:p>
    <w:p w14:paraId="7D550E7F" w14:textId="77777777" w:rsidR="002B10A6" w:rsidRDefault="00000000">
      <w:pPr>
        <w:pStyle w:val="Normal38"/>
        <w:widowControl w:val="0"/>
        <w:spacing w:before="200" w:line="260" w:lineRule="atLeast"/>
        <w:jc w:val="both"/>
      </w:pPr>
      <w:bookmarkStart w:id="7111" w:name="Bookmark_para_6_37"/>
      <w:bookmarkStart w:id="7112" w:name="Bookmark_I5Y90GWH2SF8TJ0030000400"/>
      <w:bookmarkStart w:id="7113" w:name="Bookmark_I5Y90GWH2SF8TJ0050000400"/>
      <w:bookmarkEnd w:id="7111"/>
      <w:bookmarkEnd w:id="7112"/>
      <w:bookmarkEnd w:id="7113"/>
      <w:r>
        <w:rPr>
          <w:rFonts w:ascii="Arial" w:eastAsia="Arial" w:hAnsi="Arial" w:cs="Arial"/>
          <w:color w:val="000000"/>
          <w:sz w:val="20"/>
        </w:rPr>
        <w:t xml:space="preserve">A plaintiff alleging an ADA failure-to-accommodate claim must demonstrate "(1) that [she] was an individual who had a  [*315]  disability within the meaning of the statute; (2) that the employer had notice of [her] disability; (3) that with reasonable accommodation [she] could perform the essential functions of the position; and (4) that the employer refused to make such accommodations." </w:t>
      </w:r>
      <w:bookmarkStart w:id="7114" w:name="Bookmark_I5Y90GWH2SF8TJ0020000400"/>
      <w:bookmarkEnd w:id="7114"/>
      <w:r>
        <w:rPr>
          <w:rFonts w:ascii="Arial" w:eastAsia="Arial" w:hAnsi="Arial" w:cs="Arial"/>
          <w:i/>
          <w:color w:val="000000"/>
          <w:sz w:val="20"/>
        </w:rPr>
        <w:t>Wilson v. Dollar Gen. Corp.</w:t>
      </w:r>
      <w:r>
        <w:rPr>
          <w:rFonts w:ascii="Arial" w:eastAsia="Arial" w:hAnsi="Arial" w:cs="Arial"/>
          <w:color w:val="000000"/>
          <w:sz w:val="20"/>
        </w:rPr>
        <w:t xml:space="preserve">, 717 F.3d 337, 345 (4th Cir. 2013) (ellipsis, some brackets, and internal quotation marks omitted). Generally, when an employer receives notice of an employee's disability, the employer has "a good-faith duty to engage [with the employee] in an interactive process to identify a reasonable accommodation." </w:t>
      </w:r>
      <w:bookmarkStart w:id="7115" w:name="Bookmark_I5Y90GWH2SF8TJ0040000400"/>
      <w:bookmarkEnd w:id="7115"/>
      <w:r>
        <w:rPr>
          <w:rFonts w:ascii="Arial" w:eastAsia="Arial" w:hAnsi="Arial" w:cs="Arial"/>
          <w:i/>
          <w:color w:val="000000"/>
          <w:sz w:val="20"/>
        </w:rPr>
        <w:t>Jacobs v. N.C. Admin. Office of the Courts</w:t>
      </w:r>
      <w:r>
        <w:rPr>
          <w:rFonts w:ascii="Arial" w:eastAsia="Arial" w:hAnsi="Arial" w:cs="Arial"/>
          <w:color w:val="000000"/>
          <w:sz w:val="20"/>
        </w:rPr>
        <w:t>, 780 F.3d 562, 581 (4th Cir. 2015) (internal quotation marks omitted).</w:t>
      </w:r>
    </w:p>
    <w:p w14:paraId="431A19C5" w14:textId="77777777" w:rsidR="002B10A6" w:rsidRDefault="00000000">
      <w:pPr>
        <w:pStyle w:val="Normal38"/>
        <w:widowControl w:val="0"/>
        <w:spacing w:before="200" w:line="260" w:lineRule="atLeast"/>
        <w:jc w:val="both"/>
      </w:pPr>
      <w:bookmarkStart w:id="7116" w:name="Bookmark_para_7_37"/>
      <w:bookmarkEnd w:id="7116"/>
      <w:r>
        <w:rPr>
          <w:rFonts w:ascii="Arial" w:eastAsia="Arial" w:hAnsi="Arial" w:cs="Arial"/>
          <w:color w:val="000000"/>
          <w:sz w:val="20"/>
        </w:rPr>
        <w:t>Sprague, who received fitness-for-duty certifications several months before she returned to work, contends that the Academy acted in bad faith during the interactive process by questioning her medical clearances. [**3]  However, based on our review of the record, we conclude that the alleged acts of bad faith simply demonstrate the Academy's engagement in the interactive process and desire to ensure that the physicians evaluating her fitness actually knew what her job entailed. Specifically, the Academy initially disallowed Sprague from returning based on legitimate concerns both that the doctor who certified her fitness had reviewed a copy of Sprague's official job description and that the proposed accommodations were adequately responsive to Sprague's responsibilities at work. In addition, we find no support for Sprague's contention that the Academy nefariously embellished her job duties so that her doctor would withdraw her medical clearance. Although Sprague clearly disagreed with the Academy's reluctance to accept her clearances without scrutiny, she failed to produce evidence establishing that the Academy acted in bad faith. Thus, we conclude that the district court properly awarded summary judgment to the Academy on Sprague's failure-to-accommodate claim.</w:t>
      </w:r>
    </w:p>
    <w:p w14:paraId="5B5B6951" w14:textId="77777777" w:rsidR="002B10A6" w:rsidRDefault="00000000">
      <w:pPr>
        <w:pStyle w:val="Normal38"/>
        <w:widowControl w:val="0"/>
        <w:spacing w:before="200" w:line="260" w:lineRule="atLeast"/>
        <w:jc w:val="both"/>
      </w:pPr>
      <w:bookmarkStart w:id="7117" w:name="Bookmark_para_8_37"/>
      <w:bookmarkStart w:id="7118" w:name="Bookmark_I5Y90GWJ2N1RWC0020000400"/>
      <w:bookmarkStart w:id="7119" w:name="Bookmark_I5Y90GWJ2N1RWC0040000400"/>
      <w:bookmarkEnd w:id="7117"/>
      <w:bookmarkEnd w:id="7118"/>
      <w:bookmarkEnd w:id="7119"/>
      <w:r>
        <w:rPr>
          <w:rFonts w:ascii="Arial" w:eastAsia="Arial" w:hAnsi="Arial" w:cs="Arial"/>
          <w:color w:val="000000"/>
          <w:sz w:val="20"/>
        </w:rPr>
        <w:t xml:space="preserve">Sprague also alleged an ADA claim for disability discrimination, which requires a plaintiff to show "(1) that she has a disability, (2) that [**4]  she is a qualified individual for the employment in question, and (3) that her employer discharged her (or took other adverse employment action) because of her disability." </w:t>
      </w:r>
      <w:bookmarkStart w:id="7120" w:name="Bookmark_I5Y90GWJ2N1RWC0010000400"/>
      <w:bookmarkEnd w:id="7120"/>
      <w:r>
        <w:rPr>
          <w:rFonts w:ascii="Arial" w:eastAsia="Arial" w:hAnsi="Arial" w:cs="Arial"/>
          <w:i/>
          <w:color w:val="000000"/>
          <w:sz w:val="20"/>
        </w:rPr>
        <w:t>Jacobs</w:t>
      </w:r>
      <w:r>
        <w:rPr>
          <w:rFonts w:ascii="Arial" w:eastAsia="Arial" w:hAnsi="Arial" w:cs="Arial"/>
          <w:color w:val="000000"/>
          <w:sz w:val="20"/>
        </w:rPr>
        <w:t xml:space="preserve">, 780 F.3d at 572 (brackets and internal quotation marks omitted). On appeal, Sprague, whose separation from the Academy resulted from her own resignation, explicitly disavows any argument premised on constructive discharge. And although she cites several incidents that, according to her, evince the Academy's discriminatory disposition toward her disability, she identifies no evidence demonstrating that the Academy's actions "affect[ed] the terms, conditions, or benefits of [her] employment." </w:t>
      </w:r>
      <w:bookmarkStart w:id="7121" w:name="Bookmark_I5Y90GWJ2N1RWC0030000400"/>
      <w:bookmarkEnd w:id="7121"/>
      <w:r>
        <w:rPr>
          <w:rFonts w:ascii="Arial" w:eastAsia="Arial" w:hAnsi="Arial" w:cs="Arial"/>
          <w:i/>
          <w:color w:val="000000"/>
          <w:sz w:val="20"/>
        </w:rPr>
        <w:t>Holland v. Washington Homes, Inc.</w:t>
      </w:r>
      <w:r>
        <w:rPr>
          <w:rFonts w:ascii="Arial" w:eastAsia="Arial" w:hAnsi="Arial" w:cs="Arial"/>
          <w:color w:val="000000"/>
          <w:sz w:val="20"/>
        </w:rPr>
        <w:t>, 487 F.3d 208, 219 (4th Cir. 2007) (internal quotation marks omitted). For this reason, we conclude that Sprague's disability discrimination claim necessarily failed.</w:t>
      </w:r>
    </w:p>
    <w:p w14:paraId="5CE41E98" w14:textId="77777777" w:rsidR="002B10A6" w:rsidRDefault="00000000">
      <w:pPr>
        <w:pStyle w:val="Normal38"/>
        <w:widowControl w:val="0"/>
        <w:spacing w:before="200" w:line="260" w:lineRule="atLeast"/>
        <w:jc w:val="both"/>
      </w:pPr>
      <w:bookmarkStart w:id="7122" w:name="Bookmark_para_9_37"/>
      <w:bookmarkEnd w:id="7122"/>
      <w:r>
        <w:rPr>
          <w:rFonts w:ascii="Arial" w:eastAsia="Arial" w:hAnsi="Arial" w:cs="Arial"/>
          <w:color w:val="000000"/>
          <w:sz w:val="20"/>
        </w:rPr>
        <w:t>Accordingly, we affirm the district court's judgment. We dispense with oral argument because the facts and legal contentions are adequately presented in the materials before this court and argument would not aid the decisional process.</w:t>
      </w:r>
    </w:p>
    <w:p w14:paraId="367682B6" w14:textId="77777777" w:rsidR="002B10A6" w:rsidRDefault="00000000">
      <w:pPr>
        <w:pStyle w:val="Normal38"/>
        <w:widowControl w:val="0"/>
        <w:spacing w:before="200" w:line="260" w:lineRule="atLeast"/>
        <w:jc w:val="both"/>
      </w:pPr>
      <w:bookmarkStart w:id="7123" w:name="Bookmark_para_10_36"/>
      <w:bookmarkEnd w:id="7123"/>
      <w:r>
        <w:rPr>
          <w:rFonts w:ascii="Arial" w:eastAsia="Arial" w:hAnsi="Arial" w:cs="Arial"/>
          <w:i/>
          <w:color w:val="000000"/>
          <w:sz w:val="20"/>
        </w:rPr>
        <w:t>AFFIRMED</w:t>
      </w:r>
    </w:p>
    <w:p w14:paraId="7B81639E" w14:textId="77777777" w:rsidR="002B10A6" w:rsidRDefault="002B10A6">
      <w:pPr>
        <w:pStyle w:val="Normal38"/>
      </w:pPr>
    </w:p>
    <w:p w14:paraId="2DD7ACFF" w14:textId="752DE3A3" w:rsidR="002B10A6" w:rsidRDefault="00000000">
      <w:pPr>
        <w:pStyle w:val="Normal38"/>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43232" behindDoc="0" locked="0" layoutInCell="1" allowOverlap="1" wp14:anchorId="4B1D97CD" wp14:editId="4BE3973D">
                <wp:simplePos x="0" y="0"/>
                <wp:positionH relativeFrom="column">
                  <wp:posOffset>0</wp:posOffset>
                </wp:positionH>
                <wp:positionV relativeFrom="paragraph">
                  <wp:posOffset>127000</wp:posOffset>
                </wp:positionV>
                <wp:extent cx="6502400" cy="0"/>
                <wp:effectExtent l="9525" t="12700" r="12700" b="6350"/>
                <wp:wrapNone/>
                <wp:docPr id="173160702"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C6B49"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6146B35" w14:textId="77777777" w:rsidR="002B10A6" w:rsidRDefault="002B10A6">
      <w:pPr>
        <w:pStyle w:val="Normal39"/>
        <w:sectPr w:rsidR="002B10A6">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gutter="0"/>
          <w:cols w:space="720"/>
          <w:titlePg/>
        </w:sectPr>
      </w:pPr>
    </w:p>
    <w:p w14:paraId="1861AF6A" w14:textId="77777777" w:rsidR="002B10A6" w:rsidRDefault="002B10A6">
      <w:pPr>
        <w:pStyle w:val="Normal39"/>
      </w:pPr>
    </w:p>
    <w:p w14:paraId="76934335" w14:textId="77777777" w:rsidR="002B10A6" w:rsidRDefault="00000000">
      <w:pPr>
        <w:pStyle w:val="Heading138"/>
        <w:keepNext w:val="0"/>
        <w:widowControl w:val="0"/>
        <w:spacing w:after="200" w:line="340" w:lineRule="atLeast"/>
        <w:jc w:val="center"/>
      </w:pPr>
      <w:r>
        <w:rPr>
          <w:rFonts w:eastAsia="Arial"/>
          <w:color w:val="000000"/>
          <w:sz w:val="28"/>
        </w:rPr>
        <w:t>Grell v. DOE</w:t>
      </w:r>
    </w:p>
    <w:p w14:paraId="0A862FF5" w14:textId="77777777" w:rsidR="002B10A6" w:rsidRDefault="00000000">
      <w:pPr>
        <w:pStyle w:val="Normal39"/>
        <w:widowControl w:val="0"/>
        <w:spacing w:before="120" w:line="260" w:lineRule="atLeast"/>
        <w:jc w:val="center"/>
      </w:pPr>
      <w:r>
        <w:rPr>
          <w:rFonts w:ascii="Arial" w:eastAsia="Arial" w:hAnsi="Arial" w:cs="Arial"/>
          <w:color w:val="000000"/>
          <w:sz w:val="20"/>
        </w:rPr>
        <w:t>United States Court of Appeals for the Eighth Circuit</w:t>
      </w:r>
    </w:p>
    <w:p w14:paraId="58EA8C77" w14:textId="77777777" w:rsidR="002B10A6" w:rsidRDefault="00000000">
      <w:pPr>
        <w:pStyle w:val="Normal39"/>
        <w:widowControl w:val="0"/>
        <w:spacing w:before="120" w:line="260" w:lineRule="atLeast"/>
        <w:jc w:val="center"/>
      </w:pPr>
      <w:r>
        <w:rPr>
          <w:rFonts w:ascii="Arial" w:eastAsia="Arial" w:hAnsi="Arial" w:cs="Arial"/>
          <w:color w:val="000000"/>
          <w:sz w:val="20"/>
        </w:rPr>
        <w:t>January 29, 2020, Submitted; February 4, 2020, Filed</w:t>
      </w:r>
    </w:p>
    <w:p w14:paraId="391B8F7E" w14:textId="77777777" w:rsidR="002B10A6" w:rsidRDefault="00000000">
      <w:pPr>
        <w:pStyle w:val="Normal39"/>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19-2270</w:t>
      </w:r>
    </w:p>
    <w:p w14:paraId="715C9B94" w14:textId="77777777" w:rsidR="002B10A6" w:rsidRDefault="002B10A6">
      <w:pPr>
        <w:pStyle w:val="Normal39"/>
        <w:widowControl w:val="0"/>
        <w:spacing w:line="240" w:lineRule="atLeast"/>
        <w:jc w:val="both"/>
      </w:pPr>
      <w:bookmarkStart w:id="7124" w:name="Bookmark_40"/>
      <w:bookmarkEnd w:id="7124"/>
    </w:p>
    <w:p w14:paraId="08C96F8F" w14:textId="77777777" w:rsidR="002B10A6" w:rsidRDefault="00000000">
      <w:pPr>
        <w:pStyle w:val="Normal39"/>
        <w:widowControl w:val="0"/>
        <w:spacing w:before="200" w:line="240" w:lineRule="atLeast"/>
      </w:pPr>
      <w:bookmarkStart w:id="7125" w:name="Reporter_38"/>
      <w:bookmarkEnd w:id="7125"/>
      <w:r>
        <w:rPr>
          <w:rFonts w:ascii="Arial" w:eastAsia="Arial" w:hAnsi="Arial" w:cs="Arial"/>
          <w:b/>
          <w:color w:val="000000"/>
          <w:sz w:val="18"/>
        </w:rPr>
        <w:t>Reporter</w:t>
      </w:r>
    </w:p>
    <w:p w14:paraId="32C97EEB" w14:textId="77777777" w:rsidR="002B10A6" w:rsidRDefault="00000000">
      <w:pPr>
        <w:pStyle w:val="Normal39"/>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792 Fed. Appx. 410 *; 2020 U.S. App. LEXIS 3437 **; 2020 WL 547688</w:t>
      </w:r>
    </w:p>
    <w:p w14:paraId="7716B929" w14:textId="77777777" w:rsidR="002B10A6" w:rsidRDefault="00000000">
      <w:pPr>
        <w:pStyle w:val="Normal39"/>
        <w:widowControl w:val="0"/>
        <w:spacing w:before="120" w:line="260" w:lineRule="atLeast"/>
      </w:pPr>
      <w:r>
        <w:rPr>
          <w:rFonts w:ascii="Arial" w:eastAsia="Arial" w:hAnsi="Arial" w:cs="Arial"/>
          <w:color w:val="000000"/>
          <w:sz w:val="20"/>
        </w:rPr>
        <w:t>Sheri Grell, Plaintiff Appellant v. Department of Energy; Secretary Dan Brouillette, Defendants Appellees</w:t>
      </w:r>
    </w:p>
    <w:p w14:paraId="3DCA5826" w14:textId="77777777" w:rsidR="002B10A6" w:rsidRDefault="00000000">
      <w:pPr>
        <w:pStyle w:val="Normal39"/>
        <w:widowControl w:val="0"/>
        <w:spacing w:before="240" w:line="260" w:lineRule="atLeast"/>
        <w:jc w:val="both"/>
      </w:pPr>
      <w:bookmarkStart w:id="7126" w:name="Notice_15"/>
      <w:bookmarkEnd w:id="7126"/>
      <w:r>
        <w:rPr>
          <w:rFonts w:ascii="Arial" w:eastAsia="Arial" w:hAnsi="Arial" w:cs="Arial"/>
          <w:b/>
          <w:color w:val="000000"/>
          <w:sz w:val="20"/>
        </w:rPr>
        <w:t>Notice:</w:t>
      </w:r>
      <w:r>
        <w:rPr>
          <w:rFonts w:ascii="Arial" w:eastAsia="Arial" w:hAnsi="Arial" w:cs="Arial"/>
          <w:color w:val="000000"/>
          <w:sz w:val="20"/>
        </w:rPr>
        <w:t> </w:t>
      </w:r>
      <w:bookmarkStart w:id="7127" w:name="Bookmark_para_1_38"/>
      <w:bookmarkEnd w:id="7127"/>
      <w:r>
        <w:rPr>
          <w:rFonts w:ascii="Arial" w:eastAsia="Arial" w:hAnsi="Arial" w:cs="Arial"/>
          <w:color w:val="000000"/>
          <w:sz w:val="20"/>
        </w:rPr>
        <w:t>PLEASE REFER TO FEDERAL RULES OF APPELLATE PROCEDURE RULE 32.1 GOVERNING THE CITATION TO UNPUBLISHED OPINIONS.</w:t>
      </w:r>
    </w:p>
    <w:p w14:paraId="16A48632" w14:textId="77777777" w:rsidR="002B10A6" w:rsidRDefault="00000000">
      <w:pPr>
        <w:pStyle w:val="Normal39"/>
        <w:widowControl w:val="0"/>
        <w:spacing w:before="240" w:line="260" w:lineRule="atLeast"/>
      </w:pPr>
      <w:bookmarkStart w:id="7128" w:name="Subsequent_History_12"/>
      <w:bookmarkEnd w:id="7128"/>
      <w:r>
        <w:rPr>
          <w:rFonts w:ascii="Arial" w:eastAsia="Arial" w:hAnsi="Arial" w:cs="Arial"/>
          <w:b/>
          <w:color w:val="000000"/>
          <w:sz w:val="20"/>
        </w:rPr>
        <w:t>Subsequent History:</w:t>
      </w:r>
      <w:r>
        <w:rPr>
          <w:rFonts w:ascii="Arial" w:eastAsia="Arial" w:hAnsi="Arial" w:cs="Arial"/>
          <w:color w:val="000000"/>
          <w:sz w:val="20"/>
        </w:rPr>
        <w:t> Rehearing denied by, Rehearing denied by, En banc Grell v. Doe, 2020 U.S. App. LEXIS 13780 (8th Cir. Mo., Apr. 29, 2020)</w:t>
      </w:r>
    </w:p>
    <w:p w14:paraId="40BCDE37" w14:textId="77777777" w:rsidR="002B10A6" w:rsidRDefault="00000000">
      <w:pPr>
        <w:pStyle w:val="Normal39"/>
        <w:widowControl w:val="0"/>
        <w:spacing w:before="240" w:line="260" w:lineRule="atLeast"/>
        <w:jc w:val="both"/>
      </w:pPr>
      <w:bookmarkStart w:id="7129" w:name="Prior_History_38"/>
      <w:bookmarkEnd w:id="7129"/>
      <w:r>
        <w:rPr>
          <w:rFonts w:ascii="Arial" w:eastAsia="Arial" w:hAnsi="Arial" w:cs="Arial"/>
          <w:b/>
          <w:color w:val="000000"/>
          <w:sz w:val="20"/>
        </w:rPr>
        <w:t>Prior History:</w:t>
      </w:r>
      <w:r>
        <w:rPr>
          <w:rFonts w:ascii="Arial" w:eastAsia="Arial" w:hAnsi="Arial" w:cs="Arial"/>
          <w:color w:val="000000"/>
          <w:sz w:val="20"/>
        </w:rPr>
        <w:t> </w:t>
      </w:r>
      <w:bookmarkStart w:id="7130" w:name="Bookmark_para_2_38"/>
      <w:bookmarkEnd w:id="7130"/>
      <w:r>
        <w:rPr>
          <w:rFonts w:ascii="Arial" w:eastAsia="Arial" w:hAnsi="Arial" w:cs="Arial"/>
          <w:color w:val="000000"/>
          <w:sz w:val="20"/>
        </w:rPr>
        <w:t> [**1] Appeal from United States District Court for the Western District of Missouri - Springfield.</w:t>
      </w:r>
    </w:p>
    <w:p w14:paraId="28A5CAB5" w14:textId="77777777" w:rsidR="002B10A6" w:rsidRDefault="00000000">
      <w:pPr>
        <w:pStyle w:val="Normal39"/>
        <w:widowControl w:val="0"/>
        <w:spacing w:before="240" w:line="260" w:lineRule="atLeast"/>
      </w:pPr>
      <w:bookmarkStart w:id="7131" w:name="Counsel_37"/>
      <w:bookmarkEnd w:id="7131"/>
      <w:r>
        <w:rPr>
          <w:rFonts w:ascii="Arial" w:eastAsia="Arial" w:hAnsi="Arial" w:cs="Arial"/>
          <w:b/>
          <w:color w:val="000000"/>
          <w:sz w:val="20"/>
        </w:rPr>
        <w:t>Counsel:</w:t>
      </w:r>
      <w:r>
        <w:rPr>
          <w:rFonts w:ascii="Arial" w:eastAsia="Arial" w:hAnsi="Arial" w:cs="Arial"/>
          <w:color w:val="000000"/>
          <w:sz w:val="20"/>
        </w:rPr>
        <w:t> For Sheri Grell, Plaintiff - Appellant: Benjamin R. Brockert, Bryant, AR.</w:t>
      </w:r>
    </w:p>
    <w:p w14:paraId="7B5E5CB7" w14:textId="77777777" w:rsidR="002B10A6" w:rsidRDefault="00000000">
      <w:pPr>
        <w:pStyle w:val="Normal39"/>
        <w:widowControl w:val="0"/>
        <w:spacing w:before="120" w:line="260" w:lineRule="atLeast"/>
      </w:pPr>
      <w:r>
        <w:rPr>
          <w:rFonts w:ascii="Arial" w:eastAsia="Arial" w:hAnsi="Arial" w:cs="Arial"/>
          <w:color w:val="000000"/>
          <w:sz w:val="20"/>
        </w:rPr>
        <w:t>For Secretary Dan Brouillette, Defendant - Appellee: Cynthia Jean Hyde, Assistant U.S. Attorney, U.S. Attorney's Office, Springfield, MO.</w:t>
      </w:r>
    </w:p>
    <w:p w14:paraId="6E17C5F3" w14:textId="77777777" w:rsidR="002B10A6" w:rsidRDefault="00000000">
      <w:pPr>
        <w:pStyle w:val="Normal39"/>
        <w:widowControl w:val="0"/>
        <w:spacing w:before="240" w:line="260" w:lineRule="atLeast"/>
      </w:pPr>
      <w:bookmarkStart w:id="7132" w:name="Judges_38"/>
      <w:bookmarkEnd w:id="7132"/>
      <w:r>
        <w:rPr>
          <w:rFonts w:ascii="Arial" w:eastAsia="Arial" w:hAnsi="Arial" w:cs="Arial"/>
          <w:b/>
          <w:color w:val="000000"/>
          <w:sz w:val="20"/>
        </w:rPr>
        <w:t>Judges:</w:t>
      </w:r>
      <w:r>
        <w:rPr>
          <w:rFonts w:ascii="Arial" w:eastAsia="Arial" w:hAnsi="Arial" w:cs="Arial"/>
          <w:color w:val="000000"/>
          <w:sz w:val="20"/>
        </w:rPr>
        <w:t> Before LOKEN, ERICKSON, and GRASZ, Circuit Judges.</w:t>
      </w:r>
    </w:p>
    <w:p w14:paraId="2111E3A8" w14:textId="77777777" w:rsidR="002B10A6" w:rsidRDefault="00000000">
      <w:pPr>
        <w:pStyle w:val="Normal39"/>
        <w:keepNext/>
        <w:widowControl w:val="0"/>
        <w:spacing w:before="240" w:line="340" w:lineRule="atLeast"/>
      </w:pPr>
      <w:bookmarkStart w:id="7133" w:name="Opinion_38"/>
      <w:bookmarkEnd w:id="7133"/>
      <w:r>
        <w:rPr>
          <w:rFonts w:ascii="Arial" w:eastAsia="Arial" w:hAnsi="Arial" w:cs="Arial"/>
          <w:b/>
          <w:color w:val="000000"/>
          <w:sz w:val="28"/>
        </w:rPr>
        <w:t>Opinion</w:t>
      </w:r>
    </w:p>
    <w:p w14:paraId="4657588E" w14:textId="754FC73D" w:rsidR="002B10A6" w:rsidRDefault="002D6974">
      <w:pPr>
        <w:pStyle w:val="Normal39"/>
        <w:spacing w:line="60" w:lineRule="exact"/>
      </w:pPr>
      <w:r>
        <w:rPr>
          <w:noProof/>
        </w:rPr>
        <mc:AlternateContent>
          <mc:Choice Requires="wps">
            <w:drawing>
              <wp:anchor distT="0" distB="0" distL="114300" distR="114300" simplePos="0" relativeHeight="251744256" behindDoc="0" locked="0" layoutInCell="1" allowOverlap="1" wp14:anchorId="49556A17" wp14:editId="3DD6D254">
                <wp:simplePos x="0" y="0"/>
                <wp:positionH relativeFrom="column">
                  <wp:posOffset>0</wp:posOffset>
                </wp:positionH>
                <wp:positionV relativeFrom="paragraph">
                  <wp:posOffset>25400</wp:posOffset>
                </wp:positionV>
                <wp:extent cx="3187700" cy="0"/>
                <wp:effectExtent l="19050" t="15875" r="12700" b="12700"/>
                <wp:wrapTopAndBottom/>
                <wp:docPr id="235864861"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FA7749" id="Line 85"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FED2617" w14:textId="77777777" w:rsidR="002B10A6" w:rsidRDefault="002B10A6">
      <w:pPr>
        <w:pStyle w:val="Normal39"/>
      </w:pPr>
    </w:p>
    <w:p w14:paraId="67DB0669" w14:textId="77777777" w:rsidR="002B10A6" w:rsidRDefault="00000000">
      <w:pPr>
        <w:pStyle w:val="Normal39"/>
        <w:widowControl w:val="0"/>
        <w:spacing w:before="200" w:line="260" w:lineRule="atLeast"/>
        <w:jc w:val="both"/>
      </w:pPr>
      <w:bookmarkStart w:id="7134" w:name="Bookmark_para_3_38"/>
      <w:bookmarkEnd w:id="7134"/>
      <w:r>
        <w:rPr>
          <w:rFonts w:ascii="Arial" w:eastAsia="Arial" w:hAnsi="Arial" w:cs="Arial"/>
          <w:color w:val="000000"/>
          <w:sz w:val="20"/>
        </w:rPr>
        <w:t> [*410]  PER CURIAM.</w:t>
      </w:r>
    </w:p>
    <w:p w14:paraId="5891E3FA" w14:textId="77777777" w:rsidR="002B10A6" w:rsidRDefault="00000000">
      <w:pPr>
        <w:pStyle w:val="Normal39"/>
        <w:widowControl w:val="0"/>
        <w:spacing w:before="200" w:line="260" w:lineRule="atLeast"/>
        <w:jc w:val="both"/>
      </w:pPr>
      <w:bookmarkStart w:id="7135" w:name="Bookmark_para_4_38"/>
      <w:bookmarkEnd w:id="7135"/>
      <w:r>
        <w:rPr>
          <w:rFonts w:ascii="Arial" w:eastAsia="Arial" w:hAnsi="Arial" w:cs="Arial"/>
          <w:color w:val="000000"/>
          <w:sz w:val="20"/>
        </w:rPr>
        <w:t>Sheri Grell appeals the district court's</w:t>
      </w:r>
      <w:r>
        <w:rPr>
          <w:rFonts w:ascii="Arial" w:eastAsia="Arial" w:hAnsi="Arial" w:cs="Arial"/>
          <w:vertAlign w:val="superscript"/>
        </w:rPr>
        <w:footnoteReference w:customMarkFollows="1" w:id="325"/>
        <w:t>1</w:t>
      </w:r>
      <w:r>
        <w:rPr>
          <w:rFonts w:ascii="Arial" w:eastAsia="Arial" w:hAnsi="Arial" w:cs="Arial"/>
          <w:color w:val="000000"/>
          <w:sz w:val="20"/>
        </w:rPr>
        <w:t xml:space="preserve"> adverse grant of summary judgment and denial of her cross-motion for summary judgment on her claim that her former employer, the United States Department of Energy ("DOE"), failed to accommodate her disabilities, in violation of the Rehabilitation Act of 1973 ("RA"), 29 U.S.C. §§ 701 to 794g.</w:t>
      </w:r>
    </w:p>
    <w:p w14:paraId="6FE3D4FE" w14:textId="77777777" w:rsidR="002B10A6" w:rsidRDefault="00000000">
      <w:pPr>
        <w:pStyle w:val="Normal39"/>
        <w:widowControl w:val="0"/>
        <w:spacing w:before="200" w:line="260" w:lineRule="atLeast"/>
        <w:jc w:val="both"/>
      </w:pPr>
      <w:bookmarkStart w:id="7137" w:name="Bookmark_para_5_38"/>
      <w:bookmarkStart w:id="7138" w:name="Bookmark_I5Y60XGJ2SF8CR0020000400"/>
      <w:bookmarkEnd w:id="7137"/>
      <w:bookmarkEnd w:id="7138"/>
      <w:r>
        <w:rPr>
          <w:rFonts w:ascii="Arial" w:eastAsia="Arial" w:hAnsi="Arial" w:cs="Arial"/>
          <w:color w:val="000000"/>
          <w:sz w:val="20"/>
        </w:rPr>
        <w:t xml:space="preserve">Upon careful de novo review, we conclude summary judgment was proper because the uncontroverted facts established the DOE accommodated Grell's disabilities, to the extent she requested specific accommodations and those requests were reasonable. </w:t>
      </w:r>
      <w:bookmarkStart w:id="7139" w:name="Bookmark_I5Y60XGK2HM5VW0050000400"/>
      <w:bookmarkEnd w:id="7139"/>
      <w:r>
        <w:rPr>
          <w:rFonts w:ascii="Arial" w:eastAsia="Arial" w:hAnsi="Arial" w:cs="Arial"/>
          <w:i/>
          <w:color w:val="000000"/>
          <w:sz w:val="20"/>
        </w:rPr>
        <w:t xml:space="preserve">See </w:t>
      </w:r>
      <w:bookmarkStart w:id="7140" w:name="Bookmark_I5Y60XGJ2SF8CR0010000400"/>
      <w:bookmarkEnd w:id="7140"/>
      <w:r>
        <w:rPr>
          <w:rFonts w:ascii="Arial" w:eastAsia="Arial" w:hAnsi="Arial" w:cs="Arial"/>
          <w:i/>
          <w:color w:val="000000"/>
          <w:sz w:val="20"/>
        </w:rPr>
        <w:t>Cravens v. Blue Cross &amp; Blue Shield of Kansas City</w:t>
      </w:r>
      <w:r>
        <w:rPr>
          <w:rFonts w:ascii="Arial" w:eastAsia="Arial" w:hAnsi="Arial" w:cs="Arial"/>
          <w:color w:val="000000"/>
          <w:sz w:val="20"/>
        </w:rPr>
        <w:t xml:space="preserve">, 214 F.3d 1011, 1016 (8th Cir. 2000) (reviewing de novo grant of summary judgment); </w:t>
      </w:r>
      <w:r>
        <w:rPr>
          <w:rFonts w:ascii="Arial" w:eastAsia="Arial" w:hAnsi="Arial" w:cs="Arial"/>
          <w:i/>
          <w:color w:val="000000"/>
          <w:sz w:val="20"/>
        </w:rPr>
        <w:t xml:space="preserve">see also </w:t>
      </w:r>
      <w:bookmarkStart w:id="7141" w:name="Bookmark_I5Y60XGJ2SF8CR0030000400"/>
      <w:bookmarkEnd w:id="7141"/>
      <w:r>
        <w:rPr>
          <w:rFonts w:ascii="Arial" w:eastAsia="Arial" w:hAnsi="Arial" w:cs="Arial"/>
          <w:i/>
          <w:color w:val="000000"/>
          <w:sz w:val="20"/>
        </w:rPr>
        <w:t>Fenney v. Dakota, Minn. &amp; E.R.R. Co.</w:t>
      </w:r>
      <w:r>
        <w:rPr>
          <w:rFonts w:ascii="Arial" w:eastAsia="Arial" w:hAnsi="Arial" w:cs="Arial"/>
          <w:color w:val="000000"/>
          <w:sz w:val="20"/>
        </w:rPr>
        <w:t xml:space="preserve">, 327 F.3d 707, 712 (8th Cir. 2003) (describing elements of prima facie case for failure-to-accommodate claim under Americans with Disabilities Act ("ADA")); </w:t>
      </w:r>
      <w:bookmarkStart w:id="7142" w:name="Bookmark_I5Y60XGJ2SF8CR0050000400"/>
      <w:bookmarkEnd w:id="7142"/>
      <w:r>
        <w:rPr>
          <w:rFonts w:ascii="Arial" w:eastAsia="Arial" w:hAnsi="Arial" w:cs="Arial"/>
          <w:i/>
          <w:color w:val="000000"/>
          <w:sz w:val="20"/>
        </w:rPr>
        <w:t>Gorman v. Bartch</w:t>
      </w:r>
      <w:r>
        <w:rPr>
          <w:rFonts w:ascii="Arial" w:eastAsia="Arial" w:hAnsi="Arial" w:cs="Arial"/>
          <w:color w:val="000000"/>
          <w:sz w:val="20"/>
        </w:rPr>
        <w:t xml:space="preserve">, 152 F.3d 907, 911-12 (8th Cir. 1998) (stating cases interpreting ADA and RA are "interchangeable"); </w:t>
      </w:r>
      <w:r>
        <w:rPr>
          <w:rFonts w:ascii="Arial" w:eastAsia="Arial" w:hAnsi="Arial" w:cs="Arial"/>
          <w:i/>
          <w:color w:val="000000"/>
          <w:sz w:val="20"/>
        </w:rPr>
        <w:t xml:space="preserve">cf. </w:t>
      </w:r>
      <w:bookmarkStart w:id="7143" w:name="Bookmark_I5Y60XGK2HM5VW0020000400"/>
      <w:bookmarkEnd w:id="7143"/>
      <w:r>
        <w:rPr>
          <w:rFonts w:ascii="Arial" w:eastAsia="Arial" w:hAnsi="Arial" w:cs="Arial"/>
          <w:i/>
          <w:color w:val="000000"/>
          <w:sz w:val="20"/>
        </w:rPr>
        <w:t>Schaffhauser v. United Parcel Serv., Inc.</w:t>
      </w:r>
      <w:r>
        <w:rPr>
          <w:rFonts w:ascii="Arial" w:eastAsia="Arial" w:hAnsi="Arial" w:cs="Arial"/>
          <w:color w:val="000000"/>
          <w:sz w:val="20"/>
        </w:rPr>
        <w:t xml:space="preserve">, 794 F.3d 899, 905 (8th Cir. 2015) (An employee "must establish both [**2]  a prima facie case of discrimination based on disability and a failure to accommodate it."). We further conclude the uncontroverted facts showed the DOE engaged in an interactive process in an attempt to ascertain Grell's needs and identify reasonable accommodations. </w:t>
      </w:r>
      <w:bookmarkStart w:id="7144" w:name="Bookmark_I5Y60XGK2HM5VW0050000400_2"/>
      <w:bookmarkEnd w:id="7144"/>
      <w:r>
        <w:rPr>
          <w:rFonts w:ascii="Arial" w:eastAsia="Arial" w:hAnsi="Arial" w:cs="Arial"/>
          <w:i/>
          <w:color w:val="000000"/>
          <w:sz w:val="20"/>
        </w:rPr>
        <w:t xml:space="preserve">See </w:t>
      </w:r>
      <w:bookmarkStart w:id="7145" w:name="Bookmark_I5Y60XGK2HM5VW0040000400"/>
      <w:bookmarkEnd w:id="7145"/>
      <w:r>
        <w:rPr>
          <w:rFonts w:ascii="Arial" w:eastAsia="Arial" w:hAnsi="Arial" w:cs="Arial"/>
          <w:i/>
          <w:color w:val="000000"/>
          <w:sz w:val="20"/>
        </w:rPr>
        <w:t>Schaffhauser</w:t>
      </w:r>
      <w:r>
        <w:rPr>
          <w:rFonts w:ascii="Arial" w:eastAsia="Arial" w:hAnsi="Arial" w:cs="Arial"/>
          <w:color w:val="000000"/>
          <w:sz w:val="20"/>
        </w:rPr>
        <w:t>, 794 F.3d at 906 (stating the employee has the burden to alert, and initiate an interactive process with, the employer to determine whether, and, if so, what accommodation is necessary based on the relevant details of the disability).</w:t>
      </w:r>
    </w:p>
    <w:p w14:paraId="126F190D" w14:textId="77777777" w:rsidR="002B10A6" w:rsidRDefault="00000000">
      <w:pPr>
        <w:pStyle w:val="Normal39"/>
        <w:widowControl w:val="0"/>
        <w:spacing w:before="200" w:line="260" w:lineRule="atLeast"/>
        <w:jc w:val="both"/>
      </w:pPr>
      <w:bookmarkStart w:id="7146" w:name="Bookmark_para_6_38"/>
      <w:bookmarkEnd w:id="7146"/>
      <w:r>
        <w:rPr>
          <w:rFonts w:ascii="Arial" w:eastAsia="Arial" w:hAnsi="Arial" w:cs="Arial"/>
          <w:color w:val="000000"/>
          <w:sz w:val="20"/>
        </w:rPr>
        <w:t xml:space="preserve">Accordingly, we affirm. </w:t>
      </w:r>
      <w:r>
        <w:rPr>
          <w:rFonts w:ascii="Arial" w:eastAsia="Arial" w:hAnsi="Arial" w:cs="Arial"/>
          <w:i/>
          <w:color w:val="000000"/>
          <w:sz w:val="20"/>
        </w:rPr>
        <w:t>See</w:t>
      </w:r>
      <w:r>
        <w:rPr>
          <w:rFonts w:ascii="Arial" w:eastAsia="Arial" w:hAnsi="Arial" w:cs="Arial"/>
          <w:color w:val="000000"/>
          <w:sz w:val="20"/>
        </w:rPr>
        <w:t xml:space="preserve"> 8th Cir. R. 47B.</w:t>
      </w:r>
    </w:p>
    <w:p w14:paraId="4B20B61A" w14:textId="77777777" w:rsidR="002B10A6" w:rsidRDefault="002B10A6">
      <w:pPr>
        <w:pStyle w:val="Normal39"/>
      </w:pPr>
    </w:p>
    <w:p w14:paraId="40F6EDFE" w14:textId="290976E1" w:rsidR="002B10A6" w:rsidRDefault="00000000">
      <w:pPr>
        <w:pStyle w:val="Normal39"/>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45280" behindDoc="0" locked="0" layoutInCell="1" allowOverlap="1" wp14:anchorId="6CD3CD4B" wp14:editId="033F28B6">
                <wp:simplePos x="0" y="0"/>
                <wp:positionH relativeFrom="column">
                  <wp:posOffset>0</wp:posOffset>
                </wp:positionH>
                <wp:positionV relativeFrom="paragraph">
                  <wp:posOffset>127000</wp:posOffset>
                </wp:positionV>
                <wp:extent cx="6502400" cy="0"/>
                <wp:effectExtent l="9525" t="12700" r="12700" b="6350"/>
                <wp:wrapNone/>
                <wp:docPr id="25561010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DA682"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C150E5A" w14:textId="77777777" w:rsidR="002B10A6" w:rsidRDefault="002B10A6">
      <w:pPr>
        <w:pStyle w:val="Normal40"/>
        <w:sectPr w:rsidR="002B10A6">
          <w:headerReference w:type="even" r:id="rId246"/>
          <w:headerReference w:type="default" r:id="rId247"/>
          <w:footerReference w:type="even" r:id="rId248"/>
          <w:footerReference w:type="default" r:id="rId249"/>
          <w:headerReference w:type="first" r:id="rId250"/>
          <w:footerReference w:type="first" r:id="rId251"/>
          <w:pgSz w:w="12240" w:h="15840"/>
          <w:pgMar w:top="840" w:right="1000" w:bottom="840" w:left="1000" w:header="400" w:footer="400" w:gutter="0"/>
          <w:cols w:space="720"/>
          <w:titlePg/>
        </w:sectPr>
      </w:pPr>
    </w:p>
    <w:p w14:paraId="2ED46DCF" w14:textId="77777777" w:rsidR="002B10A6" w:rsidRDefault="002B10A6">
      <w:pPr>
        <w:pStyle w:val="Normal40"/>
      </w:pPr>
    </w:p>
    <w:p w14:paraId="2685733F" w14:textId="77777777" w:rsidR="002B10A6" w:rsidRDefault="00000000">
      <w:pPr>
        <w:pStyle w:val="Heading139"/>
        <w:keepNext w:val="0"/>
        <w:widowControl w:val="0"/>
        <w:spacing w:after="200" w:line="340" w:lineRule="atLeast"/>
        <w:jc w:val="center"/>
      </w:pPr>
      <w:r>
        <w:rPr>
          <w:rFonts w:eastAsia="Arial"/>
          <w:color w:val="000000"/>
          <w:sz w:val="28"/>
        </w:rPr>
        <w:t>Clark v. Champion Nat'l Sec., Inc.</w:t>
      </w:r>
    </w:p>
    <w:p w14:paraId="68A2F194" w14:textId="77777777" w:rsidR="002B10A6" w:rsidRDefault="00000000">
      <w:pPr>
        <w:pStyle w:val="Normal40"/>
        <w:widowControl w:val="0"/>
        <w:spacing w:before="120" w:line="260" w:lineRule="atLeast"/>
        <w:jc w:val="center"/>
      </w:pPr>
      <w:r>
        <w:rPr>
          <w:rFonts w:ascii="Arial" w:eastAsia="Arial" w:hAnsi="Arial" w:cs="Arial"/>
          <w:color w:val="000000"/>
          <w:sz w:val="20"/>
        </w:rPr>
        <w:t>United States Court of Appeals for the Fifth Circuit</w:t>
      </w:r>
    </w:p>
    <w:p w14:paraId="4E1AB5B9" w14:textId="77777777" w:rsidR="002B10A6" w:rsidRDefault="00000000">
      <w:pPr>
        <w:pStyle w:val="Normal40"/>
        <w:widowControl w:val="0"/>
        <w:spacing w:before="120" w:line="260" w:lineRule="atLeast"/>
        <w:jc w:val="center"/>
      </w:pPr>
      <w:r>
        <w:rPr>
          <w:rFonts w:ascii="Arial" w:eastAsia="Arial" w:hAnsi="Arial" w:cs="Arial"/>
          <w:color w:val="000000"/>
          <w:sz w:val="20"/>
        </w:rPr>
        <w:t>January 14, 2020, Filed</w:t>
      </w:r>
    </w:p>
    <w:p w14:paraId="71BA56D1" w14:textId="77777777" w:rsidR="002B10A6" w:rsidRDefault="00000000">
      <w:pPr>
        <w:pStyle w:val="Normal40"/>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18-11613</w:t>
      </w:r>
    </w:p>
    <w:p w14:paraId="14A17D40" w14:textId="77777777" w:rsidR="002B10A6" w:rsidRDefault="002B10A6">
      <w:pPr>
        <w:pStyle w:val="Normal40"/>
        <w:widowControl w:val="0"/>
        <w:spacing w:line="240" w:lineRule="atLeast"/>
        <w:jc w:val="both"/>
      </w:pPr>
      <w:bookmarkStart w:id="7147" w:name="Bookmark_41"/>
      <w:bookmarkEnd w:id="7147"/>
    </w:p>
    <w:p w14:paraId="124EB454" w14:textId="77777777" w:rsidR="002B10A6" w:rsidRDefault="00000000">
      <w:pPr>
        <w:pStyle w:val="Normal40"/>
        <w:widowControl w:val="0"/>
        <w:spacing w:before="200" w:line="240" w:lineRule="atLeast"/>
      </w:pPr>
      <w:bookmarkStart w:id="7148" w:name="Reporter_39"/>
      <w:bookmarkEnd w:id="7148"/>
      <w:r>
        <w:rPr>
          <w:rFonts w:ascii="Arial" w:eastAsia="Arial" w:hAnsi="Arial" w:cs="Arial"/>
          <w:b/>
          <w:color w:val="000000"/>
          <w:sz w:val="18"/>
        </w:rPr>
        <w:t>Reporter</w:t>
      </w:r>
    </w:p>
    <w:p w14:paraId="7068B734" w14:textId="77777777" w:rsidR="002B10A6" w:rsidRDefault="00000000">
      <w:pPr>
        <w:pStyle w:val="Normal40"/>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952 F.3d 570 *; 2020 U.S. App. LEXIS 8344 **; 2020 WL 1147164</w:t>
      </w:r>
    </w:p>
    <w:p w14:paraId="7C494B09" w14:textId="77777777" w:rsidR="002B10A6" w:rsidRDefault="00000000">
      <w:pPr>
        <w:pStyle w:val="Normal40"/>
        <w:widowControl w:val="0"/>
        <w:spacing w:before="120" w:line="260" w:lineRule="atLeast"/>
      </w:pPr>
      <w:r>
        <w:rPr>
          <w:rFonts w:ascii="Arial" w:eastAsia="Arial" w:hAnsi="Arial" w:cs="Arial"/>
          <w:color w:val="000000"/>
          <w:sz w:val="20"/>
        </w:rPr>
        <w:t>GEORGE CHARLES CLARK, Plaintiff-Appellant, v. CHAMPION NATIONAL SECURITY, INCORPORATED, Defendant-Appellee.</w:t>
      </w:r>
    </w:p>
    <w:p w14:paraId="22D08FEF" w14:textId="77777777" w:rsidR="002B10A6" w:rsidRDefault="00000000">
      <w:pPr>
        <w:pStyle w:val="Normal40"/>
        <w:widowControl w:val="0"/>
        <w:spacing w:before="240" w:line="260" w:lineRule="atLeast"/>
        <w:jc w:val="both"/>
      </w:pPr>
      <w:bookmarkStart w:id="7149" w:name="Subsequent_History_13"/>
      <w:bookmarkEnd w:id="7149"/>
      <w:r>
        <w:rPr>
          <w:rFonts w:ascii="Arial" w:eastAsia="Arial" w:hAnsi="Arial" w:cs="Arial"/>
          <w:b/>
          <w:color w:val="000000"/>
          <w:sz w:val="20"/>
        </w:rPr>
        <w:t>Subsequent History:</w:t>
      </w:r>
      <w:r>
        <w:rPr>
          <w:rFonts w:ascii="Arial" w:eastAsia="Arial" w:hAnsi="Arial" w:cs="Arial"/>
          <w:color w:val="000000"/>
          <w:sz w:val="20"/>
        </w:rPr>
        <w:t> </w:t>
      </w:r>
      <w:bookmarkStart w:id="7150" w:name="Bookmark_para_1_39"/>
      <w:bookmarkEnd w:id="7150"/>
      <w:r>
        <w:rPr>
          <w:rFonts w:ascii="Arial" w:eastAsia="Arial" w:hAnsi="Arial" w:cs="Arial"/>
          <w:color w:val="000000"/>
          <w:sz w:val="20"/>
        </w:rPr>
        <w:t> [**1] As Revised, March 10, 2020.</w:t>
      </w:r>
    </w:p>
    <w:p w14:paraId="362E7A73" w14:textId="77777777" w:rsidR="002B10A6" w:rsidRDefault="00000000">
      <w:pPr>
        <w:pStyle w:val="Normal40"/>
        <w:widowControl w:val="0"/>
        <w:spacing w:before="120" w:line="260" w:lineRule="atLeast"/>
      </w:pPr>
      <w:r>
        <w:rPr>
          <w:rFonts w:ascii="Arial" w:eastAsia="Arial" w:hAnsi="Arial" w:cs="Arial"/>
          <w:color w:val="000000"/>
          <w:sz w:val="20"/>
        </w:rPr>
        <w:t>US Supreme Court certiorari denied by Clark v. Champion Nat'l Sec., 2020 U.S. LEXIS 5232 (U.S., Nov. 2, 2020)</w:t>
      </w:r>
    </w:p>
    <w:p w14:paraId="301C5137" w14:textId="77777777" w:rsidR="002B10A6" w:rsidRDefault="00000000">
      <w:pPr>
        <w:pStyle w:val="Normal40"/>
        <w:widowControl w:val="0"/>
        <w:spacing w:before="240" w:line="260" w:lineRule="atLeast"/>
        <w:jc w:val="both"/>
      </w:pPr>
      <w:bookmarkStart w:id="7151" w:name="Prior_History_39"/>
      <w:bookmarkEnd w:id="7151"/>
      <w:r>
        <w:rPr>
          <w:rFonts w:ascii="Arial" w:eastAsia="Arial" w:hAnsi="Arial" w:cs="Arial"/>
          <w:b/>
          <w:color w:val="000000"/>
          <w:sz w:val="20"/>
        </w:rPr>
        <w:t>Prior History:</w:t>
      </w:r>
      <w:r>
        <w:rPr>
          <w:rFonts w:ascii="Arial" w:eastAsia="Arial" w:hAnsi="Arial" w:cs="Arial"/>
          <w:color w:val="000000"/>
          <w:sz w:val="20"/>
        </w:rPr>
        <w:t> </w:t>
      </w:r>
      <w:bookmarkStart w:id="7152" w:name="Bookmark_para_2_39"/>
      <w:bookmarkEnd w:id="7152"/>
      <w:r>
        <w:rPr>
          <w:rFonts w:ascii="Arial" w:eastAsia="Arial" w:hAnsi="Arial" w:cs="Arial"/>
          <w:color w:val="000000"/>
          <w:sz w:val="20"/>
        </w:rPr>
        <w:t>Appeal from the United States District Court for the Northern District of Texas.</w:t>
      </w:r>
    </w:p>
    <w:p w14:paraId="496470BD" w14:textId="77777777" w:rsidR="002B10A6" w:rsidRDefault="00000000">
      <w:pPr>
        <w:pStyle w:val="Normal40"/>
        <w:widowControl w:val="0"/>
        <w:spacing w:before="120" w:line="260" w:lineRule="atLeast"/>
      </w:pPr>
      <w:r>
        <w:rPr>
          <w:rFonts w:ascii="Arial" w:eastAsia="Arial" w:hAnsi="Arial" w:cs="Arial"/>
          <w:color w:val="000000"/>
          <w:sz w:val="20"/>
        </w:rPr>
        <w:t>Clark v. Champion Nat'l Sec., 947 F.3d 275, 2020 U.S. App. LEXIS 1191, 2020 WL 205647 (5th Cir. Tex., Jan. 14, 2020)</w:t>
      </w:r>
    </w:p>
    <w:p w14:paraId="2D45E09F" w14:textId="77777777" w:rsidR="002B10A6" w:rsidRDefault="00000000">
      <w:pPr>
        <w:pStyle w:val="Normal40"/>
        <w:widowControl w:val="0"/>
        <w:spacing w:before="120" w:line="260" w:lineRule="atLeast"/>
      </w:pPr>
      <w:r>
        <w:rPr>
          <w:rFonts w:ascii="Arial" w:eastAsia="Arial" w:hAnsi="Arial" w:cs="Arial"/>
          <w:color w:val="000000"/>
          <w:sz w:val="20"/>
        </w:rPr>
        <w:t>Clark v. Champion Nat'l Sec., Inc., 2018 U.S. Dist. LEXIS 235654 (N.D. Tex., Nov. 14, 2018)</w:t>
      </w:r>
    </w:p>
    <w:p w14:paraId="6CC7050E" w14:textId="77777777" w:rsidR="002B10A6" w:rsidRDefault="00000000">
      <w:pPr>
        <w:pStyle w:val="Normal40"/>
        <w:widowControl w:val="0"/>
        <w:spacing w:before="240" w:line="260" w:lineRule="atLeast"/>
      </w:pPr>
      <w:bookmarkStart w:id="7153" w:name="Counsel_38"/>
      <w:bookmarkEnd w:id="7153"/>
      <w:r>
        <w:rPr>
          <w:rFonts w:ascii="Arial" w:eastAsia="Arial" w:hAnsi="Arial" w:cs="Arial"/>
          <w:b/>
          <w:color w:val="000000"/>
          <w:sz w:val="20"/>
        </w:rPr>
        <w:t>Counsel:</w:t>
      </w:r>
      <w:r>
        <w:rPr>
          <w:rFonts w:ascii="Arial" w:eastAsia="Arial" w:hAnsi="Arial" w:cs="Arial"/>
          <w:color w:val="000000"/>
          <w:sz w:val="20"/>
        </w:rPr>
        <w:t> For GEORGE CHARLES CLARK, Plaintiff - Appellant: Christopher E. Stoy, James Robert Hudson, Susan E. Hutchison, Hutchison &amp; Stoy, P.L.L.C., Fort Worth, TX.</w:t>
      </w:r>
    </w:p>
    <w:p w14:paraId="2A19ED5D" w14:textId="77777777" w:rsidR="002B10A6" w:rsidRDefault="00000000">
      <w:pPr>
        <w:pStyle w:val="Normal40"/>
        <w:widowControl w:val="0"/>
        <w:spacing w:before="120" w:line="260" w:lineRule="atLeast"/>
      </w:pPr>
      <w:r>
        <w:rPr>
          <w:rFonts w:ascii="Arial" w:eastAsia="Arial" w:hAnsi="Arial" w:cs="Arial"/>
          <w:color w:val="000000"/>
          <w:sz w:val="20"/>
        </w:rPr>
        <w:t>For CHAMPION NATIONAL SECURITY, INCORPORATED, Defendant - Appellee: Harold Dean Jones, Esq., Greg McAllister, Littler Mendelson, P.C., Dallas, TX; Courtney Blair Wilson, Esq., Littler Mendelson, P.C., Wells Fargo Center, Miami, FL.</w:t>
      </w:r>
    </w:p>
    <w:p w14:paraId="3FB3C541" w14:textId="77777777" w:rsidR="002B10A6" w:rsidRDefault="00000000">
      <w:pPr>
        <w:pStyle w:val="Normal40"/>
        <w:widowControl w:val="0"/>
        <w:spacing w:before="240" w:line="260" w:lineRule="atLeast"/>
      </w:pPr>
      <w:bookmarkStart w:id="7154" w:name="Judges_39"/>
      <w:bookmarkEnd w:id="7154"/>
      <w:r>
        <w:rPr>
          <w:rFonts w:ascii="Arial" w:eastAsia="Arial" w:hAnsi="Arial" w:cs="Arial"/>
          <w:b/>
          <w:color w:val="000000"/>
          <w:sz w:val="20"/>
        </w:rPr>
        <w:t>Judges:</w:t>
      </w:r>
      <w:r>
        <w:rPr>
          <w:rFonts w:ascii="Arial" w:eastAsia="Arial" w:hAnsi="Arial" w:cs="Arial"/>
          <w:color w:val="000000"/>
          <w:sz w:val="20"/>
        </w:rPr>
        <w:t> Before ELROD, WILLETT, and OLDHAM, Circuit Judges.</w:t>
      </w:r>
    </w:p>
    <w:p w14:paraId="6EA3187D" w14:textId="77777777" w:rsidR="002B10A6" w:rsidRDefault="00000000">
      <w:pPr>
        <w:pStyle w:val="Normal40"/>
        <w:widowControl w:val="0"/>
        <w:spacing w:before="240" w:line="260" w:lineRule="atLeast"/>
      </w:pPr>
      <w:bookmarkStart w:id="7155" w:name="Opinion_by_26"/>
      <w:bookmarkEnd w:id="7155"/>
      <w:r>
        <w:rPr>
          <w:rFonts w:ascii="Arial" w:eastAsia="Arial" w:hAnsi="Arial" w:cs="Arial"/>
          <w:b/>
          <w:color w:val="000000"/>
          <w:sz w:val="20"/>
        </w:rPr>
        <w:t>Opinion by:</w:t>
      </w:r>
      <w:r>
        <w:rPr>
          <w:rFonts w:ascii="Arial" w:eastAsia="Arial" w:hAnsi="Arial" w:cs="Arial"/>
          <w:color w:val="000000"/>
          <w:sz w:val="20"/>
        </w:rPr>
        <w:t> DON R. WILLETT</w:t>
      </w:r>
    </w:p>
    <w:p w14:paraId="01EF775D" w14:textId="77777777" w:rsidR="002B10A6" w:rsidRDefault="00000000">
      <w:pPr>
        <w:pStyle w:val="Normal40"/>
        <w:keepNext/>
        <w:widowControl w:val="0"/>
        <w:spacing w:before="240" w:line="340" w:lineRule="atLeast"/>
      </w:pPr>
      <w:bookmarkStart w:id="7156" w:name="Opinion_39"/>
      <w:bookmarkEnd w:id="7156"/>
      <w:r>
        <w:rPr>
          <w:rFonts w:ascii="Arial" w:eastAsia="Arial" w:hAnsi="Arial" w:cs="Arial"/>
          <w:b/>
          <w:color w:val="000000"/>
          <w:sz w:val="28"/>
        </w:rPr>
        <w:t>Opinion</w:t>
      </w:r>
    </w:p>
    <w:p w14:paraId="5AC2D950" w14:textId="77DFB11B" w:rsidR="002B10A6" w:rsidRDefault="002D6974">
      <w:pPr>
        <w:pStyle w:val="Normal40"/>
        <w:spacing w:line="60" w:lineRule="exact"/>
      </w:pPr>
      <w:r>
        <w:rPr>
          <w:noProof/>
        </w:rPr>
        <mc:AlternateContent>
          <mc:Choice Requires="wps">
            <w:drawing>
              <wp:anchor distT="0" distB="0" distL="114300" distR="114300" simplePos="0" relativeHeight="251746304" behindDoc="0" locked="0" layoutInCell="1" allowOverlap="1" wp14:anchorId="1477A764" wp14:editId="4EB459A3">
                <wp:simplePos x="0" y="0"/>
                <wp:positionH relativeFrom="column">
                  <wp:posOffset>0</wp:posOffset>
                </wp:positionH>
                <wp:positionV relativeFrom="paragraph">
                  <wp:posOffset>25400</wp:posOffset>
                </wp:positionV>
                <wp:extent cx="3187700" cy="0"/>
                <wp:effectExtent l="19050" t="15875" r="12700" b="12700"/>
                <wp:wrapTopAndBottom/>
                <wp:docPr id="1221707142"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B0776" id="Line 87"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0017CA8E" w14:textId="77777777" w:rsidR="002B10A6" w:rsidRDefault="002B10A6">
      <w:pPr>
        <w:pStyle w:val="Normal40"/>
        <w:spacing w:line="120" w:lineRule="exact"/>
      </w:pPr>
    </w:p>
    <w:p w14:paraId="2BC250B3" w14:textId="77777777" w:rsidR="002B10A6" w:rsidRDefault="00000000">
      <w:pPr>
        <w:pStyle w:val="Normal40"/>
        <w:widowControl w:val="0"/>
        <w:spacing w:before="240" w:line="260" w:lineRule="atLeast"/>
      </w:pPr>
      <w:r>
        <w:br/>
      </w:r>
      <w:r>
        <w:rPr>
          <w:rFonts w:ascii="Arial" w:eastAsia="Arial" w:hAnsi="Arial" w:cs="Arial"/>
          <w:color w:val="000000"/>
          <w:sz w:val="20"/>
        </w:rPr>
        <w:t xml:space="preserve"> [*575]  </w:t>
      </w:r>
      <w:r>
        <w:rPr>
          <w:rFonts w:ascii="Arial" w:eastAsia="Arial" w:hAnsi="Arial" w:cs="Arial"/>
          <w:color w:val="000000"/>
          <w:sz w:val="20"/>
          <w:u w:val="single"/>
        </w:rPr>
        <w:t>ON PETITION FOR REHEARING AND REHEARING EN BANC</w:t>
      </w:r>
    </w:p>
    <w:p w14:paraId="589EB5D3" w14:textId="77777777" w:rsidR="002B10A6" w:rsidRDefault="00000000">
      <w:pPr>
        <w:pStyle w:val="Normal40"/>
        <w:widowControl w:val="0"/>
        <w:spacing w:before="200" w:line="260" w:lineRule="atLeast"/>
        <w:jc w:val="both"/>
      </w:pPr>
      <w:bookmarkStart w:id="7157" w:name="Bookmark_para_3_39"/>
      <w:bookmarkEnd w:id="7157"/>
      <w:r>
        <w:rPr>
          <w:rFonts w:ascii="Arial" w:eastAsia="Arial" w:hAnsi="Arial" w:cs="Arial"/>
          <w:color w:val="000000"/>
          <w:sz w:val="20"/>
        </w:rPr>
        <w:t>DON R. WILLETT, Circuit Judge:</w:t>
      </w:r>
    </w:p>
    <w:p w14:paraId="5BB23C1D" w14:textId="77777777" w:rsidR="002B10A6" w:rsidRDefault="00000000">
      <w:pPr>
        <w:pStyle w:val="Normal40"/>
        <w:widowControl w:val="0"/>
        <w:spacing w:before="200" w:line="260" w:lineRule="atLeast"/>
        <w:jc w:val="both"/>
      </w:pPr>
      <w:bookmarkStart w:id="7158" w:name="Bookmark_para_4_39"/>
      <w:bookmarkEnd w:id="7158"/>
      <w:r>
        <w:rPr>
          <w:rFonts w:ascii="Arial" w:eastAsia="Arial" w:hAnsi="Arial" w:cs="Arial"/>
          <w:color w:val="000000"/>
          <w:sz w:val="20"/>
        </w:rPr>
        <w:t>The petition for rehearing is DENIED and no member of this panel nor judge in active service having requested that the court be polled on rehearing en banc, the petition for rehearing en banc is also DENIED. The following is substituted in place of our opinion.</w:t>
      </w:r>
    </w:p>
    <w:p w14:paraId="5FB903EB" w14:textId="77777777" w:rsidR="002B10A6" w:rsidRDefault="00000000">
      <w:pPr>
        <w:pStyle w:val="Normal40"/>
        <w:widowControl w:val="0"/>
        <w:spacing w:before="200" w:line="260" w:lineRule="atLeast"/>
        <w:jc w:val="both"/>
      </w:pPr>
      <w:bookmarkStart w:id="7159" w:name="Bookmark_para_5_39"/>
      <w:bookmarkEnd w:id="7159"/>
      <w:r>
        <w:rPr>
          <w:rFonts w:ascii="Arial" w:eastAsia="Arial" w:hAnsi="Arial" w:cs="Arial"/>
          <w:color w:val="000000"/>
          <w:sz w:val="20"/>
        </w:rPr>
        <w:t>In this workplace-discrimination appeal, Charles Clark says he was fired because of a diabetes-related condition. His employer, Champion National Security, Inc., offers a simpler explanation: Clark was sleeping at his desk during work hours, an immediately terminable offense. The district court granted Champion's [**2]  motion for summary judgment. We affirm.</w:t>
      </w:r>
    </w:p>
    <w:p w14:paraId="57D830FA" w14:textId="77777777" w:rsidR="002B10A6" w:rsidRDefault="00000000">
      <w:pPr>
        <w:pStyle w:val="Normal40"/>
        <w:widowControl w:val="0"/>
        <w:spacing w:before="240" w:line="260" w:lineRule="atLeast"/>
      </w:pPr>
      <w:r>
        <w:br/>
      </w:r>
      <w:r>
        <w:rPr>
          <w:rFonts w:ascii="Arial" w:eastAsia="Arial" w:hAnsi="Arial" w:cs="Arial"/>
          <w:b/>
          <w:color w:val="000000"/>
          <w:sz w:val="20"/>
        </w:rPr>
        <w:t xml:space="preserve">I. </w:t>
      </w:r>
      <w:r>
        <w:rPr>
          <w:rFonts w:ascii="Arial" w:eastAsia="Arial" w:hAnsi="Arial" w:cs="Arial"/>
          <w:b/>
          <w:smallCaps/>
          <w:color w:val="000000"/>
          <w:sz w:val="20"/>
        </w:rPr>
        <w:t>Background</w:t>
      </w:r>
    </w:p>
    <w:p w14:paraId="1BDBC229" w14:textId="77777777" w:rsidR="002B10A6" w:rsidRDefault="00000000">
      <w:pPr>
        <w:pStyle w:val="Normal40"/>
        <w:widowControl w:val="0"/>
        <w:spacing w:before="200" w:line="260" w:lineRule="atLeast"/>
        <w:jc w:val="both"/>
      </w:pPr>
      <w:bookmarkStart w:id="7160" w:name="Bookmark_para_6_39"/>
      <w:bookmarkEnd w:id="7160"/>
      <w:r>
        <w:rPr>
          <w:rFonts w:ascii="Arial" w:eastAsia="Arial" w:hAnsi="Arial" w:cs="Arial"/>
          <w:color w:val="000000"/>
          <w:sz w:val="20"/>
        </w:rPr>
        <w:t>Champion provides uniformed security services to other companies. In October 2015, Champion hired Clark as a Personnel Manager.</w:t>
      </w:r>
      <w:r>
        <w:rPr>
          <w:rFonts w:ascii="Arial" w:eastAsia="Arial" w:hAnsi="Arial" w:cs="Arial"/>
          <w:vertAlign w:val="superscript"/>
        </w:rPr>
        <w:footnoteReference w:customMarkFollows="1" w:id="326"/>
        <w:t>1</w:t>
      </w:r>
      <w:r>
        <w:rPr>
          <w:rFonts w:ascii="Arial" w:eastAsia="Arial" w:hAnsi="Arial" w:cs="Arial"/>
          <w:color w:val="000000"/>
          <w:sz w:val="20"/>
        </w:rPr>
        <w:t xml:space="preserve"> In this position, Clark was responsible for human resources and employee-related issues at his branch.</w:t>
      </w:r>
      <w:r>
        <w:rPr>
          <w:rFonts w:ascii="Arial" w:eastAsia="Arial" w:hAnsi="Arial" w:cs="Arial"/>
          <w:vertAlign w:val="superscript"/>
        </w:rPr>
        <w:footnoteReference w:customMarkFollows="1" w:id="327"/>
        <w:t>2</w:t>
      </w:r>
      <w:r>
        <w:rPr>
          <w:rFonts w:ascii="Arial" w:eastAsia="Arial" w:hAnsi="Arial" w:cs="Arial"/>
          <w:color w:val="000000"/>
          <w:sz w:val="20"/>
        </w:rPr>
        <w:t xml:space="preserve"> His duties included interviewing, hiring, training, disciplining, and terminating security guards. For example, Clark "trained security guards and gave guidance about Champion's policies, including the alertness policy." He also "participated in the process of terminating Champion employees that [sic] appeared to be asleep at work."</w:t>
      </w:r>
      <w:r>
        <w:rPr>
          <w:rFonts w:ascii="Arial" w:eastAsia="Arial" w:hAnsi="Arial" w:cs="Arial"/>
          <w:vertAlign w:val="superscript"/>
        </w:rPr>
        <w:footnoteReference w:customMarkFollows="1" w:id="328"/>
        <w:t>3</w:t>
      </w:r>
      <w:r>
        <w:rPr>
          <w:rFonts w:ascii="Arial" w:eastAsia="Arial" w:hAnsi="Arial" w:cs="Arial"/>
          <w:color w:val="000000"/>
          <w:sz w:val="20"/>
        </w:rPr>
        <w:t xml:space="preserve"> As such, Champion maintains that it was particularly important "for Clark to  [*576]  set a good example [for] guards and staff by being alert at work." Generally, it's important to Champion that "managers who are enforcing policy are also compliant with those same policies."</w:t>
      </w:r>
    </w:p>
    <w:p w14:paraId="58B4627B" w14:textId="77777777" w:rsidR="002B10A6" w:rsidRDefault="00000000">
      <w:pPr>
        <w:pStyle w:val="Normal40"/>
        <w:widowControl w:val="0"/>
        <w:spacing w:before="200" w:line="260" w:lineRule="atLeast"/>
        <w:jc w:val="both"/>
      </w:pPr>
      <w:bookmarkStart w:id="7164" w:name="Bookmark_para_7_38"/>
      <w:bookmarkEnd w:id="7164"/>
      <w:r>
        <w:rPr>
          <w:rFonts w:ascii="Arial" w:eastAsia="Arial" w:hAnsi="Arial" w:cs="Arial"/>
          <w:color w:val="000000"/>
          <w:sz w:val="20"/>
        </w:rPr>
        <w:t>According to Clark, he suffered from multiple physical and mental ailments prior to and during his employment at Champion.</w:t>
      </w:r>
      <w:r>
        <w:rPr>
          <w:rFonts w:ascii="Arial" w:eastAsia="Arial" w:hAnsi="Arial" w:cs="Arial"/>
          <w:vertAlign w:val="superscript"/>
        </w:rPr>
        <w:footnoteReference w:customMarkFollows="1" w:id="329"/>
        <w:t>4</w:t>
      </w:r>
      <w:r>
        <w:rPr>
          <w:rFonts w:ascii="Arial" w:eastAsia="Arial" w:hAnsi="Arial" w:cs="Arial"/>
          <w:color w:val="000000"/>
          <w:sz w:val="20"/>
        </w:rPr>
        <w:t xml:space="preserve"> Most relevant to this case, Clark has been an insulin-dependent Type II diabetic for over a decade. Clark requested two accommodations for his diabetes, which Champion granted: First, he requested [**3]  a refrigerator in his office in which to store insulin. Second, Clark requested flexibility to leave work to attend doctor appointments. Champion provided these accommodations throughout Clark's tenure at the company. And Clark didn't request any other accommodations related to his diabetes.</w:t>
      </w:r>
    </w:p>
    <w:p w14:paraId="1B32DC62" w14:textId="77777777" w:rsidR="002B10A6" w:rsidRDefault="00000000">
      <w:pPr>
        <w:pStyle w:val="Normal40"/>
        <w:widowControl w:val="0"/>
        <w:spacing w:before="200" w:line="260" w:lineRule="atLeast"/>
        <w:jc w:val="both"/>
      </w:pPr>
      <w:bookmarkStart w:id="7166" w:name="Bookmark_para_8_38"/>
      <w:bookmarkEnd w:id="7166"/>
      <w:r>
        <w:rPr>
          <w:rFonts w:ascii="Arial" w:eastAsia="Arial" w:hAnsi="Arial" w:cs="Arial"/>
          <w:color w:val="000000"/>
          <w:sz w:val="20"/>
        </w:rPr>
        <w:t>But Clark did request exceptions to Champion policies. Due to the nature of its customer-facing and public-facing business, Champion requires officers and staff to adhere to specific dress and grooming requirements. Notably, Champion requires employees to be clean-shaven and wear dress shirts tucked into their pants.</w:t>
      </w:r>
      <w:r>
        <w:rPr>
          <w:rFonts w:ascii="Arial" w:eastAsia="Arial" w:hAnsi="Arial" w:cs="Arial"/>
          <w:vertAlign w:val="superscript"/>
        </w:rPr>
        <w:footnoteReference w:customMarkFollows="1" w:id="330"/>
        <w:t>5</w:t>
      </w:r>
      <w:r>
        <w:rPr>
          <w:rFonts w:ascii="Arial" w:eastAsia="Arial" w:hAnsi="Arial" w:cs="Arial"/>
          <w:color w:val="000000"/>
          <w:sz w:val="20"/>
        </w:rPr>
        <w:t xml:space="preserve"> But Clark wanted to "grow [a] small beard." He believed Champion should have granted this request because he interacted with fellow employees, not clients. Champion denied Clark's request.</w:t>
      </w:r>
    </w:p>
    <w:p w14:paraId="093D4AF6" w14:textId="77777777" w:rsidR="002B10A6" w:rsidRDefault="00000000">
      <w:pPr>
        <w:pStyle w:val="Normal40"/>
        <w:widowControl w:val="0"/>
        <w:spacing w:before="200" w:line="260" w:lineRule="atLeast"/>
        <w:jc w:val="both"/>
      </w:pPr>
      <w:bookmarkStart w:id="7168" w:name="Bookmark_para_9_38"/>
      <w:bookmarkEnd w:id="7168"/>
      <w:r>
        <w:rPr>
          <w:rFonts w:ascii="Arial" w:eastAsia="Arial" w:hAnsi="Arial" w:cs="Arial"/>
          <w:color w:val="000000"/>
          <w:sz w:val="20"/>
        </w:rPr>
        <w:t>About three months later, Clark renewed his request. This time, Clark framed his request as one based upon his diabetes.</w:t>
      </w:r>
      <w:r>
        <w:rPr>
          <w:rFonts w:ascii="Arial" w:eastAsia="Arial" w:hAnsi="Arial" w:cs="Arial"/>
          <w:vertAlign w:val="superscript"/>
        </w:rPr>
        <w:footnoteReference w:customMarkFollows="1" w:id="331"/>
        <w:t>6</w:t>
      </w:r>
      <w:r>
        <w:rPr>
          <w:rFonts w:ascii="Arial" w:eastAsia="Arial" w:hAnsi="Arial" w:cs="Arial"/>
          <w:color w:val="000000"/>
          <w:sz w:val="20"/>
        </w:rPr>
        <w:t xml:space="preserve"> He submitted a note from his general practitioner. But the note merely stated, "[p]lease excuse [Clark] from the shaving requirement as he has eczema and dry skin." Clark does not assert that eczema or dry skin is a disability. Champion assented to Clark's request based [**4]  on this doctor's note. But Bill McCoy, Champion's then-Senior Vice President, offered Clark an extra fifty cents per hour for complying with the shaving policy. Clark rejected the offer.</w:t>
      </w:r>
    </w:p>
    <w:p w14:paraId="0F716B0E" w14:textId="77777777" w:rsidR="002B10A6" w:rsidRDefault="00000000">
      <w:pPr>
        <w:pStyle w:val="Normal40"/>
        <w:widowControl w:val="0"/>
        <w:spacing w:before="200" w:line="260" w:lineRule="atLeast"/>
        <w:jc w:val="both"/>
      </w:pPr>
      <w:bookmarkStart w:id="7170" w:name="Bookmark_para_10_37"/>
      <w:bookmarkEnd w:id="7170"/>
      <w:r>
        <w:rPr>
          <w:rFonts w:ascii="Arial" w:eastAsia="Arial" w:hAnsi="Arial" w:cs="Arial"/>
          <w:color w:val="000000"/>
          <w:sz w:val="20"/>
        </w:rPr>
        <w:t>Around the same time, Clark also requested an exception to Champion's dress code. Clark had recently undergone shoulder surgery. So he requested an accommodation permitting him to leave his shirt untucked during his recovery. In support of this request, Clark submitted a note from his doctor. The note prohibited "manipulation of the left arm until released by the surgeon." Because the note did not state that he was unable to tuck in his shirt, Champion initially denied Clark's request, thinking that he could tuck in his  [*577]  shirt without using his left arm. Clark submitted additional documentation from his doctor, but it still didn't explicitly say that he was unable to tuck in his shirt.</w:t>
      </w:r>
      <w:r>
        <w:rPr>
          <w:rFonts w:ascii="Arial" w:eastAsia="Arial" w:hAnsi="Arial" w:cs="Arial"/>
          <w:vertAlign w:val="superscript"/>
        </w:rPr>
        <w:footnoteReference w:customMarkFollows="1" w:id="332"/>
        <w:t>7</w:t>
      </w:r>
      <w:r>
        <w:rPr>
          <w:rFonts w:ascii="Arial" w:eastAsia="Arial" w:hAnsi="Arial" w:cs="Arial"/>
          <w:color w:val="000000"/>
          <w:sz w:val="20"/>
        </w:rPr>
        <w:t xml:space="preserve"> McCoy told Clark that Champion did not believe his request to leave his shirt untucked was reasonable.</w:t>
      </w:r>
    </w:p>
    <w:p w14:paraId="0D24A798" w14:textId="77777777" w:rsidR="002B10A6" w:rsidRDefault="00000000">
      <w:pPr>
        <w:pStyle w:val="Normal40"/>
        <w:widowControl w:val="0"/>
        <w:spacing w:before="200" w:line="260" w:lineRule="atLeast"/>
        <w:jc w:val="both"/>
      </w:pPr>
      <w:bookmarkStart w:id="7172" w:name="Bookmark_para_11_32"/>
      <w:bookmarkEnd w:id="7172"/>
      <w:r>
        <w:rPr>
          <w:rFonts w:ascii="Arial" w:eastAsia="Arial" w:hAnsi="Arial" w:cs="Arial"/>
          <w:color w:val="000000"/>
          <w:sz w:val="20"/>
        </w:rPr>
        <w:t>After Clark exchanged a series of emails about his dress and grooming requests with McCoy, Clark asserted that McCoy was harassing him on the basis of disability. So McCoy referred Clark to Jeff Mays, Champion's Corporate [**5]  Human Resources Director.</w:t>
      </w:r>
      <w:r>
        <w:rPr>
          <w:rFonts w:ascii="Arial" w:eastAsia="Arial" w:hAnsi="Arial" w:cs="Arial"/>
          <w:vertAlign w:val="superscript"/>
        </w:rPr>
        <w:footnoteReference w:customMarkFollows="1" w:id="333"/>
        <w:t>8</w:t>
      </w:r>
      <w:r>
        <w:rPr>
          <w:rFonts w:ascii="Arial" w:eastAsia="Arial" w:hAnsi="Arial" w:cs="Arial"/>
          <w:color w:val="000000"/>
          <w:sz w:val="20"/>
        </w:rPr>
        <w:t xml:space="preserve"> Clark submitted a formal complaint to Mays in April 2016.</w:t>
      </w:r>
      <w:r>
        <w:rPr>
          <w:rFonts w:ascii="Arial" w:eastAsia="Arial" w:hAnsi="Arial" w:cs="Arial"/>
          <w:vertAlign w:val="superscript"/>
        </w:rPr>
        <w:footnoteReference w:customMarkFollows="1" w:id="334"/>
        <w:t>9</w:t>
      </w:r>
      <w:r>
        <w:rPr>
          <w:rFonts w:ascii="Arial" w:eastAsia="Arial" w:hAnsi="Arial" w:cs="Arial"/>
          <w:color w:val="000000"/>
          <w:sz w:val="20"/>
        </w:rPr>
        <w:t xml:space="preserve"> And Mays investigated the allegations. Mays concluded that McCoy did not harass Clark on the basis of disability. Mays shared these findings with both McCoy and Clark—though Clark rejected the legitimacy of the investigation.</w:t>
      </w:r>
      <w:r>
        <w:rPr>
          <w:rFonts w:ascii="Arial" w:eastAsia="Arial" w:hAnsi="Arial" w:cs="Arial"/>
          <w:vertAlign w:val="superscript"/>
        </w:rPr>
        <w:footnoteReference w:customMarkFollows="1" w:id="335"/>
        <w:t>10</w:t>
      </w:r>
    </w:p>
    <w:p w14:paraId="523E2BD6" w14:textId="77777777" w:rsidR="002B10A6" w:rsidRDefault="00000000">
      <w:pPr>
        <w:pStyle w:val="Normal40"/>
        <w:widowControl w:val="0"/>
        <w:spacing w:before="200" w:line="260" w:lineRule="atLeast"/>
        <w:jc w:val="both"/>
      </w:pPr>
      <w:bookmarkStart w:id="7176" w:name="Bookmark_para_12_31"/>
      <w:bookmarkEnd w:id="7176"/>
      <w:r>
        <w:rPr>
          <w:rFonts w:ascii="Arial" w:eastAsia="Arial" w:hAnsi="Arial" w:cs="Arial"/>
          <w:color w:val="000000"/>
          <w:sz w:val="20"/>
        </w:rPr>
        <w:t>Let's fast forward to August 2016. A Champion employee told Paul Bents, Clark's manager, that "Clark was closing his office door for long periods of time" and she "could often hear him snoring."</w:t>
      </w:r>
      <w:r>
        <w:rPr>
          <w:rFonts w:ascii="Arial" w:eastAsia="Arial" w:hAnsi="Arial" w:cs="Arial"/>
          <w:vertAlign w:val="superscript"/>
        </w:rPr>
        <w:footnoteReference w:customMarkFollows="1" w:id="336"/>
        <w:t>11</w:t>
      </w:r>
      <w:r>
        <w:rPr>
          <w:rFonts w:ascii="Arial" w:eastAsia="Arial" w:hAnsi="Arial" w:cs="Arial"/>
          <w:color w:val="000000"/>
          <w:sz w:val="20"/>
        </w:rPr>
        <w:t xml:space="preserve"> The following month, Bents received a picture anonymously by text message. This picture appeared to show Clark asleep at his desk at work. "Lack of alertness" at work—which includes "sleeping or giving the appearance of sleeping"—is an immediately terminable offense at Champion.</w:t>
      </w:r>
      <w:r>
        <w:rPr>
          <w:rFonts w:ascii="Arial" w:eastAsia="Arial" w:hAnsi="Arial" w:cs="Arial"/>
          <w:vertAlign w:val="superscript"/>
        </w:rPr>
        <w:footnoteReference w:customMarkFollows="1" w:id="337"/>
        <w:t>12</w:t>
      </w:r>
      <w:r>
        <w:rPr>
          <w:rFonts w:ascii="Arial" w:eastAsia="Arial" w:hAnsi="Arial" w:cs="Arial"/>
          <w:color w:val="000000"/>
          <w:sz w:val="20"/>
        </w:rPr>
        <w:t xml:space="preserve"> But Champion did not terminate Clark at this time. Champion explained that using an anonymous picture as sole proof would have deviated from its usual process of terminating a non-alert employee, which includes collecting two witness statements. Plus, the supposed violation of the alertness policy was not properly documented. So Champion took no action against Clark.</w:t>
      </w:r>
    </w:p>
    <w:p w14:paraId="3624A4BB" w14:textId="77777777" w:rsidR="002B10A6" w:rsidRDefault="00000000">
      <w:pPr>
        <w:pStyle w:val="Normal40"/>
        <w:widowControl w:val="0"/>
        <w:spacing w:before="200" w:line="260" w:lineRule="atLeast"/>
        <w:jc w:val="both"/>
      </w:pPr>
      <w:bookmarkStart w:id="7179" w:name="Bookmark_para_13_31"/>
      <w:bookmarkEnd w:id="7179"/>
      <w:r>
        <w:rPr>
          <w:rFonts w:ascii="Arial" w:eastAsia="Arial" w:hAnsi="Arial" w:cs="Arial"/>
          <w:color w:val="000000"/>
          <w:sz w:val="20"/>
        </w:rPr>
        <w:t>But December 7, 2017 was a different story. On [**6]  that morning, another employee told Bents that it appeared Clark was sleeping at his desk during work hours. So Bents went to Clark's office and took a picture of him around 8:30am. Both Bents and the reporting employee stated that they heard Clark breathing. Bents immediately sent to corporate management the picture of Clark sleeping and employee statements corroborating the event.</w:t>
      </w:r>
      <w:r>
        <w:rPr>
          <w:rFonts w:ascii="Arial" w:eastAsia="Arial" w:hAnsi="Arial" w:cs="Arial"/>
          <w:vertAlign w:val="superscript"/>
        </w:rPr>
        <w:footnoteReference w:customMarkFollows="1" w:id="338"/>
        <w:t>13</w:t>
      </w:r>
      <w:r>
        <w:rPr>
          <w:rFonts w:ascii="Arial" w:eastAsia="Arial" w:hAnsi="Arial" w:cs="Arial"/>
          <w:color w:val="000000"/>
          <w:sz w:val="20"/>
        </w:rPr>
        <w:t xml:space="preserve"> A  [*578]  few minutes later, Clark awoke on his own. Champion asserts that Clark did not appear to be in physical distress. And Clark does not provide evidence otherwise. Bents explained to Clark that at least two people saw him sleeping. Clark told Bents that he didn't remember getting up that morning or driving to work, but woke up at his desk. Clark also told Bents that he might have been experiencing a diabetic emergency, and that he was going to the hospital. Then Clark left the office.</w:t>
      </w:r>
    </w:p>
    <w:p w14:paraId="36D07AAB" w14:textId="77777777" w:rsidR="002B10A6" w:rsidRDefault="00000000">
      <w:pPr>
        <w:pStyle w:val="Normal40"/>
        <w:widowControl w:val="0"/>
        <w:spacing w:before="200" w:line="260" w:lineRule="atLeast"/>
        <w:jc w:val="both"/>
      </w:pPr>
      <w:bookmarkStart w:id="7181" w:name="Bookmark_para_14_31"/>
      <w:bookmarkEnd w:id="7181"/>
      <w:r>
        <w:rPr>
          <w:rFonts w:ascii="Arial" w:eastAsia="Arial" w:hAnsi="Arial" w:cs="Arial"/>
          <w:color w:val="000000"/>
          <w:sz w:val="20"/>
        </w:rPr>
        <w:t>While at the emergency room, he received a call from Mays. Mays terminated Clark for violating the alertness policy. Clark insisted that he wasn't sleeping; he said he passed out from low blood sugar. But Mays simply wished him well in future endeavors.</w:t>
      </w:r>
    </w:p>
    <w:p w14:paraId="76FEB8B3" w14:textId="77777777" w:rsidR="002B10A6" w:rsidRDefault="00000000">
      <w:pPr>
        <w:pStyle w:val="Normal40"/>
        <w:widowControl w:val="0"/>
        <w:spacing w:before="200" w:line="260" w:lineRule="atLeast"/>
        <w:jc w:val="both"/>
      </w:pPr>
      <w:bookmarkStart w:id="7182" w:name="Bookmark_para_15_31"/>
      <w:bookmarkEnd w:id="7182"/>
      <w:r>
        <w:rPr>
          <w:rFonts w:ascii="Arial" w:eastAsia="Arial" w:hAnsi="Arial" w:cs="Arial"/>
          <w:color w:val="000000"/>
          <w:sz w:val="20"/>
        </w:rPr>
        <w:t>Clark contends that Champion fired him because of a condition resulting from [**7]  his disability.</w:t>
      </w:r>
      <w:r>
        <w:rPr>
          <w:rFonts w:ascii="Arial" w:eastAsia="Arial" w:hAnsi="Arial" w:cs="Arial"/>
          <w:vertAlign w:val="superscript"/>
        </w:rPr>
        <w:footnoteReference w:customMarkFollows="1" w:id="339"/>
        <w:t>14</w:t>
      </w:r>
      <w:r>
        <w:rPr>
          <w:rFonts w:ascii="Arial" w:eastAsia="Arial" w:hAnsi="Arial" w:cs="Arial"/>
          <w:color w:val="000000"/>
          <w:sz w:val="20"/>
        </w:rPr>
        <w:t xml:space="preserve"> So Clark sued Champion, alleging violations of the Americans with Disabilities Act</w:t>
      </w:r>
      <w:r>
        <w:rPr>
          <w:rFonts w:ascii="Arial" w:eastAsia="Arial" w:hAnsi="Arial" w:cs="Arial"/>
          <w:vertAlign w:val="superscript"/>
        </w:rPr>
        <w:footnoteReference w:customMarkFollows="1" w:id="340"/>
        <w:t>15</w:t>
      </w:r>
      <w:r>
        <w:rPr>
          <w:rFonts w:ascii="Arial" w:eastAsia="Arial" w:hAnsi="Arial" w:cs="Arial"/>
          <w:color w:val="000000"/>
          <w:sz w:val="20"/>
        </w:rPr>
        <w:t xml:space="preserve"> and the Texas Labor Code.</w:t>
      </w:r>
      <w:r>
        <w:rPr>
          <w:rFonts w:ascii="Arial" w:eastAsia="Arial" w:hAnsi="Arial" w:cs="Arial"/>
          <w:vertAlign w:val="superscript"/>
        </w:rPr>
        <w:footnoteReference w:customMarkFollows="1" w:id="341"/>
        <w:t>16</w:t>
      </w:r>
      <w:r>
        <w:rPr>
          <w:rFonts w:ascii="Arial" w:eastAsia="Arial" w:hAnsi="Arial" w:cs="Arial"/>
          <w:color w:val="000000"/>
          <w:sz w:val="20"/>
        </w:rPr>
        <w:t xml:space="preserve"> Specifically, Clark alleges discrimination and harassment on the basis of disability, retaliation, failure to accommodate a disability, and failure to engage in the interactive process under both the ADA and TCHRA. Accordingly, he claims entitlement to myriad damages and fees pursuant to state and federal law.</w:t>
      </w:r>
    </w:p>
    <w:p w14:paraId="2500AF47" w14:textId="77777777" w:rsidR="002B10A6" w:rsidRDefault="00000000">
      <w:pPr>
        <w:pStyle w:val="Normal40"/>
        <w:widowControl w:val="0"/>
        <w:spacing w:before="200" w:line="260" w:lineRule="atLeast"/>
        <w:jc w:val="both"/>
      </w:pPr>
      <w:bookmarkStart w:id="7193" w:name="Bookmark_para_16_28"/>
      <w:bookmarkEnd w:id="7193"/>
      <w:r>
        <w:rPr>
          <w:rFonts w:ascii="Arial" w:eastAsia="Arial" w:hAnsi="Arial" w:cs="Arial"/>
          <w:color w:val="000000"/>
          <w:sz w:val="20"/>
        </w:rPr>
        <w:t>Both parties filed motions for summary judgment. The district court granted Champion's motion, dismissing all of Clark's claims. Clark timely appealed.</w:t>
      </w:r>
    </w:p>
    <w:p w14:paraId="26510133" w14:textId="77777777" w:rsidR="002B10A6" w:rsidRDefault="00000000">
      <w:pPr>
        <w:pStyle w:val="Normal40"/>
        <w:widowControl w:val="0"/>
        <w:spacing w:before="240" w:line="260" w:lineRule="atLeast"/>
      </w:pPr>
      <w:r>
        <w:br/>
      </w:r>
      <w:r>
        <w:rPr>
          <w:rFonts w:ascii="Arial" w:eastAsia="Arial" w:hAnsi="Arial" w:cs="Arial"/>
          <w:b/>
          <w:color w:val="000000"/>
          <w:sz w:val="20"/>
        </w:rPr>
        <w:t xml:space="preserve">II. </w:t>
      </w:r>
      <w:r>
        <w:rPr>
          <w:rFonts w:ascii="Arial" w:eastAsia="Arial" w:hAnsi="Arial" w:cs="Arial"/>
          <w:b/>
          <w:smallCaps/>
          <w:color w:val="000000"/>
          <w:sz w:val="20"/>
        </w:rPr>
        <w:t>Standard of Review</w:t>
      </w:r>
    </w:p>
    <w:p w14:paraId="0CA7C32B" w14:textId="77777777" w:rsidR="002B10A6" w:rsidRDefault="00000000">
      <w:pPr>
        <w:pStyle w:val="Normal40"/>
        <w:widowControl w:val="0"/>
        <w:spacing w:before="200" w:line="260" w:lineRule="atLeast"/>
        <w:jc w:val="both"/>
      </w:pPr>
      <w:bookmarkStart w:id="7194" w:name="Bookmark_para_17_28"/>
      <w:bookmarkStart w:id="7195" w:name="Bookmark_I5YMK1PY28T48G0030000400"/>
      <w:bookmarkStart w:id="7196" w:name="Bookmark_I5YMK1PY28T48G0050000400"/>
      <w:bookmarkStart w:id="7197" w:name="Bookmark_I5YMK1R02N1RTW0040000400"/>
      <w:bookmarkStart w:id="7198" w:name="Bookmark_I5YMK1R02N1RV00010000400"/>
      <w:bookmarkEnd w:id="7194"/>
      <w:bookmarkEnd w:id="7195"/>
      <w:bookmarkEnd w:id="7196"/>
      <w:bookmarkEnd w:id="7197"/>
      <w:bookmarkEnd w:id="7198"/>
      <w:r>
        <w:rPr>
          <w:rFonts w:ascii="Arial" w:eastAsia="Arial" w:hAnsi="Arial" w:cs="Arial"/>
          <w:color w:val="000000"/>
          <w:sz w:val="20"/>
        </w:rPr>
        <w:t xml:space="preserve">"We review a district court's summary judgment </w:t>
      </w:r>
      <w:r>
        <w:rPr>
          <w:rFonts w:ascii="Arial" w:eastAsia="Arial" w:hAnsi="Arial" w:cs="Arial"/>
          <w:i/>
          <w:color w:val="000000"/>
          <w:sz w:val="20"/>
        </w:rPr>
        <w:t>de novo</w:t>
      </w:r>
      <w:r>
        <w:rPr>
          <w:rFonts w:ascii="Arial" w:eastAsia="Arial" w:hAnsi="Arial" w:cs="Arial"/>
          <w:color w:val="000000"/>
          <w:sz w:val="20"/>
        </w:rPr>
        <w:t>, applying the same standard as the district court."</w:t>
      </w:r>
      <w:r>
        <w:rPr>
          <w:rFonts w:ascii="Arial" w:eastAsia="Arial" w:hAnsi="Arial" w:cs="Arial"/>
          <w:vertAlign w:val="superscript"/>
        </w:rPr>
        <w:footnoteReference w:customMarkFollows="1" w:id="342"/>
        <w:t>17</w:t>
      </w:r>
      <w:r>
        <w:rPr>
          <w:rFonts w:ascii="Arial" w:eastAsia="Arial" w:hAnsi="Arial" w:cs="Arial"/>
          <w:color w:val="000000"/>
          <w:sz w:val="20"/>
        </w:rPr>
        <w:t xml:space="preserve"> Summary judgment is warranted "if the movant shows that there is no genuine dispute as to any material fact and the movant is entitled to judgment as a matter of law.</w:t>
      </w:r>
      <w:r>
        <w:rPr>
          <w:rFonts w:ascii="Arial" w:eastAsia="Arial" w:hAnsi="Arial" w:cs="Arial"/>
          <w:vertAlign w:val="superscript"/>
        </w:rPr>
        <w:footnoteReference w:customMarkFollows="1" w:id="343"/>
        <w:t>18</w:t>
      </w:r>
      <w:r>
        <w:rPr>
          <w:rFonts w:ascii="Arial" w:eastAsia="Arial" w:hAnsi="Arial" w:cs="Arial"/>
          <w:color w:val="000000"/>
          <w:sz w:val="20"/>
        </w:rPr>
        <w:t xml:space="preserve"> "A fact is material if it 'might affect the outcome of the suit under the governing law,' and a dispute is genuine if 'the evidence is such that a reasonable jury could return a verdict for the nonmoving party.'"</w:t>
      </w:r>
      <w:r>
        <w:rPr>
          <w:rFonts w:ascii="Arial" w:eastAsia="Arial" w:hAnsi="Arial" w:cs="Arial"/>
          <w:vertAlign w:val="superscript"/>
        </w:rPr>
        <w:footnoteReference w:customMarkFollows="1" w:id="344"/>
        <w:t>19</w:t>
      </w:r>
      <w:r>
        <w:rPr>
          <w:rFonts w:ascii="Arial" w:eastAsia="Arial" w:hAnsi="Arial" w:cs="Arial"/>
          <w:color w:val="000000"/>
          <w:sz w:val="20"/>
        </w:rPr>
        <w:t xml:space="preserve"> "When considering a motion for summary judgment, the court views all [**8]   [*579]  facts and evidence in the light most favorable to the non-moving party."</w:t>
      </w:r>
      <w:r>
        <w:rPr>
          <w:rFonts w:ascii="Arial" w:eastAsia="Arial" w:hAnsi="Arial" w:cs="Arial"/>
          <w:vertAlign w:val="superscript"/>
        </w:rPr>
        <w:footnoteReference w:customMarkFollows="1" w:id="345"/>
        <w:t>20</w:t>
      </w:r>
      <w:r>
        <w:rPr>
          <w:rFonts w:ascii="Arial" w:eastAsia="Arial" w:hAnsi="Arial" w:cs="Arial"/>
          <w:color w:val="000000"/>
          <w:sz w:val="20"/>
        </w:rPr>
        <w:t xml:space="preserve"> "Mere conclusory allegations are insufficient to defeat summary judgment."</w:t>
      </w:r>
      <w:r>
        <w:rPr>
          <w:rFonts w:ascii="Arial" w:eastAsia="Arial" w:hAnsi="Arial" w:cs="Arial"/>
          <w:vertAlign w:val="superscript"/>
        </w:rPr>
        <w:footnoteReference w:customMarkFollows="1" w:id="346"/>
        <w:t>21</w:t>
      </w:r>
    </w:p>
    <w:p w14:paraId="1AF70098" w14:textId="77777777" w:rsidR="002B10A6" w:rsidRDefault="00000000">
      <w:pPr>
        <w:pStyle w:val="Normal40"/>
        <w:widowControl w:val="0"/>
        <w:spacing w:before="240" w:line="260" w:lineRule="atLeast"/>
      </w:pPr>
      <w:r>
        <w:br/>
      </w:r>
      <w:r>
        <w:rPr>
          <w:rFonts w:ascii="Arial" w:eastAsia="Arial" w:hAnsi="Arial" w:cs="Arial"/>
          <w:b/>
          <w:color w:val="000000"/>
          <w:sz w:val="20"/>
        </w:rPr>
        <w:t xml:space="preserve">III. </w:t>
      </w:r>
      <w:r>
        <w:rPr>
          <w:rFonts w:ascii="Arial" w:eastAsia="Arial" w:hAnsi="Arial" w:cs="Arial"/>
          <w:b/>
          <w:smallCaps/>
          <w:color w:val="000000"/>
          <w:sz w:val="20"/>
        </w:rPr>
        <w:t>Discussion</w:t>
      </w:r>
    </w:p>
    <w:p w14:paraId="10DE94FF" w14:textId="77777777" w:rsidR="002B10A6" w:rsidRDefault="00000000">
      <w:pPr>
        <w:pStyle w:val="Normal40"/>
        <w:widowControl w:val="0"/>
        <w:spacing w:before="240" w:line="260" w:lineRule="atLeast"/>
      </w:pPr>
      <w:r>
        <w:br/>
      </w:r>
      <w:r>
        <w:rPr>
          <w:rFonts w:ascii="Arial" w:eastAsia="Arial" w:hAnsi="Arial" w:cs="Arial"/>
          <w:b/>
          <w:color w:val="000000"/>
          <w:sz w:val="20"/>
        </w:rPr>
        <w:t>A. Direct Evidence of Disability Discrimination</w:t>
      </w:r>
    </w:p>
    <w:p w14:paraId="4606C2F1" w14:textId="77777777" w:rsidR="002B10A6" w:rsidRDefault="00000000">
      <w:pPr>
        <w:pStyle w:val="Normal40"/>
        <w:widowControl w:val="0"/>
        <w:spacing w:before="200" w:line="260" w:lineRule="atLeast"/>
        <w:jc w:val="both"/>
      </w:pPr>
      <w:bookmarkStart w:id="7209" w:name="Bookmark_para_18_27"/>
      <w:bookmarkStart w:id="7210" w:name="Bookmark_I5YMK1R02N1RV00030000400"/>
      <w:bookmarkEnd w:id="7209"/>
      <w:bookmarkEnd w:id="7210"/>
      <w:r>
        <w:rPr>
          <w:rFonts w:ascii="Arial" w:eastAsia="Arial" w:hAnsi="Arial" w:cs="Arial"/>
          <w:color w:val="000000"/>
          <w:sz w:val="20"/>
        </w:rPr>
        <w:t>Title II of the ADA prohibits an employer from discriminating against an employee who is a qualified individual with a disability on the basis of that disability.</w:t>
      </w:r>
      <w:r>
        <w:rPr>
          <w:rFonts w:ascii="Arial" w:eastAsia="Arial" w:hAnsi="Arial" w:cs="Arial"/>
          <w:vertAlign w:val="superscript"/>
        </w:rPr>
        <w:footnoteReference w:customMarkFollows="1" w:id="347"/>
        <w:t>22</w:t>
      </w:r>
      <w:r>
        <w:rPr>
          <w:rFonts w:ascii="Arial" w:eastAsia="Arial" w:hAnsi="Arial" w:cs="Arial"/>
          <w:color w:val="000000"/>
          <w:sz w:val="20"/>
        </w:rPr>
        <w:t xml:space="preserve"> "In a discriminatory-termination action under the ADA, the employee may either present direct evidence that [he] was discriminated against because of [his] disability or alternatively proceed under the burden-shifting analysis first articulated in </w:t>
      </w:r>
      <w:r>
        <w:rPr>
          <w:rFonts w:ascii="Arial" w:eastAsia="Arial" w:hAnsi="Arial" w:cs="Arial"/>
          <w:i/>
          <w:color w:val="000000"/>
          <w:sz w:val="20"/>
        </w:rPr>
        <w:t>McDonnell Douglas</w:t>
      </w:r>
      <w:r>
        <w:rPr>
          <w:rFonts w:ascii="Arial" w:eastAsia="Arial" w:hAnsi="Arial" w:cs="Arial"/>
          <w:color w:val="000000"/>
          <w:sz w:val="20"/>
        </w:rPr>
        <w:t>."</w:t>
      </w:r>
      <w:r>
        <w:rPr>
          <w:rFonts w:ascii="Arial" w:eastAsia="Arial" w:hAnsi="Arial" w:cs="Arial"/>
          <w:vertAlign w:val="superscript"/>
        </w:rPr>
        <w:footnoteReference w:customMarkFollows="1" w:id="348"/>
        <w:t>23</w:t>
      </w:r>
    </w:p>
    <w:p w14:paraId="0C717C42" w14:textId="77777777" w:rsidR="002B10A6" w:rsidRDefault="00000000">
      <w:pPr>
        <w:pStyle w:val="Normal40"/>
        <w:widowControl w:val="0"/>
        <w:spacing w:before="200" w:line="260" w:lineRule="atLeast"/>
        <w:jc w:val="both"/>
      </w:pPr>
      <w:bookmarkStart w:id="7215" w:name="Bookmark_para_19_26"/>
      <w:bookmarkEnd w:id="7215"/>
      <w:r>
        <w:rPr>
          <w:rFonts w:ascii="Arial" w:eastAsia="Arial" w:hAnsi="Arial" w:cs="Arial"/>
          <w:color w:val="000000"/>
          <w:sz w:val="20"/>
        </w:rPr>
        <w:t>Clark argues that he presented direct evidence of discrimination based on disability. But the district court disagreed. The district court determined that Clark would be unable to establish a claim for disability discrimination through direct evidence, and that "the evidence proffered fails to establish that [Champion] relied upon any forbidden factor in making the ultimate decision to fire [Clark]." Clark believes this finding was in error. The district court did not explain its conclusion. But we agree with it.</w:t>
      </w:r>
    </w:p>
    <w:p w14:paraId="78B8A83F" w14:textId="77777777" w:rsidR="002B10A6" w:rsidRDefault="00000000">
      <w:pPr>
        <w:pStyle w:val="Normal40"/>
        <w:widowControl w:val="0"/>
        <w:spacing w:before="200" w:line="260" w:lineRule="atLeast"/>
        <w:jc w:val="both"/>
      </w:pPr>
      <w:bookmarkStart w:id="7216" w:name="Bookmark_para_20_26"/>
      <w:bookmarkStart w:id="7217" w:name="Bookmark_I5YMK1R12SF8S90020000400"/>
      <w:bookmarkStart w:id="7218" w:name="Bookmark_I5YMK1R12SF8S90040000400"/>
      <w:bookmarkStart w:id="7219" w:name="Bookmark_I5YMK1R228T48V0010000400"/>
      <w:bookmarkEnd w:id="7216"/>
      <w:bookmarkEnd w:id="7217"/>
      <w:bookmarkEnd w:id="7218"/>
      <w:bookmarkEnd w:id="7219"/>
      <w:r>
        <w:rPr>
          <w:rFonts w:ascii="Arial" w:eastAsia="Arial" w:hAnsi="Arial" w:cs="Arial"/>
          <w:color w:val="000000"/>
          <w:sz w:val="20"/>
        </w:rPr>
        <w:t>"[D]irect evidence is rare." [**9] </w:t>
      </w:r>
      <w:r>
        <w:rPr>
          <w:rFonts w:ascii="Arial" w:eastAsia="Arial" w:hAnsi="Arial" w:cs="Arial"/>
          <w:vertAlign w:val="superscript"/>
        </w:rPr>
        <w:footnoteReference w:customMarkFollows="1" w:id="349"/>
        <w:t>24</w:t>
      </w:r>
      <w:r>
        <w:rPr>
          <w:rFonts w:ascii="Arial" w:eastAsia="Arial" w:hAnsi="Arial" w:cs="Arial"/>
          <w:color w:val="000000"/>
          <w:sz w:val="20"/>
        </w:rPr>
        <w:t xml:space="preserve"> And this is not one of those rare cases. We have defined "direct evidence" as "evidence which, if believed, proves the fact without inference or presumption."</w:t>
      </w:r>
      <w:r>
        <w:rPr>
          <w:rFonts w:ascii="Arial" w:eastAsia="Arial" w:hAnsi="Arial" w:cs="Arial"/>
          <w:vertAlign w:val="superscript"/>
        </w:rPr>
        <w:footnoteReference w:customMarkFollows="1" w:id="350"/>
        <w:t>25</w:t>
      </w:r>
      <w:r>
        <w:rPr>
          <w:rFonts w:ascii="Arial" w:eastAsia="Arial" w:hAnsi="Arial" w:cs="Arial"/>
          <w:color w:val="000000"/>
          <w:sz w:val="20"/>
        </w:rPr>
        <w:t xml:space="preserve"> "A statement or document which shows 'on its face that an improper criterion served as a basis—not necessarily the sole basis, but a basis—for the adverse employment action [is] direct evidence of discrimination.'"</w:t>
      </w:r>
      <w:r>
        <w:rPr>
          <w:rFonts w:ascii="Arial" w:eastAsia="Arial" w:hAnsi="Arial" w:cs="Arial"/>
          <w:vertAlign w:val="superscript"/>
        </w:rPr>
        <w:footnoteReference w:customMarkFollows="1" w:id="351"/>
        <w:t>26</w:t>
      </w:r>
      <w:r>
        <w:rPr>
          <w:rFonts w:ascii="Arial" w:eastAsia="Arial" w:hAnsi="Arial" w:cs="Arial"/>
          <w:color w:val="000000"/>
          <w:sz w:val="20"/>
        </w:rPr>
        <w:t xml:space="preserve"> Clark's case for direct evidence of discrimination boils down to the following assertions: (1) Bents, Mays, and Vice President McCoy knew Clark had diabetes and believed it to be a condition that constitutes a disability; (2) Bents, Clark's supervisor, stated that Clark "may have" informed him about previous problems with his insulin levels; (3) upon learning that co-workers discovered Clark not awake at his desk during work hours, McCoy responded, "perfect. . . . let him go"; and (4) after awakening, Clark told Bents that he was going to the hospital, but neither Bents nor anyone else attempted to determine whether there was a medical reason for Clark's conduct.</w:t>
      </w:r>
    </w:p>
    <w:p w14:paraId="5F1B6289" w14:textId="77777777" w:rsidR="002B10A6" w:rsidRDefault="00000000">
      <w:pPr>
        <w:pStyle w:val="Normal40"/>
        <w:widowControl w:val="0"/>
        <w:spacing w:before="200" w:line="260" w:lineRule="atLeast"/>
        <w:jc w:val="both"/>
      </w:pPr>
      <w:bookmarkStart w:id="7227" w:name="Bookmark_para_21_26"/>
      <w:bookmarkStart w:id="7228" w:name="Bookmark_I5YMK1R228T48V0050000400"/>
      <w:bookmarkStart w:id="7229" w:name="Bookmark_I5YMK1R22SF8SF0020000400"/>
      <w:bookmarkEnd w:id="7227"/>
      <w:bookmarkEnd w:id="7228"/>
      <w:bookmarkEnd w:id="7229"/>
      <w:r>
        <w:rPr>
          <w:rFonts w:ascii="Arial" w:eastAsia="Arial" w:hAnsi="Arial" w:cs="Arial"/>
          <w:color w:val="000000"/>
          <w:sz w:val="20"/>
        </w:rPr>
        <w:t xml:space="preserve">This evidence is a far cry from what we have previously found to be direct evidence of discrimination. For example, in </w:t>
      </w:r>
      <w:r>
        <w:rPr>
          <w:rFonts w:ascii="Arial" w:eastAsia="Arial" w:hAnsi="Arial" w:cs="Arial"/>
          <w:i/>
          <w:color w:val="000000"/>
          <w:sz w:val="20"/>
        </w:rPr>
        <w:t>Portis</w:t>
      </w:r>
      <w:r>
        <w:rPr>
          <w:rFonts w:ascii="Arial" w:eastAsia="Arial" w:hAnsi="Arial" w:cs="Arial"/>
          <w:color w:val="000000"/>
          <w:sz w:val="20"/>
        </w:rPr>
        <w:t xml:space="preserve">, a demoted bank employee alleging [**10]  sex discrimination in violation of Title VII provided evidence of multiple occasions where her supervisor told her that she "wouldn't be worth as much as the men would be to  [*580]  the bank" and "she would be paid less </w:t>
      </w:r>
      <w:r>
        <w:rPr>
          <w:rFonts w:ascii="Arial" w:eastAsia="Arial" w:hAnsi="Arial" w:cs="Arial"/>
          <w:i/>
          <w:color w:val="000000"/>
          <w:sz w:val="20"/>
        </w:rPr>
        <w:t>because she was a woman</w:t>
      </w:r>
      <w:r>
        <w:rPr>
          <w:rFonts w:ascii="Arial" w:eastAsia="Arial" w:hAnsi="Arial" w:cs="Arial"/>
          <w:color w:val="000000"/>
          <w:sz w:val="20"/>
        </w:rPr>
        <w:t>."</w:t>
      </w:r>
      <w:r>
        <w:rPr>
          <w:rFonts w:ascii="Arial" w:eastAsia="Arial" w:hAnsi="Arial" w:cs="Arial"/>
          <w:vertAlign w:val="superscript"/>
        </w:rPr>
        <w:footnoteReference w:customMarkFollows="1" w:id="352"/>
        <w:t>27</w:t>
      </w:r>
      <w:r>
        <w:rPr>
          <w:rFonts w:ascii="Arial" w:eastAsia="Arial" w:hAnsi="Arial" w:cs="Arial"/>
          <w:color w:val="000000"/>
          <w:sz w:val="20"/>
        </w:rPr>
        <w:t xml:space="preserve"> We held that no inference was required to conclude that the employee was treated differently because of her sex, meaning her supervisor's statements constituted direct evidence of discrimination.</w:t>
      </w:r>
      <w:r>
        <w:rPr>
          <w:rFonts w:ascii="Arial" w:eastAsia="Arial" w:hAnsi="Arial" w:cs="Arial"/>
          <w:vertAlign w:val="superscript"/>
        </w:rPr>
        <w:footnoteReference w:customMarkFollows="1" w:id="353"/>
        <w:t>28</w:t>
      </w:r>
    </w:p>
    <w:p w14:paraId="38A0001B" w14:textId="77777777" w:rsidR="002B10A6" w:rsidRDefault="00000000">
      <w:pPr>
        <w:pStyle w:val="Normal40"/>
        <w:widowControl w:val="0"/>
        <w:spacing w:before="200" w:line="260" w:lineRule="atLeast"/>
        <w:jc w:val="both"/>
      </w:pPr>
      <w:bookmarkStart w:id="7234" w:name="Bookmark_para_22_25"/>
      <w:bookmarkStart w:id="7235" w:name="Bookmark_I5YMK1R22SF8SF0040000400"/>
      <w:bookmarkStart w:id="7236" w:name="Bookmark_I5YMK1R22N1RV90010000400"/>
      <w:bookmarkEnd w:id="7234"/>
      <w:bookmarkEnd w:id="7235"/>
      <w:bookmarkEnd w:id="7236"/>
      <w:r>
        <w:rPr>
          <w:rFonts w:ascii="Arial" w:eastAsia="Arial" w:hAnsi="Arial" w:cs="Arial"/>
          <w:color w:val="000000"/>
          <w:sz w:val="20"/>
        </w:rPr>
        <w:t xml:space="preserve">There was also direct evidence of discrimination in </w:t>
      </w:r>
      <w:r>
        <w:rPr>
          <w:rFonts w:ascii="Arial" w:eastAsia="Arial" w:hAnsi="Arial" w:cs="Arial"/>
          <w:i/>
          <w:color w:val="000000"/>
          <w:sz w:val="20"/>
        </w:rPr>
        <w:t>Etienne</w:t>
      </w:r>
      <w:r>
        <w:rPr>
          <w:rFonts w:ascii="Arial" w:eastAsia="Arial" w:hAnsi="Arial" w:cs="Arial"/>
          <w:color w:val="000000"/>
          <w:sz w:val="20"/>
        </w:rPr>
        <w:t>, where a casino's former employee, an African-American woman, alleged that she was not promoted to a managerial position due to her race in violation of Title VII.</w:t>
      </w:r>
      <w:r>
        <w:rPr>
          <w:rFonts w:ascii="Arial" w:eastAsia="Arial" w:hAnsi="Arial" w:cs="Arial"/>
          <w:vertAlign w:val="superscript"/>
        </w:rPr>
        <w:footnoteReference w:customMarkFollows="1" w:id="354"/>
        <w:t>29</w:t>
      </w:r>
      <w:r>
        <w:rPr>
          <w:rFonts w:ascii="Arial" w:eastAsia="Arial" w:hAnsi="Arial" w:cs="Arial"/>
          <w:color w:val="000000"/>
          <w:sz w:val="20"/>
        </w:rPr>
        <w:t xml:space="preserve"> We held that statements made "on several occasions" by the general manager—who was responsible for filling the position—that he did not allow "dark skin black person[s to] handle any money at" the casino and that he "thought [the employee] was too black to do various tasks at the casino" constituted direct evidence of discrimination.</w:t>
      </w:r>
      <w:r>
        <w:rPr>
          <w:rFonts w:ascii="Arial" w:eastAsia="Arial" w:hAnsi="Arial" w:cs="Arial"/>
          <w:vertAlign w:val="superscript"/>
        </w:rPr>
        <w:footnoteReference w:customMarkFollows="1" w:id="355"/>
        <w:t>30</w:t>
      </w:r>
    </w:p>
    <w:p w14:paraId="6D30D995" w14:textId="77777777" w:rsidR="002B10A6" w:rsidRDefault="00000000">
      <w:pPr>
        <w:pStyle w:val="Normal40"/>
        <w:widowControl w:val="0"/>
        <w:spacing w:before="200" w:line="260" w:lineRule="atLeast"/>
        <w:jc w:val="both"/>
      </w:pPr>
      <w:bookmarkStart w:id="7241" w:name="Bookmark_para_23_23"/>
      <w:bookmarkStart w:id="7242" w:name="Bookmark_I5YMK1R22N1RV90030000400"/>
      <w:bookmarkStart w:id="7243" w:name="Bookmark_I5YMK1R22N1RV90050000400"/>
      <w:bookmarkEnd w:id="7241"/>
      <w:bookmarkEnd w:id="7242"/>
      <w:bookmarkEnd w:id="7243"/>
      <w:r>
        <w:rPr>
          <w:rFonts w:ascii="Arial" w:eastAsia="Arial" w:hAnsi="Arial" w:cs="Arial"/>
          <w:color w:val="000000"/>
          <w:sz w:val="20"/>
        </w:rPr>
        <w:t xml:space="preserve">Direct evidence was also present in our 2005 </w:t>
      </w:r>
      <w:r>
        <w:rPr>
          <w:rFonts w:ascii="Arial" w:eastAsia="Arial" w:hAnsi="Arial" w:cs="Arial"/>
          <w:i/>
          <w:color w:val="000000"/>
          <w:sz w:val="20"/>
        </w:rPr>
        <w:t>Jones</w:t>
      </w:r>
      <w:r>
        <w:rPr>
          <w:rFonts w:ascii="Arial" w:eastAsia="Arial" w:hAnsi="Arial" w:cs="Arial"/>
          <w:color w:val="000000"/>
          <w:sz w:val="20"/>
        </w:rPr>
        <w:t xml:space="preserve"> case. There, an African-American applicant wasn't hired for any of a casino's vacant poker dealer positions and sued the owner under Title VII for race discrimination. [**11] </w:t>
      </w:r>
      <w:r>
        <w:rPr>
          <w:rFonts w:ascii="Arial" w:eastAsia="Arial" w:hAnsi="Arial" w:cs="Arial"/>
          <w:vertAlign w:val="superscript"/>
        </w:rPr>
        <w:footnoteReference w:customMarkFollows="1" w:id="356"/>
        <w:t>31</w:t>
      </w:r>
      <w:r>
        <w:rPr>
          <w:rFonts w:ascii="Arial" w:eastAsia="Arial" w:hAnsi="Arial" w:cs="Arial"/>
          <w:color w:val="000000"/>
          <w:sz w:val="20"/>
        </w:rPr>
        <w:t xml:space="preserve"> The applicant presented evidence that the casino's poker room manager—who was responsible for hiring—regularly used racially derogatory language and stated that "the[y] were not going to hire a black person unless there were extenuating circumstances."</w:t>
      </w:r>
      <w:r>
        <w:rPr>
          <w:rFonts w:ascii="Arial" w:eastAsia="Arial" w:hAnsi="Arial" w:cs="Arial"/>
          <w:vertAlign w:val="superscript"/>
        </w:rPr>
        <w:footnoteReference w:customMarkFollows="1" w:id="357"/>
        <w:t>32</w:t>
      </w:r>
      <w:r>
        <w:rPr>
          <w:rFonts w:ascii="Arial" w:eastAsia="Arial" w:hAnsi="Arial" w:cs="Arial"/>
          <w:color w:val="000000"/>
          <w:sz w:val="20"/>
        </w:rPr>
        <w:t xml:space="preserve"> Further, the applicant presented evidence that the same manager told his assistant that "good old white boys don't want blacks touching their cards in their face" and said to a former employee "maybe I've been told not to hire too many blacks in the poker room."</w:t>
      </w:r>
      <w:r>
        <w:rPr>
          <w:rFonts w:ascii="Arial" w:eastAsia="Arial" w:hAnsi="Arial" w:cs="Arial"/>
          <w:vertAlign w:val="superscript"/>
        </w:rPr>
        <w:footnoteReference w:customMarkFollows="1" w:id="358"/>
        <w:t>33</w:t>
      </w:r>
      <w:r>
        <w:rPr>
          <w:rFonts w:ascii="Arial" w:eastAsia="Arial" w:hAnsi="Arial" w:cs="Arial"/>
          <w:color w:val="000000"/>
          <w:sz w:val="20"/>
        </w:rPr>
        <w:t xml:space="preserve"> The court held that these statements were direct evidence of discrimination.</w:t>
      </w:r>
      <w:r>
        <w:rPr>
          <w:rFonts w:ascii="Arial" w:eastAsia="Arial" w:hAnsi="Arial" w:cs="Arial"/>
          <w:vertAlign w:val="superscript"/>
        </w:rPr>
        <w:footnoteReference w:customMarkFollows="1" w:id="359"/>
        <w:t>34</w:t>
      </w:r>
    </w:p>
    <w:p w14:paraId="061817CD" w14:textId="77777777" w:rsidR="002B10A6" w:rsidRDefault="00000000">
      <w:pPr>
        <w:pStyle w:val="Normal40"/>
        <w:widowControl w:val="0"/>
        <w:spacing w:before="200" w:line="260" w:lineRule="atLeast"/>
        <w:jc w:val="both"/>
      </w:pPr>
      <w:bookmarkStart w:id="7260" w:name="Bookmark_para_24_22"/>
      <w:bookmarkStart w:id="7261" w:name="Bookmark_I5YMK1R22HM67M0050000400"/>
      <w:bookmarkStart w:id="7262" w:name="Bookmark_I5YMK1R32D6N8R0020000400"/>
      <w:bookmarkEnd w:id="7260"/>
      <w:bookmarkEnd w:id="7261"/>
      <w:bookmarkEnd w:id="7262"/>
      <w:r>
        <w:rPr>
          <w:rFonts w:ascii="Arial" w:eastAsia="Arial" w:hAnsi="Arial" w:cs="Arial"/>
          <w:color w:val="000000"/>
          <w:sz w:val="20"/>
        </w:rPr>
        <w:t xml:space="preserve">Our 2006 decision in </w:t>
      </w:r>
      <w:r>
        <w:rPr>
          <w:rFonts w:ascii="Arial" w:eastAsia="Arial" w:hAnsi="Arial" w:cs="Arial"/>
          <w:i/>
          <w:color w:val="000000"/>
          <w:sz w:val="20"/>
        </w:rPr>
        <w:t>Rodriguez</w:t>
      </w:r>
      <w:r>
        <w:rPr>
          <w:rFonts w:ascii="Arial" w:eastAsia="Arial" w:hAnsi="Arial" w:cs="Arial"/>
          <w:color w:val="000000"/>
          <w:sz w:val="20"/>
        </w:rPr>
        <w:t xml:space="preserve"> is also instructive. "This case is one of those rare ADA cases in which we are presented with </w:t>
      </w:r>
      <w:r>
        <w:rPr>
          <w:rFonts w:ascii="Arial" w:eastAsia="Arial" w:hAnsi="Arial" w:cs="Arial"/>
          <w:i/>
          <w:color w:val="000000"/>
          <w:sz w:val="20"/>
        </w:rPr>
        <w:t>direct</w:t>
      </w:r>
      <w:r>
        <w:rPr>
          <w:rFonts w:ascii="Arial" w:eastAsia="Arial" w:hAnsi="Arial" w:cs="Arial"/>
          <w:color w:val="000000"/>
          <w:sz w:val="20"/>
        </w:rPr>
        <w:t xml:space="preserve"> (rather than circumstantial) evidence of discriminatory intent: ConAgra and Ms. Zamora have both </w:t>
      </w:r>
      <w:r>
        <w:rPr>
          <w:rFonts w:ascii="Arial" w:eastAsia="Arial" w:hAnsi="Arial" w:cs="Arial"/>
          <w:i/>
          <w:color w:val="000000"/>
          <w:sz w:val="20"/>
        </w:rPr>
        <w:t>admitted</w:t>
      </w:r>
      <w:r>
        <w:rPr>
          <w:rFonts w:ascii="Arial" w:eastAsia="Arial" w:hAnsi="Arial" w:cs="Arial"/>
          <w:color w:val="000000"/>
          <w:sz w:val="20"/>
        </w:rPr>
        <w:t xml:space="preserve"> that Rodriguez did not get his job because of his allegedly uncontrolled diabetes."</w:t>
      </w:r>
      <w:r>
        <w:rPr>
          <w:rFonts w:ascii="Arial" w:eastAsia="Arial" w:hAnsi="Arial" w:cs="Arial"/>
          <w:vertAlign w:val="superscript"/>
        </w:rPr>
        <w:footnoteReference w:customMarkFollows="1" w:id="360"/>
        <w:t>35</w:t>
      </w:r>
      <w:r>
        <w:rPr>
          <w:rFonts w:ascii="Arial" w:eastAsia="Arial" w:hAnsi="Arial" w:cs="Arial"/>
          <w:color w:val="000000"/>
          <w:sz w:val="20"/>
        </w:rPr>
        <w:t xml:space="preserve"> "In its appellate brief, ConAgra twice </w:t>
      </w:r>
      <w:r>
        <w:rPr>
          <w:rFonts w:ascii="Arial" w:eastAsia="Arial" w:hAnsi="Arial" w:cs="Arial"/>
          <w:i/>
          <w:color w:val="000000"/>
          <w:sz w:val="20"/>
        </w:rPr>
        <w:t>concedes</w:t>
      </w:r>
      <w:r>
        <w:rPr>
          <w:rFonts w:ascii="Arial" w:eastAsia="Arial" w:hAnsi="Arial" w:cs="Arial"/>
          <w:color w:val="000000"/>
          <w:sz w:val="20"/>
        </w:rPr>
        <w:t xml:space="preserve"> (albeit coupled with an irrelevant caveat) that it withdrew Rodriguez's job offer because it regarded him as substantially limited by his diabetes in the major life activity of working."</w:t>
      </w:r>
      <w:r>
        <w:rPr>
          <w:rFonts w:ascii="Arial" w:eastAsia="Arial" w:hAnsi="Arial" w:cs="Arial"/>
          <w:vertAlign w:val="superscript"/>
        </w:rPr>
        <w:footnoteReference w:customMarkFollows="1" w:id="361"/>
        <w:t>36</w:t>
      </w:r>
    </w:p>
    <w:p w14:paraId="6555D1E3" w14:textId="77777777" w:rsidR="002B10A6" w:rsidRDefault="00000000">
      <w:pPr>
        <w:pStyle w:val="Normal40"/>
        <w:widowControl w:val="0"/>
        <w:spacing w:before="200" w:line="260" w:lineRule="atLeast"/>
        <w:jc w:val="both"/>
      </w:pPr>
      <w:bookmarkStart w:id="7267" w:name="Bookmark_para_25_22"/>
      <w:bookmarkEnd w:id="7267"/>
      <w:r>
        <w:rPr>
          <w:rFonts w:ascii="Arial" w:eastAsia="Arial" w:hAnsi="Arial" w:cs="Arial"/>
          <w:color w:val="000000"/>
          <w:sz w:val="20"/>
        </w:rPr>
        <w:t>In this case, Champion's [**12]  brief makes no such concession. And Clark fails to point to any statement or document that directly and expressly links his disability to a decisionmaker's choice to terminate him. Rather, Clark points to generalized knowledge  [*581]  about his diabetes and the termination itself as direct evidence of discriminatory intent. But that's not direct evidence; it would require us to make an inference.</w:t>
      </w:r>
      <w:r>
        <w:rPr>
          <w:rFonts w:ascii="Arial" w:eastAsia="Arial" w:hAnsi="Arial" w:cs="Arial"/>
          <w:vertAlign w:val="superscript"/>
        </w:rPr>
        <w:footnoteReference w:customMarkFollows="1" w:id="362"/>
        <w:t>37</w:t>
      </w:r>
    </w:p>
    <w:p w14:paraId="2861D712" w14:textId="77777777" w:rsidR="002B10A6" w:rsidRDefault="00000000">
      <w:pPr>
        <w:pStyle w:val="Normal40"/>
        <w:widowControl w:val="0"/>
        <w:spacing w:before="200" w:line="260" w:lineRule="atLeast"/>
        <w:jc w:val="both"/>
      </w:pPr>
      <w:bookmarkStart w:id="7271" w:name="Bookmark_para_26_22"/>
      <w:bookmarkStart w:id="7272" w:name="Bookmark_I746KS7F07F00009YN00000S"/>
      <w:bookmarkStart w:id="7273" w:name="Bookmark_I746KS7F7G600009YN00000V"/>
      <w:bookmarkStart w:id="7274" w:name="Bookmark_I746KS7FGNR00009YN00000X"/>
      <w:bookmarkStart w:id="7275" w:name="Bookmark_I5YMK1R328T4930010000400"/>
      <w:bookmarkStart w:id="7276" w:name="Bookmark_I5YMK1R32SF8SN0050000400"/>
      <w:bookmarkStart w:id="7277" w:name="Bookmark_I5YMK1R32N1RVD0040000400"/>
      <w:bookmarkEnd w:id="7271"/>
      <w:bookmarkEnd w:id="7272"/>
      <w:bookmarkEnd w:id="7273"/>
      <w:bookmarkEnd w:id="7274"/>
      <w:bookmarkEnd w:id="7275"/>
      <w:bookmarkEnd w:id="7276"/>
      <w:bookmarkEnd w:id="7277"/>
      <w:r>
        <w:rPr>
          <w:rFonts w:ascii="Arial" w:eastAsia="Arial" w:hAnsi="Arial" w:cs="Arial"/>
          <w:color w:val="000000"/>
          <w:sz w:val="20"/>
        </w:rPr>
        <w:t>Clark's strongest argument for direct evidence of discrimination is Vice President McCoy's statement, "perfect. . . . let him go," after he received a picture of Clark not awake at his desk during business hours with the subject line "Charles Clark sleeping." "Where a plaintiff offers remarks as direct evidence, we apply a four-part test to determine whether they are sufficient to overcome summary judgment."</w:t>
      </w:r>
      <w:r>
        <w:rPr>
          <w:rFonts w:ascii="Arial" w:eastAsia="Arial" w:hAnsi="Arial" w:cs="Arial"/>
          <w:vertAlign w:val="superscript"/>
        </w:rPr>
        <w:footnoteReference w:customMarkFollows="1" w:id="363"/>
        <w:t>38</w:t>
      </w:r>
      <w:r>
        <w:rPr>
          <w:rFonts w:ascii="Arial" w:eastAsia="Arial" w:hAnsi="Arial" w:cs="Arial"/>
          <w:color w:val="000000"/>
          <w:sz w:val="20"/>
        </w:rPr>
        <w:t xml:space="preserve"> "To qualify as direct evidence of discrimination, workplace comments must be 1) related [to the protected class of persons of which plaintiff is a member]; 2) proximate in time to the terminations; 3) made by an individual with authority over the employment decision at issue; and 4) related to the employment decision at issue."</w:t>
      </w:r>
      <w:r>
        <w:rPr>
          <w:rFonts w:ascii="Arial" w:eastAsia="Arial" w:hAnsi="Arial" w:cs="Arial"/>
          <w:vertAlign w:val="superscript"/>
        </w:rPr>
        <w:footnoteReference w:customMarkFollows="1" w:id="364"/>
        <w:t>39</w:t>
      </w:r>
      <w:r>
        <w:rPr>
          <w:rFonts w:ascii="Arial" w:eastAsia="Arial" w:hAnsi="Arial" w:cs="Arial"/>
          <w:color w:val="000000"/>
          <w:sz w:val="20"/>
        </w:rPr>
        <w:t xml:space="preserve"> McCoy's statement is from the same day as Clark's termination [**13]  and it was about terminating Clark, thus satisfying the second and fourth requirement. But unlike in </w:t>
      </w:r>
      <w:bookmarkStart w:id="7283" w:name="Bookmark_I5YMK1R32D6N8R0050000400"/>
      <w:bookmarkEnd w:id="7283"/>
      <w:r>
        <w:rPr>
          <w:rFonts w:ascii="Arial" w:eastAsia="Arial" w:hAnsi="Arial" w:cs="Arial"/>
          <w:i/>
          <w:color w:val="000000"/>
          <w:sz w:val="20"/>
        </w:rPr>
        <w:t xml:space="preserve">Portis, </w:t>
      </w:r>
      <w:bookmarkStart w:id="7284" w:name="Bookmark_I5YMK1R328T4930020000400"/>
      <w:bookmarkEnd w:id="7284"/>
      <w:r>
        <w:rPr>
          <w:rFonts w:ascii="Arial" w:eastAsia="Arial" w:hAnsi="Arial" w:cs="Arial"/>
          <w:i/>
          <w:color w:val="000000"/>
          <w:sz w:val="20"/>
        </w:rPr>
        <w:t>Etienne</w:t>
      </w:r>
      <w:r>
        <w:rPr>
          <w:rFonts w:ascii="Arial" w:eastAsia="Arial" w:hAnsi="Arial" w:cs="Arial"/>
          <w:color w:val="000000"/>
          <w:sz w:val="20"/>
        </w:rPr>
        <w:t xml:space="preserve">, and </w:t>
      </w:r>
      <w:bookmarkStart w:id="7285" w:name="Bookmark_I5YMK1R32N1RVD0040000400_2"/>
      <w:bookmarkStart w:id="7286" w:name="Bookmark_I5YMK1R32SF8SN0050000400_2"/>
      <w:bookmarkStart w:id="7287" w:name="Bookmark_I5YMK1R328T4930010000400_2"/>
      <w:bookmarkStart w:id="7288" w:name="Bookmark_I5YMK1R328T4930040000400"/>
      <w:bookmarkEnd w:id="7285"/>
      <w:bookmarkEnd w:id="7286"/>
      <w:bookmarkEnd w:id="7287"/>
      <w:bookmarkEnd w:id="7288"/>
      <w:r>
        <w:rPr>
          <w:rFonts w:ascii="Arial" w:eastAsia="Arial" w:hAnsi="Arial" w:cs="Arial"/>
          <w:i/>
          <w:color w:val="000000"/>
          <w:sz w:val="20"/>
        </w:rPr>
        <w:t>Jones</w:t>
      </w:r>
      <w:r>
        <w:rPr>
          <w:rFonts w:ascii="Arial" w:eastAsia="Arial" w:hAnsi="Arial" w:cs="Arial"/>
          <w:color w:val="000000"/>
          <w:sz w:val="20"/>
        </w:rPr>
        <w:t>, the evidence suggests that the speaker (McCoy) was not the ultimate decisionmaker regarding termination.</w:t>
      </w:r>
      <w:r>
        <w:rPr>
          <w:rFonts w:ascii="Arial" w:eastAsia="Arial" w:hAnsi="Arial" w:cs="Arial"/>
          <w:vertAlign w:val="superscript"/>
        </w:rPr>
        <w:footnoteReference w:customMarkFollows="1" w:id="365"/>
        <w:t>40</w:t>
      </w:r>
      <w:r>
        <w:rPr>
          <w:rFonts w:ascii="Arial" w:eastAsia="Arial" w:hAnsi="Arial" w:cs="Arial"/>
          <w:color w:val="000000"/>
          <w:sz w:val="20"/>
        </w:rPr>
        <w:t xml:space="preserve"> And Clark admits as much in his brief—undercutting his own argument. Plus, there's nothing in the email with the picture or McCoy's response about Clark's disability. So McCoy's statement can't be direct evidence of disability discrimination because it fails to satisfy the first and third requirement. </w:t>
      </w:r>
      <w:bookmarkStart w:id="7290" w:name="Bookmark_I746KS7CY1Y00009YN00000G"/>
      <w:bookmarkStart w:id="7291" w:name="Bookmark_I746KS7D66600009YN00000J"/>
      <w:bookmarkStart w:id="7292" w:name="Bookmark_I746KS7DFXW00009YN00000M"/>
      <w:bookmarkStart w:id="7293" w:name="Bookmark_I746KS7DR1J00009YN00000P"/>
      <w:bookmarkStart w:id="7294" w:name="Bookmark_I5YMK1R32SF8SM0020000400"/>
      <w:bookmarkEnd w:id="7290"/>
      <w:bookmarkEnd w:id="7291"/>
      <w:bookmarkEnd w:id="7292"/>
      <w:bookmarkEnd w:id="7293"/>
      <w:bookmarkEnd w:id="7294"/>
      <w:r>
        <w:rPr>
          <w:rFonts w:ascii="Arial" w:eastAsia="Arial" w:hAnsi="Arial" w:cs="Arial"/>
          <w:color w:val="000000"/>
          <w:sz w:val="20"/>
        </w:rPr>
        <w:t xml:space="preserve">And, problematically, accepting the statement as direct evidence would require an inference. If the subject line had been something like "Charles Clark in a diabetic emergency," and McCoy had responded "perfect. . . . let him go," that might pass muster as direct evidence of discrimination. It would certainly be more akin to the statements in </w:t>
      </w:r>
      <w:bookmarkStart w:id="7295" w:name="Bookmark_I5YMK1R32SF8SM0020000400_2"/>
      <w:bookmarkStart w:id="7296" w:name="Bookmark_I5YMK1R32SF8SM0010000400"/>
      <w:bookmarkEnd w:id="7295"/>
      <w:bookmarkEnd w:id="7296"/>
      <w:r>
        <w:rPr>
          <w:rFonts w:ascii="Arial" w:eastAsia="Arial" w:hAnsi="Arial" w:cs="Arial"/>
          <w:i/>
          <w:color w:val="000000"/>
          <w:sz w:val="20"/>
        </w:rPr>
        <w:t xml:space="preserve">Portis, </w:t>
      </w:r>
      <w:bookmarkStart w:id="7297" w:name="Bookmark_I5YMK1R32SF8SM0030000400"/>
      <w:bookmarkEnd w:id="7297"/>
      <w:r>
        <w:rPr>
          <w:rFonts w:ascii="Arial" w:eastAsia="Arial" w:hAnsi="Arial" w:cs="Arial"/>
          <w:i/>
          <w:color w:val="000000"/>
          <w:sz w:val="20"/>
        </w:rPr>
        <w:t xml:space="preserve">Etienne, </w:t>
      </w:r>
      <w:bookmarkStart w:id="7298" w:name="Bookmark_I5YMK1R32SF8SM0050000400"/>
      <w:bookmarkEnd w:id="7298"/>
      <w:r>
        <w:rPr>
          <w:rFonts w:ascii="Arial" w:eastAsia="Arial" w:hAnsi="Arial" w:cs="Arial"/>
          <w:i/>
          <w:color w:val="000000"/>
          <w:sz w:val="20"/>
        </w:rPr>
        <w:t>Jones</w:t>
      </w:r>
      <w:bookmarkStart w:id="7299" w:name="Bookmark_I5YMK1R32N1RVG0010000400"/>
      <w:bookmarkEnd w:id="7299"/>
      <w:r>
        <w:rPr>
          <w:rFonts w:ascii="Arial" w:eastAsia="Arial" w:hAnsi="Arial" w:cs="Arial"/>
          <w:color w:val="000000"/>
          <w:sz w:val="20"/>
        </w:rPr>
        <w:t xml:space="preserve">, and </w:t>
      </w:r>
      <w:bookmarkStart w:id="7300" w:name="Bookmark_I5YMK1R32SF8SN0020000400"/>
      <w:bookmarkEnd w:id="7300"/>
      <w:r>
        <w:rPr>
          <w:rFonts w:ascii="Arial" w:eastAsia="Arial" w:hAnsi="Arial" w:cs="Arial"/>
          <w:i/>
          <w:color w:val="000000"/>
          <w:sz w:val="20"/>
        </w:rPr>
        <w:t>Rodriguez</w:t>
      </w:r>
      <w:r>
        <w:rPr>
          <w:rFonts w:ascii="Arial" w:eastAsia="Arial" w:hAnsi="Arial" w:cs="Arial"/>
          <w:color w:val="000000"/>
          <w:sz w:val="20"/>
        </w:rPr>
        <w:t>, which all included explicit references to the forbidden factor (sex, race, or disability). But those are not the facts here. McCoy's statement is not direct evidence of discrimination.</w:t>
      </w:r>
      <w:r>
        <w:rPr>
          <w:rFonts w:ascii="Arial" w:eastAsia="Arial" w:hAnsi="Arial" w:cs="Arial"/>
          <w:vertAlign w:val="superscript"/>
        </w:rPr>
        <w:footnoteReference w:customMarkFollows="1" w:id="366"/>
        <w:t>41</w:t>
      </w:r>
    </w:p>
    <w:p w14:paraId="4C848CB4" w14:textId="77777777" w:rsidR="002B10A6" w:rsidRDefault="00000000">
      <w:pPr>
        <w:pStyle w:val="Normal40"/>
        <w:widowControl w:val="0"/>
        <w:spacing w:before="200" w:line="260" w:lineRule="atLeast"/>
        <w:jc w:val="both"/>
      </w:pPr>
      <w:bookmarkStart w:id="7304" w:name="Bookmark_para_27_22"/>
      <w:bookmarkEnd w:id="7304"/>
      <w:r>
        <w:rPr>
          <w:rFonts w:ascii="Arial" w:eastAsia="Arial" w:hAnsi="Arial" w:cs="Arial"/>
          <w:color w:val="000000"/>
          <w:sz w:val="20"/>
        </w:rPr>
        <w:t> [*582]  At best, Clark could argue that McCoy's statement provides circumstantial evidence that [**14]  his disability influenced Champion's decision to fire him. Thus, the district court did not err in finding no direct evidence of discrimination on the basis of disability. We affirm the district court's finding on this issue.</w:t>
      </w:r>
    </w:p>
    <w:p w14:paraId="1416B3F4" w14:textId="77777777" w:rsidR="002B10A6" w:rsidRDefault="00000000">
      <w:pPr>
        <w:pStyle w:val="Normal40"/>
        <w:widowControl w:val="0"/>
        <w:spacing w:before="240" w:line="260" w:lineRule="atLeast"/>
      </w:pPr>
      <w:r>
        <w:br/>
      </w:r>
      <w:r>
        <w:rPr>
          <w:rFonts w:ascii="Arial" w:eastAsia="Arial" w:hAnsi="Arial" w:cs="Arial"/>
          <w:b/>
          <w:color w:val="000000"/>
          <w:sz w:val="20"/>
        </w:rPr>
        <w:t>B. "Qualified Individual"</w:t>
      </w:r>
    </w:p>
    <w:p w14:paraId="460253F5" w14:textId="77777777" w:rsidR="002B10A6" w:rsidRDefault="00000000">
      <w:pPr>
        <w:pStyle w:val="Normal40"/>
        <w:widowControl w:val="0"/>
        <w:spacing w:before="200" w:line="260" w:lineRule="atLeast"/>
        <w:jc w:val="both"/>
      </w:pPr>
      <w:bookmarkStart w:id="7305" w:name="Bookmark_para_28_22"/>
      <w:bookmarkStart w:id="7306" w:name="Bookmark_I5YMK1R32N1RVG0050000400"/>
      <w:bookmarkStart w:id="7307" w:name="Bookmark_I746KS7B33800009YN000001"/>
      <w:bookmarkStart w:id="7308" w:name="Bookmark_I5YMK1R428T4960020000400"/>
      <w:bookmarkEnd w:id="7305"/>
      <w:bookmarkEnd w:id="7306"/>
      <w:bookmarkEnd w:id="7307"/>
      <w:bookmarkEnd w:id="7308"/>
      <w:r>
        <w:rPr>
          <w:rFonts w:ascii="Arial" w:eastAsia="Arial" w:hAnsi="Arial" w:cs="Arial"/>
          <w:color w:val="000000"/>
          <w:sz w:val="20"/>
        </w:rPr>
        <w:t xml:space="preserve">Although Clark—like most plaintiffs in disability discrimination suits—failed to provide direct evidence of discrimination, he may still "proceed under the burden-shifting analysis first articulated in </w:t>
      </w:r>
      <w:r>
        <w:rPr>
          <w:rFonts w:ascii="Arial" w:eastAsia="Arial" w:hAnsi="Arial" w:cs="Arial"/>
          <w:i/>
          <w:color w:val="000000"/>
          <w:sz w:val="20"/>
        </w:rPr>
        <w:t>McDonnell Douglas</w:t>
      </w:r>
      <w:r>
        <w:rPr>
          <w:rFonts w:ascii="Arial" w:eastAsia="Arial" w:hAnsi="Arial" w:cs="Arial"/>
          <w:color w:val="000000"/>
          <w:sz w:val="20"/>
        </w:rPr>
        <w:t>."</w:t>
      </w:r>
      <w:r>
        <w:rPr>
          <w:rFonts w:ascii="Arial" w:eastAsia="Arial" w:hAnsi="Arial" w:cs="Arial"/>
          <w:vertAlign w:val="superscript"/>
        </w:rPr>
        <w:footnoteReference w:customMarkFollows="1" w:id="367"/>
        <w:t>42</w:t>
      </w:r>
      <w:r>
        <w:rPr>
          <w:rFonts w:ascii="Arial" w:eastAsia="Arial" w:hAnsi="Arial" w:cs="Arial"/>
          <w:color w:val="000000"/>
          <w:sz w:val="20"/>
        </w:rPr>
        <w:t xml:space="preserve"> Under </w:t>
      </w:r>
      <w:r>
        <w:rPr>
          <w:rFonts w:ascii="Arial" w:eastAsia="Arial" w:hAnsi="Arial" w:cs="Arial"/>
          <w:i/>
          <w:color w:val="000000"/>
          <w:sz w:val="20"/>
        </w:rPr>
        <w:t>McDonnell Douglas</w:t>
      </w:r>
      <w:r>
        <w:rPr>
          <w:rFonts w:ascii="Arial" w:eastAsia="Arial" w:hAnsi="Arial" w:cs="Arial"/>
          <w:color w:val="000000"/>
          <w:sz w:val="20"/>
        </w:rPr>
        <w:t>, the plaintiff must carry the initial burden of establishing a prima facie case of discrimination.</w:t>
      </w:r>
      <w:r>
        <w:rPr>
          <w:rFonts w:ascii="Arial" w:eastAsia="Arial" w:hAnsi="Arial" w:cs="Arial"/>
          <w:vertAlign w:val="superscript"/>
        </w:rPr>
        <w:footnoteReference w:customMarkFollows="1" w:id="368"/>
        <w:t>43</w:t>
      </w:r>
      <w:r>
        <w:rPr>
          <w:rFonts w:ascii="Arial" w:eastAsia="Arial" w:hAnsi="Arial" w:cs="Arial"/>
          <w:color w:val="000000"/>
          <w:sz w:val="20"/>
        </w:rPr>
        <w:t xml:space="preserve"> "To establish a prima facie discrimination claim under the ADA, a plaintiff must prove: (1) that he has a disability; (2) that he was qualified for the job; and (3) that he was subject to an adverse employment decision on account of his disability."</w:t>
      </w:r>
      <w:r>
        <w:rPr>
          <w:rFonts w:ascii="Arial" w:eastAsia="Arial" w:hAnsi="Arial" w:cs="Arial"/>
          <w:vertAlign w:val="superscript"/>
        </w:rPr>
        <w:footnoteReference w:customMarkFollows="1" w:id="369"/>
        <w:t>44</w:t>
      </w:r>
    </w:p>
    <w:p w14:paraId="625BC04F" w14:textId="77777777" w:rsidR="002B10A6" w:rsidRDefault="00000000">
      <w:pPr>
        <w:pStyle w:val="Normal40"/>
        <w:widowControl w:val="0"/>
        <w:spacing w:before="200" w:line="260" w:lineRule="atLeast"/>
        <w:jc w:val="both"/>
      </w:pPr>
      <w:bookmarkStart w:id="7319" w:name="Bookmark_para_29_21"/>
      <w:bookmarkStart w:id="7320" w:name="Bookmark_I5YMK1R42HM67V0030000400"/>
      <w:bookmarkEnd w:id="7319"/>
      <w:bookmarkEnd w:id="7320"/>
      <w:r>
        <w:rPr>
          <w:rFonts w:ascii="Arial" w:eastAsia="Arial" w:hAnsi="Arial" w:cs="Arial"/>
          <w:color w:val="000000"/>
          <w:sz w:val="20"/>
        </w:rPr>
        <w:t>This discussion focuses on the second prong—whether Clark was "qualified" for the job. The district court found that Clark was "not a qualified individual under the ADA."</w:t>
      </w:r>
      <w:r>
        <w:rPr>
          <w:rFonts w:ascii="Arial" w:eastAsia="Arial" w:hAnsi="Arial" w:cs="Arial"/>
          <w:vertAlign w:val="superscript"/>
        </w:rPr>
        <w:footnoteReference w:customMarkFollows="1" w:id="370"/>
        <w:t>45</w:t>
      </w:r>
      <w:r>
        <w:rPr>
          <w:rFonts w:ascii="Arial" w:eastAsia="Arial" w:hAnsi="Arial" w:cs="Arial"/>
          <w:color w:val="000000"/>
          <w:sz w:val="20"/>
        </w:rPr>
        <w:t xml:space="preserve"> Clark argues that the court erred. A plaintiff can establish that he is "qualified" by showing that "either (1) [he] could perform the essential functions of the job in spite of [his] [**15]  disability," or "(2) that a reasonable accommodation of [his] disability would have enabled [him] to perform the essential functions of the job."</w:t>
      </w:r>
      <w:r>
        <w:rPr>
          <w:rFonts w:ascii="Arial" w:eastAsia="Arial" w:hAnsi="Arial" w:cs="Arial"/>
          <w:vertAlign w:val="superscript"/>
        </w:rPr>
        <w:footnoteReference w:customMarkFollows="1" w:id="371"/>
        <w:t>46</w:t>
      </w:r>
      <w:r>
        <w:rPr>
          <w:rFonts w:ascii="Arial" w:eastAsia="Arial" w:hAnsi="Arial" w:cs="Arial"/>
          <w:color w:val="000000"/>
          <w:sz w:val="20"/>
        </w:rPr>
        <w:t xml:space="preserve"> "[T]he question is whether he was qualified at the time of his termination."</w:t>
      </w:r>
      <w:r>
        <w:rPr>
          <w:rFonts w:ascii="Arial" w:eastAsia="Arial" w:hAnsi="Arial" w:cs="Arial"/>
          <w:vertAlign w:val="superscript"/>
        </w:rPr>
        <w:footnoteReference w:customMarkFollows="1" w:id="372"/>
        <w:t>47</w:t>
      </w:r>
    </w:p>
    <w:p w14:paraId="74ED7C86" w14:textId="77777777" w:rsidR="002B10A6" w:rsidRDefault="00000000">
      <w:pPr>
        <w:pStyle w:val="Normal40"/>
        <w:widowControl w:val="0"/>
        <w:spacing w:before="200" w:line="260" w:lineRule="atLeast"/>
        <w:jc w:val="both"/>
      </w:pPr>
      <w:bookmarkStart w:id="7330" w:name="Bookmark_para_30_20"/>
      <w:bookmarkStart w:id="7331" w:name="Bookmark_I5YMK1R42N1RVJ0040000400"/>
      <w:bookmarkEnd w:id="7330"/>
      <w:bookmarkEnd w:id="7331"/>
      <w:r>
        <w:rPr>
          <w:rFonts w:ascii="Arial" w:eastAsia="Arial" w:hAnsi="Arial" w:cs="Arial"/>
          <w:color w:val="000000"/>
          <w:sz w:val="20"/>
        </w:rPr>
        <w:t>We agree with the district court: The evidence suggests that Clark could not perform the essential functions of the job with or without an accommodation. The Champion Handbook details expectations of employees, including offenses "that may result in . . . immediate termination."</w:t>
      </w:r>
      <w:r>
        <w:rPr>
          <w:rFonts w:ascii="Arial" w:eastAsia="Arial" w:hAnsi="Arial" w:cs="Arial"/>
          <w:vertAlign w:val="superscript"/>
        </w:rPr>
        <w:footnoteReference w:customMarkFollows="1" w:id="373"/>
        <w:t>48</w:t>
      </w:r>
      <w:r>
        <w:rPr>
          <w:rFonts w:ascii="Arial" w:eastAsia="Arial" w:hAnsi="Arial" w:cs="Arial"/>
          <w:color w:val="000000"/>
          <w:sz w:val="20"/>
        </w:rPr>
        <w:t xml:space="preserve">  [*583]  One such offense is "failure to maintain alertness." Clark conceded that if he is not awake at work, he is not alert and can't do his job.</w:t>
      </w:r>
      <w:r>
        <w:rPr>
          <w:rFonts w:ascii="Arial" w:eastAsia="Arial" w:hAnsi="Arial" w:cs="Arial"/>
          <w:vertAlign w:val="superscript"/>
        </w:rPr>
        <w:footnoteReference w:customMarkFollows="1" w:id="374"/>
        <w:t>49</w:t>
      </w:r>
    </w:p>
    <w:p w14:paraId="55CF1B1D" w14:textId="77777777" w:rsidR="002B10A6" w:rsidRDefault="00000000">
      <w:pPr>
        <w:pStyle w:val="Normal40"/>
        <w:widowControl w:val="0"/>
        <w:spacing w:before="200" w:line="260" w:lineRule="atLeast"/>
        <w:jc w:val="both"/>
      </w:pPr>
      <w:bookmarkStart w:id="7335" w:name="Bookmark_para_31_20"/>
      <w:bookmarkStart w:id="7336" w:name="Bookmark_I5YMK1R62HM6820010000400"/>
      <w:bookmarkEnd w:id="7335"/>
      <w:bookmarkEnd w:id="7336"/>
      <w:r>
        <w:rPr>
          <w:rFonts w:ascii="Arial" w:eastAsia="Arial" w:hAnsi="Arial" w:cs="Arial"/>
          <w:color w:val="000000"/>
          <w:sz w:val="20"/>
        </w:rPr>
        <w:t>But Clark still argues in his brief that he is qualified. Yet Clark fails to cite a single case from the Fifth Circuit to support his argument that he was a "qualified individual."</w:t>
      </w:r>
      <w:r>
        <w:rPr>
          <w:rFonts w:ascii="Arial" w:eastAsia="Arial" w:hAnsi="Arial" w:cs="Arial"/>
          <w:vertAlign w:val="superscript"/>
        </w:rPr>
        <w:footnoteReference w:customMarkFollows="1" w:id="375"/>
        <w:t>50</w:t>
      </w:r>
      <w:r>
        <w:rPr>
          <w:rFonts w:ascii="Arial" w:eastAsia="Arial" w:hAnsi="Arial" w:cs="Arial"/>
          <w:color w:val="000000"/>
          <w:sz w:val="20"/>
        </w:rPr>
        <w:t xml:space="preserve"> His argument boils down to two points: First, Clark contends that his sleeping or being unconscious on the job would not pose a safety risk to others. Even if true, that does not satisfy Clark's burden of proving that he could perform the essential functions of his job. And we have found that an employee in a non-safety-related position was not a "qualified [**16]  individual" under the ADA where he repeatedly fell asleep at work due to his disability.</w:t>
      </w:r>
      <w:r>
        <w:rPr>
          <w:rFonts w:ascii="Arial" w:eastAsia="Arial" w:hAnsi="Arial" w:cs="Arial"/>
          <w:vertAlign w:val="superscript"/>
        </w:rPr>
        <w:footnoteReference w:customMarkFollows="1" w:id="376"/>
        <w:t>51</w:t>
      </w:r>
    </w:p>
    <w:p w14:paraId="054FF9E3" w14:textId="77777777" w:rsidR="002B10A6" w:rsidRDefault="00000000">
      <w:pPr>
        <w:pStyle w:val="Normal40"/>
        <w:widowControl w:val="0"/>
        <w:spacing w:before="200" w:line="260" w:lineRule="atLeast"/>
        <w:jc w:val="both"/>
      </w:pPr>
      <w:bookmarkStart w:id="7359" w:name="Bookmark_para_32_20"/>
      <w:bookmarkStart w:id="7360" w:name="Bookmark_I5YMK1R62HM6820030000400"/>
      <w:bookmarkEnd w:id="7359"/>
      <w:bookmarkEnd w:id="7360"/>
      <w:r>
        <w:rPr>
          <w:rFonts w:ascii="Arial" w:eastAsia="Arial" w:hAnsi="Arial" w:cs="Arial"/>
          <w:color w:val="000000"/>
          <w:sz w:val="20"/>
        </w:rPr>
        <w:t>Second, Clark argues that Champion fails to present evidence of his poor performance in general. But Champion doesn't need to. Champion insists that it terminated Clark because he was sleeping at his desk during the work day. Even assuming Clark does his job well while he's awake, by his own admission he cannot do his job at all when he's asleep. As we have  [*584]  held, maintaining consciousness is a basic element of any job.</w:t>
      </w:r>
      <w:r>
        <w:rPr>
          <w:rFonts w:ascii="Arial" w:eastAsia="Arial" w:hAnsi="Arial" w:cs="Arial"/>
          <w:vertAlign w:val="superscript"/>
        </w:rPr>
        <w:footnoteReference w:customMarkFollows="1" w:id="377"/>
        <w:t>52</w:t>
      </w:r>
      <w:r>
        <w:rPr>
          <w:rFonts w:ascii="Arial" w:eastAsia="Arial" w:hAnsi="Arial" w:cs="Arial"/>
          <w:color w:val="000000"/>
          <w:sz w:val="20"/>
        </w:rPr>
        <w:t xml:space="preserve"> In </w:t>
      </w:r>
      <w:r>
        <w:rPr>
          <w:rFonts w:ascii="Arial" w:eastAsia="Arial" w:hAnsi="Arial" w:cs="Arial"/>
          <w:i/>
          <w:color w:val="000000"/>
          <w:sz w:val="20"/>
        </w:rPr>
        <w:t>Grubb</w:t>
      </w:r>
      <w:r>
        <w:rPr>
          <w:rFonts w:ascii="Arial" w:eastAsia="Arial" w:hAnsi="Arial" w:cs="Arial"/>
          <w:color w:val="000000"/>
          <w:sz w:val="20"/>
        </w:rPr>
        <w:t>, a flight instructor sued an airline under the ADA after it terminated him because he repeatedly fell asleep at work.</w:t>
      </w:r>
      <w:r>
        <w:rPr>
          <w:rFonts w:ascii="Arial" w:eastAsia="Arial" w:hAnsi="Arial" w:cs="Arial"/>
          <w:vertAlign w:val="superscript"/>
        </w:rPr>
        <w:footnoteReference w:customMarkFollows="1" w:id="378"/>
        <w:t>53</w:t>
      </w:r>
      <w:r>
        <w:rPr>
          <w:rFonts w:ascii="Arial" w:eastAsia="Arial" w:hAnsi="Arial" w:cs="Arial"/>
          <w:color w:val="000000"/>
          <w:sz w:val="20"/>
        </w:rPr>
        <w:t xml:space="preserve"> But we held that the instructor was not a "qualified individual" under the ADA due to his sleep apnea because being conscious and alert was a basic element of his job performance.</w:t>
      </w:r>
      <w:r>
        <w:rPr>
          <w:rFonts w:ascii="Arial" w:eastAsia="Arial" w:hAnsi="Arial" w:cs="Arial"/>
          <w:vertAlign w:val="superscript"/>
        </w:rPr>
        <w:footnoteReference w:customMarkFollows="1" w:id="379"/>
        <w:t>54</w:t>
      </w:r>
      <w:r>
        <w:rPr>
          <w:rFonts w:ascii="Arial" w:eastAsia="Arial" w:hAnsi="Arial" w:cs="Arial"/>
          <w:color w:val="000000"/>
          <w:sz w:val="20"/>
        </w:rPr>
        <w:t xml:space="preserve"> Like the ground-based flight instructor in </w:t>
      </w:r>
      <w:r>
        <w:rPr>
          <w:rFonts w:ascii="Arial" w:eastAsia="Arial" w:hAnsi="Arial" w:cs="Arial"/>
          <w:i/>
          <w:color w:val="000000"/>
          <w:sz w:val="20"/>
        </w:rPr>
        <w:t>Grubb</w:t>
      </w:r>
      <w:r>
        <w:rPr>
          <w:rFonts w:ascii="Arial" w:eastAsia="Arial" w:hAnsi="Arial" w:cs="Arial"/>
          <w:color w:val="000000"/>
          <w:sz w:val="20"/>
        </w:rPr>
        <w:t xml:space="preserve">, Clark was responsible for training. Although Champion doesn't allege Clark fell asleep </w:t>
      </w:r>
      <w:r>
        <w:rPr>
          <w:rFonts w:ascii="Arial" w:eastAsia="Arial" w:hAnsi="Arial" w:cs="Arial"/>
          <w:i/>
          <w:color w:val="000000"/>
          <w:sz w:val="20"/>
        </w:rPr>
        <w:t>during</w:t>
      </w:r>
      <w:r>
        <w:rPr>
          <w:rFonts w:ascii="Arial" w:eastAsia="Arial" w:hAnsi="Arial" w:cs="Arial"/>
          <w:color w:val="000000"/>
          <w:sz w:val="20"/>
        </w:rPr>
        <w:t xml:space="preserve"> training, he certainly wasn't able to train—or complete any other essential functions of his job—without being awake. So Clark failed [**17]  to prove that he could perform the essential functions of his job in spite of his disability.</w:t>
      </w:r>
    </w:p>
    <w:p w14:paraId="68321E7A" w14:textId="77777777" w:rsidR="002B10A6" w:rsidRDefault="00000000">
      <w:pPr>
        <w:pStyle w:val="Normal40"/>
        <w:widowControl w:val="0"/>
        <w:spacing w:before="200" w:line="260" w:lineRule="atLeast"/>
        <w:jc w:val="both"/>
      </w:pPr>
      <w:bookmarkStart w:id="7380" w:name="Bookmark_para_33_19"/>
      <w:bookmarkStart w:id="7381" w:name="Bookmark_I5YMK1R72N1RVX0030000400"/>
      <w:bookmarkEnd w:id="7380"/>
      <w:bookmarkEnd w:id="7381"/>
      <w:r>
        <w:rPr>
          <w:rFonts w:ascii="Arial" w:eastAsia="Arial" w:hAnsi="Arial" w:cs="Arial"/>
          <w:color w:val="000000"/>
          <w:sz w:val="20"/>
        </w:rPr>
        <w:t>Clark also fails to show that a reasonable accommodation would have allowed him to perform his job. Clark requested—and was granted—multiple accommodations related to his diabetes, including a refrigerator to store insulin and time off for doctor appointments. But he did not request an accommodation for loss of consciousness due to diabetes.</w:t>
      </w:r>
      <w:r>
        <w:rPr>
          <w:rFonts w:ascii="Arial" w:eastAsia="Arial" w:hAnsi="Arial" w:cs="Arial"/>
          <w:vertAlign w:val="superscript"/>
        </w:rPr>
        <w:footnoteReference w:customMarkFollows="1" w:id="380"/>
        <w:t>55</w:t>
      </w:r>
      <w:r>
        <w:rPr>
          <w:rFonts w:ascii="Arial" w:eastAsia="Arial" w:hAnsi="Arial" w:cs="Arial"/>
          <w:color w:val="000000"/>
          <w:sz w:val="20"/>
        </w:rPr>
        <w:t xml:space="preserve"> And Clark still has not identified any accommodation that would have allowed him to perform his job while suffering from diabetes-induced amnesia and unconsciousness—probably because interviewing, hiring, training, disciplining, and terminating security guards requires him to be awake. Thus, Clark has failed to prove that, at the time of his termination, he could perform the essential functions of his job—with or without accommodation. So we affirm the district court's finding that Clark was not a "qualified individual."</w:t>
      </w:r>
    </w:p>
    <w:p w14:paraId="65C8242E" w14:textId="77777777" w:rsidR="002B10A6" w:rsidRDefault="00000000">
      <w:pPr>
        <w:pStyle w:val="Normal40"/>
        <w:widowControl w:val="0"/>
        <w:spacing w:before="240" w:line="260" w:lineRule="atLeast"/>
      </w:pPr>
      <w:r>
        <w:br/>
      </w:r>
      <w:r>
        <w:rPr>
          <w:rFonts w:ascii="Arial" w:eastAsia="Arial" w:hAnsi="Arial" w:cs="Arial"/>
          <w:b/>
          <w:color w:val="000000"/>
          <w:sz w:val="20"/>
        </w:rPr>
        <w:t>C. Disability-based Harassment</w:t>
      </w:r>
    </w:p>
    <w:p w14:paraId="4A20EE33" w14:textId="77777777" w:rsidR="002B10A6" w:rsidRDefault="00000000">
      <w:pPr>
        <w:pStyle w:val="Normal40"/>
        <w:widowControl w:val="0"/>
        <w:spacing w:before="200" w:line="260" w:lineRule="atLeast"/>
        <w:jc w:val="both"/>
      </w:pPr>
      <w:bookmarkStart w:id="7384" w:name="Bookmark_para_34_18"/>
      <w:bookmarkEnd w:id="7384"/>
      <w:r>
        <w:rPr>
          <w:rFonts w:ascii="Arial" w:eastAsia="Arial" w:hAnsi="Arial" w:cs="Arial"/>
          <w:color w:val="000000"/>
          <w:sz w:val="20"/>
        </w:rPr>
        <w:t>The next issue is whether the district court erred in finding that Clark's "disability harassment claim fails to meet the standards imposed by the Fifth Circuit." Clark argues that [**18]  he was subjected to "a long and ongoing pattern of harassment" due to "conditions arising from his diabetes." Specifically, Clark asserts that he developed eczema and dry skin because of his diabetes, which prevented him from following Champion's policy requiring employees to maintain clean-shaven faces. Clark alleges that Champion denied him part of a raise because of this inability to shave. And Clark alleges that, due to surgery on his left shoulder, he was unable to  [*585]  follow Champion's dress code requiring that employees tuck in their shirts. Clark claims that he was subjected to continuing ridicule relating to these dress code and grooming requirements.</w:t>
      </w:r>
    </w:p>
    <w:p w14:paraId="6C5EED2C" w14:textId="77777777" w:rsidR="002B10A6" w:rsidRDefault="00000000">
      <w:pPr>
        <w:pStyle w:val="Normal40"/>
        <w:widowControl w:val="0"/>
        <w:spacing w:before="200" w:line="260" w:lineRule="atLeast"/>
        <w:jc w:val="both"/>
      </w:pPr>
      <w:bookmarkStart w:id="7385" w:name="Bookmark_para_35_18"/>
      <w:bookmarkStart w:id="7386" w:name="Bookmark_I5YMK1R72N1RVX0050000400"/>
      <w:bookmarkEnd w:id="7385"/>
      <w:bookmarkEnd w:id="7386"/>
      <w:r>
        <w:rPr>
          <w:rFonts w:ascii="Arial" w:eastAsia="Arial" w:hAnsi="Arial" w:cs="Arial"/>
          <w:color w:val="000000"/>
          <w:sz w:val="20"/>
        </w:rPr>
        <w:t>To prevail on a claim of disability-based harassment, "the plaintiff must prove: (1) that she belongs to a protected group; (2) that she was subjected to unwelcome harassment; (3) that the harassment complained of was based on her disability or disabilities; (4) that the harassment complained of affected a term, condition, or privilege of employment; and (5) that the employer knew or should have known of the harassment and failed to take prompt, remedial action."</w:t>
      </w:r>
      <w:r>
        <w:rPr>
          <w:rFonts w:ascii="Arial" w:eastAsia="Arial" w:hAnsi="Arial" w:cs="Arial"/>
          <w:vertAlign w:val="superscript"/>
        </w:rPr>
        <w:footnoteReference w:customMarkFollows="1" w:id="381"/>
        <w:t>56</w:t>
      </w:r>
      <w:r>
        <w:rPr>
          <w:rFonts w:ascii="Arial" w:eastAsia="Arial" w:hAnsi="Arial" w:cs="Arial"/>
          <w:color w:val="000000"/>
          <w:sz w:val="20"/>
        </w:rPr>
        <w:t xml:space="preserve"> The parties don't dispute that Clark belongs to a protected group. So [**19]  we assume for argument's sake that he does.</w:t>
      </w:r>
    </w:p>
    <w:p w14:paraId="10BD983D" w14:textId="77777777" w:rsidR="002B10A6" w:rsidRDefault="00000000">
      <w:pPr>
        <w:pStyle w:val="Normal40"/>
        <w:widowControl w:val="0"/>
        <w:spacing w:before="200" w:line="260" w:lineRule="atLeast"/>
        <w:jc w:val="both"/>
      </w:pPr>
      <w:bookmarkStart w:id="7389" w:name="Bookmark_para_36_18"/>
      <w:bookmarkStart w:id="7390" w:name="Bookmark_I5YMK1R82D6N980020000400"/>
      <w:bookmarkStart w:id="7391" w:name="Bookmark_I5YMK1R82HM6880010000400"/>
      <w:bookmarkEnd w:id="7389"/>
      <w:bookmarkEnd w:id="7390"/>
      <w:bookmarkEnd w:id="7391"/>
      <w:r>
        <w:rPr>
          <w:rFonts w:ascii="Arial" w:eastAsia="Arial" w:hAnsi="Arial" w:cs="Arial"/>
          <w:color w:val="000000"/>
          <w:sz w:val="20"/>
        </w:rPr>
        <w:t>Importantly, the disability-based "harassment must be sufficiently pervasive or severe to alter the conditions of employment and create an abusive working environment."</w:t>
      </w:r>
      <w:r>
        <w:rPr>
          <w:rFonts w:ascii="Arial" w:eastAsia="Arial" w:hAnsi="Arial" w:cs="Arial"/>
          <w:vertAlign w:val="superscript"/>
        </w:rPr>
        <w:footnoteReference w:customMarkFollows="1" w:id="382"/>
        <w:t>57</w:t>
      </w:r>
      <w:r>
        <w:rPr>
          <w:rFonts w:ascii="Arial" w:eastAsia="Arial" w:hAnsi="Arial" w:cs="Arial"/>
          <w:color w:val="000000"/>
          <w:sz w:val="20"/>
        </w:rPr>
        <w:t xml:space="preserve"> "In determining whether a work environment is abusive, we consider the entirety of the evidence in the record, including 'the frequency of the discriminatory conduct, its severity, whether it is physically threatening or humiliating, or a mere offensive utterance, and whether it unreasonably interferes with an employee's work performance.'"</w:t>
      </w:r>
      <w:r>
        <w:rPr>
          <w:rFonts w:ascii="Arial" w:eastAsia="Arial" w:hAnsi="Arial" w:cs="Arial"/>
          <w:vertAlign w:val="superscript"/>
        </w:rPr>
        <w:footnoteReference w:customMarkFollows="1" w:id="383"/>
        <w:t>58</w:t>
      </w:r>
    </w:p>
    <w:p w14:paraId="54861B53" w14:textId="77777777" w:rsidR="002B10A6" w:rsidRDefault="00000000">
      <w:pPr>
        <w:pStyle w:val="Normal40"/>
        <w:widowControl w:val="0"/>
        <w:spacing w:before="200" w:line="260" w:lineRule="atLeast"/>
        <w:jc w:val="both"/>
      </w:pPr>
      <w:bookmarkStart w:id="7397" w:name="Bookmark_para_37_17"/>
      <w:bookmarkStart w:id="7398" w:name="Bookmark_I5YMK1R82HM6880050000400"/>
      <w:bookmarkEnd w:id="7397"/>
      <w:bookmarkEnd w:id="7398"/>
      <w:r>
        <w:rPr>
          <w:rFonts w:ascii="Arial" w:eastAsia="Arial" w:hAnsi="Arial" w:cs="Arial"/>
          <w:color w:val="000000"/>
          <w:sz w:val="20"/>
        </w:rPr>
        <w:t xml:space="preserve">Here, Clark's disability-based harassment claim is based upon a disagreement with Champion regarding his compliance with the company's dress and grooming policy. </w:t>
      </w:r>
      <w:bookmarkStart w:id="7399" w:name="Bookmark_I5YMK1R82SF8T60020000400"/>
      <w:bookmarkStart w:id="7400" w:name="Bookmark_I5YMK1R82D6N990010000400"/>
      <w:bookmarkEnd w:id="7399"/>
      <w:bookmarkEnd w:id="7400"/>
      <w:r>
        <w:rPr>
          <w:rFonts w:ascii="Arial" w:eastAsia="Arial" w:hAnsi="Arial" w:cs="Arial"/>
          <w:color w:val="000000"/>
          <w:sz w:val="20"/>
        </w:rPr>
        <w:t xml:space="preserve">In support of Clark's allegations, he described a series of emails with Champion. </w:t>
      </w:r>
      <w:bookmarkStart w:id="7401" w:name="Bookmark_I746KS7G4FJ00009YN000013"/>
      <w:bookmarkStart w:id="7402" w:name="Bookmark_I5YMK1R82HM6880030000400"/>
      <w:bookmarkStart w:id="7403" w:name="Bookmark_I5YMK1R82D6N990010000400_2"/>
      <w:bookmarkStart w:id="7404" w:name="Bookmark_I5YMK1R82SF8T60020000400_2"/>
      <w:bookmarkStart w:id="7405" w:name="Bookmark_I5YMK1R82HM6880050000400_2"/>
      <w:bookmarkEnd w:id="7401"/>
      <w:bookmarkEnd w:id="7402"/>
      <w:bookmarkEnd w:id="7403"/>
      <w:bookmarkEnd w:id="7404"/>
      <w:bookmarkEnd w:id="7405"/>
      <w:r>
        <w:rPr>
          <w:rFonts w:ascii="Arial" w:eastAsia="Arial" w:hAnsi="Arial" w:cs="Arial"/>
          <w:color w:val="000000"/>
          <w:sz w:val="20"/>
        </w:rPr>
        <w:t>These emails capture a disagreement between Clark and Champion regarding terms of employment and accommodations.</w:t>
      </w:r>
      <w:r>
        <w:rPr>
          <w:rFonts w:ascii="Arial" w:eastAsia="Arial" w:hAnsi="Arial" w:cs="Arial"/>
          <w:vertAlign w:val="superscript"/>
        </w:rPr>
        <w:footnoteReference w:customMarkFollows="1" w:id="384"/>
        <w:t>59</w:t>
      </w:r>
      <w:r>
        <w:rPr>
          <w:rFonts w:ascii="Arial" w:eastAsia="Arial" w:hAnsi="Arial" w:cs="Arial"/>
          <w:color w:val="000000"/>
          <w:sz w:val="20"/>
        </w:rPr>
        <w:t xml:space="preserve"> And we held in </w:t>
      </w:r>
      <w:r>
        <w:rPr>
          <w:rFonts w:ascii="Arial" w:eastAsia="Arial" w:hAnsi="Arial" w:cs="Arial"/>
          <w:i/>
          <w:color w:val="000000"/>
          <w:sz w:val="20"/>
        </w:rPr>
        <w:t>Credeur</w:t>
      </w:r>
      <w:r>
        <w:rPr>
          <w:rFonts w:ascii="Arial" w:eastAsia="Arial" w:hAnsi="Arial" w:cs="Arial"/>
          <w:color w:val="000000"/>
          <w:sz w:val="20"/>
        </w:rPr>
        <w:t xml:space="preserve"> that a disagreement with an employer over terms of employment or an accommodation do not amount to harassment.</w:t>
      </w:r>
      <w:r>
        <w:rPr>
          <w:rFonts w:ascii="Arial" w:eastAsia="Arial" w:hAnsi="Arial" w:cs="Arial"/>
          <w:vertAlign w:val="superscript"/>
        </w:rPr>
        <w:footnoteReference w:customMarkFollows="1" w:id="385"/>
        <w:t>60</w:t>
      </w:r>
      <w:r>
        <w:rPr>
          <w:rFonts w:ascii="Arial" w:eastAsia="Arial" w:hAnsi="Arial" w:cs="Arial"/>
          <w:color w:val="000000"/>
          <w:sz w:val="20"/>
        </w:rPr>
        <w:t xml:space="preserve"> In fact, we contrasted the employee-plaintiff's claims in </w:t>
      </w:r>
      <w:r>
        <w:rPr>
          <w:rFonts w:ascii="Arial" w:eastAsia="Arial" w:hAnsi="Arial" w:cs="Arial"/>
          <w:i/>
          <w:color w:val="000000"/>
          <w:sz w:val="20"/>
        </w:rPr>
        <w:t>Credeur</w:t>
      </w:r>
      <w:r>
        <w:rPr>
          <w:rFonts w:ascii="Arial" w:eastAsia="Arial" w:hAnsi="Arial" w:cs="Arial"/>
          <w:color w:val="000000"/>
          <w:sz w:val="20"/>
        </w:rPr>
        <w:t xml:space="preserve"> to those of the employee-plaintiff in </w:t>
      </w:r>
      <w:r>
        <w:rPr>
          <w:rFonts w:ascii="Arial" w:eastAsia="Arial" w:hAnsi="Arial" w:cs="Arial"/>
          <w:i/>
          <w:color w:val="000000"/>
          <w:sz w:val="20"/>
        </w:rPr>
        <w:t>Flowers</w:t>
      </w:r>
      <w:r>
        <w:rPr>
          <w:rFonts w:ascii="Arial" w:eastAsia="Arial" w:hAnsi="Arial" w:cs="Arial"/>
          <w:color w:val="000000"/>
          <w:sz w:val="20"/>
        </w:rPr>
        <w:t xml:space="preserve">, where the alleged harassment included [**20]  "humiliating and offensive </w:t>
      </w:r>
      <w:r>
        <w:rPr>
          <w:rFonts w:ascii="Arial" w:eastAsia="Arial" w:hAnsi="Arial" w:cs="Arial"/>
          <w:i/>
          <w:color w:val="000000"/>
          <w:sz w:val="20"/>
        </w:rPr>
        <w:t>ad hominem</w:t>
      </w:r>
      <w:r>
        <w:rPr>
          <w:rFonts w:ascii="Arial" w:eastAsia="Arial" w:hAnsi="Arial" w:cs="Arial"/>
          <w:color w:val="000000"/>
          <w:sz w:val="20"/>
        </w:rPr>
        <w:t xml:space="preserve"> attacks that had no rational relation to Flowers's work performance. The conduct Credeur identifies is not at all analogous."</w:t>
      </w:r>
      <w:r>
        <w:rPr>
          <w:rFonts w:ascii="Arial" w:eastAsia="Arial" w:hAnsi="Arial" w:cs="Arial"/>
          <w:vertAlign w:val="superscript"/>
        </w:rPr>
        <w:footnoteReference w:customMarkFollows="1" w:id="386"/>
        <w:t>61</w:t>
      </w:r>
      <w:r>
        <w:rPr>
          <w:rFonts w:ascii="Arial" w:eastAsia="Arial" w:hAnsi="Arial" w:cs="Arial"/>
          <w:color w:val="000000"/>
          <w:sz w:val="20"/>
        </w:rPr>
        <w:t xml:space="preserve"> Notably, Clark  [*586]  does not allege any </w:t>
      </w:r>
      <w:r>
        <w:rPr>
          <w:rFonts w:ascii="Arial" w:eastAsia="Arial" w:hAnsi="Arial" w:cs="Arial"/>
          <w:i/>
          <w:color w:val="000000"/>
          <w:sz w:val="20"/>
        </w:rPr>
        <w:t>ad hominem</w:t>
      </w:r>
      <w:r>
        <w:rPr>
          <w:rFonts w:ascii="Arial" w:eastAsia="Arial" w:hAnsi="Arial" w:cs="Arial"/>
          <w:color w:val="000000"/>
          <w:sz w:val="20"/>
        </w:rPr>
        <w:t xml:space="preserve"> attacks, teasing, physical or verbal threats, or inappropriate language. Clark's allegations are like those in </w:t>
      </w:r>
      <w:r>
        <w:rPr>
          <w:rFonts w:ascii="Arial" w:eastAsia="Arial" w:hAnsi="Arial" w:cs="Arial"/>
          <w:i/>
          <w:color w:val="000000"/>
          <w:sz w:val="20"/>
        </w:rPr>
        <w:t>Credeur</w:t>
      </w:r>
      <w:r>
        <w:rPr>
          <w:rFonts w:ascii="Arial" w:eastAsia="Arial" w:hAnsi="Arial" w:cs="Arial"/>
          <w:color w:val="000000"/>
          <w:sz w:val="20"/>
        </w:rPr>
        <w:t xml:space="preserve">, not </w:t>
      </w:r>
      <w:bookmarkStart w:id="7413" w:name="Bookmark_I5YMK1R82HM6880030000400_2"/>
      <w:bookmarkStart w:id="7414" w:name="Bookmark_I5YMK1R82HM6880020000400"/>
      <w:bookmarkEnd w:id="7413"/>
      <w:bookmarkEnd w:id="7414"/>
      <w:r>
        <w:rPr>
          <w:rFonts w:ascii="Arial" w:eastAsia="Arial" w:hAnsi="Arial" w:cs="Arial"/>
          <w:i/>
          <w:color w:val="000000"/>
          <w:sz w:val="20"/>
        </w:rPr>
        <w:t>Flowers</w:t>
      </w:r>
      <w:r>
        <w:rPr>
          <w:rFonts w:ascii="Arial" w:eastAsia="Arial" w:hAnsi="Arial" w:cs="Arial"/>
          <w:color w:val="000000"/>
          <w:sz w:val="20"/>
        </w:rPr>
        <w:t>. Even assuming that the alleged harassment was based on Clark's disability, it was not severe or pervasive and did not create an abusive working environment. So Clark's disability-based harassment claim is unavailing.</w:t>
      </w:r>
    </w:p>
    <w:p w14:paraId="37D31DB6" w14:textId="77777777" w:rsidR="002B10A6" w:rsidRDefault="00000000">
      <w:pPr>
        <w:pStyle w:val="Normal40"/>
        <w:widowControl w:val="0"/>
        <w:spacing w:before="200" w:line="260" w:lineRule="atLeast"/>
        <w:jc w:val="both"/>
      </w:pPr>
      <w:bookmarkStart w:id="7415" w:name="Bookmark_para_38_14"/>
      <w:bookmarkStart w:id="7416" w:name="Bookmark_I5YMK1R82D6N990030000400"/>
      <w:bookmarkStart w:id="7417" w:name="Bookmark_I5YMK1R92D6N9D0010000400"/>
      <w:bookmarkEnd w:id="7415"/>
      <w:bookmarkEnd w:id="7416"/>
      <w:bookmarkEnd w:id="7417"/>
      <w:r>
        <w:rPr>
          <w:rFonts w:ascii="Arial" w:eastAsia="Arial" w:hAnsi="Arial" w:cs="Arial"/>
          <w:color w:val="000000"/>
          <w:sz w:val="20"/>
        </w:rPr>
        <w:t>But the district court found another reason why Clark's claim fails:</w:t>
      </w:r>
      <w:r>
        <w:rPr>
          <w:rFonts w:ascii="Arial" w:eastAsia="Arial" w:hAnsi="Arial" w:cs="Arial"/>
          <w:vertAlign w:val="superscript"/>
        </w:rPr>
        <w:footnoteReference w:customMarkFollows="1" w:id="387"/>
        <w:t>62</w:t>
      </w:r>
      <w:r>
        <w:rPr>
          <w:rFonts w:ascii="Arial" w:eastAsia="Arial" w:hAnsi="Arial" w:cs="Arial"/>
          <w:color w:val="000000"/>
          <w:sz w:val="20"/>
        </w:rPr>
        <w:t xml:space="preserve"> Clark failed to satisfy prong three—that is, he didn't show that the harassment was based on his disability. The doctor's letter excusing Clark from shaving mentions "eczema and dry skin"—not diabetes.</w:t>
      </w:r>
      <w:r>
        <w:rPr>
          <w:rFonts w:ascii="Arial" w:eastAsia="Arial" w:hAnsi="Arial" w:cs="Arial"/>
          <w:vertAlign w:val="superscript"/>
        </w:rPr>
        <w:footnoteReference w:customMarkFollows="1" w:id="388"/>
        <w:t>63</w:t>
      </w:r>
      <w:r>
        <w:rPr>
          <w:rFonts w:ascii="Arial" w:eastAsia="Arial" w:hAnsi="Arial" w:cs="Arial"/>
          <w:color w:val="000000"/>
          <w:sz w:val="20"/>
        </w:rPr>
        <w:t xml:space="preserve"> The only evidence Clark provided to connect the alleged harassment to his diabetes is his own conclusory assertion that his diabetes contributes to his skin condition, and thus his inability to shave. That is not enough.</w:t>
      </w:r>
      <w:r>
        <w:rPr>
          <w:rFonts w:ascii="Arial" w:eastAsia="Arial" w:hAnsi="Arial" w:cs="Arial"/>
          <w:vertAlign w:val="superscript"/>
        </w:rPr>
        <w:footnoteReference w:customMarkFollows="1" w:id="389"/>
        <w:t>64</w:t>
      </w:r>
      <w:r>
        <w:rPr>
          <w:rFonts w:ascii="Arial" w:eastAsia="Arial" w:hAnsi="Arial" w:cs="Arial"/>
          <w:color w:val="000000"/>
          <w:sz w:val="20"/>
        </w:rPr>
        <w:t xml:space="preserve"> So any alleged harassment is not based on Clark's diabetic condition.</w:t>
      </w:r>
    </w:p>
    <w:p w14:paraId="3927B1CC" w14:textId="77777777" w:rsidR="002B10A6" w:rsidRDefault="00000000">
      <w:pPr>
        <w:pStyle w:val="Normal40"/>
        <w:widowControl w:val="0"/>
        <w:spacing w:before="200" w:line="260" w:lineRule="atLeast"/>
        <w:jc w:val="both"/>
      </w:pPr>
      <w:bookmarkStart w:id="7429" w:name="Bookmark_para_39_14"/>
      <w:bookmarkEnd w:id="7429"/>
      <w:r>
        <w:rPr>
          <w:rFonts w:ascii="Arial" w:eastAsia="Arial" w:hAnsi="Arial" w:cs="Arial"/>
          <w:color w:val="000000"/>
          <w:sz w:val="20"/>
        </w:rPr>
        <w:t>Likewise, the conduct complained of regarding Champion's dress code is based [**21]  upon Clark's alleged inability to tuck in his shirt due to surgery on his left shoulder, not diabetes. Yet Clark repeatedly stated in his deposition that diabetes is the only disability that is the basis for his lawsuit. In sum, Clark failed to sufficiently connect his harassment claims—based on his alleged inability to shave or tuck in his shirt—to his diabetes. So Clark failed to satisfy the third prong—that the alleged harassment was based on his disability. As such, we affirm the district court's finding on this issue.</w:t>
      </w:r>
      <w:r>
        <w:rPr>
          <w:rFonts w:ascii="Arial" w:eastAsia="Arial" w:hAnsi="Arial" w:cs="Arial"/>
          <w:vertAlign w:val="superscript"/>
        </w:rPr>
        <w:footnoteReference w:customMarkFollows="1" w:id="390"/>
        <w:t>65</w:t>
      </w:r>
    </w:p>
    <w:p w14:paraId="42DCC16A" w14:textId="77777777" w:rsidR="002B10A6" w:rsidRDefault="00000000">
      <w:pPr>
        <w:pStyle w:val="Normal40"/>
        <w:widowControl w:val="0"/>
        <w:spacing w:before="240" w:line="260" w:lineRule="atLeast"/>
      </w:pPr>
      <w:r>
        <w:br/>
      </w:r>
      <w:r>
        <w:rPr>
          <w:rFonts w:ascii="Arial" w:eastAsia="Arial" w:hAnsi="Arial" w:cs="Arial"/>
          <w:color w:val="000000"/>
          <w:sz w:val="20"/>
        </w:rPr>
        <w:t xml:space="preserve"> [*587]  </w:t>
      </w:r>
      <w:r>
        <w:rPr>
          <w:rFonts w:ascii="Arial" w:eastAsia="Arial" w:hAnsi="Arial" w:cs="Arial"/>
          <w:b/>
          <w:color w:val="000000"/>
          <w:sz w:val="20"/>
        </w:rPr>
        <w:t>D. Accommodations</w:t>
      </w:r>
    </w:p>
    <w:p w14:paraId="29F4E556" w14:textId="77777777" w:rsidR="002B10A6" w:rsidRDefault="00000000">
      <w:pPr>
        <w:pStyle w:val="Normal40"/>
        <w:widowControl w:val="0"/>
        <w:spacing w:before="200" w:line="260" w:lineRule="atLeast"/>
        <w:jc w:val="both"/>
      </w:pPr>
      <w:bookmarkStart w:id="7433" w:name="Bookmark_para_40_14"/>
      <w:bookmarkStart w:id="7434" w:name="Bookmark_I5YMK1RB2HM68G0010000400"/>
      <w:bookmarkStart w:id="7435" w:name="Bookmark_I5YMK1RB2HM68G0050000400"/>
      <w:bookmarkStart w:id="7436" w:name="Bookmark_I5YMK1RB28T49X0020000400"/>
      <w:bookmarkEnd w:id="7433"/>
      <w:bookmarkEnd w:id="7434"/>
      <w:bookmarkEnd w:id="7435"/>
      <w:bookmarkEnd w:id="7436"/>
      <w:r>
        <w:rPr>
          <w:rFonts w:ascii="Arial" w:eastAsia="Arial" w:hAnsi="Arial" w:cs="Arial"/>
          <w:color w:val="000000"/>
          <w:sz w:val="20"/>
        </w:rPr>
        <w:t>The next issue is whether the district court erred in finding no failure to accommodate Clark's disability and no failure to engage in an interactive process. "Under the ADA, it is unlawful for an employer to fail to accommodate the known limitations of an employee's disability."</w:t>
      </w:r>
      <w:r>
        <w:rPr>
          <w:rFonts w:ascii="Arial" w:eastAsia="Arial" w:hAnsi="Arial" w:cs="Arial"/>
          <w:vertAlign w:val="superscript"/>
        </w:rPr>
        <w:footnoteReference w:customMarkFollows="1" w:id="391"/>
        <w:t>66</w:t>
      </w:r>
      <w:r>
        <w:rPr>
          <w:rFonts w:ascii="Arial" w:eastAsia="Arial" w:hAnsi="Arial" w:cs="Arial"/>
          <w:color w:val="000000"/>
          <w:sz w:val="20"/>
        </w:rPr>
        <w:t xml:space="preserve"> Clark "must prove the following statutory elements to prevail in [his] failure-to-accommodate claim: (1) [he] is a qualified individual with a disability; (2) the disability and its consequential limitations were known by the covered employer; and (3) the employer failed to make reasonable accommodations for such known limitations."</w:t>
      </w:r>
      <w:r>
        <w:rPr>
          <w:rFonts w:ascii="Arial" w:eastAsia="Arial" w:hAnsi="Arial" w:cs="Arial"/>
          <w:vertAlign w:val="superscript"/>
        </w:rPr>
        <w:footnoteReference w:customMarkFollows="1" w:id="392"/>
        <w:t>67</w:t>
      </w:r>
      <w:r>
        <w:rPr>
          <w:rFonts w:ascii="Arial" w:eastAsia="Arial" w:hAnsi="Arial" w:cs="Arial"/>
          <w:color w:val="000000"/>
          <w:sz w:val="20"/>
        </w:rPr>
        <w:t xml:space="preserve"> As explained in Part III.B, [**22]  Clark failed to show that he's a "qualified individual" under the ADA. That failure alone is fatal to his failure-to-accommodate claim.</w:t>
      </w:r>
      <w:r>
        <w:rPr>
          <w:rFonts w:ascii="Arial" w:eastAsia="Arial" w:hAnsi="Arial" w:cs="Arial"/>
          <w:vertAlign w:val="superscript"/>
        </w:rPr>
        <w:footnoteReference w:customMarkFollows="1" w:id="393"/>
        <w:t>68</w:t>
      </w:r>
    </w:p>
    <w:p w14:paraId="330EE850" w14:textId="77777777" w:rsidR="002B10A6" w:rsidRDefault="00000000">
      <w:pPr>
        <w:pStyle w:val="Normal40"/>
        <w:widowControl w:val="0"/>
        <w:spacing w:before="200" w:line="260" w:lineRule="atLeast"/>
        <w:jc w:val="both"/>
      </w:pPr>
      <w:bookmarkStart w:id="7444" w:name="Bookmark_para_41_14"/>
      <w:bookmarkEnd w:id="7444"/>
      <w:r>
        <w:rPr>
          <w:rFonts w:ascii="Arial" w:eastAsia="Arial" w:hAnsi="Arial" w:cs="Arial"/>
          <w:color w:val="000000"/>
          <w:sz w:val="20"/>
        </w:rPr>
        <w:t xml:space="preserve">Even if Clark was a "qualified individual," his failure-to-accommodate claim fails at a more fundamental level. </w:t>
      </w:r>
      <w:bookmarkStart w:id="7445" w:name="Bookmark_I5YMK1RB28T49X0040000400"/>
      <w:bookmarkStart w:id="7446" w:name="Bookmark_I5YMK1RB2N1RW70010000400"/>
      <w:bookmarkEnd w:id="7445"/>
      <w:bookmarkEnd w:id="7446"/>
      <w:r>
        <w:rPr>
          <w:rFonts w:ascii="Arial" w:eastAsia="Arial" w:hAnsi="Arial" w:cs="Arial"/>
          <w:color w:val="000000"/>
          <w:sz w:val="20"/>
        </w:rPr>
        <w:t>Clark devoted a mere two sentences to his argument on this issue.</w:t>
      </w:r>
      <w:r>
        <w:rPr>
          <w:rFonts w:ascii="Arial" w:eastAsia="Arial" w:hAnsi="Arial" w:cs="Arial"/>
          <w:vertAlign w:val="superscript"/>
        </w:rPr>
        <w:footnoteReference w:customMarkFollows="1" w:id="394"/>
        <w:t>69</w:t>
      </w:r>
      <w:r>
        <w:rPr>
          <w:rFonts w:ascii="Arial" w:eastAsia="Arial" w:hAnsi="Arial" w:cs="Arial"/>
          <w:color w:val="000000"/>
          <w:sz w:val="20"/>
        </w:rPr>
        <w:t xml:space="preserve"> As the district court noted, he "fails to pinpoint any request(s) that were not subsequently accommodated." Clark did not request an accommodation for loss of consciousness due to diabetes. Clark claims he "never had an opportunity to seek an accommodation or request the interactive process because he was fired while he was in the emergency room." This "argument" is more of an admission. Clark had ample opportunity—over a year, in fact—to request an accommodation.</w:t>
      </w:r>
      <w:r>
        <w:rPr>
          <w:rFonts w:ascii="Arial" w:eastAsia="Arial" w:hAnsi="Arial" w:cs="Arial"/>
          <w:vertAlign w:val="superscript"/>
        </w:rPr>
        <w:footnoteReference w:customMarkFollows="1" w:id="395"/>
        <w:t>70</w:t>
      </w:r>
      <w:r>
        <w:rPr>
          <w:rFonts w:ascii="Arial" w:eastAsia="Arial" w:hAnsi="Arial" w:cs="Arial"/>
          <w:color w:val="000000"/>
          <w:sz w:val="20"/>
        </w:rPr>
        <w:t xml:space="preserve"> "It is the plaintiff's burden to request reasonable accommodations."</w:t>
      </w:r>
      <w:r>
        <w:rPr>
          <w:rFonts w:ascii="Arial" w:eastAsia="Arial" w:hAnsi="Arial" w:cs="Arial"/>
          <w:vertAlign w:val="superscript"/>
        </w:rPr>
        <w:footnoteReference w:customMarkFollows="1" w:id="396"/>
        <w:t>71</w:t>
      </w:r>
      <w:r>
        <w:rPr>
          <w:rFonts w:ascii="Arial" w:eastAsia="Arial" w:hAnsi="Arial" w:cs="Arial"/>
          <w:color w:val="000000"/>
          <w:sz w:val="20"/>
        </w:rPr>
        <w:t xml:space="preserve"> Clark did not carry his burden. Regardless of the framing, Clark is really requesting an after-the-fact, retroactive exception to the alertness policy as an accommodation for his underlying disability—diabetes. But that is not an accommodation under the ADA.</w:t>
      </w:r>
      <w:r>
        <w:rPr>
          <w:rFonts w:ascii="Arial" w:eastAsia="Arial" w:hAnsi="Arial" w:cs="Arial"/>
          <w:vertAlign w:val="superscript"/>
        </w:rPr>
        <w:footnoteReference w:customMarkFollows="1" w:id="397"/>
        <w:t>72</w:t>
      </w:r>
    </w:p>
    <w:p w14:paraId="5DF31742" w14:textId="77777777" w:rsidR="002B10A6" w:rsidRDefault="00000000">
      <w:pPr>
        <w:pStyle w:val="Normal40"/>
        <w:widowControl w:val="0"/>
        <w:spacing w:before="200" w:line="260" w:lineRule="atLeast"/>
        <w:jc w:val="both"/>
      </w:pPr>
      <w:bookmarkStart w:id="7459" w:name="Bookmark_para_42_13"/>
      <w:bookmarkStart w:id="7460" w:name="Bookmark_I5YMK1RC2SF8TJ0010000400"/>
      <w:bookmarkEnd w:id="7459"/>
      <w:bookmarkEnd w:id="7460"/>
      <w:r>
        <w:rPr>
          <w:rFonts w:ascii="Arial" w:eastAsia="Arial" w:hAnsi="Arial" w:cs="Arial"/>
          <w:color w:val="000000"/>
          <w:sz w:val="20"/>
        </w:rPr>
        <w:t> [*588]  Clark's failure to request an accommodation means that his failure-to [**23]  engage-in-the-interactive-process claim is dead on arrival: Without a request, Champion could not possibly fail to engage in an interactive process.</w:t>
      </w:r>
      <w:r>
        <w:rPr>
          <w:rFonts w:ascii="Arial" w:eastAsia="Arial" w:hAnsi="Arial" w:cs="Arial"/>
          <w:vertAlign w:val="superscript"/>
        </w:rPr>
        <w:footnoteReference w:customMarkFollows="1" w:id="398"/>
        <w:t>73</w:t>
      </w:r>
      <w:r>
        <w:rPr>
          <w:rFonts w:ascii="Arial" w:eastAsia="Arial" w:hAnsi="Arial" w:cs="Arial"/>
          <w:color w:val="000000"/>
          <w:sz w:val="20"/>
        </w:rPr>
        <w:t xml:space="preserve"> As such, we affirm the district court's findings regarding Clark's failure-to-accommodate and failure-to-engage-in-the-interactive-process claims.</w:t>
      </w:r>
    </w:p>
    <w:p w14:paraId="51D022C8" w14:textId="77777777" w:rsidR="002B10A6" w:rsidRDefault="00000000">
      <w:pPr>
        <w:pStyle w:val="Normal40"/>
        <w:widowControl w:val="0"/>
        <w:spacing w:before="240" w:line="260" w:lineRule="atLeast"/>
      </w:pPr>
      <w:r>
        <w:br/>
      </w:r>
      <w:r>
        <w:rPr>
          <w:rFonts w:ascii="Arial" w:eastAsia="Arial" w:hAnsi="Arial" w:cs="Arial"/>
          <w:b/>
          <w:color w:val="000000"/>
          <w:sz w:val="20"/>
        </w:rPr>
        <w:t>E. Retaliation</w:t>
      </w:r>
    </w:p>
    <w:p w14:paraId="38D32A66" w14:textId="77777777" w:rsidR="002B10A6" w:rsidRDefault="00000000">
      <w:pPr>
        <w:pStyle w:val="Normal40"/>
        <w:widowControl w:val="0"/>
        <w:spacing w:before="200" w:line="260" w:lineRule="atLeast"/>
        <w:jc w:val="both"/>
      </w:pPr>
      <w:bookmarkStart w:id="7464" w:name="Bookmark_para_43_12"/>
      <w:bookmarkStart w:id="7465" w:name="Bookmark_I5YMK1RC2SF8TJ0050000400"/>
      <w:bookmarkStart w:id="7466" w:name="Bookmark_I746KS7CHPD00009YN00000C"/>
      <w:bookmarkStart w:id="7467" w:name="Bookmark_I746KS7CNMX00009YN00000D"/>
      <w:bookmarkStart w:id="7468" w:name="Bookmark_I5YMK1RC2SF8TM0020000400"/>
      <w:bookmarkStart w:id="7469" w:name="Bookmark_I5YMK1RD2HM68S0030000400"/>
      <w:bookmarkEnd w:id="7464"/>
      <w:bookmarkEnd w:id="7465"/>
      <w:bookmarkEnd w:id="7466"/>
      <w:bookmarkEnd w:id="7467"/>
      <w:bookmarkEnd w:id="7468"/>
      <w:bookmarkEnd w:id="7469"/>
      <w:r>
        <w:rPr>
          <w:rFonts w:ascii="Arial" w:eastAsia="Arial" w:hAnsi="Arial" w:cs="Arial"/>
          <w:color w:val="000000"/>
          <w:sz w:val="20"/>
        </w:rPr>
        <w:t>The next issue is whether the district court erred in finding that Clark failed to present sufficient evidence to support his retaliation claim.</w:t>
      </w:r>
      <w:r>
        <w:rPr>
          <w:rFonts w:ascii="Arial" w:eastAsia="Arial" w:hAnsi="Arial" w:cs="Arial"/>
          <w:vertAlign w:val="superscript"/>
        </w:rPr>
        <w:footnoteReference w:customMarkFollows="1" w:id="399"/>
        <w:t>74</w:t>
      </w:r>
      <w:r>
        <w:rPr>
          <w:rFonts w:ascii="Arial" w:eastAsia="Arial" w:hAnsi="Arial" w:cs="Arial"/>
          <w:color w:val="000000"/>
          <w:sz w:val="20"/>
        </w:rPr>
        <w:t xml:space="preserve"> </w:t>
      </w:r>
      <w:r>
        <w:rPr>
          <w:rFonts w:ascii="Arial" w:eastAsia="Arial" w:hAnsi="Arial" w:cs="Arial"/>
          <w:i/>
          <w:color w:val="000000"/>
          <w:sz w:val="20"/>
        </w:rPr>
        <w:t>McDonnell Douglas</w:t>
      </w:r>
      <w:r>
        <w:rPr>
          <w:rFonts w:ascii="Arial" w:eastAsia="Arial" w:hAnsi="Arial" w:cs="Arial"/>
          <w:color w:val="000000"/>
          <w:sz w:val="20"/>
        </w:rPr>
        <w:t xml:space="preserve"> provides the burden-shifting framework for claims of unlawful retaliation under the ADA.</w:t>
      </w:r>
      <w:r>
        <w:rPr>
          <w:rFonts w:ascii="Arial" w:eastAsia="Arial" w:hAnsi="Arial" w:cs="Arial"/>
          <w:vertAlign w:val="superscript"/>
        </w:rPr>
        <w:footnoteReference w:customMarkFollows="1" w:id="400"/>
        <w:t>75</w:t>
      </w:r>
      <w:r>
        <w:rPr>
          <w:rFonts w:ascii="Arial" w:eastAsia="Arial" w:hAnsi="Arial" w:cs="Arial"/>
          <w:color w:val="000000"/>
          <w:sz w:val="20"/>
        </w:rPr>
        <w:t xml:space="preserve"> "To show an unlawful retaliation, a plaintiff must establish a </w:t>
      </w:r>
      <w:r>
        <w:rPr>
          <w:rFonts w:ascii="Arial" w:eastAsia="Arial" w:hAnsi="Arial" w:cs="Arial"/>
          <w:i/>
          <w:color w:val="000000"/>
          <w:sz w:val="20"/>
        </w:rPr>
        <w:t>prima facie</w:t>
      </w:r>
      <w:r>
        <w:rPr>
          <w:rFonts w:ascii="Arial" w:eastAsia="Arial" w:hAnsi="Arial" w:cs="Arial"/>
          <w:color w:val="000000"/>
          <w:sz w:val="20"/>
        </w:rPr>
        <w:t xml:space="preserve"> case of (1) engagement in an activity protected by the ADA, (2) an adverse employment action, and (3) a causal connection between the protected act and the adverse action."</w:t>
      </w:r>
      <w:r>
        <w:rPr>
          <w:rFonts w:ascii="Arial" w:eastAsia="Arial" w:hAnsi="Arial" w:cs="Arial"/>
          <w:vertAlign w:val="superscript"/>
        </w:rPr>
        <w:footnoteReference w:customMarkFollows="1" w:id="401"/>
        <w:t>76</w:t>
      </w:r>
      <w:r>
        <w:rPr>
          <w:rFonts w:ascii="Arial" w:eastAsia="Arial" w:hAnsi="Arial" w:cs="Arial"/>
          <w:color w:val="000000"/>
          <w:sz w:val="20"/>
        </w:rPr>
        <w:t xml:space="preserve"> If "the plaintiff has established a </w:t>
      </w:r>
      <w:r>
        <w:rPr>
          <w:rFonts w:ascii="Arial" w:eastAsia="Arial" w:hAnsi="Arial" w:cs="Arial"/>
          <w:i/>
          <w:color w:val="000000"/>
          <w:sz w:val="20"/>
        </w:rPr>
        <w:t>prima facie</w:t>
      </w:r>
      <w:r>
        <w:rPr>
          <w:rFonts w:ascii="Arial" w:eastAsia="Arial" w:hAnsi="Arial" w:cs="Arial"/>
          <w:color w:val="000000"/>
          <w:sz w:val="20"/>
        </w:rPr>
        <w:t xml:space="preserve"> case, the defendant must come forward with a legitimate, non-discriminatory reason for the adverse employment action."</w:t>
      </w:r>
      <w:r>
        <w:rPr>
          <w:rFonts w:ascii="Arial" w:eastAsia="Arial" w:hAnsi="Arial" w:cs="Arial"/>
          <w:vertAlign w:val="superscript"/>
        </w:rPr>
        <w:footnoteReference w:customMarkFollows="1" w:id="402"/>
        <w:t>77</w:t>
      </w:r>
      <w:r>
        <w:rPr>
          <w:rFonts w:ascii="Arial" w:eastAsia="Arial" w:hAnsi="Arial" w:cs="Arial"/>
          <w:color w:val="000000"/>
          <w:sz w:val="20"/>
        </w:rPr>
        <w:t xml:space="preserve"> If the defendant does so, "the plaintiff must adduce sufficient evidence that the proffered reason is a pretext for retaliation. Ultimately, the employee must show that 'but for' the protected activity, the adverse [**24]  employment action would not have occurred."</w:t>
      </w:r>
      <w:r>
        <w:rPr>
          <w:rFonts w:ascii="Arial" w:eastAsia="Arial" w:hAnsi="Arial" w:cs="Arial"/>
          <w:vertAlign w:val="superscript"/>
        </w:rPr>
        <w:footnoteReference w:customMarkFollows="1" w:id="403"/>
        <w:t>78</w:t>
      </w:r>
    </w:p>
    <w:p w14:paraId="180E596F" w14:textId="77777777" w:rsidR="002B10A6" w:rsidRDefault="00000000">
      <w:pPr>
        <w:pStyle w:val="Normal40"/>
        <w:widowControl w:val="0"/>
        <w:spacing w:before="200" w:line="260" w:lineRule="atLeast"/>
        <w:jc w:val="both"/>
      </w:pPr>
      <w:bookmarkStart w:id="7481" w:name="Bookmark_para_44_12"/>
      <w:bookmarkEnd w:id="7481"/>
      <w:r>
        <w:rPr>
          <w:rFonts w:ascii="Arial" w:eastAsia="Arial" w:hAnsi="Arial" w:cs="Arial"/>
          <w:color w:val="000000"/>
          <w:sz w:val="20"/>
        </w:rPr>
        <w:t xml:space="preserve">Here, Clark asserts that he suffered retaliation—in the form of termination—after lodging an internal complaint alleging disability-based harassment. </w:t>
      </w:r>
      <w:bookmarkStart w:id="7482" w:name="Bookmark_I5YMK1RD2N1RWG0020000400"/>
      <w:bookmarkEnd w:id="7482"/>
      <w:r>
        <w:rPr>
          <w:rFonts w:ascii="Arial" w:eastAsia="Arial" w:hAnsi="Arial" w:cs="Arial"/>
          <w:color w:val="000000"/>
          <w:sz w:val="20"/>
        </w:rPr>
        <w:t>Clark easily satisfied prong two of the prima facie case: He suffered an adverse employment action when he was fired. But Clark runs into trouble with the rest of the test. Assuming that filing the complaint was protected activity, we agree with the district court that Clark failed to show a causal connection between his filing of the internal complaint and his termination. To establish this requisite causal link—prong three of the prima facie case—"the evidence must show that the employer's decision to terminate was based in part on  [*589]  knowledge of the employee's protected activity."</w:t>
      </w:r>
      <w:r>
        <w:rPr>
          <w:rFonts w:ascii="Arial" w:eastAsia="Arial" w:hAnsi="Arial" w:cs="Arial"/>
          <w:vertAlign w:val="superscript"/>
        </w:rPr>
        <w:footnoteReference w:customMarkFollows="1" w:id="404"/>
        <w:t>79</w:t>
      </w:r>
    </w:p>
    <w:p w14:paraId="7989AAA6" w14:textId="77777777" w:rsidR="002B10A6" w:rsidRDefault="00000000">
      <w:pPr>
        <w:pStyle w:val="Normal40"/>
        <w:widowControl w:val="0"/>
        <w:spacing w:before="200" w:line="260" w:lineRule="atLeast"/>
        <w:jc w:val="both"/>
      </w:pPr>
      <w:bookmarkStart w:id="7485" w:name="Bookmark_para_45_12"/>
      <w:bookmarkEnd w:id="7485"/>
      <w:r>
        <w:rPr>
          <w:rFonts w:ascii="Arial" w:eastAsia="Arial" w:hAnsi="Arial" w:cs="Arial"/>
          <w:color w:val="000000"/>
          <w:sz w:val="20"/>
        </w:rPr>
        <w:t>Clark attempts to buttress his retaliation claim with emails suggesting that certain superiors at Champion were eager to see Clark leave—voluntarily or involuntarily.</w:t>
      </w:r>
      <w:r>
        <w:rPr>
          <w:rFonts w:ascii="Arial" w:eastAsia="Arial" w:hAnsi="Arial" w:cs="Arial"/>
          <w:vertAlign w:val="superscript"/>
        </w:rPr>
        <w:footnoteReference w:customMarkFollows="1" w:id="405"/>
        <w:t>80</w:t>
      </w:r>
      <w:r>
        <w:rPr>
          <w:rFonts w:ascii="Arial" w:eastAsia="Arial" w:hAnsi="Arial" w:cs="Arial"/>
          <w:color w:val="000000"/>
          <w:sz w:val="20"/>
        </w:rPr>
        <w:t xml:space="preserve"> To be sure, these emails are not exonerating. But neither are they incriminating. </w:t>
      </w:r>
      <w:bookmarkStart w:id="7488" w:name="Bookmark_I5YMK1RD2N1RWG0040000400"/>
      <w:bookmarkStart w:id="7489" w:name="Bookmark_I5YMK1RD2N1RWJ0010000400"/>
      <w:bookmarkEnd w:id="7488"/>
      <w:bookmarkEnd w:id="7489"/>
      <w:r>
        <w:rPr>
          <w:rFonts w:ascii="Arial" w:eastAsia="Arial" w:hAnsi="Arial" w:cs="Arial"/>
          <w:color w:val="000000"/>
          <w:sz w:val="20"/>
        </w:rPr>
        <w:t>What matters is that Clark doesn't connect his alleged "protected activity"—his complaint about the handling of the grooming issues filed eight months prior [**25]  to his termination—to his superiors' desire for him to leave. And some of the statements on which Clark relies explicitly undercut any argument for causation. One email chain specifically references Clark's handling of unrelated overtime issues as the reason for his supervisor's dissatisfaction: "Hopefully [Clark] resigns soon because if he had his way our OT would still be at 8%." Even if Clark's superiors were out to get him because of his handling of overtime, or for some other undisclosed reason, he presented no evidence connecting his internal complaint to his termination.</w:t>
      </w:r>
      <w:r>
        <w:rPr>
          <w:rFonts w:ascii="Arial" w:eastAsia="Arial" w:hAnsi="Arial" w:cs="Arial"/>
          <w:vertAlign w:val="superscript"/>
        </w:rPr>
        <w:footnoteReference w:customMarkFollows="1" w:id="406"/>
        <w:t>81</w:t>
      </w:r>
      <w:r>
        <w:rPr>
          <w:rFonts w:ascii="Arial" w:eastAsia="Arial" w:hAnsi="Arial" w:cs="Arial"/>
          <w:color w:val="000000"/>
          <w:sz w:val="20"/>
        </w:rPr>
        <w:t xml:space="preserve"> This failure to show a prima facie case is a sufficient basis to affirm the district court's grant of summary judgment on this issue in Champion's favor.</w:t>
      </w:r>
      <w:r>
        <w:rPr>
          <w:rFonts w:ascii="Arial" w:eastAsia="Arial" w:hAnsi="Arial" w:cs="Arial"/>
          <w:vertAlign w:val="superscript"/>
        </w:rPr>
        <w:footnoteReference w:customMarkFollows="1" w:id="407"/>
        <w:t>82</w:t>
      </w:r>
    </w:p>
    <w:p w14:paraId="31648C68" w14:textId="77777777" w:rsidR="002B10A6" w:rsidRDefault="00000000">
      <w:pPr>
        <w:pStyle w:val="Normal40"/>
        <w:widowControl w:val="0"/>
        <w:spacing w:before="200" w:line="260" w:lineRule="atLeast"/>
        <w:jc w:val="both"/>
      </w:pPr>
      <w:bookmarkStart w:id="7507" w:name="Bookmark_para_46_11"/>
      <w:bookmarkStart w:id="7508" w:name="Bookmark_I5YMK1RG2N1RWR0020000400"/>
      <w:bookmarkEnd w:id="7507"/>
      <w:bookmarkEnd w:id="7508"/>
      <w:r>
        <w:rPr>
          <w:rFonts w:ascii="Arial" w:eastAsia="Arial" w:hAnsi="Arial" w:cs="Arial"/>
          <w:color w:val="000000"/>
          <w:sz w:val="20"/>
        </w:rPr>
        <w:t> [*590]  Clark has not proven that he would not have been terminated "but for" filing an internal harassment complaint eight months prior.</w:t>
      </w:r>
      <w:r>
        <w:rPr>
          <w:rFonts w:ascii="Arial" w:eastAsia="Arial" w:hAnsi="Arial" w:cs="Arial"/>
          <w:vertAlign w:val="superscript"/>
        </w:rPr>
        <w:footnoteReference w:customMarkFollows="1" w:id="408"/>
        <w:t>83</w:t>
      </w:r>
      <w:r>
        <w:rPr>
          <w:rFonts w:ascii="Arial" w:eastAsia="Arial" w:hAnsi="Arial" w:cs="Arial"/>
          <w:color w:val="000000"/>
          <w:sz w:val="20"/>
        </w:rPr>
        <w:t xml:space="preserve"> So we affirm the district court's grant of summary judgment for Champion relating to Clark's retaliation claim.</w:t>
      </w:r>
    </w:p>
    <w:p w14:paraId="796B2D0C" w14:textId="77777777" w:rsidR="002B10A6" w:rsidRDefault="00000000">
      <w:pPr>
        <w:pStyle w:val="Normal40"/>
        <w:widowControl w:val="0"/>
        <w:spacing w:before="240" w:line="260" w:lineRule="atLeast"/>
      </w:pPr>
      <w:r>
        <w:br/>
      </w:r>
      <w:r>
        <w:rPr>
          <w:rFonts w:ascii="Arial" w:eastAsia="Arial" w:hAnsi="Arial" w:cs="Arial"/>
          <w:b/>
          <w:color w:val="000000"/>
          <w:sz w:val="20"/>
        </w:rPr>
        <w:t>F. Damages</w:t>
      </w:r>
    </w:p>
    <w:p w14:paraId="1FAC1933" w14:textId="77777777" w:rsidR="002B10A6" w:rsidRDefault="00000000">
      <w:pPr>
        <w:pStyle w:val="Normal40"/>
        <w:widowControl w:val="0"/>
        <w:spacing w:before="200" w:line="260" w:lineRule="atLeast"/>
        <w:jc w:val="both"/>
      </w:pPr>
      <w:bookmarkStart w:id="7511" w:name="Bookmark_para_47_11"/>
      <w:bookmarkEnd w:id="7511"/>
      <w:r>
        <w:rPr>
          <w:rFonts w:ascii="Arial" w:eastAsia="Arial" w:hAnsi="Arial" w:cs="Arial"/>
          <w:color w:val="000000"/>
          <w:sz w:val="20"/>
        </w:rPr>
        <w:t>Finally, Clark argues that the district court erred in denying all of his claims for damages. Clark asserts in a conclusory manner that his "claims should be reinstated and that he is entitled [**26]  to litigate his damages for back pay, front pay, compensatory damages, attorney fees, costs and interests." As discussed in Parts III.A-E, we agree with the district court's grant of summary judgment for Champion. Absent a finding of liability, Clark is not entitled to litigate his damages claims. So we affirm the district court on this issue as well.</w:t>
      </w:r>
    </w:p>
    <w:p w14:paraId="284F8C7A" w14:textId="77777777" w:rsidR="002B10A6" w:rsidRDefault="00000000">
      <w:pPr>
        <w:pStyle w:val="Normal40"/>
        <w:widowControl w:val="0"/>
        <w:spacing w:before="240" w:line="260" w:lineRule="atLeast"/>
      </w:pPr>
      <w:r>
        <w:br/>
      </w:r>
      <w:r>
        <w:rPr>
          <w:rFonts w:ascii="Arial" w:eastAsia="Arial" w:hAnsi="Arial" w:cs="Arial"/>
          <w:b/>
          <w:smallCaps/>
          <w:color w:val="000000"/>
          <w:sz w:val="20"/>
        </w:rPr>
        <w:t>Conclusion</w:t>
      </w:r>
    </w:p>
    <w:p w14:paraId="0ECCDAB9" w14:textId="77777777" w:rsidR="002B10A6" w:rsidRDefault="00000000">
      <w:pPr>
        <w:pStyle w:val="Normal40"/>
        <w:widowControl w:val="0"/>
        <w:spacing w:before="200" w:line="260" w:lineRule="atLeast"/>
        <w:jc w:val="both"/>
      </w:pPr>
      <w:bookmarkStart w:id="7512" w:name="Bookmark_para_48_11"/>
      <w:bookmarkEnd w:id="7512"/>
      <w:r>
        <w:rPr>
          <w:rFonts w:ascii="Arial" w:eastAsia="Arial" w:hAnsi="Arial" w:cs="Arial"/>
          <w:color w:val="000000"/>
          <w:sz w:val="20"/>
        </w:rPr>
        <w:t>For these reasons, we AFFIRM the district court across the board.</w:t>
      </w:r>
    </w:p>
    <w:p w14:paraId="63EF99BC" w14:textId="77777777" w:rsidR="002B10A6" w:rsidRDefault="002B10A6">
      <w:pPr>
        <w:pStyle w:val="Normal40"/>
      </w:pPr>
    </w:p>
    <w:p w14:paraId="79E9B9C7" w14:textId="56940CD5" w:rsidR="002B10A6" w:rsidRDefault="00000000">
      <w:pPr>
        <w:pStyle w:val="Normal40"/>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47328" behindDoc="0" locked="0" layoutInCell="1" allowOverlap="1" wp14:anchorId="4D5D6598" wp14:editId="62C910BD">
                <wp:simplePos x="0" y="0"/>
                <wp:positionH relativeFrom="column">
                  <wp:posOffset>0</wp:posOffset>
                </wp:positionH>
                <wp:positionV relativeFrom="paragraph">
                  <wp:posOffset>127000</wp:posOffset>
                </wp:positionV>
                <wp:extent cx="6502400" cy="0"/>
                <wp:effectExtent l="9525" t="12700" r="12700" b="6350"/>
                <wp:wrapNone/>
                <wp:docPr id="908588997"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FA085" id="Line 88"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6890A7F" w14:textId="77777777" w:rsidR="002B10A6" w:rsidRDefault="002B10A6">
      <w:pPr>
        <w:pStyle w:val="Normal41"/>
        <w:sectPr w:rsidR="002B10A6">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gutter="0"/>
          <w:cols w:space="720"/>
          <w:titlePg/>
        </w:sectPr>
      </w:pPr>
    </w:p>
    <w:p w14:paraId="22645FB6" w14:textId="77777777" w:rsidR="002B10A6" w:rsidRDefault="002B10A6">
      <w:pPr>
        <w:pStyle w:val="Normal41"/>
      </w:pPr>
    </w:p>
    <w:p w14:paraId="7FB89E15" w14:textId="77777777" w:rsidR="002B10A6" w:rsidRDefault="00000000">
      <w:pPr>
        <w:pStyle w:val="Heading140"/>
        <w:keepNext w:val="0"/>
        <w:widowControl w:val="0"/>
        <w:spacing w:after="200" w:line="340" w:lineRule="atLeast"/>
        <w:jc w:val="center"/>
      </w:pPr>
      <w:r>
        <w:rPr>
          <w:rFonts w:eastAsia="Arial"/>
          <w:color w:val="000000"/>
          <w:sz w:val="28"/>
        </w:rPr>
        <w:t>Cadena v. El Paso Cty.</w:t>
      </w:r>
    </w:p>
    <w:p w14:paraId="68958B14" w14:textId="77777777" w:rsidR="002B10A6" w:rsidRDefault="00000000">
      <w:pPr>
        <w:pStyle w:val="Normal41"/>
        <w:widowControl w:val="0"/>
        <w:spacing w:before="120" w:line="260" w:lineRule="atLeast"/>
        <w:jc w:val="center"/>
      </w:pPr>
      <w:r>
        <w:rPr>
          <w:rFonts w:ascii="Arial" w:eastAsia="Arial" w:hAnsi="Arial" w:cs="Arial"/>
          <w:color w:val="000000"/>
          <w:sz w:val="20"/>
        </w:rPr>
        <w:t>United States Court of Appeals for the Fifth Circuit</w:t>
      </w:r>
    </w:p>
    <w:p w14:paraId="4C057D6B" w14:textId="77777777" w:rsidR="002B10A6" w:rsidRDefault="00000000">
      <w:pPr>
        <w:pStyle w:val="Normal41"/>
        <w:widowControl w:val="0"/>
        <w:spacing w:before="120" w:line="260" w:lineRule="atLeast"/>
        <w:jc w:val="center"/>
      </w:pPr>
      <w:r>
        <w:rPr>
          <w:rFonts w:ascii="Arial" w:eastAsia="Arial" w:hAnsi="Arial" w:cs="Arial"/>
          <w:color w:val="000000"/>
          <w:sz w:val="20"/>
        </w:rPr>
        <w:t>January 3, 2020, Filed</w:t>
      </w:r>
    </w:p>
    <w:p w14:paraId="09A95514" w14:textId="77777777" w:rsidR="002B10A6" w:rsidRDefault="00000000">
      <w:pPr>
        <w:pStyle w:val="Normal41"/>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18-50765</w:t>
      </w:r>
    </w:p>
    <w:p w14:paraId="4031A6A0" w14:textId="77777777" w:rsidR="002B10A6" w:rsidRDefault="002B10A6">
      <w:pPr>
        <w:pStyle w:val="Normal41"/>
        <w:widowControl w:val="0"/>
        <w:spacing w:line="240" w:lineRule="atLeast"/>
        <w:jc w:val="both"/>
      </w:pPr>
      <w:bookmarkStart w:id="7513" w:name="Bookmark_42"/>
      <w:bookmarkEnd w:id="7513"/>
    </w:p>
    <w:p w14:paraId="4BD2111B" w14:textId="77777777" w:rsidR="002B10A6" w:rsidRDefault="00000000">
      <w:pPr>
        <w:pStyle w:val="Normal41"/>
        <w:widowControl w:val="0"/>
        <w:spacing w:before="200" w:line="240" w:lineRule="atLeast"/>
      </w:pPr>
      <w:bookmarkStart w:id="7514" w:name="Reporter_40"/>
      <w:bookmarkEnd w:id="7514"/>
      <w:r>
        <w:rPr>
          <w:rFonts w:ascii="Arial" w:eastAsia="Arial" w:hAnsi="Arial" w:cs="Arial"/>
          <w:b/>
          <w:color w:val="000000"/>
          <w:sz w:val="18"/>
        </w:rPr>
        <w:t>Reporter</w:t>
      </w:r>
    </w:p>
    <w:p w14:paraId="54E70F80" w14:textId="77777777" w:rsidR="002B10A6" w:rsidRDefault="00000000">
      <w:pPr>
        <w:pStyle w:val="Normal41"/>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946 F.3d 717 *; 2020 U.S. App. LEXIS 81 **; 2020 WL 39019</w:t>
      </w:r>
    </w:p>
    <w:p w14:paraId="3F4A8169" w14:textId="77777777" w:rsidR="002B10A6" w:rsidRDefault="00000000">
      <w:pPr>
        <w:pStyle w:val="Normal41"/>
        <w:widowControl w:val="0"/>
        <w:spacing w:before="120" w:line="260" w:lineRule="atLeast"/>
      </w:pPr>
      <w:r>
        <w:rPr>
          <w:rFonts w:ascii="Arial" w:eastAsia="Arial" w:hAnsi="Arial" w:cs="Arial"/>
          <w:color w:val="000000"/>
          <w:sz w:val="20"/>
        </w:rPr>
        <w:t>APRIL CADENA, Plaintiff - Appellant v. EL PASO COUNTY, Defendant - Appellee</w:t>
      </w:r>
    </w:p>
    <w:p w14:paraId="28535FCE" w14:textId="77777777" w:rsidR="002B10A6" w:rsidRDefault="00000000">
      <w:pPr>
        <w:pStyle w:val="Normal41"/>
        <w:widowControl w:val="0"/>
        <w:spacing w:before="240" w:line="260" w:lineRule="atLeast"/>
        <w:jc w:val="both"/>
      </w:pPr>
      <w:bookmarkStart w:id="7515" w:name="Prior_History_40"/>
      <w:bookmarkEnd w:id="7515"/>
      <w:r>
        <w:rPr>
          <w:rFonts w:ascii="Arial" w:eastAsia="Arial" w:hAnsi="Arial" w:cs="Arial"/>
          <w:b/>
          <w:color w:val="000000"/>
          <w:sz w:val="20"/>
        </w:rPr>
        <w:t>Prior History:</w:t>
      </w:r>
      <w:r>
        <w:rPr>
          <w:rFonts w:ascii="Arial" w:eastAsia="Arial" w:hAnsi="Arial" w:cs="Arial"/>
          <w:color w:val="000000"/>
          <w:sz w:val="20"/>
        </w:rPr>
        <w:t> </w:t>
      </w:r>
      <w:bookmarkStart w:id="7516" w:name="Bookmark_para_1_40"/>
      <w:bookmarkEnd w:id="7516"/>
      <w:r>
        <w:rPr>
          <w:rFonts w:ascii="Arial" w:eastAsia="Arial" w:hAnsi="Arial" w:cs="Arial"/>
          <w:color w:val="000000"/>
          <w:sz w:val="20"/>
        </w:rPr>
        <w:t> [**1] Appeal from the United States District Court for the Western District of Texas.</w:t>
      </w:r>
    </w:p>
    <w:p w14:paraId="218F2054" w14:textId="77777777" w:rsidR="002B10A6" w:rsidRDefault="00000000">
      <w:pPr>
        <w:pStyle w:val="Normal41"/>
        <w:widowControl w:val="0"/>
        <w:spacing w:before="120" w:line="260" w:lineRule="atLeast"/>
      </w:pPr>
      <w:r>
        <w:rPr>
          <w:rFonts w:ascii="Arial" w:eastAsia="Arial" w:hAnsi="Arial" w:cs="Arial"/>
          <w:color w:val="000000"/>
          <w:sz w:val="20"/>
        </w:rPr>
        <w:t>Cadena v. El Paso Cty., 2018 U.S. Dist. LEXIS 232868, 2018 WL 10231093 (W.D. Tex., July 31, 2018)</w:t>
      </w:r>
    </w:p>
    <w:p w14:paraId="0AD7FCBA" w14:textId="77777777" w:rsidR="002B10A6" w:rsidRDefault="00000000">
      <w:pPr>
        <w:pStyle w:val="Normal41"/>
        <w:widowControl w:val="0"/>
        <w:spacing w:before="240" w:line="260" w:lineRule="atLeast"/>
      </w:pPr>
      <w:bookmarkStart w:id="7517" w:name="Counsel_39"/>
      <w:bookmarkEnd w:id="7517"/>
      <w:r>
        <w:rPr>
          <w:rFonts w:ascii="Arial" w:eastAsia="Arial" w:hAnsi="Arial" w:cs="Arial"/>
          <w:b/>
          <w:color w:val="000000"/>
          <w:sz w:val="20"/>
        </w:rPr>
        <w:t>Counsel:</w:t>
      </w:r>
      <w:r>
        <w:rPr>
          <w:rFonts w:ascii="Arial" w:eastAsia="Arial" w:hAnsi="Arial" w:cs="Arial"/>
          <w:color w:val="000000"/>
          <w:sz w:val="20"/>
        </w:rPr>
        <w:t> For APRIL CADENA, Plaintiff - Appellant: Joseph Perry Pinon, El Paso, TX.</w:t>
      </w:r>
    </w:p>
    <w:p w14:paraId="1B07269E" w14:textId="77777777" w:rsidR="002B10A6" w:rsidRDefault="00000000">
      <w:pPr>
        <w:pStyle w:val="Normal41"/>
        <w:widowControl w:val="0"/>
        <w:spacing w:before="120" w:line="260" w:lineRule="atLeast"/>
      </w:pPr>
      <w:r>
        <w:rPr>
          <w:rFonts w:ascii="Arial" w:eastAsia="Arial" w:hAnsi="Arial" w:cs="Arial"/>
          <w:color w:val="000000"/>
          <w:sz w:val="20"/>
        </w:rPr>
        <w:t>For EL PASO COUNTY, Defendant - Appellee: Kevin Paul McCary, Attorney, El Paso, Texas County Attorney, El Paso, TX.</w:t>
      </w:r>
    </w:p>
    <w:p w14:paraId="7C6133F7" w14:textId="77777777" w:rsidR="002B10A6" w:rsidRDefault="00000000">
      <w:pPr>
        <w:pStyle w:val="Normal41"/>
        <w:widowControl w:val="0"/>
        <w:spacing w:before="240" w:line="260" w:lineRule="atLeast"/>
      </w:pPr>
      <w:bookmarkStart w:id="7518" w:name="Judges_40"/>
      <w:bookmarkEnd w:id="7518"/>
      <w:r>
        <w:rPr>
          <w:rFonts w:ascii="Arial" w:eastAsia="Arial" w:hAnsi="Arial" w:cs="Arial"/>
          <w:b/>
          <w:color w:val="000000"/>
          <w:sz w:val="20"/>
        </w:rPr>
        <w:t>Judges:</w:t>
      </w:r>
      <w:r>
        <w:rPr>
          <w:rFonts w:ascii="Arial" w:eastAsia="Arial" w:hAnsi="Arial" w:cs="Arial"/>
          <w:color w:val="000000"/>
          <w:sz w:val="20"/>
        </w:rPr>
        <w:t> Before DAVIS, GRAVES, and HIGGINSON, Circuit Judges.</w:t>
      </w:r>
    </w:p>
    <w:p w14:paraId="38139041" w14:textId="77777777" w:rsidR="002B10A6" w:rsidRDefault="00000000">
      <w:pPr>
        <w:pStyle w:val="Normal41"/>
        <w:widowControl w:val="0"/>
        <w:spacing w:before="240" w:line="260" w:lineRule="atLeast"/>
      </w:pPr>
      <w:bookmarkStart w:id="7519" w:name="Opinion_by_27"/>
      <w:bookmarkEnd w:id="7519"/>
      <w:r>
        <w:rPr>
          <w:rFonts w:ascii="Arial" w:eastAsia="Arial" w:hAnsi="Arial" w:cs="Arial"/>
          <w:b/>
          <w:color w:val="000000"/>
          <w:sz w:val="20"/>
        </w:rPr>
        <w:t>Opinion by:</w:t>
      </w:r>
      <w:r>
        <w:rPr>
          <w:rFonts w:ascii="Arial" w:eastAsia="Arial" w:hAnsi="Arial" w:cs="Arial"/>
          <w:color w:val="000000"/>
          <w:sz w:val="20"/>
        </w:rPr>
        <w:t> STEPHEN A. HIGGINSON</w:t>
      </w:r>
    </w:p>
    <w:p w14:paraId="6191DB76" w14:textId="77777777" w:rsidR="002B10A6" w:rsidRDefault="00000000">
      <w:pPr>
        <w:pStyle w:val="Normal41"/>
        <w:keepNext/>
        <w:widowControl w:val="0"/>
        <w:spacing w:before="240" w:line="340" w:lineRule="atLeast"/>
      </w:pPr>
      <w:bookmarkStart w:id="7520" w:name="Opinion_40"/>
      <w:bookmarkEnd w:id="7520"/>
      <w:r>
        <w:rPr>
          <w:rFonts w:ascii="Arial" w:eastAsia="Arial" w:hAnsi="Arial" w:cs="Arial"/>
          <w:b/>
          <w:color w:val="000000"/>
          <w:sz w:val="28"/>
        </w:rPr>
        <w:t>Opinion</w:t>
      </w:r>
    </w:p>
    <w:p w14:paraId="339D3381" w14:textId="48286A52" w:rsidR="002B10A6" w:rsidRDefault="002D6974">
      <w:pPr>
        <w:pStyle w:val="Normal41"/>
        <w:spacing w:line="60" w:lineRule="exact"/>
      </w:pPr>
      <w:r>
        <w:rPr>
          <w:noProof/>
        </w:rPr>
        <mc:AlternateContent>
          <mc:Choice Requires="wps">
            <w:drawing>
              <wp:anchor distT="0" distB="0" distL="114300" distR="114300" simplePos="0" relativeHeight="251748352" behindDoc="0" locked="0" layoutInCell="1" allowOverlap="1" wp14:anchorId="130F4FE3" wp14:editId="7FC87473">
                <wp:simplePos x="0" y="0"/>
                <wp:positionH relativeFrom="column">
                  <wp:posOffset>0</wp:posOffset>
                </wp:positionH>
                <wp:positionV relativeFrom="paragraph">
                  <wp:posOffset>25400</wp:posOffset>
                </wp:positionV>
                <wp:extent cx="3187700" cy="0"/>
                <wp:effectExtent l="19050" t="15875" r="12700" b="12700"/>
                <wp:wrapTopAndBottom/>
                <wp:docPr id="1392030171"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23501F" id="Line 89"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0CDBC72" w14:textId="77777777" w:rsidR="002B10A6" w:rsidRDefault="002B10A6">
      <w:pPr>
        <w:pStyle w:val="Normal41"/>
      </w:pPr>
    </w:p>
    <w:p w14:paraId="5FC3406C" w14:textId="77777777" w:rsidR="002B10A6" w:rsidRDefault="00000000">
      <w:pPr>
        <w:pStyle w:val="Normal41"/>
        <w:widowControl w:val="0"/>
        <w:spacing w:before="200" w:line="260" w:lineRule="atLeast"/>
        <w:jc w:val="both"/>
      </w:pPr>
      <w:bookmarkStart w:id="7521" w:name="Bookmark_para_2_40"/>
      <w:bookmarkEnd w:id="7521"/>
      <w:r>
        <w:rPr>
          <w:rFonts w:ascii="Arial" w:eastAsia="Arial" w:hAnsi="Arial" w:cs="Arial"/>
          <w:color w:val="000000"/>
          <w:sz w:val="20"/>
        </w:rPr>
        <w:t> [*721]  STEPHEN A. HIGGINSON, Circuit Judge:</w:t>
      </w:r>
    </w:p>
    <w:p w14:paraId="608B555C" w14:textId="77777777" w:rsidR="002B10A6" w:rsidRDefault="00000000">
      <w:pPr>
        <w:pStyle w:val="Normal41"/>
        <w:widowControl w:val="0"/>
        <w:spacing w:before="200" w:line="260" w:lineRule="atLeast"/>
        <w:jc w:val="both"/>
      </w:pPr>
      <w:bookmarkStart w:id="7522" w:name="Bookmark_para_3_40"/>
      <w:bookmarkStart w:id="7523" w:name="Bookmark_I662MFWN2HM6CS0010000400"/>
      <w:bookmarkEnd w:id="7522"/>
      <w:bookmarkEnd w:id="7523"/>
      <w:r>
        <w:rPr>
          <w:rFonts w:ascii="Arial" w:eastAsia="Arial" w:hAnsi="Arial" w:cs="Arial"/>
          <w:color w:val="000000"/>
          <w:sz w:val="20"/>
        </w:rPr>
        <w:t>April Cadena seeks review of the district court's dismissal of her claim against El Paso County under the Americans with Disabilities Act (ADA) and 42 U.S.C. § 1983. We reverse the district court's summary judgment dismissal of Cadena's ADA claim because a reasonable jury could find that the County intentionally denied Cadena reasonable accommodations. However, we affirm summary judgment dismissal of Cadena's § 1983 claim because Cadena cannot show that she was subjected to an unconstitutional condition of confinement, or that the medical treatment that she received was so deficient that it amounted to deliberate indifference to a serious medical need.</w:t>
      </w:r>
    </w:p>
    <w:p w14:paraId="5C569A5D" w14:textId="77777777" w:rsidR="002B10A6" w:rsidRDefault="00000000">
      <w:pPr>
        <w:pStyle w:val="Normal41"/>
        <w:widowControl w:val="0"/>
        <w:spacing w:before="240" w:line="260" w:lineRule="atLeast"/>
      </w:pPr>
      <w:r>
        <w:br/>
      </w:r>
      <w:r>
        <w:rPr>
          <w:rFonts w:ascii="Arial" w:eastAsia="Arial" w:hAnsi="Arial" w:cs="Arial"/>
          <w:b/>
          <w:color w:val="000000"/>
          <w:sz w:val="20"/>
        </w:rPr>
        <w:t>I</w:t>
      </w:r>
      <w:r>
        <w:rPr>
          <w:rFonts w:ascii="Arial" w:eastAsia="Arial" w:hAnsi="Arial" w:cs="Arial"/>
          <w:color w:val="000000"/>
          <w:sz w:val="20"/>
        </w:rPr>
        <w:t>.</w:t>
      </w:r>
    </w:p>
    <w:p w14:paraId="016CC9DD" w14:textId="77777777" w:rsidR="002B10A6" w:rsidRDefault="00000000">
      <w:pPr>
        <w:pStyle w:val="Normal41"/>
        <w:widowControl w:val="0"/>
        <w:spacing w:before="200" w:line="260" w:lineRule="atLeast"/>
        <w:jc w:val="both"/>
      </w:pPr>
      <w:bookmarkStart w:id="7524" w:name="Bookmark_para_4_40"/>
      <w:bookmarkEnd w:id="7524"/>
      <w:r>
        <w:rPr>
          <w:rFonts w:ascii="Arial" w:eastAsia="Arial" w:hAnsi="Arial" w:cs="Arial"/>
          <w:color w:val="000000"/>
          <w:sz w:val="20"/>
        </w:rPr>
        <w:t>The El Paso police arrested Cadena on June 23, 2014 on an outstanding warrant for failure to appear. At the time of her arrest, Cadena was in a wheelchair because she had undergone surgery [**2]  on her right leg to repair a broken tibia three days earlier. She was discharged from the hospital only 24 hours before her arrest with instructions stating "no weight bearing" for her right leg and notes from a physical therapist explaining that she "will not be a candidate for crutches . . . and will have to be discharged with a wheelchair."</w:t>
      </w:r>
    </w:p>
    <w:p w14:paraId="4588E23A" w14:textId="77777777" w:rsidR="002B10A6" w:rsidRDefault="00000000">
      <w:pPr>
        <w:pStyle w:val="Normal41"/>
        <w:widowControl w:val="0"/>
        <w:spacing w:before="200" w:line="260" w:lineRule="atLeast"/>
        <w:jc w:val="both"/>
      </w:pPr>
      <w:bookmarkStart w:id="7525" w:name="Bookmark_para_5_40"/>
      <w:bookmarkEnd w:id="7525"/>
      <w:r>
        <w:rPr>
          <w:rFonts w:ascii="Arial" w:eastAsia="Arial" w:hAnsi="Arial" w:cs="Arial"/>
          <w:color w:val="000000"/>
          <w:sz w:val="20"/>
        </w:rPr>
        <w:t>Cadena was then taken to the El Paso County Detention Facility, where a licensed vocational nurse (LVN) conducted a medical intake procedure. Viewing the facts in the light most favorable to Cadena, she told the LVN that she could not walk, which was why she had a wheelchair. The intake form filled out by the LVN indicated that Cadena "had knee surgery yesterday" but determined that she was "able to stand independently" because Cadena stood during the intake when asked to do so. Based on the intake procedure, the County's physician, Dr. Salazar, gave telephonic orders that Cadena be given pain medication, that she follow up with an orthopedic physician in two weeks, that she be given crutches, that she be assigned to a lower bunk, and that she be given wound care on her right leg. Cadena testified that after intake, her wheelchair was taken away. [**3]  She also testified that as she was being led to her cell, she overheard staff saying "that there was no space in the county for a person in a wheelchair."</w:t>
      </w:r>
    </w:p>
    <w:p w14:paraId="2F5B94BA" w14:textId="77777777" w:rsidR="002B10A6" w:rsidRDefault="00000000">
      <w:pPr>
        <w:pStyle w:val="Normal41"/>
        <w:widowControl w:val="0"/>
        <w:spacing w:before="200" w:line="260" w:lineRule="atLeast"/>
        <w:jc w:val="both"/>
      </w:pPr>
      <w:bookmarkStart w:id="7526" w:name="Bookmark_para_6_40"/>
      <w:bookmarkEnd w:id="7526"/>
      <w:r>
        <w:rPr>
          <w:rFonts w:ascii="Arial" w:eastAsia="Arial" w:hAnsi="Arial" w:cs="Arial"/>
          <w:color w:val="000000"/>
          <w:sz w:val="20"/>
        </w:rPr>
        <w:t>A few hours later, Cadena visited the medical clinic and requested a wheelchair. Cadena told the two officers escorting her to the clinic that she could not walk with crutches and needed a wheelchair. On the way to the clinic, she stumbled while attempting to move using crutches, and the officers had to catch her before she hit the floor. After this, Officer Davila, one of the officers escorting her, obtained a wheelchair [*722]  and wheeled Cadena the rest of the way to the clinic. At the clinic, Cadena testified that Nurse Fuentes told her that there was no space on the floor for a wheelchair. Cadena testified that she was left in her cell with only crutches after the clinic visit.</w:t>
      </w:r>
    </w:p>
    <w:p w14:paraId="676577B6" w14:textId="77777777" w:rsidR="002B10A6" w:rsidRDefault="00000000">
      <w:pPr>
        <w:pStyle w:val="Normal41"/>
        <w:widowControl w:val="0"/>
        <w:spacing w:before="200" w:line="260" w:lineRule="atLeast"/>
        <w:jc w:val="both"/>
      </w:pPr>
      <w:bookmarkStart w:id="7527" w:name="Bookmark_para_7_39"/>
      <w:bookmarkEnd w:id="7527"/>
      <w:r>
        <w:rPr>
          <w:rFonts w:ascii="Arial" w:eastAsia="Arial" w:hAnsi="Arial" w:cs="Arial"/>
          <w:color w:val="000000"/>
          <w:sz w:val="20"/>
        </w:rPr>
        <w:t>On June 25, 2014 at 10:30 a.m., two days after her arrival, the medical staff entered an order allowing Cadena to keep her wheelchair. At about 4:30 p.m. that day, however, Cadena did yet not have a wheelchair at mealtime and fell in her cell while trying to carry a tray with food on crutches. In Cadena's unit, patients were required to walk to the end of the [**4]  cellblock to retrieve trays of food and to carry the trays back to their cells to eat. Cadena testified that Officer Davila, the same officer who had escorted her to the clinic, was overseeing this process. Cadena testified that she asked Officer Davila to deviate from this procedure—either by bringing Cadena's tray to her cell or by allowing Cadena to eat in the area where the trays were being handed out—so that Cadena would not have to carry a tray while using crutches. Cadena testified that Officer Davila refused these requests. Cadena fell while trying to carry both her tray and her crutches back to her cell.</w:t>
      </w:r>
    </w:p>
    <w:p w14:paraId="3AAE80A5" w14:textId="77777777" w:rsidR="002B10A6" w:rsidRDefault="00000000">
      <w:pPr>
        <w:pStyle w:val="Normal41"/>
        <w:widowControl w:val="0"/>
        <w:spacing w:before="200" w:line="260" w:lineRule="atLeast"/>
        <w:jc w:val="both"/>
      </w:pPr>
      <w:bookmarkStart w:id="7528" w:name="Bookmark_para_8_39"/>
      <w:bookmarkEnd w:id="7528"/>
      <w:r>
        <w:rPr>
          <w:rFonts w:ascii="Arial" w:eastAsia="Arial" w:hAnsi="Arial" w:cs="Arial"/>
          <w:color w:val="000000"/>
          <w:sz w:val="20"/>
        </w:rPr>
        <w:t>Cadena was taken to the jail's medical clinic, and then to the emergency room. The emergency room physician recommended a boot, non-weight bearing status, and a follow up appointment with Cadena's orthopedic surgeon the next day. After her fall, Cadena reported pain in her leg as a 7 out of 10. Cadena testified that her leg was twisted with her foot facing the middle of her body, and her medical records confirm that her tibia was "malaligned." The County made a follow-up appointment for Cadena to see an orthopedic surgeon at Texas Tech Orthopedic Clinic on July 14, 2014, which [**5]  was the earliest appointment available at that clinic. Cadena was also transferred to the housing unit adjacent to the medical clinic.</w:t>
      </w:r>
    </w:p>
    <w:p w14:paraId="538A19A0" w14:textId="77777777" w:rsidR="002B10A6" w:rsidRDefault="00000000">
      <w:pPr>
        <w:pStyle w:val="Normal41"/>
        <w:widowControl w:val="0"/>
        <w:spacing w:before="200" w:line="260" w:lineRule="atLeast"/>
        <w:jc w:val="both"/>
      </w:pPr>
      <w:bookmarkStart w:id="7529" w:name="Bookmark_para_9_39"/>
      <w:bookmarkEnd w:id="7529"/>
      <w:r>
        <w:rPr>
          <w:rFonts w:ascii="Arial" w:eastAsia="Arial" w:hAnsi="Arial" w:cs="Arial"/>
          <w:color w:val="000000"/>
          <w:sz w:val="20"/>
        </w:rPr>
        <w:t>On July 14, Cadena went to an appointment at the Texas Tech Orthopedic Clinic. On July 18, 2014, Cadena attended a court hearing, after which she was discharged from custody into a Women's Substance Abuse Treatment Facility (WSAT). On July 22, 2014, while residing at WSAT, Cadena underwent a second surgery. Cadena's medical records from her surgery at Texas Tech state that Cadena was "in extreme varus" and "in extreme pain" before corrective surgery. Even after the second surgery, Cadena alleges that she has continuing nerve damage in her right leg and that she cannot engage in recreational activities or ambulate normally.</w:t>
      </w:r>
    </w:p>
    <w:p w14:paraId="7405E73D" w14:textId="77777777" w:rsidR="002B10A6" w:rsidRDefault="00000000">
      <w:pPr>
        <w:pStyle w:val="Normal41"/>
        <w:widowControl w:val="0"/>
        <w:spacing w:before="200" w:line="260" w:lineRule="atLeast"/>
        <w:jc w:val="both"/>
      </w:pPr>
      <w:bookmarkStart w:id="7530" w:name="Bookmark_para_10_38"/>
      <w:bookmarkEnd w:id="7530"/>
      <w:r>
        <w:rPr>
          <w:rFonts w:ascii="Arial" w:eastAsia="Arial" w:hAnsi="Arial" w:cs="Arial"/>
          <w:color w:val="000000"/>
          <w:sz w:val="20"/>
        </w:rPr>
        <w:t>On June 21, 2016, Cadena filed a complaint in the Western District of Texas against El Paso County, Corizon Health Inc., and Dr. Salazar. Cadena claims that El Paso County violated Title II of the ADA and Section 504 of the Rehabilitation Act by failing to provide her with reasonable accommodations. Cadena also claims that the County was deliberately indifferent to her serious medical needs in violation of the Fourteenth Amendment. Cadena alleges that these constitutional violations were [**6]  the result of the County's unlawful policies, procedures, and customs.</w:t>
      </w:r>
    </w:p>
    <w:p w14:paraId="21850061" w14:textId="77777777" w:rsidR="002B10A6" w:rsidRDefault="00000000">
      <w:pPr>
        <w:pStyle w:val="Normal41"/>
        <w:widowControl w:val="0"/>
        <w:spacing w:before="200" w:line="260" w:lineRule="atLeast"/>
        <w:jc w:val="both"/>
      </w:pPr>
      <w:bookmarkStart w:id="7531" w:name="Bookmark_para_11_33"/>
      <w:bookmarkEnd w:id="7531"/>
      <w:r>
        <w:rPr>
          <w:rFonts w:ascii="Arial" w:eastAsia="Arial" w:hAnsi="Arial" w:cs="Arial"/>
          <w:color w:val="000000"/>
          <w:sz w:val="20"/>
        </w:rPr>
        <w:t>On August 25, 2017, Corizon Health and Dr. Salazar filed a motion for summary judgment on Cadena's claims against them. On October 13, 2017, El Paso County filed a separate motion for summary judgment on Cadena's claims against it. On March 26, 2018, the district court adopted the Magistrate's report and recommendation granting Corizon Health and Dr. Salazar's motion for summary judgment and dismissing Cadena's claims against those defendants. The district court then adopted in part and reversed in  [*723]  part the Magistrate's report and recommendation regarding El Paso County's motion, dismissing the remainder of Cadena's claims.</w:t>
      </w:r>
    </w:p>
    <w:p w14:paraId="066C4E67" w14:textId="77777777" w:rsidR="002B10A6" w:rsidRDefault="00000000">
      <w:pPr>
        <w:pStyle w:val="Normal41"/>
        <w:widowControl w:val="0"/>
        <w:spacing w:before="200" w:line="260" w:lineRule="atLeast"/>
        <w:jc w:val="both"/>
      </w:pPr>
      <w:bookmarkStart w:id="7532" w:name="Bookmark_para_12_32"/>
      <w:bookmarkEnd w:id="7532"/>
      <w:r>
        <w:rPr>
          <w:rFonts w:ascii="Arial" w:eastAsia="Arial" w:hAnsi="Arial" w:cs="Arial"/>
          <w:color w:val="000000"/>
          <w:sz w:val="20"/>
        </w:rPr>
        <w:t>On August 30, 2018, Cadena appealed the district court's order granting the County's motion for summary judgment.</w:t>
      </w:r>
    </w:p>
    <w:p w14:paraId="04086BA3" w14:textId="77777777" w:rsidR="002B10A6" w:rsidRDefault="00000000">
      <w:pPr>
        <w:pStyle w:val="Normal41"/>
        <w:widowControl w:val="0"/>
        <w:spacing w:before="240" w:line="260" w:lineRule="atLeast"/>
      </w:pPr>
      <w:r>
        <w:br/>
      </w:r>
      <w:r>
        <w:rPr>
          <w:rFonts w:ascii="Arial" w:eastAsia="Arial" w:hAnsi="Arial" w:cs="Arial"/>
          <w:b/>
          <w:color w:val="000000"/>
          <w:sz w:val="20"/>
        </w:rPr>
        <w:t>II</w:t>
      </w:r>
      <w:r>
        <w:rPr>
          <w:rFonts w:ascii="Arial" w:eastAsia="Arial" w:hAnsi="Arial" w:cs="Arial"/>
          <w:color w:val="000000"/>
          <w:sz w:val="20"/>
        </w:rPr>
        <w:t>.</w:t>
      </w:r>
    </w:p>
    <w:p w14:paraId="5215F1C1" w14:textId="77777777" w:rsidR="002B10A6" w:rsidRDefault="00000000">
      <w:pPr>
        <w:pStyle w:val="Normal41"/>
        <w:widowControl w:val="0"/>
        <w:spacing w:before="200" w:line="260" w:lineRule="atLeast"/>
        <w:jc w:val="both"/>
      </w:pPr>
      <w:bookmarkStart w:id="7533" w:name="Bookmark_para_13_32"/>
      <w:bookmarkStart w:id="7534" w:name="Bookmark_I5XXHYGK2D6MTC0020000400"/>
      <w:bookmarkStart w:id="7535" w:name="Bookmark_LNHNREFclscc1_31"/>
      <w:bookmarkEnd w:id="7533"/>
      <w:bookmarkEnd w:id="7534"/>
      <w:bookmarkEnd w:id="7535"/>
      <w:r>
        <w:rPr>
          <w:rFonts w:ascii="Arial" w:eastAsia="Arial" w:hAnsi="Arial" w:cs="Arial"/>
          <w:color w:val="000000"/>
          <w:sz w:val="20"/>
        </w:rPr>
        <w:t xml:space="preserve">This court reviews the district court's summary judgment ruling </w:t>
      </w:r>
      <w:r>
        <w:rPr>
          <w:rFonts w:ascii="Arial" w:eastAsia="Arial" w:hAnsi="Arial" w:cs="Arial"/>
          <w:i/>
          <w:color w:val="000000"/>
          <w:sz w:val="20"/>
        </w:rPr>
        <w:t xml:space="preserve">de novo. </w:t>
      </w:r>
      <w:bookmarkStart w:id="7536" w:name="Bookmark_I5XXHYGK2D6MTC0010000400"/>
      <w:bookmarkEnd w:id="7536"/>
      <w:r>
        <w:rPr>
          <w:rFonts w:ascii="Arial" w:eastAsia="Arial" w:hAnsi="Arial" w:cs="Arial"/>
          <w:i/>
          <w:color w:val="000000"/>
          <w:sz w:val="20"/>
        </w:rPr>
        <w:t>Windham v. Harris Cty.</w:t>
      </w:r>
      <w:r>
        <w:rPr>
          <w:rFonts w:ascii="Arial" w:eastAsia="Arial" w:hAnsi="Arial" w:cs="Arial"/>
          <w:color w:val="000000"/>
          <w:sz w:val="20"/>
        </w:rPr>
        <w:t xml:space="preserve">, 875 F.3d 229, 234 (5th Cir. 2017). </w:t>
      </w:r>
      <w:bookmarkStart w:id="7537" w:name="Bookmark_I5XXHYGK2D6MTC0040000400"/>
      <w:bookmarkEnd w:id="7537"/>
      <w:r>
        <w:rPr>
          <w:rFonts w:ascii="Arial" w:eastAsia="Arial" w:hAnsi="Arial" w:cs="Arial"/>
          <w:color w:val="000000"/>
          <w:sz w:val="20"/>
        </w:rPr>
        <w:t xml:space="preserve">Summary judgment is appropriate when "the movant shows that there is no genuine dispute as to any material fact and the movant is entitled to judgment as a matter of law." Fed. R. Civ. P. 56(a). Courts must view the evidence in the light most favorable to the nonmoving party and draw all reasonable inferences in that party's favor. [**7]  </w:t>
      </w:r>
      <w:bookmarkStart w:id="7538" w:name="Bookmark_I5XXHYGK2D6MTC0040000400_2"/>
      <w:bookmarkStart w:id="7539" w:name="Bookmark_I5XXHYGM2D6MTJ0010000400"/>
      <w:bookmarkStart w:id="7540" w:name="Bookmark_I5XXHYGK2D6MTC0030000400"/>
      <w:bookmarkEnd w:id="7538"/>
      <w:bookmarkEnd w:id="7539"/>
      <w:bookmarkEnd w:id="7540"/>
      <w:r>
        <w:rPr>
          <w:rFonts w:ascii="Arial" w:eastAsia="Arial" w:hAnsi="Arial" w:cs="Arial"/>
          <w:i/>
          <w:color w:val="000000"/>
          <w:sz w:val="20"/>
        </w:rPr>
        <w:t>SEC v. Kahlon</w:t>
      </w:r>
      <w:r>
        <w:rPr>
          <w:rFonts w:ascii="Arial" w:eastAsia="Arial" w:hAnsi="Arial" w:cs="Arial"/>
          <w:color w:val="000000"/>
          <w:sz w:val="20"/>
        </w:rPr>
        <w:t xml:space="preserve">, 873 F.3d 500, 504 (5th Cir. 2017). </w:t>
      </w:r>
      <w:bookmarkStart w:id="7541" w:name="Bookmark_I5XXHYGM2D6MTJ0010000400_2"/>
      <w:bookmarkEnd w:id="7541"/>
      <w:r>
        <w:rPr>
          <w:rFonts w:ascii="Arial" w:eastAsia="Arial" w:hAnsi="Arial" w:cs="Arial"/>
          <w:color w:val="000000"/>
          <w:sz w:val="20"/>
        </w:rPr>
        <w:t xml:space="preserve">We may affirm a grant of summary judgment on any ground the record supports. </w:t>
      </w:r>
      <w:bookmarkStart w:id="7542" w:name="Bookmark_I5XXHYGK2D6MTC0050000400"/>
      <w:bookmarkEnd w:id="7542"/>
      <w:r>
        <w:rPr>
          <w:rFonts w:ascii="Arial" w:eastAsia="Arial" w:hAnsi="Arial" w:cs="Arial"/>
          <w:i/>
          <w:color w:val="000000"/>
          <w:sz w:val="20"/>
        </w:rPr>
        <w:t>United States ex rel. King v. Solvay Pharms., Inc.</w:t>
      </w:r>
      <w:r>
        <w:rPr>
          <w:rFonts w:ascii="Arial" w:eastAsia="Arial" w:hAnsi="Arial" w:cs="Arial"/>
          <w:color w:val="000000"/>
          <w:sz w:val="20"/>
        </w:rPr>
        <w:t>, 871 F.3d 318, 323 (5th Cir. 2017).</w:t>
      </w:r>
    </w:p>
    <w:p w14:paraId="2EE85307" w14:textId="77777777" w:rsidR="002B10A6" w:rsidRDefault="00000000">
      <w:pPr>
        <w:pStyle w:val="Normal41"/>
        <w:widowControl w:val="0"/>
        <w:spacing w:before="240" w:line="260" w:lineRule="atLeast"/>
      </w:pPr>
      <w:r>
        <w:br/>
      </w:r>
      <w:r>
        <w:rPr>
          <w:rFonts w:ascii="Arial" w:eastAsia="Arial" w:hAnsi="Arial" w:cs="Arial"/>
          <w:b/>
          <w:color w:val="000000"/>
          <w:sz w:val="20"/>
        </w:rPr>
        <w:t>III</w:t>
      </w:r>
      <w:r>
        <w:rPr>
          <w:rFonts w:ascii="Arial" w:eastAsia="Arial" w:hAnsi="Arial" w:cs="Arial"/>
          <w:color w:val="000000"/>
          <w:sz w:val="20"/>
        </w:rPr>
        <w:t>.</w:t>
      </w:r>
    </w:p>
    <w:p w14:paraId="21C60C2F" w14:textId="77777777" w:rsidR="002B10A6" w:rsidRDefault="00000000">
      <w:pPr>
        <w:pStyle w:val="Normal41"/>
        <w:widowControl w:val="0"/>
        <w:spacing w:before="240" w:line="260" w:lineRule="atLeast"/>
      </w:pPr>
      <w:r>
        <w:br/>
      </w:r>
      <w:r>
        <w:rPr>
          <w:rFonts w:ascii="Arial" w:eastAsia="Arial" w:hAnsi="Arial" w:cs="Arial"/>
          <w:b/>
          <w:color w:val="000000"/>
          <w:sz w:val="20"/>
        </w:rPr>
        <w:t>A. ADA Claim</w:t>
      </w:r>
    </w:p>
    <w:p w14:paraId="45CE3C58" w14:textId="77777777" w:rsidR="002B10A6" w:rsidRDefault="00000000">
      <w:pPr>
        <w:pStyle w:val="Normal41"/>
        <w:widowControl w:val="0"/>
        <w:spacing w:before="200" w:line="260" w:lineRule="atLeast"/>
        <w:jc w:val="both"/>
      </w:pPr>
      <w:bookmarkStart w:id="7543" w:name="Bookmark_para_14_32"/>
      <w:bookmarkEnd w:id="7543"/>
      <w:r>
        <w:rPr>
          <w:rFonts w:ascii="Arial" w:eastAsia="Arial" w:hAnsi="Arial" w:cs="Arial"/>
          <w:color w:val="000000"/>
          <w:sz w:val="20"/>
        </w:rPr>
        <w:t xml:space="preserve">Title II of the ADA provides: "[N]o qualified individual with a disability shall, by reason of such disability, be excluded from participation in or be denied the benefits of the services, programs, or activities of a public entity, or be subjected to discrimination by any such entity." 42 U.S.C. § 12132. </w:t>
      </w:r>
      <w:bookmarkStart w:id="7544" w:name="Bookmark_I5XXHYGM2D6MTJ0030000400"/>
      <w:bookmarkEnd w:id="7544"/>
      <w:r>
        <w:rPr>
          <w:rFonts w:ascii="Arial" w:eastAsia="Arial" w:hAnsi="Arial" w:cs="Arial"/>
          <w:color w:val="000000"/>
          <w:sz w:val="20"/>
        </w:rPr>
        <w:t xml:space="preserve">It defines "public entities" to include local governments. 42 U.S.C. § 12131(1)(A). The Supreme Court has held that </w:t>
      </w:r>
      <w:bookmarkStart w:id="7545" w:name="Bookmark_LNHNREFclscc2_31"/>
      <w:bookmarkEnd w:id="7545"/>
      <w:r>
        <w:rPr>
          <w:rFonts w:ascii="Arial" w:eastAsia="Arial" w:hAnsi="Arial" w:cs="Arial"/>
          <w:color w:val="000000"/>
          <w:sz w:val="20"/>
        </w:rPr>
        <w:t xml:space="preserve">prisons are public entities that may not exclude disabled individuals from participation in or deny them the benefits of their services, programs, or activities. </w:t>
      </w:r>
      <w:bookmarkStart w:id="7546" w:name="Bookmark_I5XXHYGM2D6MTJ0020000400"/>
      <w:bookmarkEnd w:id="7546"/>
      <w:r>
        <w:rPr>
          <w:rFonts w:ascii="Arial" w:eastAsia="Arial" w:hAnsi="Arial" w:cs="Arial"/>
          <w:i/>
          <w:color w:val="000000"/>
          <w:sz w:val="20"/>
        </w:rPr>
        <w:t>Pennsylvania Dep't of Corr. v. Yeskey</w:t>
      </w:r>
      <w:r>
        <w:rPr>
          <w:rFonts w:ascii="Arial" w:eastAsia="Arial" w:hAnsi="Arial" w:cs="Arial"/>
          <w:color w:val="000000"/>
          <w:sz w:val="20"/>
        </w:rPr>
        <w:t>, 524 U.S. 206, 210, 118 S. Ct. 1952, 141 L. Ed. 2d 215 (1998).</w:t>
      </w:r>
    </w:p>
    <w:p w14:paraId="13EDCA92" w14:textId="77777777" w:rsidR="002B10A6" w:rsidRDefault="00000000">
      <w:pPr>
        <w:pStyle w:val="Normal41"/>
        <w:widowControl w:val="0"/>
        <w:spacing w:before="200" w:line="260" w:lineRule="atLeast"/>
        <w:jc w:val="both"/>
      </w:pPr>
      <w:bookmarkStart w:id="7547" w:name="Bookmark_para_15_32"/>
      <w:bookmarkStart w:id="7548" w:name="Bookmark_I5XXHYGM2D6MTJ0050000400"/>
      <w:bookmarkStart w:id="7549" w:name="Bookmark_I5XXHYGN2HM5SN0020000400"/>
      <w:bookmarkEnd w:id="7547"/>
      <w:bookmarkEnd w:id="7548"/>
      <w:bookmarkEnd w:id="7549"/>
      <w:r>
        <w:rPr>
          <w:rFonts w:ascii="Arial" w:eastAsia="Arial" w:hAnsi="Arial" w:cs="Arial"/>
          <w:color w:val="000000"/>
          <w:sz w:val="20"/>
        </w:rPr>
        <w:t xml:space="preserve">Similarly, </w:t>
      </w:r>
      <w:bookmarkStart w:id="7550" w:name="Bookmark_LNHNREFclscc3_30"/>
      <w:bookmarkEnd w:id="7550"/>
      <w:r>
        <w:rPr>
          <w:rFonts w:ascii="Arial" w:eastAsia="Arial" w:hAnsi="Arial" w:cs="Arial"/>
          <w:color w:val="000000"/>
          <w:sz w:val="20"/>
        </w:rPr>
        <w:t xml:space="preserve">the Rehabilitation Act prohibits any "otherwise qualified individual with a disability in the United States" from being "excluded from the participation in, be[ing] denied the benefits of, or be[ing] subjected to discrimination under any program or activity receiving Federal financial assistance," including any instrumentality of a local government. 29 U.S.C. § 794. The remedies, procedures, and rights available under the Rehabilitation Act parallel those available under the ADA. </w:t>
      </w:r>
      <w:bookmarkStart w:id="7551" w:name="Bookmark_I5XXHYGM2D6MTJ0040000400"/>
      <w:bookmarkEnd w:id="7551"/>
      <w:r>
        <w:rPr>
          <w:rFonts w:ascii="Arial" w:eastAsia="Arial" w:hAnsi="Arial" w:cs="Arial"/>
          <w:i/>
          <w:color w:val="000000"/>
          <w:sz w:val="20"/>
        </w:rPr>
        <w:t>Delano-Pyle v. Victoria Cty.</w:t>
      </w:r>
      <w:r>
        <w:rPr>
          <w:rFonts w:ascii="Arial" w:eastAsia="Arial" w:hAnsi="Arial" w:cs="Arial"/>
          <w:color w:val="000000"/>
          <w:sz w:val="20"/>
        </w:rPr>
        <w:t xml:space="preserve">, 302 F.3d 567, 574 (5th Cir. 2002) (quoting 42 U.S.C. § 12133). "Thus, '[j]urisprudence interpreting either section is applicable [**8]  to both.'" </w:t>
      </w:r>
      <w:r>
        <w:rPr>
          <w:rFonts w:ascii="Arial" w:eastAsia="Arial" w:hAnsi="Arial" w:cs="Arial"/>
          <w:i/>
          <w:color w:val="000000"/>
          <w:sz w:val="20"/>
        </w:rPr>
        <w:t>Id.</w:t>
      </w:r>
      <w:r>
        <w:rPr>
          <w:rFonts w:ascii="Arial" w:eastAsia="Arial" w:hAnsi="Arial" w:cs="Arial"/>
          <w:color w:val="000000"/>
          <w:sz w:val="20"/>
        </w:rPr>
        <w:t xml:space="preserve"> (quoting </w:t>
      </w:r>
      <w:bookmarkStart w:id="7552" w:name="Bookmark_I5XXHYGN2HM5SN0010000400"/>
      <w:bookmarkEnd w:id="7552"/>
      <w:r>
        <w:rPr>
          <w:rFonts w:ascii="Arial" w:eastAsia="Arial" w:hAnsi="Arial" w:cs="Arial"/>
          <w:i/>
          <w:color w:val="000000"/>
          <w:sz w:val="20"/>
        </w:rPr>
        <w:t>Hainze v. Richards</w:t>
      </w:r>
      <w:r>
        <w:rPr>
          <w:rFonts w:ascii="Arial" w:eastAsia="Arial" w:hAnsi="Arial" w:cs="Arial"/>
          <w:color w:val="000000"/>
          <w:sz w:val="20"/>
        </w:rPr>
        <w:t>, 207 F.3d 795, 799 (5th Cir. 2000)).</w:t>
      </w:r>
      <w:r>
        <w:rPr>
          <w:rFonts w:ascii="Arial" w:eastAsia="Arial" w:hAnsi="Arial" w:cs="Arial"/>
          <w:vertAlign w:val="superscript"/>
        </w:rPr>
        <w:footnoteReference w:customMarkFollows="1" w:id="409"/>
        <w:t>1</w:t>
      </w:r>
    </w:p>
    <w:p w14:paraId="24810B46" w14:textId="77777777" w:rsidR="002B10A6" w:rsidRDefault="00000000">
      <w:pPr>
        <w:pStyle w:val="Normal41"/>
        <w:widowControl w:val="0"/>
        <w:spacing w:before="200" w:line="260" w:lineRule="atLeast"/>
        <w:jc w:val="both"/>
      </w:pPr>
      <w:bookmarkStart w:id="7557" w:name="Bookmark_para_16_29"/>
      <w:bookmarkStart w:id="7558" w:name="Bookmark_I5XXHYGN28T3V20030000400"/>
      <w:bookmarkStart w:id="7559" w:name="Bookmark_I5XXHYGN28T3V20050000400"/>
      <w:bookmarkStart w:id="7560" w:name="Bookmark_LNHNREFclscc4_30"/>
      <w:bookmarkEnd w:id="7557"/>
      <w:bookmarkEnd w:id="7558"/>
      <w:bookmarkEnd w:id="7559"/>
      <w:bookmarkEnd w:id="7560"/>
      <w:r>
        <w:rPr>
          <w:rFonts w:ascii="Arial" w:eastAsia="Arial" w:hAnsi="Arial" w:cs="Arial"/>
          <w:color w:val="000000"/>
          <w:sz w:val="20"/>
        </w:rPr>
        <w:t xml:space="preserve">To make out a </w:t>
      </w:r>
      <w:r>
        <w:rPr>
          <w:rFonts w:ascii="Arial" w:eastAsia="Arial" w:hAnsi="Arial" w:cs="Arial"/>
          <w:i/>
          <w:color w:val="000000"/>
          <w:sz w:val="20"/>
        </w:rPr>
        <w:t>prima facie</w:t>
      </w:r>
      <w:r>
        <w:rPr>
          <w:rFonts w:ascii="Arial" w:eastAsia="Arial" w:hAnsi="Arial" w:cs="Arial"/>
          <w:color w:val="000000"/>
          <w:sz w:val="20"/>
        </w:rPr>
        <w:t xml:space="preserve"> case under Title II or the Rehabilitation Act, a plaintiff must show "(1) that he is a qualified individual within the meaning of the ADA; (2) that he is being excluded from participation in, or being denied benefits of, services, programs, or activities for which the public entity is responsible, or is otherwise being discriminated against by the public entity; and (3) that such exclusion, denial of benefits, or discrimination is by reason of his disability." </w:t>
      </w:r>
      <w:bookmarkStart w:id="7561" w:name="Bookmark_I5XXHYGN28T3V20020000400"/>
      <w:bookmarkEnd w:id="7561"/>
      <w:r>
        <w:rPr>
          <w:rFonts w:ascii="Arial" w:eastAsia="Arial" w:hAnsi="Arial" w:cs="Arial"/>
          <w:i/>
          <w:color w:val="000000"/>
          <w:sz w:val="20"/>
        </w:rPr>
        <w:t>Melton v. Dallas Area Rapid Transit</w:t>
      </w:r>
      <w:r>
        <w:rPr>
          <w:rFonts w:ascii="Arial" w:eastAsia="Arial" w:hAnsi="Arial" w:cs="Arial"/>
          <w:color w:val="000000"/>
          <w:sz w:val="20"/>
        </w:rPr>
        <w:t xml:space="preserve">, 391 F.3d 669, 671-72 (5th Cir. 2004). </w:t>
      </w:r>
      <w:bookmarkStart w:id="7562" w:name="Bookmark_I5XXHYGP2D6MTW0010000400"/>
      <w:bookmarkEnd w:id="7562"/>
      <w:r>
        <w:rPr>
          <w:rFonts w:ascii="Arial" w:eastAsia="Arial" w:hAnsi="Arial" w:cs="Arial"/>
          <w:color w:val="000000"/>
          <w:sz w:val="20"/>
        </w:rPr>
        <w:t xml:space="preserve">"In addition to their respective prohibitions of disability-based discrimination, both the ADA and the Rehabilitation Act impose upon public entities an affirmative obligation to make reasonable accommodations for disabled individuals."  [*724]  </w:t>
      </w:r>
      <w:bookmarkStart w:id="7563" w:name="Bookmark_I5XXHYGN28T3V20040000400"/>
      <w:bookmarkEnd w:id="7563"/>
      <w:r>
        <w:rPr>
          <w:rFonts w:ascii="Arial" w:eastAsia="Arial" w:hAnsi="Arial" w:cs="Arial"/>
          <w:i/>
          <w:color w:val="000000"/>
          <w:sz w:val="20"/>
        </w:rPr>
        <w:t>Bennett-Nelson v. La. Bd. of Regents</w:t>
      </w:r>
      <w:r>
        <w:rPr>
          <w:rFonts w:ascii="Arial" w:eastAsia="Arial" w:hAnsi="Arial" w:cs="Arial"/>
          <w:color w:val="000000"/>
          <w:sz w:val="20"/>
        </w:rPr>
        <w:t xml:space="preserve">, 431 F.3d 448, 454 (5th Cir. 2005); </w:t>
      </w:r>
      <w:r>
        <w:rPr>
          <w:rFonts w:ascii="Arial" w:eastAsia="Arial" w:hAnsi="Arial" w:cs="Arial"/>
          <w:i/>
          <w:color w:val="000000"/>
          <w:sz w:val="20"/>
        </w:rPr>
        <w:t xml:space="preserve">see also </w:t>
      </w:r>
      <w:bookmarkStart w:id="7564" w:name="Bookmark_I5XXHYGP2HM5ST0010000400"/>
      <w:bookmarkEnd w:id="7564"/>
      <w:r>
        <w:rPr>
          <w:rFonts w:ascii="Arial" w:eastAsia="Arial" w:hAnsi="Arial" w:cs="Arial"/>
          <w:i/>
          <w:color w:val="000000"/>
          <w:sz w:val="20"/>
        </w:rPr>
        <w:t>Jin Choi v. Univ. of Tex. Health Sci. Ctr. at San Antonio</w:t>
      </w:r>
      <w:r>
        <w:rPr>
          <w:rFonts w:ascii="Arial" w:eastAsia="Arial" w:hAnsi="Arial" w:cs="Arial"/>
          <w:color w:val="000000"/>
          <w:sz w:val="20"/>
        </w:rPr>
        <w:t xml:space="preserve">, 633 Fed. App'x 214, 215 (5th Cir. 2015) (adapting the failure-to-accommodate standard from Title I to Title II); </w:t>
      </w:r>
      <w:bookmarkStart w:id="7565" w:name="Bookmark_I5XXHYGP2HM5ST0030000400"/>
      <w:bookmarkEnd w:id="7565"/>
      <w:r>
        <w:rPr>
          <w:rFonts w:ascii="Arial" w:eastAsia="Arial" w:hAnsi="Arial" w:cs="Arial"/>
          <w:i/>
          <w:color w:val="000000"/>
          <w:sz w:val="20"/>
        </w:rPr>
        <w:t>Ball v. LeBlanc</w:t>
      </w:r>
      <w:r>
        <w:rPr>
          <w:rFonts w:ascii="Arial" w:eastAsia="Arial" w:hAnsi="Arial" w:cs="Arial"/>
          <w:color w:val="000000"/>
          <w:sz w:val="20"/>
        </w:rPr>
        <w:t xml:space="preserve">, 792 F.3d 584, 596 n.9 (5th Cir. 2015) (same). </w:t>
      </w:r>
      <w:bookmarkStart w:id="7566" w:name="Bookmark_I5XXHYGP2D6MTW0050000400"/>
      <w:bookmarkEnd w:id="7566"/>
      <w:r>
        <w:rPr>
          <w:rFonts w:ascii="Arial" w:eastAsia="Arial" w:hAnsi="Arial" w:cs="Arial"/>
          <w:color w:val="000000"/>
          <w:sz w:val="20"/>
        </w:rPr>
        <w:t xml:space="preserve">For this type of claim, a plaintiff must show that the entity knew of the disability and its consequential limitations, either because the plaintiff requested an accommodation or because the nature of the limitation was open and obvious. </w:t>
      </w:r>
      <w:bookmarkStart w:id="7567" w:name="Bookmark_I5XXHYGP2D6MTW0050000400_2"/>
      <w:bookmarkStart w:id="7568" w:name="Bookmark_I5XXHYGP2D6MTW0010000400_2"/>
      <w:bookmarkStart w:id="7569" w:name="Bookmark_I5XXHYGP2HM5ST0050000400"/>
      <w:bookmarkEnd w:id="7567"/>
      <w:bookmarkEnd w:id="7568"/>
      <w:bookmarkEnd w:id="7569"/>
      <w:r>
        <w:rPr>
          <w:rFonts w:ascii="Arial" w:eastAsia="Arial" w:hAnsi="Arial" w:cs="Arial"/>
          <w:i/>
          <w:color w:val="000000"/>
          <w:sz w:val="20"/>
        </w:rPr>
        <w:t>Windham</w:t>
      </w:r>
      <w:r>
        <w:rPr>
          <w:rFonts w:ascii="Arial" w:eastAsia="Arial" w:hAnsi="Arial" w:cs="Arial"/>
          <w:color w:val="000000"/>
          <w:sz w:val="20"/>
        </w:rPr>
        <w:t xml:space="preserve">, 875 F.3d at 236-37 (citing </w:t>
      </w:r>
      <w:bookmarkStart w:id="7570" w:name="Bookmark_I5XXHYGP2D6MTW0020000400"/>
      <w:bookmarkEnd w:id="7570"/>
      <w:r>
        <w:rPr>
          <w:rFonts w:ascii="Arial" w:eastAsia="Arial" w:hAnsi="Arial" w:cs="Arial"/>
          <w:i/>
          <w:color w:val="000000"/>
          <w:sz w:val="20"/>
        </w:rPr>
        <w:t>Taylor v. Principal Fin. Grp., Inc.</w:t>
      </w:r>
      <w:r>
        <w:rPr>
          <w:rFonts w:ascii="Arial" w:eastAsia="Arial" w:hAnsi="Arial" w:cs="Arial"/>
          <w:color w:val="000000"/>
          <w:sz w:val="20"/>
        </w:rPr>
        <w:t xml:space="preserve">, 93 F.3d 155, 164 (5th Cir. 1996)). A plaintiff's requested accommodation must also be "reasonable," meaning that it does not impose undue [**9]  financial or administrative burdens or "fundamentally alter the nature of the service, program, or activity." 28 C.F.R. § 35.130(b)(7); </w:t>
      </w:r>
      <w:r>
        <w:rPr>
          <w:rFonts w:ascii="Arial" w:eastAsia="Arial" w:hAnsi="Arial" w:cs="Arial"/>
          <w:i/>
          <w:color w:val="000000"/>
          <w:sz w:val="20"/>
        </w:rPr>
        <w:t xml:space="preserve">see also </w:t>
      </w:r>
      <w:bookmarkStart w:id="7571" w:name="Bookmark_I5XXHYGP2D6MTW0040000400"/>
      <w:bookmarkEnd w:id="7571"/>
      <w:r>
        <w:rPr>
          <w:rFonts w:ascii="Arial" w:eastAsia="Arial" w:hAnsi="Arial" w:cs="Arial"/>
          <w:i/>
          <w:color w:val="000000"/>
          <w:sz w:val="20"/>
        </w:rPr>
        <w:t>Frame v. City of Arlington</w:t>
      </w:r>
      <w:r>
        <w:rPr>
          <w:rFonts w:ascii="Arial" w:eastAsia="Arial" w:hAnsi="Arial" w:cs="Arial"/>
          <w:color w:val="000000"/>
          <w:sz w:val="20"/>
        </w:rPr>
        <w:t>, 657 F.3d 215, 232 (5th Cir. 2011) (en banc).</w:t>
      </w:r>
    </w:p>
    <w:p w14:paraId="059A33CE" w14:textId="77777777" w:rsidR="002B10A6" w:rsidRDefault="00000000">
      <w:pPr>
        <w:pStyle w:val="Normal41"/>
        <w:widowControl w:val="0"/>
        <w:spacing w:before="200" w:line="260" w:lineRule="atLeast"/>
        <w:jc w:val="both"/>
      </w:pPr>
      <w:bookmarkStart w:id="7572" w:name="Bookmark_para_17_29"/>
      <w:bookmarkStart w:id="7573" w:name="Bookmark_I5XXHYGR2N1RCJ0020000400"/>
      <w:bookmarkStart w:id="7574" w:name="Bookmark_I5XXHYGR2N1RCJ0040000400"/>
      <w:bookmarkStart w:id="7575" w:name="Bookmark_LNHNREFclscc5_29"/>
      <w:bookmarkEnd w:id="7572"/>
      <w:bookmarkEnd w:id="7573"/>
      <w:bookmarkEnd w:id="7574"/>
      <w:bookmarkEnd w:id="7575"/>
      <w:r>
        <w:rPr>
          <w:rFonts w:ascii="Arial" w:eastAsia="Arial" w:hAnsi="Arial" w:cs="Arial"/>
          <w:color w:val="000000"/>
          <w:sz w:val="20"/>
        </w:rPr>
        <w:t>Finally, to recover compensatory damages, a plaintiff must also prove that the discrimination was intentional.</w:t>
      </w:r>
      <w:r>
        <w:rPr>
          <w:rFonts w:ascii="Arial" w:eastAsia="Arial" w:hAnsi="Arial" w:cs="Arial"/>
          <w:vertAlign w:val="superscript"/>
        </w:rPr>
        <w:footnoteReference w:customMarkFollows="1" w:id="410"/>
        <w:t>2</w:t>
      </w:r>
      <w:r>
        <w:rPr>
          <w:rFonts w:ascii="Arial" w:eastAsia="Arial" w:hAnsi="Arial" w:cs="Arial"/>
          <w:color w:val="000000"/>
          <w:sz w:val="20"/>
        </w:rPr>
        <w:t xml:space="preserve"> </w:t>
      </w:r>
      <w:bookmarkStart w:id="7577" w:name="Bookmark_I5XXHYGR2N1RCJ0010000400"/>
      <w:bookmarkEnd w:id="7577"/>
      <w:r>
        <w:rPr>
          <w:rFonts w:ascii="Arial" w:eastAsia="Arial" w:hAnsi="Arial" w:cs="Arial"/>
          <w:i/>
          <w:color w:val="000000"/>
          <w:sz w:val="20"/>
        </w:rPr>
        <w:t>Delano-Pyle</w:t>
      </w:r>
      <w:r>
        <w:rPr>
          <w:rFonts w:ascii="Arial" w:eastAsia="Arial" w:hAnsi="Arial" w:cs="Arial"/>
          <w:color w:val="000000"/>
          <w:sz w:val="20"/>
        </w:rPr>
        <w:t xml:space="preserve">, 302 F.3d at 574. This court has hesitated to "delineate the precise contours" of the standard for showing intentionality. </w:t>
      </w:r>
      <w:bookmarkStart w:id="7578" w:name="Bookmark_I5XXHYGR2SF89P0010000400"/>
      <w:bookmarkStart w:id="7579" w:name="Bookmark_I5XXHYGR2N1RCJ0030000400"/>
      <w:bookmarkEnd w:id="7578"/>
      <w:bookmarkEnd w:id="7579"/>
      <w:r>
        <w:rPr>
          <w:rFonts w:ascii="Arial" w:eastAsia="Arial" w:hAnsi="Arial" w:cs="Arial"/>
          <w:i/>
          <w:color w:val="000000"/>
          <w:sz w:val="20"/>
        </w:rPr>
        <w:t>Miraglia v. Bd. of Supervisors of La. State Museum</w:t>
      </w:r>
      <w:r>
        <w:rPr>
          <w:rFonts w:ascii="Arial" w:eastAsia="Arial" w:hAnsi="Arial" w:cs="Arial"/>
          <w:color w:val="000000"/>
          <w:sz w:val="20"/>
        </w:rPr>
        <w:t xml:space="preserve">, 901 F.3d 565, 575 (5th Cir. 2018). </w:t>
      </w:r>
      <w:bookmarkStart w:id="7580" w:name="Bookmark_I5XXHYGR2SF89P0010000400_2"/>
      <w:bookmarkEnd w:id="7580"/>
      <w:r>
        <w:rPr>
          <w:rFonts w:ascii="Arial" w:eastAsia="Arial" w:hAnsi="Arial" w:cs="Arial"/>
          <w:color w:val="000000"/>
          <w:sz w:val="20"/>
        </w:rPr>
        <w:t xml:space="preserve">But the cases to have touched on the issue require "something more than 'deliberate indifference,'" despite most other circuits defining the requirement as equivalent to deliberate indifference. </w:t>
      </w:r>
      <w:bookmarkStart w:id="7581" w:name="Bookmark_I5XXHYGR2SF89P0030000400"/>
      <w:bookmarkEnd w:id="7581"/>
      <w:r>
        <w:rPr>
          <w:rFonts w:ascii="Arial" w:eastAsia="Arial" w:hAnsi="Arial" w:cs="Arial"/>
          <w:i/>
          <w:color w:val="000000"/>
          <w:sz w:val="20"/>
        </w:rPr>
        <w:t>Id.</w:t>
      </w:r>
      <w:r>
        <w:rPr>
          <w:rFonts w:ascii="Arial" w:eastAsia="Arial" w:hAnsi="Arial" w:cs="Arial"/>
          <w:color w:val="000000"/>
          <w:sz w:val="20"/>
        </w:rPr>
        <w:t xml:space="preserve"> (quoting </w:t>
      </w:r>
      <w:bookmarkStart w:id="7582" w:name="Bookmark_I5XXHYGR2N1RCJ0050000400"/>
      <w:bookmarkEnd w:id="7582"/>
      <w:r>
        <w:rPr>
          <w:rFonts w:ascii="Arial" w:eastAsia="Arial" w:hAnsi="Arial" w:cs="Arial"/>
          <w:i/>
          <w:color w:val="000000"/>
          <w:sz w:val="20"/>
        </w:rPr>
        <w:t>Delano-Pyle</w:t>
      </w:r>
      <w:r>
        <w:rPr>
          <w:rFonts w:ascii="Arial" w:eastAsia="Arial" w:hAnsi="Arial" w:cs="Arial"/>
          <w:color w:val="000000"/>
          <w:sz w:val="20"/>
        </w:rPr>
        <w:t xml:space="preserve">, 302 F.3d at 575). </w:t>
      </w:r>
      <w:bookmarkStart w:id="7583" w:name="Bookmark_I5XXHYGR2SF89P0030000400_2"/>
      <w:bookmarkEnd w:id="7583"/>
      <w:r>
        <w:rPr>
          <w:rFonts w:ascii="Arial" w:eastAsia="Arial" w:hAnsi="Arial" w:cs="Arial"/>
          <w:color w:val="000000"/>
          <w:sz w:val="20"/>
        </w:rPr>
        <w:t xml:space="preserve">In practice, this court has affirmed a finding of intentional discrimination when a county deputy knew that a hearing-impaired suspect could not understand him, rendering his chosen method of communication ineffective, and the deputy made no attempt to adapt. </w:t>
      </w:r>
      <w:bookmarkStart w:id="7584" w:name="Bookmark_I5XXHYGR2SF89P0050000400"/>
      <w:bookmarkStart w:id="7585" w:name="Bookmark_I5XXHYGR2SF89P0020000400"/>
      <w:bookmarkEnd w:id="7584"/>
      <w:bookmarkEnd w:id="7585"/>
      <w:r>
        <w:rPr>
          <w:rFonts w:ascii="Arial" w:eastAsia="Arial" w:hAnsi="Arial" w:cs="Arial"/>
          <w:i/>
          <w:color w:val="000000"/>
          <w:sz w:val="20"/>
        </w:rPr>
        <w:t>Delano-Pyle</w:t>
      </w:r>
      <w:r>
        <w:rPr>
          <w:rFonts w:ascii="Arial" w:eastAsia="Arial" w:hAnsi="Arial" w:cs="Arial"/>
          <w:color w:val="000000"/>
          <w:sz w:val="20"/>
        </w:rPr>
        <w:t xml:space="preserve">, 302 F.3d at 575-76. </w:t>
      </w:r>
      <w:bookmarkStart w:id="7586" w:name="Bookmark_I5XXHYGR2SF89P0050000400_2"/>
      <w:bookmarkEnd w:id="7586"/>
      <w:r>
        <w:rPr>
          <w:rFonts w:ascii="Arial" w:eastAsia="Arial" w:hAnsi="Arial" w:cs="Arial"/>
          <w:color w:val="000000"/>
          <w:sz w:val="20"/>
        </w:rPr>
        <w:t xml:space="preserve">The court has also found that a plaintiff created a genuine dispute as to intentional discrimination when the evidence indicated that "on several occasions, an interpreter was requested but not provided," and one of the forms of communication that a hospital used to speak with a hearing-impaired patient was often ineffective. </w:t>
      </w:r>
      <w:bookmarkStart w:id="7587" w:name="Bookmark_I5XXHYGR2SF89P0040000400"/>
      <w:bookmarkEnd w:id="7587"/>
      <w:r>
        <w:rPr>
          <w:rFonts w:ascii="Arial" w:eastAsia="Arial" w:hAnsi="Arial" w:cs="Arial"/>
          <w:i/>
          <w:color w:val="000000"/>
          <w:sz w:val="20"/>
        </w:rPr>
        <w:t>Perez v. Doctors Hosp. at Renaissance, Ltd.</w:t>
      </w:r>
      <w:r>
        <w:rPr>
          <w:rFonts w:ascii="Arial" w:eastAsia="Arial" w:hAnsi="Arial" w:cs="Arial"/>
          <w:color w:val="000000"/>
          <w:sz w:val="20"/>
        </w:rPr>
        <w:t>, 624 F. App'x 180, 185 (5th Cir. 2015).</w:t>
      </w:r>
    </w:p>
    <w:p w14:paraId="07C2223B" w14:textId="77777777" w:rsidR="002B10A6" w:rsidRDefault="00000000">
      <w:pPr>
        <w:pStyle w:val="Normal41"/>
        <w:widowControl w:val="0"/>
        <w:spacing w:before="200" w:line="260" w:lineRule="atLeast"/>
        <w:jc w:val="both"/>
      </w:pPr>
      <w:bookmarkStart w:id="7588" w:name="Bookmark_para_18_28"/>
      <w:bookmarkStart w:id="7589" w:name="Bookmark_I5XXHYGR28T3V80020000400"/>
      <w:bookmarkStart w:id="7590" w:name="Bookmark_I5XXHYGR28T3V80040000400"/>
      <w:bookmarkEnd w:id="7588"/>
      <w:bookmarkEnd w:id="7589"/>
      <w:bookmarkEnd w:id="7590"/>
      <w:r>
        <w:rPr>
          <w:rFonts w:ascii="Arial" w:eastAsia="Arial" w:hAnsi="Arial" w:cs="Arial"/>
          <w:color w:val="000000"/>
          <w:sz w:val="20"/>
        </w:rPr>
        <w:t xml:space="preserve">There is no dispute that Cadena was a qualifying [**10]  individual under the ADA. And </w:t>
      </w:r>
      <w:bookmarkStart w:id="7591" w:name="Bookmark_LNHNREFclscc6_27"/>
      <w:bookmarkEnd w:id="7591"/>
      <w:r>
        <w:rPr>
          <w:rFonts w:ascii="Arial" w:eastAsia="Arial" w:hAnsi="Arial" w:cs="Arial"/>
          <w:color w:val="000000"/>
          <w:sz w:val="20"/>
        </w:rPr>
        <w:t xml:space="preserve">a disabled inmate's right to mobility within a prison is well-established. </w:t>
      </w:r>
      <w:r>
        <w:rPr>
          <w:rFonts w:ascii="Arial" w:eastAsia="Arial" w:hAnsi="Arial" w:cs="Arial"/>
          <w:i/>
          <w:color w:val="000000"/>
          <w:sz w:val="20"/>
        </w:rPr>
        <w:t xml:space="preserve">See </w:t>
      </w:r>
      <w:bookmarkStart w:id="7592" w:name="Bookmark_I5XXHYGR28T3V80010000400"/>
      <w:bookmarkEnd w:id="7592"/>
      <w:r>
        <w:rPr>
          <w:rFonts w:ascii="Arial" w:eastAsia="Arial" w:hAnsi="Arial" w:cs="Arial"/>
          <w:i/>
          <w:color w:val="000000"/>
          <w:sz w:val="20"/>
        </w:rPr>
        <w:t>United States v. Georgia</w:t>
      </w:r>
      <w:r>
        <w:rPr>
          <w:rFonts w:ascii="Arial" w:eastAsia="Arial" w:hAnsi="Arial" w:cs="Arial"/>
          <w:color w:val="000000"/>
          <w:sz w:val="20"/>
        </w:rPr>
        <w:t xml:space="preserve">, 546 U.S. 151, 157, 126 S. Ct. 877, 163 L. Ed. 2d 650 (2006) ("[I]t is quite plausible that the alleged deliberate refusal of prison officials to accommodate [the plaintiff's] disability-related needs in such fundamentals as mobility . . . constituted 'exclu[sion] from participation in or ... deni[al of] the benefits of' the prison's 'services, programs, or activities.'" (quoting 42 U.S.C. § 12132)). </w:t>
      </w:r>
      <w:r>
        <w:rPr>
          <w:rFonts w:ascii="Arial" w:eastAsia="Arial" w:hAnsi="Arial" w:cs="Arial"/>
          <w:i/>
          <w:color w:val="000000"/>
          <w:sz w:val="20"/>
        </w:rPr>
        <w:t xml:space="preserve">Cf. </w:t>
      </w:r>
      <w:bookmarkStart w:id="7593" w:name="Bookmark_I5XXHYGR28T3V80030000400"/>
      <w:bookmarkEnd w:id="7593"/>
      <w:r>
        <w:rPr>
          <w:rFonts w:ascii="Arial" w:eastAsia="Arial" w:hAnsi="Arial" w:cs="Arial"/>
          <w:i/>
          <w:color w:val="000000"/>
          <w:sz w:val="20"/>
        </w:rPr>
        <w:t>Frame</w:t>
      </w:r>
      <w:r>
        <w:rPr>
          <w:rFonts w:ascii="Arial" w:eastAsia="Arial" w:hAnsi="Arial" w:cs="Arial"/>
          <w:color w:val="000000"/>
          <w:sz w:val="20"/>
        </w:rPr>
        <w:t>, 657 F.3d at 231 (reaffirming that public entities must make reasonable accommodations for mobility-impaired individuals). Cadena repeatedly requested various types of accommodations, and her disability was open and obvious. Therefore, the County was obligated to provide Cadena with reasonable accommodations that allowed her to access its services. Cadena has pointed to several different types of requests that the County denied. A reasonable jury could find that some, or all, of these requests were reasonable, and that the County violated the ADA by refusing to accommodate Cadena.</w:t>
      </w:r>
    </w:p>
    <w:p w14:paraId="3DA7F458" w14:textId="77777777" w:rsidR="002B10A6" w:rsidRDefault="00000000">
      <w:pPr>
        <w:pStyle w:val="Normal41"/>
        <w:widowControl w:val="0"/>
        <w:spacing w:before="200" w:line="260" w:lineRule="atLeast"/>
        <w:jc w:val="both"/>
      </w:pPr>
      <w:bookmarkStart w:id="7594" w:name="Bookmark_para_19_27"/>
      <w:bookmarkEnd w:id="7594"/>
      <w:r>
        <w:rPr>
          <w:rFonts w:ascii="Arial" w:eastAsia="Arial" w:hAnsi="Arial" w:cs="Arial"/>
          <w:color w:val="000000"/>
          <w:sz w:val="20"/>
        </w:rPr>
        <w:t xml:space="preserve"> [*725]  </w:t>
      </w:r>
      <w:bookmarkStart w:id="7595" w:name="Bookmark_I5XXHYGT2D6MV50010000400"/>
      <w:bookmarkStart w:id="7596" w:name="Bookmark_I5XXHYGT2D6MV50030000400"/>
      <w:bookmarkEnd w:id="7595"/>
      <w:bookmarkEnd w:id="7596"/>
      <w:r>
        <w:rPr>
          <w:rFonts w:ascii="Arial" w:eastAsia="Arial" w:hAnsi="Arial" w:cs="Arial"/>
          <w:color w:val="000000"/>
          <w:sz w:val="20"/>
        </w:rPr>
        <w:t xml:space="preserve">Viewing the facts in the light most favorable to Cadena, the County provided Cadena with crutches, but it denied her other accommodations, such as a wheelchair, a modified food delivery procedure, [**11]  and various forms of medical care. The County is not required to acquiesce to Cadena's choice of accommodations merely because Cadena requested them. </w:t>
      </w:r>
      <w:r>
        <w:rPr>
          <w:rFonts w:ascii="Arial" w:eastAsia="Arial" w:hAnsi="Arial" w:cs="Arial"/>
          <w:i/>
          <w:color w:val="000000"/>
          <w:sz w:val="20"/>
        </w:rPr>
        <w:t xml:space="preserve">See </w:t>
      </w:r>
      <w:bookmarkStart w:id="7597" w:name="Bookmark_I5XXHYGR28T3V80050000400"/>
      <w:bookmarkEnd w:id="7597"/>
      <w:r>
        <w:rPr>
          <w:rFonts w:ascii="Arial" w:eastAsia="Arial" w:hAnsi="Arial" w:cs="Arial"/>
          <w:i/>
          <w:color w:val="000000"/>
          <w:sz w:val="20"/>
        </w:rPr>
        <w:t>Wells v. Thaler</w:t>
      </w:r>
      <w:r>
        <w:rPr>
          <w:rFonts w:ascii="Arial" w:eastAsia="Arial" w:hAnsi="Arial" w:cs="Arial"/>
          <w:color w:val="000000"/>
          <w:sz w:val="20"/>
        </w:rPr>
        <w:t xml:space="preserve">, 460 F. App'x 303, 313 (5th Cir. 2012) ("[W]e accord the officials at [prisons] deference in their determination of an appropriate accommodation."). But it is required to provide her with reasonable accommodations that give "meaningful access to the benefit that the grantee offers" without posing an undue burden to the County. </w:t>
      </w:r>
      <w:bookmarkStart w:id="7598" w:name="Bookmark_I5XXHYGT2D6MV50020000400"/>
      <w:bookmarkEnd w:id="7598"/>
      <w:r>
        <w:rPr>
          <w:rFonts w:ascii="Arial" w:eastAsia="Arial" w:hAnsi="Arial" w:cs="Arial"/>
          <w:i/>
          <w:color w:val="000000"/>
          <w:sz w:val="20"/>
        </w:rPr>
        <w:t>Alexander v. Choate</w:t>
      </w:r>
      <w:r>
        <w:rPr>
          <w:rFonts w:ascii="Arial" w:eastAsia="Arial" w:hAnsi="Arial" w:cs="Arial"/>
          <w:color w:val="000000"/>
          <w:sz w:val="20"/>
        </w:rPr>
        <w:t>, 469 U.S. 287, 301, 105 S. Ct. 712, 83 L. Ed. 2d 661 (1985). Providing an individual with a broken leg with crutches may reasonably accommodate most individuals with this disability. But here, a jury could find that crutches did not provide Cadena with meaningful access to the County's services, in part because she could not safely ambulate within the facility on crutches. Cadena testified that she could not walk with crutches, and she informed the staff that she needed a wheelchair at least three times. Further, Officer Davila testified that she witnessed Cadena fall as she attempted to use crutches, and Cadena's treating physician from Providence indicated that Cadena "will not be a candidate for crutches . . . and will have to be discharged with a wheelchair."</w:t>
      </w:r>
    </w:p>
    <w:p w14:paraId="6F55B5AC" w14:textId="77777777" w:rsidR="002B10A6" w:rsidRDefault="00000000">
      <w:pPr>
        <w:pStyle w:val="Normal41"/>
        <w:widowControl w:val="0"/>
        <w:spacing w:before="200" w:line="260" w:lineRule="atLeast"/>
        <w:jc w:val="both"/>
      </w:pPr>
      <w:bookmarkStart w:id="7599" w:name="Bookmark_para_20_27"/>
      <w:bookmarkEnd w:id="7599"/>
      <w:r>
        <w:rPr>
          <w:rFonts w:ascii="Arial" w:eastAsia="Arial" w:hAnsi="Arial" w:cs="Arial"/>
          <w:color w:val="000000"/>
          <w:sz w:val="20"/>
        </w:rPr>
        <w:t>A related accommodation that Cadena requested [**12]  was that the County use an alternative process to deliver her food to her. Even if crutches were a reasonable accommodation, a jury could find that the County violated the ADA by forcing Cadena to carry a tray of food while using crutches. In the moments leading up to Cadena's fall, Cadena testified that she was attempting to carry her crutches and a tray full of food despite surgery to her right leg days earlier. Cadena testified that she told Officer Davila, the same officer who had seen her fall while using crutches a few days earlier, that she needed help transporting her tray because of her crutches. She testified that Davila "kept on telling [Cadena] that [she] had to come out of [her] room and get it" despite Cadena's requests. A jury could find that the County's mandate that Cadena walk with crutches while holding a tray of food in order to eat violated the ADA. Thus, taken together, Cadena's requested accommodations and the County's refusal to provide them create material disputes of fact as to whether the County violated the ADA.</w:t>
      </w:r>
    </w:p>
    <w:p w14:paraId="4627824B" w14:textId="77777777" w:rsidR="002B10A6" w:rsidRDefault="00000000">
      <w:pPr>
        <w:pStyle w:val="Normal41"/>
        <w:widowControl w:val="0"/>
        <w:spacing w:before="200" w:line="260" w:lineRule="atLeast"/>
        <w:jc w:val="both"/>
      </w:pPr>
      <w:bookmarkStart w:id="7600" w:name="Bookmark_para_21_27"/>
      <w:bookmarkStart w:id="7601" w:name="Bookmark_I5XXHYGT2D6MV50050000400"/>
      <w:bookmarkStart w:id="7602" w:name="Bookmark_I5XXHYGV28T3VM0020000400"/>
      <w:bookmarkEnd w:id="7600"/>
      <w:bookmarkEnd w:id="7601"/>
      <w:bookmarkEnd w:id="7602"/>
      <w:r>
        <w:rPr>
          <w:rFonts w:ascii="Arial" w:eastAsia="Arial" w:hAnsi="Arial" w:cs="Arial"/>
          <w:color w:val="000000"/>
          <w:sz w:val="20"/>
        </w:rPr>
        <w:t xml:space="preserve">The district court did not credit Cadena's testimony about the County's refusal to modify food delivery procedures, citing a rule that self-serving [**13]  testimony does not create a material dispute of fact. It is true that </w:t>
      </w:r>
      <w:bookmarkStart w:id="7603" w:name="Bookmark_LNHNREFclscc7_25"/>
      <w:bookmarkEnd w:id="7603"/>
      <w:r>
        <w:rPr>
          <w:rFonts w:ascii="Arial" w:eastAsia="Arial" w:hAnsi="Arial" w:cs="Arial"/>
          <w:color w:val="000000"/>
          <w:sz w:val="20"/>
        </w:rPr>
        <w:t xml:space="preserve">affidavits setting forth ultimate or conclusory facts and conclusions of law are insufficient to either support or defeat a motion for summary judgment. </w:t>
      </w:r>
      <w:bookmarkStart w:id="7604" w:name="Bookmark_I5XXHYGT2D6MV50040000400"/>
      <w:bookmarkEnd w:id="7604"/>
      <w:r>
        <w:rPr>
          <w:rFonts w:ascii="Arial" w:eastAsia="Arial" w:hAnsi="Arial" w:cs="Arial"/>
          <w:i/>
          <w:color w:val="000000"/>
          <w:sz w:val="20"/>
        </w:rPr>
        <w:t>Galindo v. Precision Am. Corp.</w:t>
      </w:r>
      <w:r>
        <w:rPr>
          <w:rFonts w:ascii="Arial" w:eastAsia="Arial" w:hAnsi="Arial" w:cs="Arial"/>
          <w:color w:val="000000"/>
          <w:sz w:val="20"/>
        </w:rPr>
        <w:t xml:space="preserve">, 754 F.2d 1212, 1216 (5th Cir. 1985). But Cadena's detailed deposition testimony, which is largely unrefuted and consistent with other sources, such as Officer Davila's testimony and her medical records, cannot be classified as the type of "vague" and "conclusory" evidence that fails to create a dispute of material fact. </w:t>
      </w:r>
      <w:bookmarkStart w:id="7605" w:name="Bookmark_I5XXHYGV28T3VM0010000400"/>
      <w:bookmarkEnd w:id="7605"/>
      <w:r>
        <w:rPr>
          <w:rFonts w:ascii="Arial" w:eastAsia="Arial" w:hAnsi="Arial" w:cs="Arial"/>
          <w:i/>
          <w:color w:val="000000"/>
          <w:sz w:val="20"/>
        </w:rPr>
        <w:t>Kariuki v. Tarango</w:t>
      </w:r>
      <w:r>
        <w:rPr>
          <w:rFonts w:ascii="Arial" w:eastAsia="Arial" w:hAnsi="Arial" w:cs="Arial"/>
          <w:color w:val="000000"/>
          <w:sz w:val="20"/>
        </w:rPr>
        <w:t xml:space="preserve">, 709 F.3d 495, 505 (5th Cir. 2013). </w:t>
      </w:r>
      <w:bookmarkStart w:id="7606" w:name="Bookmark_I5XXHYGV28T3VM0040000400"/>
      <w:bookmarkEnd w:id="7606"/>
      <w:r>
        <w:rPr>
          <w:rFonts w:ascii="Arial" w:eastAsia="Arial" w:hAnsi="Arial" w:cs="Arial"/>
          <w:color w:val="000000"/>
          <w:sz w:val="20"/>
        </w:rPr>
        <w:t xml:space="preserve">Rule 56 allows the use of deposition testimony to show that a fact is genuinely disputed. Fed. R. Civ. P. 56(c)(1)(A). "[A]t the summary judgment stage[,] the judge's function is not himself to weigh the evidence and determine the truth of the matter but to determine whether there is a genuine issue for trial." </w:t>
      </w:r>
      <w:bookmarkStart w:id="7607" w:name="Bookmark_I5XXHYGV28T3VM0030000400"/>
      <w:bookmarkEnd w:id="7607"/>
      <w:r>
        <w:rPr>
          <w:rFonts w:ascii="Arial" w:eastAsia="Arial" w:hAnsi="Arial" w:cs="Arial"/>
          <w:i/>
          <w:color w:val="000000"/>
          <w:sz w:val="20"/>
        </w:rPr>
        <w:t>Anderson v. Liberty Lobby, Inc.</w:t>
      </w:r>
      <w:r>
        <w:rPr>
          <w:rFonts w:ascii="Arial" w:eastAsia="Arial" w:hAnsi="Arial" w:cs="Arial"/>
          <w:color w:val="000000"/>
          <w:sz w:val="20"/>
        </w:rPr>
        <w:t>, 477 U.S. 242, 249, 106 S. Ct. 2505, 91 L. Ed. 2d 202 (1986). There is no evidence [*726]  that Cadena's testimony is in bad faith or is contradictory. Indeed, Cadena's testimony is not the only evidence of her fall. Officer Real testified that she found Cadena "just laying on the floor, and there was a plate of food." Cadena's testimony therefore creates a material dispute as to whether the County denied Cadena a reasonable accommodation when it refused to modify the food [**14]  delivery procedure.</w:t>
      </w:r>
    </w:p>
    <w:p w14:paraId="74BE45FE" w14:textId="77777777" w:rsidR="002B10A6" w:rsidRDefault="00000000">
      <w:pPr>
        <w:pStyle w:val="Normal41"/>
        <w:widowControl w:val="0"/>
        <w:spacing w:before="200" w:line="260" w:lineRule="atLeast"/>
        <w:jc w:val="both"/>
      </w:pPr>
      <w:bookmarkStart w:id="7608" w:name="Bookmark_para_22_26"/>
      <w:bookmarkEnd w:id="7608"/>
      <w:r>
        <w:rPr>
          <w:rFonts w:ascii="Arial" w:eastAsia="Arial" w:hAnsi="Arial" w:cs="Arial"/>
          <w:color w:val="000000"/>
          <w:sz w:val="20"/>
        </w:rPr>
        <w:t>Although a closer question, a jury could also reasonably determine that the County's refusal to accommodate Cadena constituted intentional discrimination. Cadena was admitted in a wheelchair, which she contends was taken away by jail staff. A few hours later, she attempted to walk on crutches in the presence of two County employees and was too unstable to do so. The record shows that the employees were aware that the crutches were unsafe because they obtained a wheelchair and wheeled Cadena the rest of the way to the clinic. And two days later, the County medical staff agreed that Cadena required a wheelchair. Further, Cadena testified that, once at the clinic, she requested a wheelchair, but the nurse who saw her denied the request because the facility did not have space for a person in a wheelchair. Finally, the same employee who had seen Cadena fall while using crutches two days earlier then required Cadena to not only use crutches, but also to carry a tray on crutches, in order to eat.</w:t>
      </w:r>
    </w:p>
    <w:p w14:paraId="42901DCE" w14:textId="77777777" w:rsidR="002B10A6" w:rsidRDefault="00000000">
      <w:pPr>
        <w:pStyle w:val="Normal41"/>
        <w:widowControl w:val="0"/>
        <w:spacing w:before="200" w:line="260" w:lineRule="atLeast"/>
        <w:jc w:val="both"/>
      </w:pPr>
      <w:bookmarkStart w:id="7609" w:name="Bookmark_para_23_24"/>
      <w:bookmarkStart w:id="7610" w:name="Bookmark_I5C70BNXWYD0000BMH000004"/>
      <w:bookmarkStart w:id="7611" w:name="Bookmark_I5C70BNY2590000BMH000005"/>
      <w:bookmarkStart w:id="7612" w:name="Bookmark_I5XXHYGV2HM5TC0010000400"/>
      <w:bookmarkEnd w:id="7609"/>
      <w:bookmarkEnd w:id="7610"/>
      <w:bookmarkEnd w:id="7611"/>
      <w:bookmarkEnd w:id="7612"/>
      <w:r>
        <w:rPr>
          <w:rFonts w:ascii="Arial" w:eastAsia="Arial" w:hAnsi="Arial" w:cs="Arial"/>
          <w:color w:val="000000"/>
          <w:sz w:val="20"/>
        </w:rPr>
        <w:t xml:space="preserve">These facts are analogous to those in </w:t>
      </w:r>
      <w:r>
        <w:rPr>
          <w:rFonts w:ascii="Arial" w:eastAsia="Arial" w:hAnsi="Arial" w:cs="Arial"/>
          <w:i/>
          <w:color w:val="000000"/>
          <w:sz w:val="20"/>
        </w:rPr>
        <w:t>Delano-Pyle</w:t>
      </w:r>
      <w:r>
        <w:rPr>
          <w:rFonts w:ascii="Arial" w:eastAsia="Arial" w:hAnsi="Arial" w:cs="Arial"/>
          <w:color w:val="000000"/>
          <w:sz w:val="20"/>
        </w:rPr>
        <w:t xml:space="preserve"> and </w:t>
      </w:r>
      <w:r>
        <w:rPr>
          <w:rFonts w:ascii="Arial" w:eastAsia="Arial" w:hAnsi="Arial" w:cs="Arial"/>
          <w:i/>
          <w:color w:val="000000"/>
          <w:sz w:val="20"/>
        </w:rPr>
        <w:t>Perez</w:t>
      </w:r>
      <w:r>
        <w:rPr>
          <w:rFonts w:ascii="Arial" w:eastAsia="Arial" w:hAnsi="Arial" w:cs="Arial"/>
          <w:color w:val="000000"/>
          <w:sz w:val="20"/>
        </w:rPr>
        <w:t xml:space="preserve">, in which defendants continued to refuse the requested accommodation despite indications that further accommodation was [**15]  necessary. </w:t>
      </w:r>
      <w:bookmarkStart w:id="7613" w:name="Bookmark_I5C70BNY64G0000BMH000006"/>
      <w:bookmarkStart w:id="7614" w:name="Bookmark_I5XXHYGV2HM5TC0050000400"/>
      <w:bookmarkStart w:id="7615" w:name="Bookmark_I5XXHYGV28T3VM0050000400"/>
      <w:bookmarkEnd w:id="7613"/>
      <w:bookmarkEnd w:id="7614"/>
      <w:bookmarkEnd w:id="7615"/>
      <w:r>
        <w:rPr>
          <w:rFonts w:ascii="Arial" w:eastAsia="Arial" w:hAnsi="Arial" w:cs="Arial"/>
          <w:i/>
          <w:color w:val="000000"/>
          <w:sz w:val="20"/>
        </w:rPr>
        <w:t>Delano-Pyle</w:t>
      </w:r>
      <w:r>
        <w:rPr>
          <w:rFonts w:ascii="Arial" w:eastAsia="Arial" w:hAnsi="Arial" w:cs="Arial"/>
          <w:color w:val="000000"/>
          <w:sz w:val="20"/>
        </w:rPr>
        <w:t xml:space="preserve">, 302 F.3d at 575-76; </w:t>
      </w:r>
      <w:bookmarkStart w:id="7616" w:name="Bookmark_I5XXHYGV2HM5TC0020000400"/>
      <w:bookmarkEnd w:id="7616"/>
      <w:r>
        <w:rPr>
          <w:rFonts w:ascii="Arial" w:eastAsia="Arial" w:hAnsi="Arial" w:cs="Arial"/>
          <w:i/>
          <w:color w:val="000000"/>
          <w:sz w:val="20"/>
        </w:rPr>
        <w:t>Perez</w:t>
      </w:r>
      <w:r>
        <w:rPr>
          <w:rFonts w:ascii="Arial" w:eastAsia="Arial" w:hAnsi="Arial" w:cs="Arial"/>
          <w:color w:val="000000"/>
          <w:sz w:val="20"/>
        </w:rPr>
        <w:t xml:space="preserve">, 624 F. App'x at 185. By contrast, this was not a situation in which there was "confusion amongst the . . . staff as to the procedure for" obtaining the requested accommodations. </w:t>
      </w:r>
      <w:bookmarkStart w:id="7617" w:name="Bookmark_I5XXHYGV2HM5TC0050000400_2"/>
      <w:bookmarkStart w:id="7618" w:name="Bookmark_I5XXHYGV2HM5TC0040000400"/>
      <w:bookmarkEnd w:id="7617"/>
      <w:bookmarkEnd w:id="7618"/>
      <w:r>
        <w:rPr>
          <w:rFonts w:ascii="Arial" w:eastAsia="Arial" w:hAnsi="Arial" w:cs="Arial"/>
          <w:i/>
          <w:color w:val="000000"/>
          <w:sz w:val="20"/>
        </w:rPr>
        <w:t>Back v. Tex. Dep't of Criminal Justice Institutional Div.</w:t>
      </w:r>
      <w:r>
        <w:rPr>
          <w:rFonts w:ascii="Arial" w:eastAsia="Arial" w:hAnsi="Arial" w:cs="Arial"/>
          <w:color w:val="000000"/>
          <w:sz w:val="20"/>
        </w:rPr>
        <w:t>, 684 F. App'x 356, 358 (5th Cir. 2017) (affirming a grant of summary judgment when a denial of leg braces and similar medical equipment was the result of negligence and confusion rather than being intentional). The County clearly had wheelchairs at its disposal because Cadena was admitted in a wheelchair and she was allowed to use one to travel to the clinic on her first day. A jury could find, therefore, that its ongoing refusal to let her use a wheelchair or to otherwise modify its policies was intentional.</w:t>
      </w:r>
    </w:p>
    <w:p w14:paraId="2DD43D7B" w14:textId="77777777" w:rsidR="002B10A6" w:rsidRDefault="00000000">
      <w:pPr>
        <w:pStyle w:val="Normal41"/>
        <w:widowControl w:val="0"/>
        <w:spacing w:before="200" w:line="260" w:lineRule="atLeast"/>
        <w:jc w:val="both"/>
      </w:pPr>
      <w:bookmarkStart w:id="7619" w:name="Bookmark_para_24_23"/>
      <w:bookmarkStart w:id="7620" w:name="Bookmark_I5XXHYGV2D6MVF0020000400"/>
      <w:bookmarkEnd w:id="7619"/>
      <w:bookmarkEnd w:id="7620"/>
      <w:r>
        <w:rPr>
          <w:rFonts w:ascii="Arial" w:eastAsia="Arial" w:hAnsi="Arial" w:cs="Arial"/>
          <w:color w:val="000000"/>
          <w:sz w:val="20"/>
        </w:rPr>
        <w:t xml:space="preserve">The County argues that even if it refused Cadena's requests for a wheelchair, Cadena has no claim under the ADA because the court must defer to Dr. Salazar's reasoned medical judgment that Cadena did not need a wheelchair. </w:t>
      </w:r>
      <w:bookmarkStart w:id="7621" w:name="Bookmark_LNHNREFclscc8_24"/>
      <w:bookmarkEnd w:id="7621"/>
      <w:r>
        <w:rPr>
          <w:rFonts w:ascii="Arial" w:eastAsia="Arial" w:hAnsi="Arial" w:cs="Arial"/>
          <w:color w:val="000000"/>
          <w:sz w:val="20"/>
        </w:rPr>
        <w:t xml:space="preserve">Courts confirm that the ADA does not typically provide a remedy for negligent medical treatment. </w:t>
      </w:r>
      <w:bookmarkStart w:id="7622" w:name="Bookmark_I5XXHYGV2D6MVF0040000400"/>
      <w:bookmarkEnd w:id="7622"/>
      <w:r>
        <w:rPr>
          <w:rFonts w:ascii="Arial" w:eastAsia="Arial" w:hAnsi="Arial" w:cs="Arial"/>
          <w:i/>
          <w:color w:val="000000"/>
          <w:sz w:val="20"/>
        </w:rPr>
        <w:t xml:space="preserve">See, e.g., </w:t>
      </w:r>
      <w:bookmarkStart w:id="7623" w:name="Bookmark_I5XXHYGV2D6MVF0010000400"/>
      <w:bookmarkEnd w:id="7623"/>
      <w:r>
        <w:rPr>
          <w:rFonts w:ascii="Arial" w:eastAsia="Arial" w:hAnsi="Arial" w:cs="Arial"/>
          <w:i/>
          <w:color w:val="000000"/>
          <w:sz w:val="20"/>
        </w:rPr>
        <w:t>Nottingham v. Richardson</w:t>
      </w:r>
      <w:r>
        <w:rPr>
          <w:rFonts w:ascii="Arial" w:eastAsia="Arial" w:hAnsi="Arial" w:cs="Arial"/>
          <w:color w:val="000000"/>
          <w:sz w:val="20"/>
        </w:rPr>
        <w:t xml:space="preserve">, 499 F. App'x 368, 377 (5th Cir. 2012) ("The ADA is not violated by a prison's simply failing to attend to the medical needs of its disabled prisoners." (internal quotation marks omitted)). </w:t>
      </w:r>
      <w:bookmarkStart w:id="7624" w:name="Bookmark_I5XXHYGV2D6MVF0040000400_2"/>
      <w:bookmarkEnd w:id="7624"/>
      <w:r>
        <w:rPr>
          <w:rFonts w:ascii="Arial" w:eastAsia="Arial" w:hAnsi="Arial" w:cs="Arial"/>
          <w:color w:val="000000"/>
          <w:sz w:val="20"/>
        </w:rPr>
        <w:t xml:space="preserve">But mobility aids have been characterized by the Supreme Court and the [**16]  Second Circuit as disability accommodations. </w:t>
      </w:r>
      <w:r>
        <w:rPr>
          <w:rFonts w:ascii="Arial" w:eastAsia="Arial" w:hAnsi="Arial" w:cs="Arial"/>
          <w:i/>
          <w:color w:val="000000"/>
          <w:sz w:val="20"/>
        </w:rPr>
        <w:t xml:space="preserve">See </w:t>
      </w:r>
      <w:bookmarkStart w:id="7625" w:name="Bookmark_I5XXHYGV2D6MVF0030000400"/>
      <w:bookmarkEnd w:id="7625"/>
      <w:r>
        <w:rPr>
          <w:rFonts w:ascii="Arial" w:eastAsia="Arial" w:hAnsi="Arial" w:cs="Arial"/>
          <w:i/>
          <w:color w:val="000000"/>
          <w:sz w:val="20"/>
        </w:rPr>
        <w:t>Georgia</w:t>
      </w:r>
      <w:r>
        <w:rPr>
          <w:rFonts w:ascii="Arial" w:eastAsia="Arial" w:hAnsi="Arial" w:cs="Arial"/>
          <w:color w:val="000000"/>
          <w:sz w:val="20"/>
        </w:rPr>
        <w:t xml:space="preserve">, 546 U.S. at 157 ("[I]t is quite plausible that the alleged deliberate refusal of prison officials to accommodate [the plaintiff's] disability-related needs </w:t>
      </w:r>
      <w:r>
        <w:rPr>
          <w:rFonts w:ascii="Arial" w:eastAsia="Arial" w:hAnsi="Arial" w:cs="Arial"/>
          <w:i/>
          <w:color w:val="000000"/>
          <w:sz w:val="20"/>
        </w:rPr>
        <w:t>in such fundamentals as mobility</w:t>
      </w:r>
      <w:r>
        <w:rPr>
          <w:rFonts w:ascii="Arial" w:eastAsia="Arial" w:hAnsi="Arial" w:cs="Arial"/>
          <w:color w:val="000000"/>
          <w:sz w:val="20"/>
        </w:rPr>
        <w:t xml:space="preserve">" constituted a violation of the ADA (emphasis added)); </w:t>
      </w:r>
      <w:bookmarkStart w:id="7626" w:name="Bookmark_I5XXHYGV2D6MVF0050000400"/>
      <w:bookmarkEnd w:id="7626"/>
      <w:r>
        <w:rPr>
          <w:rFonts w:ascii="Arial" w:eastAsia="Arial" w:hAnsi="Arial" w:cs="Arial"/>
          <w:i/>
          <w:color w:val="000000"/>
          <w:sz w:val="20"/>
        </w:rPr>
        <w:t>Wright v. New York State Dep't of Corr.</w:t>
      </w:r>
      <w:r>
        <w:rPr>
          <w:rFonts w:ascii="Arial" w:eastAsia="Arial" w:hAnsi="Arial" w:cs="Arial"/>
          <w:color w:val="000000"/>
          <w:sz w:val="20"/>
        </w:rPr>
        <w:t>, 831 F.3d 64, 73 (2d Cir. 2016) (treating a request for a motorized wheelchair as a request for a reasonable accommodation rather than medical treatment). Further, Dr. Salazar explained that his order providing crutches to Cadena was meant to indicate that Cadena have access to crutches in addition to, not in lieu of, a wheelchair. Finally, the County's medical  [*727]  staff explicitly recommended on an inmate special medical instructions form that "inmate keep wheelchair" on the morning of June 25, 2014. For these reasons, the County's characterization that it was merely deferring to a reasoned medical judgment is inaccurate.</w:t>
      </w:r>
    </w:p>
    <w:p w14:paraId="424762C3" w14:textId="77777777" w:rsidR="002B10A6" w:rsidRDefault="00000000">
      <w:pPr>
        <w:pStyle w:val="Normal41"/>
        <w:widowControl w:val="0"/>
        <w:spacing w:before="200" w:line="260" w:lineRule="atLeast"/>
        <w:jc w:val="both"/>
      </w:pPr>
      <w:bookmarkStart w:id="7627" w:name="Bookmark_para_25_23"/>
      <w:bookmarkEnd w:id="7627"/>
      <w:r>
        <w:rPr>
          <w:rFonts w:ascii="Arial" w:eastAsia="Arial" w:hAnsi="Arial" w:cs="Arial"/>
          <w:color w:val="000000"/>
          <w:sz w:val="20"/>
        </w:rPr>
        <w:t>Cadena has shown a material dispute as to whether the County denied her reasonable accommodations in violation of the ADA. Accordingly, we reverse the district court's grant of summary judgment as to Cadena's claim under the ADA.</w:t>
      </w:r>
    </w:p>
    <w:p w14:paraId="47A4ACD4" w14:textId="77777777" w:rsidR="002B10A6" w:rsidRDefault="00000000">
      <w:pPr>
        <w:pStyle w:val="Normal41"/>
        <w:widowControl w:val="0"/>
        <w:spacing w:before="240" w:line="260" w:lineRule="atLeast"/>
      </w:pPr>
      <w:r>
        <w:br/>
      </w:r>
      <w:r>
        <w:rPr>
          <w:rFonts w:ascii="Arial" w:eastAsia="Arial" w:hAnsi="Arial" w:cs="Arial"/>
          <w:b/>
          <w:color w:val="000000"/>
          <w:sz w:val="20"/>
        </w:rPr>
        <w:t>B. Section 1983 Claim</w:t>
      </w:r>
    </w:p>
    <w:p w14:paraId="138720A1" w14:textId="77777777" w:rsidR="002B10A6" w:rsidRDefault="00000000">
      <w:pPr>
        <w:pStyle w:val="Normal41"/>
        <w:widowControl w:val="0"/>
        <w:spacing w:before="200" w:line="260" w:lineRule="atLeast"/>
        <w:jc w:val="both"/>
      </w:pPr>
      <w:bookmarkStart w:id="7628" w:name="Bookmark_para_26_23"/>
      <w:bookmarkStart w:id="7629" w:name="Bookmark_I5XXHYGW2SF8B90030000400"/>
      <w:bookmarkStart w:id="7630" w:name="Bookmark_LNHNREFclscc9_23"/>
      <w:bookmarkEnd w:id="7628"/>
      <w:bookmarkEnd w:id="7629"/>
      <w:bookmarkEnd w:id="7630"/>
      <w:r>
        <w:rPr>
          <w:rFonts w:ascii="Arial" w:eastAsia="Arial" w:hAnsi="Arial" w:cs="Arial"/>
          <w:color w:val="000000"/>
          <w:sz w:val="20"/>
        </w:rPr>
        <w:t xml:space="preserve">As a pretrial detainee contesting the conditions of her confinement, Cadena's §1983 claim invokes [**17]  the protections of the Fourteenth Amendment. </w:t>
      </w:r>
      <w:bookmarkStart w:id="7631" w:name="Bookmark_I5XXHYGW2N1RD80040000400"/>
      <w:bookmarkEnd w:id="7631"/>
      <w:r>
        <w:rPr>
          <w:rFonts w:ascii="Arial" w:eastAsia="Arial" w:hAnsi="Arial" w:cs="Arial"/>
          <w:i/>
          <w:color w:val="000000"/>
          <w:sz w:val="20"/>
        </w:rPr>
        <w:t xml:space="preserve">See </w:t>
      </w:r>
      <w:bookmarkStart w:id="7632" w:name="Bookmark_I5XXHYGW2SF8B90020000400"/>
      <w:bookmarkEnd w:id="7632"/>
      <w:r>
        <w:rPr>
          <w:rFonts w:ascii="Arial" w:eastAsia="Arial" w:hAnsi="Arial" w:cs="Arial"/>
          <w:i/>
          <w:color w:val="000000"/>
          <w:sz w:val="20"/>
        </w:rPr>
        <w:t>Hare v. City of Corinth</w:t>
      </w:r>
      <w:r>
        <w:rPr>
          <w:rFonts w:ascii="Arial" w:eastAsia="Arial" w:hAnsi="Arial" w:cs="Arial"/>
          <w:color w:val="000000"/>
          <w:sz w:val="20"/>
        </w:rPr>
        <w:t xml:space="preserve">, 74 F.3d 633, 639 (5th Cir. 1996) (en banc) (citing </w:t>
      </w:r>
      <w:bookmarkStart w:id="7633" w:name="Bookmark_I5XXHYGW2SF8B90040000400"/>
      <w:bookmarkEnd w:id="7633"/>
      <w:r>
        <w:rPr>
          <w:rFonts w:ascii="Arial" w:eastAsia="Arial" w:hAnsi="Arial" w:cs="Arial"/>
          <w:i/>
          <w:color w:val="000000"/>
          <w:sz w:val="20"/>
        </w:rPr>
        <w:t>Bell v. Wolfish</w:t>
      </w:r>
      <w:r>
        <w:rPr>
          <w:rFonts w:ascii="Arial" w:eastAsia="Arial" w:hAnsi="Arial" w:cs="Arial"/>
          <w:color w:val="000000"/>
          <w:sz w:val="20"/>
        </w:rPr>
        <w:t xml:space="preserve">, 441 U.S. 520, 99 S. Ct. 1861, 60 L. Ed. 2d 447 (1979)); </w:t>
      </w:r>
      <w:bookmarkStart w:id="7634" w:name="Bookmark_I5XXHYGW2N1RD80010000400"/>
      <w:bookmarkEnd w:id="7634"/>
      <w:r>
        <w:rPr>
          <w:rFonts w:ascii="Arial" w:eastAsia="Arial" w:hAnsi="Arial" w:cs="Arial"/>
          <w:i/>
          <w:color w:val="000000"/>
          <w:sz w:val="20"/>
        </w:rPr>
        <w:t>Thompson v. Upshur Cty., TX</w:t>
      </w:r>
      <w:r>
        <w:rPr>
          <w:rFonts w:ascii="Arial" w:eastAsia="Arial" w:hAnsi="Arial" w:cs="Arial"/>
          <w:color w:val="000000"/>
          <w:sz w:val="20"/>
        </w:rPr>
        <w:t xml:space="preserve">, 245 F.3d 447, 457 (5th Cir. 2001). The standard is the same as that for a prisoner under the Eighth Amendment. </w:t>
      </w:r>
      <w:bookmarkStart w:id="7635" w:name="Bookmark_I5XXHYGW2N1RD80040000400_2"/>
      <w:bookmarkStart w:id="7636" w:name="Bookmark_I5XXHYGX2HM5TN0010000400"/>
      <w:bookmarkStart w:id="7637" w:name="Bookmark_I5XXHYGW2N1RD80030000400"/>
      <w:bookmarkEnd w:id="7635"/>
      <w:bookmarkEnd w:id="7636"/>
      <w:bookmarkEnd w:id="7637"/>
      <w:r>
        <w:rPr>
          <w:rFonts w:ascii="Arial" w:eastAsia="Arial" w:hAnsi="Arial" w:cs="Arial"/>
          <w:i/>
          <w:color w:val="000000"/>
          <w:sz w:val="20"/>
        </w:rPr>
        <w:t>Garza v. City of Donna</w:t>
      </w:r>
      <w:r>
        <w:rPr>
          <w:rFonts w:ascii="Arial" w:eastAsia="Arial" w:hAnsi="Arial" w:cs="Arial"/>
          <w:color w:val="000000"/>
          <w:sz w:val="20"/>
        </w:rPr>
        <w:t xml:space="preserve">, 922 F.3d 626, 634 (5th Cir. 2019). </w:t>
      </w:r>
      <w:bookmarkStart w:id="7638" w:name="Bookmark_I5XXHYGX2HM5TN0010000400_2"/>
      <w:bookmarkEnd w:id="7638"/>
      <w:r>
        <w:rPr>
          <w:rFonts w:ascii="Arial" w:eastAsia="Arial" w:hAnsi="Arial" w:cs="Arial"/>
          <w:color w:val="000000"/>
          <w:sz w:val="20"/>
        </w:rPr>
        <w:t xml:space="preserve">A pretrial detainee may prove a constitutional violation either by demonstrating an unconstitutional condition of confinement or by demonstrating an unconstitutional episodic act or omission. </w:t>
      </w:r>
      <w:bookmarkStart w:id="7639" w:name="Bookmark_I5XXHYGW2N1RD80050000400"/>
      <w:bookmarkEnd w:id="7639"/>
      <w:r>
        <w:rPr>
          <w:rFonts w:ascii="Arial" w:eastAsia="Arial" w:hAnsi="Arial" w:cs="Arial"/>
          <w:i/>
          <w:color w:val="000000"/>
          <w:sz w:val="20"/>
        </w:rPr>
        <w:t>Hare</w:t>
      </w:r>
      <w:r>
        <w:rPr>
          <w:rFonts w:ascii="Arial" w:eastAsia="Arial" w:hAnsi="Arial" w:cs="Arial"/>
          <w:color w:val="000000"/>
          <w:sz w:val="20"/>
        </w:rPr>
        <w:t>, 74 F.3d at 644-45.</w:t>
      </w:r>
    </w:p>
    <w:p w14:paraId="41FB6B46" w14:textId="77777777" w:rsidR="002B10A6" w:rsidRDefault="00000000">
      <w:pPr>
        <w:pStyle w:val="Normal41"/>
        <w:widowControl w:val="0"/>
        <w:spacing w:before="200" w:line="260" w:lineRule="atLeast"/>
        <w:jc w:val="both"/>
      </w:pPr>
      <w:bookmarkStart w:id="7640" w:name="Bookmark_para_27_23"/>
      <w:bookmarkStart w:id="7641" w:name="Bookmark_I5XXHYGX2HM5TN0030000400"/>
      <w:bookmarkStart w:id="7642" w:name="Bookmark_I5XXHYGX2HM5TN0050000400"/>
      <w:bookmarkStart w:id="7643" w:name="Bookmark_I5XXHYGX2SF8BH0020000400"/>
      <w:bookmarkStart w:id="7644" w:name="Bookmark_LNHNREFclscc10_22"/>
      <w:bookmarkEnd w:id="7640"/>
      <w:bookmarkEnd w:id="7641"/>
      <w:bookmarkEnd w:id="7642"/>
      <w:bookmarkEnd w:id="7643"/>
      <w:bookmarkEnd w:id="7644"/>
      <w:r>
        <w:rPr>
          <w:rFonts w:ascii="Arial" w:eastAsia="Arial" w:hAnsi="Arial" w:cs="Arial"/>
          <w:color w:val="000000"/>
          <w:sz w:val="20"/>
        </w:rPr>
        <w:t xml:space="preserve">For a conditions of confinement claim, "the proper inquiry is whether those conditions amount to punishment of the detainee." </w:t>
      </w:r>
      <w:bookmarkStart w:id="7645" w:name="Bookmark_I5XXHYGX2HM5TN0020000400"/>
      <w:bookmarkEnd w:id="7645"/>
      <w:r>
        <w:rPr>
          <w:rFonts w:ascii="Arial" w:eastAsia="Arial" w:hAnsi="Arial" w:cs="Arial"/>
          <w:i/>
          <w:color w:val="000000"/>
          <w:sz w:val="20"/>
        </w:rPr>
        <w:t>Bell</w:t>
      </w:r>
      <w:r>
        <w:rPr>
          <w:rFonts w:ascii="Arial" w:eastAsia="Arial" w:hAnsi="Arial" w:cs="Arial"/>
          <w:color w:val="000000"/>
          <w:sz w:val="20"/>
        </w:rPr>
        <w:t xml:space="preserve">, 441 U.S. at 535. </w:t>
      </w:r>
      <w:bookmarkStart w:id="7646" w:name="Bookmark_I5XXHYGY28T3W80010000400"/>
      <w:bookmarkEnd w:id="7646"/>
      <w:r>
        <w:rPr>
          <w:rFonts w:ascii="Arial" w:eastAsia="Arial" w:hAnsi="Arial" w:cs="Arial"/>
          <w:color w:val="000000"/>
          <w:sz w:val="20"/>
        </w:rPr>
        <w:t xml:space="preserve">If "the condition of confinement is not reasonably related to a legitimate, non-punitive governmental objective," it is assumed that "by the municipality's very promulgation and maintenance of the complained-of condition, that it intended to cause the alleged constitutional deprivation." </w:t>
      </w:r>
      <w:bookmarkStart w:id="7647" w:name="Bookmark_I5XXHYGX2HM5TN0040000400"/>
      <w:bookmarkEnd w:id="7647"/>
      <w:r>
        <w:rPr>
          <w:rFonts w:ascii="Arial" w:eastAsia="Arial" w:hAnsi="Arial" w:cs="Arial"/>
          <w:i/>
          <w:color w:val="000000"/>
          <w:sz w:val="20"/>
        </w:rPr>
        <w:t>Scott v. Moore</w:t>
      </w:r>
      <w:r>
        <w:rPr>
          <w:rFonts w:ascii="Arial" w:eastAsia="Arial" w:hAnsi="Arial" w:cs="Arial"/>
          <w:color w:val="000000"/>
          <w:sz w:val="20"/>
        </w:rPr>
        <w:t xml:space="preserve">, 114 F.3d 51, 53 (5th Cir. 1997). </w:t>
      </w:r>
      <w:bookmarkStart w:id="7648" w:name="Bookmark_I5XXHYGY28T3W80050000400"/>
      <w:bookmarkEnd w:id="7648"/>
      <w:r>
        <w:rPr>
          <w:rFonts w:ascii="Arial" w:eastAsia="Arial" w:hAnsi="Arial" w:cs="Arial"/>
          <w:color w:val="000000"/>
          <w:sz w:val="20"/>
        </w:rPr>
        <w:t xml:space="preserve">Our court has said that a condition may take the form of "a rule," a "restriction," "an identifiable intended condition or practice," or "acts or omissions" by a jail official that are "sufficiently extended or pervasive." </w:t>
      </w:r>
      <w:bookmarkStart w:id="7649" w:name="Bookmark_I5XXHYGX2SF8BH0010000400"/>
      <w:bookmarkEnd w:id="7649"/>
      <w:r>
        <w:rPr>
          <w:rFonts w:ascii="Arial" w:eastAsia="Arial" w:hAnsi="Arial" w:cs="Arial"/>
          <w:i/>
          <w:color w:val="000000"/>
          <w:sz w:val="20"/>
        </w:rPr>
        <w:t>Estate of Henson v. Wichita Cty. Tex.</w:t>
      </w:r>
      <w:r>
        <w:rPr>
          <w:rFonts w:ascii="Arial" w:eastAsia="Arial" w:hAnsi="Arial" w:cs="Arial"/>
          <w:color w:val="000000"/>
          <w:sz w:val="20"/>
        </w:rPr>
        <w:t xml:space="preserve">, 795 F.3d 456, 468 (5th Cir. 2015) (quoting </w:t>
      </w:r>
      <w:bookmarkStart w:id="7650" w:name="Bookmark_I5XXHYGX2SF8BH0030000400"/>
      <w:bookmarkEnd w:id="7650"/>
      <w:r>
        <w:rPr>
          <w:rFonts w:ascii="Arial" w:eastAsia="Arial" w:hAnsi="Arial" w:cs="Arial"/>
          <w:i/>
          <w:color w:val="000000"/>
          <w:sz w:val="20"/>
        </w:rPr>
        <w:t>Duvall v. Dallas Cty.</w:t>
      </w:r>
      <w:r>
        <w:rPr>
          <w:rFonts w:ascii="Arial" w:eastAsia="Arial" w:hAnsi="Arial" w:cs="Arial"/>
          <w:color w:val="000000"/>
          <w:sz w:val="20"/>
        </w:rPr>
        <w:t xml:space="preserve">, 631 F.3d 203, 207 (5th Cir. 2011)). </w:t>
      </w:r>
      <w:bookmarkStart w:id="7651" w:name="Bookmark_I5XXHYGY28T3W80050000400_2"/>
      <w:bookmarkStart w:id="7652" w:name="Bookmark_I5XXHYGY28T3W80010000400_2"/>
      <w:bookmarkStart w:id="7653" w:name="Bookmark_LNHNREFclscc11_22"/>
      <w:bookmarkEnd w:id="7651"/>
      <w:bookmarkEnd w:id="7652"/>
      <w:bookmarkEnd w:id="7653"/>
      <w:r>
        <w:rPr>
          <w:rFonts w:ascii="Arial" w:eastAsia="Arial" w:hAnsi="Arial" w:cs="Arial"/>
          <w:color w:val="000000"/>
          <w:sz w:val="20"/>
        </w:rPr>
        <w:t xml:space="preserve">"In some cases, a condition may reflect an unstated or </w:t>
      </w:r>
      <w:r>
        <w:rPr>
          <w:rFonts w:ascii="Arial" w:eastAsia="Arial" w:hAnsi="Arial" w:cs="Arial"/>
          <w:i/>
          <w:color w:val="000000"/>
          <w:sz w:val="20"/>
        </w:rPr>
        <w:t>de facto</w:t>
      </w:r>
      <w:r>
        <w:rPr>
          <w:rFonts w:ascii="Arial" w:eastAsia="Arial" w:hAnsi="Arial" w:cs="Arial"/>
          <w:color w:val="000000"/>
          <w:sz w:val="20"/>
        </w:rPr>
        <w:t xml:space="preserve"> policy, as evidenced by a pattern of acts or omissions 'sufficiently extended or pervasive, or otherwise typical of extended or pervasive misconduct by [jail] officials, to prove [**18]  an intended condition or practice.'" </w:t>
      </w:r>
      <w:bookmarkStart w:id="7654" w:name="Bookmark_I5XXHYGX2SF8BH0050000400"/>
      <w:bookmarkEnd w:id="7654"/>
      <w:r>
        <w:rPr>
          <w:rFonts w:ascii="Arial" w:eastAsia="Arial" w:hAnsi="Arial" w:cs="Arial"/>
          <w:i/>
          <w:color w:val="000000"/>
          <w:sz w:val="20"/>
        </w:rPr>
        <w:t>Shepherd v. Dallas Cty.</w:t>
      </w:r>
      <w:r>
        <w:rPr>
          <w:rFonts w:ascii="Arial" w:eastAsia="Arial" w:hAnsi="Arial" w:cs="Arial"/>
          <w:color w:val="000000"/>
          <w:sz w:val="20"/>
        </w:rPr>
        <w:t xml:space="preserve">, 591 F.3d 445, 452 (5th Cir. 2009) (quoting </w:t>
      </w:r>
      <w:bookmarkStart w:id="7655" w:name="Bookmark_I5XXHYGY28T3W80020000400"/>
      <w:bookmarkEnd w:id="7655"/>
      <w:r>
        <w:rPr>
          <w:rFonts w:ascii="Arial" w:eastAsia="Arial" w:hAnsi="Arial" w:cs="Arial"/>
          <w:i/>
          <w:color w:val="000000"/>
          <w:sz w:val="20"/>
        </w:rPr>
        <w:t>Hare</w:t>
      </w:r>
      <w:r>
        <w:rPr>
          <w:rFonts w:ascii="Arial" w:eastAsia="Arial" w:hAnsi="Arial" w:cs="Arial"/>
          <w:color w:val="000000"/>
          <w:sz w:val="20"/>
        </w:rPr>
        <w:t xml:space="preserve">, 74 F.3d at 645). </w:t>
      </w:r>
      <w:bookmarkStart w:id="7656" w:name="Bookmark_I5XXHYH02HM5TY0020000400"/>
      <w:bookmarkEnd w:id="7656"/>
      <w:r>
        <w:rPr>
          <w:rFonts w:ascii="Arial" w:eastAsia="Arial" w:hAnsi="Arial" w:cs="Arial"/>
          <w:color w:val="000000"/>
          <w:sz w:val="20"/>
        </w:rPr>
        <w:t xml:space="preserve">But "isolated examples of illness, injury, or even death, standing alone, cannot prove that conditions of confinement are constitutionally inadequate." </w:t>
      </w:r>
      <w:bookmarkStart w:id="7657" w:name="Bookmark_I5XXHYGY28T3W80040000400"/>
      <w:bookmarkEnd w:id="7657"/>
      <w:r>
        <w:rPr>
          <w:rFonts w:ascii="Arial" w:eastAsia="Arial" w:hAnsi="Arial" w:cs="Arial"/>
          <w:i/>
          <w:color w:val="000000"/>
          <w:sz w:val="20"/>
        </w:rPr>
        <w:t>Id.</w:t>
      </w:r>
      <w:r>
        <w:rPr>
          <w:rFonts w:ascii="Arial" w:eastAsia="Arial" w:hAnsi="Arial" w:cs="Arial"/>
          <w:color w:val="000000"/>
          <w:sz w:val="20"/>
        </w:rPr>
        <w:t xml:space="preserve"> at 454. </w:t>
      </w:r>
      <w:bookmarkStart w:id="7658" w:name="Bookmark_I5XXHYH02HM5TY0020000400_2"/>
      <w:bookmarkEnd w:id="7658"/>
      <w:r>
        <w:rPr>
          <w:rFonts w:ascii="Arial" w:eastAsia="Arial" w:hAnsi="Arial" w:cs="Arial"/>
          <w:color w:val="000000"/>
          <w:sz w:val="20"/>
        </w:rPr>
        <w:t xml:space="preserve">To prevail on a claim of unconstitutional conditions of confinement, a plaintiff must show: "(1) 'a rule or restriction or . . . the existence of an identifiable intended condition or practice . . . [or] that the jail official's acts or omissions were sufficiently extended or pervasive'; (2) which was not reasonably related to a legitimate governmental objective; and (3) which caused the violation of [the inmate's] constitutional rights." </w:t>
      </w:r>
      <w:bookmarkStart w:id="7659" w:name="Bookmark_I5XXHYH02HM5TY0010000400"/>
      <w:bookmarkEnd w:id="7659"/>
      <w:r>
        <w:rPr>
          <w:rFonts w:ascii="Arial" w:eastAsia="Arial" w:hAnsi="Arial" w:cs="Arial"/>
          <w:i/>
          <w:color w:val="000000"/>
          <w:sz w:val="20"/>
        </w:rPr>
        <w:t>Duvall</w:t>
      </w:r>
      <w:r>
        <w:rPr>
          <w:rFonts w:ascii="Arial" w:eastAsia="Arial" w:hAnsi="Arial" w:cs="Arial"/>
          <w:color w:val="000000"/>
          <w:sz w:val="20"/>
        </w:rPr>
        <w:t xml:space="preserve">, 631 F.3d at 207 (quoting </w:t>
      </w:r>
      <w:bookmarkStart w:id="7660" w:name="Bookmark_I5XXHYH02HM5TY0030000400"/>
      <w:bookmarkEnd w:id="7660"/>
      <w:r>
        <w:rPr>
          <w:rFonts w:ascii="Arial" w:eastAsia="Arial" w:hAnsi="Arial" w:cs="Arial"/>
          <w:i/>
          <w:color w:val="000000"/>
          <w:sz w:val="20"/>
        </w:rPr>
        <w:t>Hare</w:t>
      </w:r>
      <w:r>
        <w:rPr>
          <w:rFonts w:ascii="Arial" w:eastAsia="Arial" w:hAnsi="Arial" w:cs="Arial"/>
          <w:color w:val="000000"/>
          <w:sz w:val="20"/>
        </w:rPr>
        <w:t>, 74 F.3d at 645).</w:t>
      </w:r>
    </w:p>
    <w:p w14:paraId="654F2B67" w14:textId="77777777" w:rsidR="002B10A6" w:rsidRDefault="00000000">
      <w:pPr>
        <w:pStyle w:val="Normal41"/>
        <w:widowControl w:val="0"/>
        <w:spacing w:before="200" w:line="260" w:lineRule="atLeast"/>
        <w:jc w:val="both"/>
      </w:pPr>
      <w:bookmarkStart w:id="7661" w:name="Bookmark_para_28_23"/>
      <w:bookmarkStart w:id="7662" w:name="Bookmark_I5XXHYH028T3W90010000400"/>
      <w:bookmarkStart w:id="7663" w:name="Bookmark_I5XXHYH028T3W90050000400"/>
      <w:bookmarkStart w:id="7664" w:name="Bookmark_I5XXHYH02SF8BV0020000400"/>
      <w:bookmarkStart w:id="7665" w:name="Bookmark_LNHNREFclscc12_20"/>
      <w:bookmarkEnd w:id="7661"/>
      <w:bookmarkEnd w:id="7662"/>
      <w:bookmarkEnd w:id="7663"/>
      <w:bookmarkEnd w:id="7664"/>
      <w:bookmarkEnd w:id="7665"/>
      <w:r>
        <w:rPr>
          <w:rFonts w:ascii="Arial" w:eastAsia="Arial" w:hAnsi="Arial" w:cs="Arial"/>
          <w:color w:val="000000"/>
          <w:sz w:val="20"/>
        </w:rPr>
        <w:t xml:space="preserve">To establish municipal liability in an episodic-act case, a plaintiff must show "(1) that the municipal employee violated [the pretrial detainee's] clearly established constitutional rights with subjective deliberate indifference; and (2) that this violation resulted from a municipal policy or custom adopted and maintained with objective deliberate indifference." </w:t>
      </w:r>
      <w:bookmarkStart w:id="7666" w:name="Bookmark_I5XXHYH02HM5TY0050000400"/>
      <w:bookmarkEnd w:id="7666"/>
      <w:r>
        <w:rPr>
          <w:rFonts w:ascii="Arial" w:eastAsia="Arial" w:hAnsi="Arial" w:cs="Arial"/>
          <w:i/>
          <w:color w:val="000000"/>
          <w:sz w:val="20"/>
        </w:rPr>
        <w:t>Brumfield v. Hollins</w:t>
      </w:r>
      <w:r>
        <w:rPr>
          <w:rFonts w:ascii="Arial" w:eastAsia="Arial" w:hAnsi="Arial" w:cs="Arial"/>
          <w:color w:val="000000"/>
          <w:sz w:val="20"/>
        </w:rPr>
        <w:t xml:space="preserve">, 551 F.3d 322, 331 (5th Cir. 2008) (quoting </w:t>
      </w:r>
      <w:bookmarkStart w:id="7667" w:name="Bookmark_I5XXHYH028T3W90020000400"/>
      <w:bookmarkEnd w:id="7667"/>
      <w:r>
        <w:rPr>
          <w:rFonts w:ascii="Arial" w:eastAsia="Arial" w:hAnsi="Arial" w:cs="Arial"/>
          <w:i/>
          <w:color w:val="000000"/>
          <w:sz w:val="20"/>
        </w:rPr>
        <w:t>Olabisiomotosho v. City of Houston</w:t>
      </w:r>
      <w:r>
        <w:rPr>
          <w:rFonts w:ascii="Arial" w:eastAsia="Arial" w:hAnsi="Arial" w:cs="Arial"/>
          <w:color w:val="000000"/>
          <w:sz w:val="20"/>
        </w:rPr>
        <w:t xml:space="preserve">, 185 F.3d 521, 528-29 (5th Cir. 1999)). </w:t>
      </w:r>
      <w:bookmarkStart w:id="7668" w:name="Bookmark_I5XXHYH02SF8BV0040000400"/>
      <w:bookmarkEnd w:id="7668"/>
      <w:r>
        <w:rPr>
          <w:rFonts w:ascii="Arial" w:eastAsia="Arial" w:hAnsi="Arial" w:cs="Arial"/>
          <w:color w:val="000000"/>
          <w:sz w:val="20"/>
        </w:rPr>
        <w:t xml:space="preserve">Under the first prong, "[a] serious medical need is one for which treatment has been recommended or for which the need is so apparent that even laymen  [*728]  would recognize [**19]  that care is required." </w:t>
      </w:r>
      <w:bookmarkStart w:id="7669" w:name="Bookmark_I5XXHYH028T3W90040000400"/>
      <w:bookmarkEnd w:id="7669"/>
      <w:r>
        <w:rPr>
          <w:rFonts w:ascii="Arial" w:eastAsia="Arial" w:hAnsi="Arial" w:cs="Arial"/>
          <w:i/>
          <w:color w:val="000000"/>
          <w:sz w:val="20"/>
        </w:rPr>
        <w:t>Gobert v. Caldwell</w:t>
      </w:r>
      <w:r>
        <w:rPr>
          <w:rFonts w:ascii="Arial" w:eastAsia="Arial" w:hAnsi="Arial" w:cs="Arial"/>
          <w:color w:val="000000"/>
          <w:sz w:val="20"/>
        </w:rPr>
        <w:t xml:space="preserve">, 463 F.3d 339, 345 n.12 (5th Cir. 2006). The plaintiff must also demonstrate deliberate indifference, which requires that the defendant act with "something more than mere negligence" but "less than acts or omissions for the very purpose of causing harm or with knowledge that harm will result." </w:t>
      </w:r>
      <w:bookmarkStart w:id="7670" w:name="Bookmark_I5XXHYH02SF8BV0010000400"/>
      <w:bookmarkEnd w:id="7670"/>
      <w:r>
        <w:rPr>
          <w:rFonts w:ascii="Arial" w:eastAsia="Arial" w:hAnsi="Arial" w:cs="Arial"/>
          <w:i/>
          <w:color w:val="000000"/>
          <w:sz w:val="20"/>
        </w:rPr>
        <w:t>Farmer v. Brennan</w:t>
      </w:r>
      <w:r>
        <w:rPr>
          <w:rFonts w:ascii="Arial" w:eastAsia="Arial" w:hAnsi="Arial" w:cs="Arial"/>
          <w:color w:val="000000"/>
          <w:sz w:val="20"/>
        </w:rPr>
        <w:t xml:space="preserve">, 511 U.S. 825, 835, 114 S. Ct. 1970, 128 L. Ed. 2d 811 (1994). </w:t>
      </w:r>
      <w:bookmarkStart w:id="7671" w:name="Bookmark_I5XXHYH02SF8BV0040000400_2"/>
      <w:bookmarkStart w:id="7672" w:name="Bookmark_I5XXHYH12HM5V30030000400"/>
      <w:bookmarkEnd w:id="7671"/>
      <w:bookmarkEnd w:id="7672"/>
      <w:r>
        <w:rPr>
          <w:rFonts w:ascii="Arial" w:eastAsia="Arial" w:hAnsi="Arial" w:cs="Arial"/>
          <w:color w:val="000000"/>
          <w:sz w:val="20"/>
        </w:rPr>
        <w:t xml:space="preserve">"Deliberate indifference is an extremely high standard to meet." </w:t>
      </w:r>
      <w:bookmarkStart w:id="7673" w:name="Bookmark_I5XXHYH02SF8BV0030000400"/>
      <w:bookmarkEnd w:id="7673"/>
      <w:r>
        <w:rPr>
          <w:rFonts w:ascii="Arial" w:eastAsia="Arial" w:hAnsi="Arial" w:cs="Arial"/>
          <w:i/>
          <w:color w:val="000000"/>
          <w:sz w:val="20"/>
        </w:rPr>
        <w:t>Crumbliss v. Darden</w:t>
      </w:r>
      <w:r>
        <w:rPr>
          <w:rFonts w:ascii="Arial" w:eastAsia="Arial" w:hAnsi="Arial" w:cs="Arial"/>
          <w:color w:val="000000"/>
          <w:sz w:val="20"/>
        </w:rPr>
        <w:t xml:space="preserve">, 469 F. App'x 325, 327 (5th Cir. 2012) (quoting </w:t>
      </w:r>
      <w:bookmarkStart w:id="7674" w:name="Bookmark_I5XXHYH02SF8BV0050000400"/>
      <w:bookmarkEnd w:id="7674"/>
      <w:r>
        <w:rPr>
          <w:rFonts w:ascii="Arial" w:eastAsia="Arial" w:hAnsi="Arial" w:cs="Arial"/>
          <w:i/>
          <w:color w:val="000000"/>
          <w:sz w:val="20"/>
        </w:rPr>
        <w:t>Brewster v. Dretke</w:t>
      </w:r>
      <w:r>
        <w:rPr>
          <w:rFonts w:ascii="Arial" w:eastAsia="Arial" w:hAnsi="Arial" w:cs="Arial"/>
          <w:color w:val="000000"/>
          <w:sz w:val="20"/>
        </w:rPr>
        <w:t xml:space="preserve">, 587 F.3d 764, 770 (5th Cir. 2009)). </w:t>
      </w:r>
      <w:bookmarkStart w:id="7675" w:name="Bookmark_I5XXHYH12HM5V30030000400_2"/>
      <w:bookmarkEnd w:id="7675"/>
      <w:r>
        <w:rPr>
          <w:rFonts w:ascii="Arial" w:eastAsia="Arial" w:hAnsi="Arial" w:cs="Arial"/>
          <w:color w:val="000000"/>
          <w:sz w:val="20"/>
        </w:rPr>
        <w:t xml:space="preserve">Finally, to prevail against a municipality, a plaintiff must show either "written policy statements, ordinances, or regulations" or "a widespread practice that is 'so common and well-settled as to . . . fairly represent[] municipal policy'" that was the moving force behind the violation. </w:t>
      </w:r>
      <w:bookmarkStart w:id="7676" w:name="Bookmark_I5XXHYH12HM5V30020000400"/>
      <w:bookmarkEnd w:id="7676"/>
      <w:r>
        <w:rPr>
          <w:rFonts w:ascii="Arial" w:eastAsia="Arial" w:hAnsi="Arial" w:cs="Arial"/>
          <w:i/>
          <w:color w:val="000000"/>
          <w:sz w:val="20"/>
        </w:rPr>
        <w:t>James v. Harris Cty.</w:t>
      </w:r>
      <w:r>
        <w:rPr>
          <w:rFonts w:ascii="Arial" w:eastAsia="Arial" w:hAnsi="Arial" w:cs="Arial"/>
          <w:color w:val="000000"/>
          <w:sz w:val="20"/>
        </w:rPr>
        <w:t xml:space="preserve">, 577 F.3d 612, 617 (5th Cir. 2009) (quoting </w:t>
      </w:r>
      <w:bookmarkStart w:id="7677" w:name="Bookmark_I5XXHYH12HM5V30040000400"/>
      <w:bookmarkEnd w:id="7677"/>
      <w:r>
        <w:rPr>
          <w:rFonts w:ascii="Arial" w:eastAsia="Arial" w:hAnsi="Arial" w:cs="Arial"/>
          <w:i/>
          <w:color w:val="000000"/>
          <w:sz w:val="20"/>
        </w:rPr>
        <w:t>Piotrowski v. City of Houston</w:t>
      </w:r>
      <w:r>
        <w:rPr>
          <w:rFonts w:ascii="Arial" w:eastAsia="Arial" w:hAnsi="Arial" w:cs="Arial"/>
          <w:color w:val="000000"/>
          <w:sz w:val="20"/>
        </w:rPr>
        <w:t>, 237 F.3d 567, 579 (5th Cir. 2001)).</w:t>
      </w:r>
    </w:p>
    <w:p w14:paraId="2940F97E" w14:textId="77777777" w:rsidR="002B10A6" w:rsidRDefault="00000000">
      <w:pPr>
        <w:pStyle w:val="Normal41"/>
        <w:widowControl w:val="0"/>
        <w:spacing w:before="200" w:line="260" w:lineRule="atLeast"/>
        <w:jc w:val="both"/>
      </w:pPr>
      <w:bookmarkStart w:id="7678" w:name="Bookmark_para_29_22"/>
      <w:bookmarkEnd w:id="7678"/>
      <w:r>
        <w:rPr>
          <w:rFonts w:ascii="Arial" w:eastAsia="Arial" w:hAnsi="Arial" w:cs="Arial"/>
          <w:color w:val="000000"/>
          <w:sz w:val="20"/>
        </w:rPr>
        <w:t xml:space="preserve">Cadena has not put forth evidence that creates a material dispute of fact as to whether she was subjected to unconstitutional conditions of confinement. She points to the County's use of LVNs to perform medical intake procedures, its policy of making medical matters the sole province of the treating physician, its requirement that inmates on crutches carry their food trays back to their cells, its failure to provide prompt medical care for non-medical reasons, and its decision to use a single preferred provider for outside medical services. [**20]  </w:t>
      </w:r>
      <w:bookmarkStart w:id="7679" w:name="Bookmark_I5XXHYH128T3WH0020000400"/>
      <w:bookmarkEnd w:id="7679"/>
      <w:r>
        <w:rPr>
          <w:rFonts w:ascii="Arial" w:eastAsia="Arial" w:hAnsi="Arial" w:cs="Arial"/>
          <w:color w:val="000000"/>
          <w:sz w:val="20"/>
        </w:rPr>
        <w:t xml:space="preserve">However, Cadena has not shown that a jury could find that any of these practices amounted to an unconstitutional condition of confinement. Cadena provides no evidence that most of these conditions, such as using LVNs to perform intake, giving treating physicians control over medical matters, short delays in follow-up appointments with outside providers, and using a preferred outside provider, violated her constitutional rights. </w:t>
      </w:r>
      <w:bookmarkStart w:id="7680" w:name="Bookmark_I5C70BNYR6S0000BMH00000B"/>
      <w:bookmarkStart w:id="7681" w:name="Bookmark_I5XXHYH128T3WH0040000400"/>
      <w:bookmarkStart w:id="7682" w:name="Bookmark_I5XXHYH128T3WH0010000400"/>
      <w:bookmarkEnd w:id="7680"/>
      <w:bookmarkEnd w:id="7681"/>
      <w:bookmarkEnd w:id="7682"/>
      <w:r>
        <w:rPr>
          <w:rFonts w:ascii="Arial" w:eastAsia="Arial" w:hAnsi="Arial" w:cs="Arial"/>
          <w:i/>
          <w:color w:val="000000"/>
          <w:sz w:val="20"/>
        </w:rPr>
        <w:t>Shepherd</w:t>
      </w:r>
      <w:r>
        <w:rPr>
          <w:rFonts w:ascii="Arial" w:eastAsia="Arial" w:hAnsi="Arial" w:cs="Arial"/>
          <w:color w:val="000000"/>
          <w:sz w:val="20"/>
        </w:rPr>
        <w:t>, 591 F.3d at 454 ("[</w:t>
      </w:r>
      <w:bookmarkStart w:id="7683" w:name="Bookmark_LNHNREFclscc13_15"/>
      <w:bookmarkEnd w:id="7683"/>
      <w:r>
        <w:rPr>
          <w:rFonts w:ascii="Arial" w:eastAsia="Arial" w:hAnsi="Arial" w:cs="Arial"/>
          <w:color w:val="000000"/>
          <w:sz w:val="20"/>
        </w:rPr>
        <w:t xml:space="preserve">A] detainee challenging jail conditions must demonstrate a pervasive pattern of serious deficiencies in providing for [her] basic human needs"). </w:t>
      </w:r>
      <w:bookmarkStart w:id="7684" w:name="Bookmark_I5XXHYH128T3WH0040000400_2"/>
      <w:bookmarkEnd w:id="7684"/>
      <w:r>
        <w:rPr>
          <w:rFonts w:ascii="Arial" w:eastAsia="Arial" w:hAnsi="Arial" w:cs="Arial"/>
          <w:color w:val="000000"/>
          <w:sz w:val="20"/>
        </w:rPr>
        <w:t xml:space="preserve">Cadena has not shown that these policies caused her extreme suffering or resulted in adverse medical outcomes serious enough to establish a constitutional violation. </w:t>
      </w:r>
      <w:bookmarkStart w:id="7685" w:name="Bookmark_I5XXHYH128T3WH0040000400_3"/>
      <w:bookmarkEnd w:id="7685"/>
      <w:r>
        <w:rPr>
          <w:rFonts w:ascii="Arial" w:eastAsia="Arial" w:hAnsi="Arial" w:cs="Arial"/>
          <w:i/>
          <w:color w:val="000000"/>
          <w:sz w:val="20"/>
        </w:rPr>
        <w:t xml:space="preserve">Cf. </w:t>
      </w:r>
      <w:bookmarkStart w:id="7686" w:name="Bookmark_I5XXHYH128T3WH0030000400"/>
      <w:bookmarkEnd w:id="7686"/>
      <w:r>
        <w:rPr>
          <w:rFonts w:ascii="Arial" w:eastAsia="Arial" w:hAnsi="Arial" w:cs="Arial"/>
          <w:i/>
          <w:color w:val="000000"/>
          <w:sz w:val="20"/>
        </w:rPr>
        <w:t>id.</w:t>
      </w:r>
      <w:r>
        <w:rPr>
          <w:rFonts w:ascii="Arial" w:eastAsia="Arial" w:hAnsi="Arial" w:cs="Arial"/>
          <w:color w:val="000000"/>
          <w:sz w:val="20"/>
        </w:rPr>
        <w:t xml:space="preserve"> (finding a constitutional violation when the plaintiff had "demonstrated that serious injury and death were the inevitable results of the jail's gross inattention to the needs of inmates with chronic illness"). Indeed, Cadena has not shown that the treatment she would have received in the absence of these policies would have been meaningfully better than the care she did receive.</w:t>
      </w:r>
    </w:p>
    <w:p w14:paraId="3CB01FE7" w14:textId="77777777" w:rsidR="002B10A6" w:rsidRDefault="00000000">
      <w:pPr>
        <w:pStyle w:val="Normal41"/>
        <w:widowControl w:val="0"/>
        <w:spacing w:before="200" w:line="260" w:lineRule="atLeast"/>
        <w:jc w:val="both"/>
      </w:pPr>
      <w:bookmarkStart w:id="7687" w:name="Bookmark_para_30_21"/>
      <w:bookmarkEnd w:id="7687"/>
      <w:r>
        <w:rPr>
          <w:rFonts w:ascii="Arial" w:eastAsia="Arial" w:hAnsi="Arial" w:cs="Arial"/>
          <w:color w:val="000000"/>
          <w:sz w:val="20"/>
        </w:rPr>
        <w:t xml:space="preserve">Cadena also has not put forth evidence that these conditions were [**21]  sufficiently extended or pervasive. </w:t>
      </w:r>
      <w:bookmarkStart w:id="7688" w:name="Bookmark_I5C70BNYFY60000BMH000008"/>
      <w:bookmarkStart w:id="7689" w:name="Bookmark_I5C70BNYKDB0000BMH000009"/>
      <w:bookmarkStart w:id="7690" w:name="Bookmark_I5XXHYH12D6MW60010000400"/>
      <w:bookmarkEnd w:id="7688"/>
      <w:bookmarkEnd w:id="7689"/>
      <w:bookmarkEnd w:id="7690"/>
      <w:r>
        <w:rPr>
          <w:rFonts w:ascii="Arial" w:eastAsia="Arial" w:hAnsi="Arial" w:cs="Arial"/>
          <w:color w:val="000000"/>
          <w:sz w:val="20"/>
        </w:rPr>
        <w:t xml:space="preserve">She has identified only one other instance in which an inmate on crutches was allegedly required to carry a food tray and only three other instances in which inmates filed grievances alleging delayed medical care. </w:t>
      </w:r>
      <w:bookmarkStart w:id="7691" w:name="Bookmark_LNHNREFclscc14_15"/>
      <w:bookmarkEnd w:id="7691"/>
      <w:r>
        <w:rPr>
          <w:rFonts w:ascii="Arial" w:eastAsia="Arial" w:hAnsi="Arial" w:cs="Arial"/>
          <w:color w:val="000000"/>
          <w:sz w:val="20"/>
        </w:rPr>
        <w:t xml:space="preserve">A few isolated events do not amount to a condition of confinement. </w:t>
      </w:r>
      <w:r>
        <w:rPr>
          <w:rFonts w:ascii="Arial" w:eastAsia="Arial" w:hAnsi="Arial" w:cs="Arial"/>
          <w:i/>
          <w:color w:val="000000"/>
          <w:sz w:val="20"/>
        </w:rPr>
        <w:t>See id.</w:t>
      </w:r>
      <w:r>
        <w:rPr>
          <w:rFonts w:ascii="Arial" w:eastAsia="Arial" w:hAnsi="Arial" w:cs="Arial"/>
          <w:color w:val="000000"/>
          <w:sz w:val="20"/>
        </w:rPr>
        <w:t xml:space="preserve"> In instances where this court has found that an unconstitutional condition was sufficiently pervasive, the plaintiff's evidence has been more exhaustive or authoritative. </w:t>
      </w:r>
      <w:r>
        <w:rPr>
          <w:rFonts w:ascii="Arial" w:eastAsia="Arial" w:hAnsi="Arial" w:cs="Arial"/>
          <w:i/>
          <w:color w:val="000000"/>
          <w:sz w:val="20"/>
        </w:rPr>
        <w:t xml:space="preserve">See </w:t>
      </w:r>
      <w:bookmarkStart w:id="7692" w:name="Bookmark_I5XXHYH128T3WH0050000400"/>
      <w:bookmarkEnd w:id="7692"/>
      <w:r>
        <w:rPr>
          <w:rFonts w:ascii="Arial" w:eastAsia="Arial" w:hAnsi="Arial" w:cs="Arial"/>
          <w:i/>
          <w:color w:val="000000"/>
          <w:sz w:val="20"/>
        </w:rPr>
        <w:t>id.</w:t>
      </w:r>
      <w:r>
        <w:rPr>
          <w:rFonts w:ascii="Arial" w:eastAsia="Arial" w:hAnsi="Arial" w:cs="Arial"/>
          <w:color w:val="000000"/>
          <w:sz w:val="20"/>
        </w:rPr>
        <w:t xml:space="preserve"> at 453 (upholding a condition of confinement claim as to a </w:t>
      </w:r>
      <w:r>
        <w:rPr>
          <w:rFonts w:ascii="Arial" w:eastAsia="Arial" w:hAnsi="Arial" w:cs="Arial"/>
          <w:i/>
          <w:color w:val="000000"/>
          <w:sz w:val="20"/>
        </w:rPr>
        <w:t>de facto</w:t>
      </w:r>
      <w:r>
        <w:rPr>
          <w:rFonts w:ascii="Arial" w:eastAsia="Arial" w:hAnsi="Arial" w:cs="Arial"/>
          <w:color w:val="000000"/>
          <w:sz w:val="20"/>
        </w:rPr>
        <w:t xml:space="preserve"> policy of failing to properly treat inmates with chronic illness on the basis of "a comprehensive evaluative report commissioned by the County, the DOJ report, affidavits from employees of the jail and its medical contractor attesting to the accuracy and applicability of the reports, and a plethora of additional documentary evidence"); </w:t>
      </w:r>
      <w:bookmarkStart w:id="7693" w:name="Bookmark_I5XXHYH12D6MW60020000400"/>
      <w:bookmarkEnd w:id="7693"/>
      <w:r>
        <w:rPr>
          <w:rFonts w:ascii="Arial" w:eastAsia="Arial" w:hAnsi="Arial" w:cs="Arial"/>
          <w:i/>
          <w:color w:val="000000"/>
          <w:sz w:val="20"/>
        </w:rPr>
        <w:t>Duvall</w:t>
      </w:r>
      <w:r>
        <w:rPr>
          <w:rFonts w:ascii="Arial" w:eastAsia="Arial" w:hAnsi="Arial" w:cs="Arial"/>
          <w:color w:val="000000"/>
          <w:sz w:val="20"/>
        </w:rPr>
        <w:t>, 631 F.3d at 209 (finding a sufficient evidentiary basis for a custom or practice when the jury heard testimony from "[c]ounty officials and outside experts [who] stated that the  [*729]  County failed to take the well-known steps needed to control the infection," in addition to other evidence). Accordingly, Cadena cannot prevail [**22]  on a conditions of confinement theory.</w:t>
      </w:r>
    </w:p>
    <w:p w14:paraId="4BC4C58C" w14:textId="77777777" w:rsidR="002B10A6" w:rsidRDefault="00000000">
      <w:pPr>
        <w:pStyle w:val="Normal41"/>
        <w:widowControl w:val="0"/>
        <w:spacing w:before="200" w:line="260" w:lineRule="atLeast"/>
        <w:jc w:val="both"/>
      </w:pPr>
      <w:bookmarkStart w:id="7694" w:name="Bookmark_para_31_21"/>
      <w:bookmarkEnd w:id="7694"/>
      <w:r>
        <w:rPr>
          <w:rFonts w:ascii="Arial" w:eastAsia="Arial" w:hAnsi="Arial" w:cs="Arial"/>
          <w:color w:val="000000"/>
          <w:sz w:val="20"/>
        </w:rPr>
        <w:t xml:space="preserve">Nor could a reasonable jury find for Cadena under an episodic act theory. </w:t>
      </w:r>
      <w:bookmarkStart w:id="7695" w:name="Bookmark_I5XXHYH12D6MW60050000400"/>
      <w:bookmarkEnd w:id="7695"/>
      <w:r>
        <w:rPr>
          <w:rFonts w:ascii="Arial" w:eastAsia="Arial" w:hAnsi="Arial" w:cs="Arial"/>
          <w:color w:val="000000"/>
          <w:sz w:val="20"/>
        </w:rPr>
        <w:t xml:space="preserve">Cadena relies on many of the same acts that form the basis of her ADA claim, but Cadena's §1983 claim is inapposite because the Eighth Amendment does not require that the County affirmatively accommodate Cadena with, here, mobility aids. Thus, Cadena's § 1983 claim amounts to complaints about the quality of medical care that she received while incarcerated. </w:t>
      </w:r>
      <w:bookmarkStart w:id="7696" w:name="Bookmark_I5XXHYH12N1RDW0020000400"/>
      <w:bookmarkStart w:id="7697" w:name="Bookmark_LNHNREFclscc15_12"/>
      <w:bookmarkEnd w:id="7696"/>
      <w:bookmarkEnd w:id="7697"/>
      <w:r>
        <w:rPr>
          <w:rFonts w:ascii="Arial" w:eastAsia="Arial" w:hAnsi="Arial" w:cs="Arial"/>
          <w:color w:val="000000"/>
          <w:sz w:val="20"/>
        </w:rPr>
        <w:t xml:space="preserve">A prisoner's disagreement with medical treatment, and even medical malpractice, does not constitute deliberate indifference absent exceptional circumstances. </w:t>
      </w:r>
      <w:bookmarkStart w:id="7698" w:name="Bookmark_I5XXHYH12D6MW60040000400"/>
      <w:bookmarkEnd w:id="7698"/>
      <w:r>
        <w:rPr>
          <w:rFonts w:ascii="Arial" w:eastAsia="Arial" w:hAnsi="Arial" w:cs="Arial"/>
          <w:i/>
          <w:color w:val="000000"/>
          <w:sz w:val="20"/>
        </w:rPr>
        <w:t>Gobert</w:t>
      </w:r>
      <w:r>
        <w:rPr>
          <w:rFonts w:ascii="Arial" w:eastAsia="Arial" w:hAnsi="Arial" w:cs="Arial"/>
          <w:color w:val="000000"/>
          <w:sz w:val="20"/>
        </w:rPr>
        <w:t xml:space="preserve">, 463 F.3d at 346. </w:t>
      </w:r>
      <w:bookmarkStart w:id="7699" w:name="Bookmark_I5XXHYH12N1RDW0020000400_2"/>
      <w:bookmarkEnd w:id="7699"/>
      <w:r>
        <w:rPr>
          <w:rFonts w:ascii="Arial" w:eastAsia="Arial" w:hAnsi="Arial" w:cs="Arial"/>
          <w:color w:val="000000"/>
          <w:sz w:val="20"/>
        </w:rPr>
        <w:t xml:space="preserve">"For an episodic act claim relying on an alleged denial or delay of medical care, [a prisoner] can show deliberate indifference by demonstrating that an official 'refused to treat him, ignored his complaints, intentionally treated him incorrectly, or engaged in any similar conduct that would clearly evince a wanton disregard for any serious medical needs.'" </w:t>
      </w:r>
      <w:bookmarkStart w:id="7700" w:name="Bookmark_I5XXHYH12N1RDW0010000400"/>
      <w:bookmarkEnd w:id="7700"/>
      <w:r>
        <w:rPr>
          <w:rFonts w:ascii="Arial" w:eastAsia="Arial" w:hAnsi="Arial" w:cs="Arial"/>
          <w:i/>
          <w:color w:val="000000"/>
          <w:sz w:val="20"/>
        </w:rPr>
        <w:t>Baughman v. Hickman</w:t>
      </w:r>
      <w:r>
        <w:rPr>
          <w:rFonts w:ascii="Arial" w:eastAsia="Arial" w:hAnsi="Arial" w:cs="Arial"/>
          <w:color w:val="000000"/>
          <w:sz w:val="20"/>
        </w:rPr>
        <w:t xml:space="preserve">, 935 F.3d 302, 309 (5th Cir. 2019) (quoting </w:t>
      </w:r>
      <w:bookmarkStart w:id="7701" w:name="Bookmark_I5XXHYH12N1RDW0030000400"/>
      <w:bookmarkEnd w:id="7701"/>
      <w:r>
        <w:rPr>
          <w:rFonts w:ascii="Arial" w:eastAsia="Arial" w:hAnsi="Arial" w:cs="Arial"/>
          <w:i/>
          <w:color w:val="000000"/>
          <w:sz w:val="20"/>
        </w:rPr>
        <w:t>Perniciaro v. Lea</w:t>
      </w:r>
      <w:r>
        <w:rPr>
          <w:rFonts w:ascii="Arial" w:eastAsia="Arial" w:hAnsi="Arial" w:cs="Arial"/>
          <w:color w:val="000000"/>
          <w:sz w:val="20"/>
        </w:rPr>
        <w:t xml:space="preserve">, 901 F.3d 241, 258 (5th Cir. 2018)); </w:t>
      </w:r>
      <w:r>
        <w:rPr>
          <w:rFonts w:ascii="Arial" w:eastAsia="Arial" w:hAnsi="Arial" w:cs="Arial"/>
          <w:i/>
          <w:color w:val="000000"/>
          <w:sz w:val="20"/>
        </w:rPr>
        <w:t xml:space="preserve">see also </w:t>
      </w:r>
      <w:bookmarkStart w:id="7702" w:name="Bookmark_I5XXHYH12N1RDW0050000400"/>
      <w:bookmarkEnd w:id="7702"/>
      <w:r>
        <w:rPr>
          <w:rFonts w:ascii="Arial" w:eastAsia="Arial" w:hAnsi="Arial" w:cs="Arial"/>
          <w:i/>
          <w:color w:val="000000"/>
          <w:sz w:val="20"/>
        </w:rPr>
        <w:t>Sama v. Hannigan</w:t>
      </w:r>
      <w:r>
        <w:rPr>
          <w:rFonts w:ascii="Arial" w:eastAsia="Arial" w:hAnsi="Arial" w:cs="Arial"/>
          <w:color w:val="000000"/>
          <w:sz w:val="20"/>
        </w:rPr>
        <w:t>, 669 F.3d 585, 590 (5th Cir. 2012).</w:t>
      </w:r>
    </w:p>
    <w:p w14:paraId="56DB6386" w14:textId="77777777" w:rsidR="002B10A6" w:rsidRDefault="00000000">
      <w:pPr>
        <w:pStyle w:val="Normal41"/>
        <w:widowControl w:val="0"/>
        <w:spacing w:before="200" w:line="260" w:lineRule="atLeast"/>
        <w:jc w:val="both"/>
      </w:pPr>
      <w:bookmarkStart w:id="7703" w:name="Bookmark_para_32_21"/>
      <w:bookmarkStart w:id="7704" w:name="Bookmark_I5XXHYH228T3WK0030000400"/>
      <w:bookmarkEnd w:id="7703"/>
      <w:bookmarkEnd w:id="7704"/>
      <w:r>
        <w:rPr>
          <w:rFonts w:ascii="Arial" w:eastAsia="Arial" w:hAnsi="Arial" w:cs="Arial"/>
          <w:color w:val="000000"/>
          <w:sz w:val="20"/>
        </w:rPr>
        <w:t xml:space="preserve">Cadena has not shown that the County refused to treat her or ignored her complaints. While her medical care was not "the best that money could buy," the County was responsive to Cadena's medical needs. </w:t>
      </w:r>
      <w:bookmarkStart w:id="7705" w:name="Bookmark_I5XXHYH228T3WK0020000400"/>
      <w:bookmarkEnd w:id="7705"/>
      <w:r>
        <w:rPr>
          <w:rFonts w:ascii="Arial" w:eastAsia="Arial" w:hAnsi="Arial" w:cs="Arial"/>
          <w:i/>
          <w:color w:val="000000"/>
          <w:sz w:val="20"/>
        </w:rPr>
        <w:t>Mayweather v. Foti</w:t>
      </w:r>
      <w:r>
        <w:rPr>
          <w:rFonts w:ascii="Arial" w:eastAsia="Arial" w:hAnsi="Arial" w:cs="Arial"/>
          <w:color w:val="000000"/>
          <w:sz w:val="20"/>
        </w:rPr>
        <w:t xml:space="preserve">, 958 F.2d 91, 91 (5th Cir. 1992). </w:t>
      </w:r>
      <w:bookmarkStart w:id="7706" w:name="Bookmark_I5XXHYH228T3WK0050000400"/>
      <w:bookmarkEnd w:id="7706"/>
      <w:r>
        <w:rPr>
          <w:rFonts w:ascii="Arial" w:eastAsia="Arial" w:hAnsi="Arial" w:cs="Arial"/>
          <w:color w:val="000000"/>
          <w:sz w:val="20"/>
        </w:rPr>
        <w:t xml:space="preserve">It immediately [**23]  assessed her medical needs, assigned her to a lower bunk, gave her crutches, and provided her with pain medication. After her fall, the County took her to the emergency room the same night. </w:t>
      </w:r>
      <w:bookmarkStart w:id="7707" w:name="Bookmark_I5XXHYH32D6MWC0020000400"/>
      <w:bookmarkEnd w:id="7707"/>
      <w:r>
        <w:rPr>
          <w:rFonts w:ascii="Arial" w:eastAsia="Arial" w:hAnsi="Arial" w:cs="Arial"/>
          <w:color w:val="000000"/>
          <w:sz w:val="20"/>
        </w:rPr>
        <w:t xml:space="preserve">The County then scheduled a follow-up surgery, which occurred approximately a month after Cadena's fall. </w:t>
      </w:r>
      <w:r>
        <w:rPr>
          <w:rFonts w:ascii="Arial" w:eastAsia="Arial" w:hAnsi="Arial" w:cs="Arial"/>
          <w:i/>
          <w:color w:val="000000"/>
          <w:sz w:val="20"/>
        </w:rPr>
        <w:t xml:space="preserve">See </w:t>
      </w:r>
      <w:bookmarkStart w:id="7708" w:name="Bookmark_I5XXHYH228T3WK0040000400"/>
      <w:bookmarkEnd w:id="7708"/>
      <w:r>
        <w:rPr>
          <w:rFonts w:ascii="Arial" w:eastAsia="Arial" w:hAnsi="Arial" w:cs="Arial"/>
          <w:i/>
          <w:color w:val="000000"/>
          <w:sz w:val="20"/>
        </w:rPr>
        <w:t>Banuelos v. McFarland</w:t>
      </w:r>
      <w:r>
        <w:rPr>
          <w:rFonts w:ascii="Arial" w:eastAsia="Arial" w:hAnsi="Arial" w:cs="Arial"/>
          <w:color w:val="000000"/>
          <w:sz w:val="20"/>
        </w:rPr>
        <w:t>, 41 F.3d 232, 235 (5th Cir. 1995) ("</w:t>
      </w:r>
      <w:bookmarkStart w:id="7709" w:name="Bookmark_LNHNREFclscc16_9"/>
      <w:bookmarkEnd w:id="7709"/>
      <w:r>
        <w:rPr>
          <w:rFonts w:ascii="Arial" w:eastAsia="Arial" w:hAnsi="Arial" w:cs="Arial"/>
          <w:color w:val="000000"/>
          <w:sz w:val="20"/>
        </w:rPr>
        <w:t xml:space="preserve">Medical records of sick calls, examinations, diagnoses, and medications may rebut an inmate's allegations of deliberate indifference."). </w:t>
      </w:r>
      <w:bookmarkStart w:id="7710" w:name="Bookmark_I5XXHYH32D6MWC0020000400_2"/>
      <w:bookmarkEnd w:id="7710"/>
      <w:r>
        <w:rPr>
          <w:rFonts w:ascii="Arial" w:eastAsia="Arial" w:hAnsi="Arial" w:cs="Arial"/>
          <w:color w:val="000000"/>
          <w:sz w:val="20"/>
        </w:rPr>
        <w:t xml:space="preserve">Cadena has made no showing that any lapses in medical care amounted to constitutional violations. As to her claim that the County made inmates on crutches carry food trays, Cadena has not put forth evidence that would allow a jury to conclude that this practice amounted to a policy or custom that was "so widespread as to have the force of law." </w:t>
      </w:r>
      <w:bookmarkStart w:id="7711" w:name="Bookmark_I5XXHYH32D6MWC0010000400"/>
      <w:bookmarkEnd w:id="7711"/>
      <w:r>
        <w:rPr>
          <w:rFonts w:ascii="Arial" w:eastAsia="Arial" w:hAnsi="Arial" w:cs="Arial"/>
          <w:i/>
          <w:color w:val="000000"/>
          <w:sz w:val="20"/>
        </w:rPr>
        <w:t>Bd. of County Comm'rs of Bryan County, Okla. v. Brown</w:t>
      </w:r>
      <w:r>
        <w:rPr>
          <w:rFonts w:ascii="Arial" w:eastAsia="Arial" w:hAnsi="Arial" w:cs="Arial"/>
          <w:color w:val="000000"/>
          <w:sz w:val="20"/>
        </w:rPr>
        <w:t>, 520 U.S. 397, 404, 117 S. Ct. 1382, 137 L. Ed. 2d 626 (1997). Thus, the district court correctly dismissed her claim under § 1983 and the Fourteenth Amendment.</w:t>
      </w:r>
    </w:p>
    <w:p w14:paraId="3985F973" w14:textId="77777777" w:rsidR="002B10A6" w:rsidRDefault="00000000">
      <w:pPr>
        <w:pStyle w:val="Normal41"/>
        <w:widowControl w:val="0"/>
        <w:spacing w:before="240" w:line="260" w:lineRule="atLeast"/>
      </w:pPr>
      <w:r>
        <w:br/>
      </w:r>
      <w:r>
        <w:rPr>
          <w:rFonts w:ascii="Arial" w:eastAsia="Arial" w:hAnsi="Arial" w:cs="Arial"/>
          <w:b/>
          <w:color w:val="000000"/>
          <w:sz w:val="20"/>
        </w:rPr>
        <w:t>IV</w:t>
      </w:r>
      <w:r>
        <w:rPr>
          <w:rFonts w:ascii="Arial" w:eastAsia="Arial" w:hAnsi="Arial" w:cs="Arial"/>
          <w:color w:val="000000"/>
          <w:sz w:val="20"/>
        </w:rPr>
        <w:t>.</w:t>
      </w:r>
    </w:p>
    <w:p w14:paraId="63BF8E96" w14:textId="77777777" w:rsidR="002B10A6" w:rsidRDefault="00000000">
      <w:pPr>
        <w:pStyle w:val="Normal41"/>
        <w:widowControl w:val="0"/>
        <w:spacing w:before="200" w:line="260" w:lineRule="atLeast"/>
        <w:jc w:val="both"/>
      </w:pPr>
      <w:bookmarkStart w:id="7712" w:name="Bookmark_para_33_20"/>
      <w:bookmarkEnd w:id="7712"/>
      <w:r>
        <w:rPr>
          <w:rFonts w:ascii="Arial" w:eastAsia="Arial" w:hAnsi="Arial" w:cs="Arial"/>
          <w:color w:val="000000"/>
          <w:sz w:val="20"/>
        </w:rPr>
        <w:t>For the foregoing reasons, we AFFIRM the district court's dismissal of Cadena's § 1983 claim. We REVERSE the district court's dismissal of Cadena's ADA claim, and we REMAND the case for further proceedings consistent with this opinion.</w:t>
      </w:r>
    </w:p>
    <w:p w14:paraId="46CDFA37" w14:textId="77777777" w:rsidR="002B10A6" w:rsidRDefault="002B10A6">
      <w:pPr>
        <w:pStyle w:val="Normal41"/>
      </w:pPr>
    </w:p>
    <w:p w14:paraId="6704F522" w14:textId="31136101" w:rsidR="002B10A6" w:rsidRDefault="00000000">
      <w:pPr>
        <w:pStyle w:val="Normal41"/>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49376" behindDoc="0" locked="0" layoutInCell="1" allowOverlap="1" wp14:anchorId="4D787EDF" wp14:editId="37722572">
                <wp:simplePos x="0" y="0"/>
                <wp:positionH relativeFrom="column">
                  <wp:posOffset>0</wp:posOffset>
                </wp:positionH>
                <wp:positionV relativeFrom="paragraph">
                  <wp:posOffset>127000</wp:posOffset>
                </wp:positionV>
                <wp:extent cx="6502400" cy="0"/>
                <wp:effectExtent l="9525" t="12700" r="12700" b="6350"/>
                <wp:wrapNone/>
                <wp:docPr id="1780615853"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F8745" id="Line 90"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443CFB6F" w14:textId="77777777" w:rsidR="002B10A6" w:rsidRDefault="002B10A6">
      <w:pPr>
        <w:pStyle w:val="Normal42"/>
        <w:sectPr w:rsidR="002B10A6">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gutter="0"/>
          <w:cols w:space="720"/>
          <w:titlePg/>
        </w:sectPr>
      </w:pPr>
    </w:p>
    <w:p w14:paraId="7286A23E" w14:textId="77777777" w:rsidR="002B10A6" w:rsidRDefault="002B10A6">
      <w:pPr>
        <w:pStyle w:val="Normal42"/>
      </w:pPr>
    </w:p>
    <w:p w14:paraId="320B2B52" w14:textId="77777777" w:rsidR="002B10A6" w:rsidRDefault="00000000">
      <w:pPr>
        <w:pStyle w:val="Heading141"/>
        <w:keepNext w:val="0"/>
        <w:widowControl w:val="0"/>
        <w:spacing w:after="200" w:line="340" w:lineRule="atLeast"/>
        <w:jc w:val="center"/>
      </w:pPr>
      <w:r>
        <w:rPr>
          <w:rFonts w:eastAsia="Arial"/>
          <w:color w:val="000000"/>
          <w:sz w:val="28"/>
        </w:rPr>
        <w:t>Davis v. Echo Valley Condo. Ass'n</w:t>
      </w:r>
    </w:p>
    <w:p w14:paraId="7189B9EF" w14:textId="77777777" w:rsidR="002B10A6" w:rsidRDefault="00000000">
      <w:pPr>
        <w:pStyle w:val="Normal42"/>
        <w:widowControl w:val="0"/>
        <w:spacing w:before="120" w:line="260" w:lineRule="atLeast"/>
        <w:jc w:val="center"/>
      </w:pPr>
      <w:r>
        <w:rPr>
          <w:rFonts w:ascii="Arial" w:eastAsia="Arial" w:hAnsi="Arial" w:cs="Arial"/>
          <w:color w:val="000000"/>
          <w:sz w:val="20"/>
        </w:rPr>
        <w:t>United States Court of Appeals for the Sixth Circuit</w:t>
      </w:r>
    </w:p>
    <w:p w14:paraId="4BAEFB29" w14:textId="77777777" w:rsidR="002B10A6" w:rsidRDefault="00000000">
      <w:pPr>
        <w:pStyle w:val="Normal42"/>
        <w:widowControl w:val="0"/>
        <w:spacing w:before="120" w:line="260" w:lineRule="atLeast"/>
        <w:jc w:val="center"/>
      </w:pPr>
      <w:r>
        <w:rPr>
          <w:rFonts w:ascii="Arial" w:eastAsia="Arial" w:hAnsi="Arial" w:cs="Arial"/>
          <w:color w:val="000000"/>
          <w:sz w:val="20"/>
        </w:rPr>
        <w:t>June 20, 2019, Argued; December 19, 2019, Decided; December 19, 2019, Filed</w:t>
      </w:r>
    </w:p>
    <w:p w14:paraId="12E63F1F" w14:textId="77777777" w:rsidR="002B10A6" w:rsidRDefault="00000000">
      <w:pPr>
        <w:pStyle w:val="Normal42"/>
        <w:widowControl w:val="0"/>
        <w:spacing w:before="120" w:line="260" w:lineRule="atLeast"/>
        <w:jc w:val="center"/>
      </w:pPr>
      <w:r>
        <w:rPr>
          <w:rFonts w:ascii="Arial" w:eastAsia="Arial" w:hAnsi="Arial" w:cs="Arial"/>
          <w:color w:val="000000"/>
          <w:sz w:val="20"/>
        </w:rPr>
        <w:t>File Name: 19a0302p.06</w:t>
      </w:r>
    </w:p>
    <w:p w14:paraId="261038F8" w14:textId="77777777" w:rsidR="002B10A6" w:rsidRDefault="00000000">
      <w:pPr>
        <w:pStyle w:val="Normal42"/>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18-2405</w:t>
      </w:r>
    </w:p>
    <w:p w14:paraId="5766381E" w14:textId="77777777" w:rsidR="002B10A6" w:rsidRDefault="002B10A6">
      <w:pPr>
        <w:pStyle w:val="Normal42"/>
        <w:widowControl w:val="0"/>
        <w:spacing w:line="240" w:lineRule="atLeast"/>
        <w:jc w:val="both"/>
      </w:pPr>
      <w:bookmarkStart w:id="7713" w:name="Bookmark_43"/>
      <w:bookmarkEnd w:id="7713"/>
    </w:p>
    <w:p w14:paraId="0783AF51" w14:textId="77777777" w:rsidR="002B10A6" w:rsidRDefault="00000000">
      <w:pPr>
        <w:pStyle w:val="Normal42"/>
        <w:widowControl w:val="0"/>
        <w:spacing w:before="200" w:line="240" w:lineRule="atLeast"/>
      </w:pPr>
      <w:bookmarkStart w:id="7714" w:name="Reporter_41"/>
      <w:bookmarkEnd w:id="7714"/>
      <w:r>
        <w:rPr>
          <w:rFonts w:ascii="Arial" w:eastAsia="Arial" w:hAnsi="Arial" w:cs="Arial"/>
          <w:b/>
          <w:color w:val="000000"/>
          <w:sz w:val="18"/>
        </w:rPr>
        <w:t>Reporter</w:t>
      </w:r>
    </w:p>
    <w:p w14:paraId="61E976CA" w14:textId="77777777" w:rsidR="002B10A6" w:rsidRDefault="00000000">
      <w:pPr>
        <w:pStyle w:val="Normal42"/>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945 F.3d 483 *; 2019 U.S. App. LEXIS 37709 **; 2019 FED App. 0302P (6th Cir.); 2019 WL 6907381</w:t>
      </w:r>
    </w:p>
    <w:p w14:paraId="547EFE58" w14:textId="77777777" w:rsidR="002B10A6" w:rsidRDefault="00000000">
      <w:pPr>
        <w:pStyle w:val="Normal42"/>
        <w:widowControl w:val="0"/>
        <w:spacing w:before="120" w:line="260" w:lineRule="atLeast"/>
      </w:pPr>
      <w:r>
        <w:rPr>
          <w:rFonts w:ascii="Arial" w:eastAsia="Arial" w:hAnsi="Arial" w:cs="Arial"/>
          <w:color w:val="000000"/>
          <w:sz w:val="20"/>
        </w:rPr>
        <w:t>PHYLLIS DAVIS, Plaintiff-Appellant, v. ECHO VALLEY CONDOMINIUM ASSOCIATION; CASA BELLA PROPERTY MANAGEMENT, INC., Defendants-Appellees.</w:t>
      </w:r>
    </w:p>
    <w:p w14:paraId="26F06371" w14:textId="77777777" w:rsidR="002B10A6" w:rsidRDefault="00000000">
      <w:pPr>
        <w:pStyle w:val="Normal42"/>
        <w:widowControl w:val="0"/>
        <w:spacing w:before="240" w:line="260" w:lineRule="atLeast"/>
      </w:pPr>
      <w:bookmarkStart w:id="7715" w:name="Subsequent_History_14"/>
      <w:bookmarkEnd w:id="7715"/>
      <w:r>
        <w:rPr>
          <w:rFonts w:ascii="Arial" w:eastAsia="Arial" w:hAnsi="Arial" w:cs="Arial"/>
          <w:b/>
          <w:color w:val="000000"/>
          <w:sz w:val="20"/>
        </w:rPr>
        <w:t>Subsequent History:</w:t>
      </w:r>
      <w:r>
        <w:rPr>
          <w:rFonts w:ascii="Arial" w:eastAsia="Arial" w:hAnsi="Arial" w:cs="Arial"/>
          <w:color w:val="000000"/>
          <w:sz w:val="20"/>
        </w:rPr>
        <w:t> Rehearing denied by, En banc Davis v. Echo Valley Condo. Ass'n, 2020 U.S. App. LEXIS 1936 (6th Cir., Jan. 22, 2020)</w:t>
      </w:r>
    </w:p>
    <w:p w14:paraId="6F23A7FC" w14:textId="77777777" w:rsidR="002B10A6" w:rsidRDefault="00000000">
      <w:pPr>
        <w:pStyle w:val="Normal42"/>
        <w:widowControl w:val="0"/>
        <w:spacing w:before="120" w:line="260" w:lineRule="atLeast"/>
      </w:pPr>
      <w:r>
        <w:rPr>
          <w:rFonts w:ascii="Arial" w:eastAsia="Arial" w:hAnsi="Arial" w:cs="Arial"/>
          <w:color w:val="000000"/>
          <w:sz w:val="20"/>
        </w:rPr>
        <w:t>US Supreme Court certiorari denied by Davis v. Echo Valley Condo. Ass'n, 2020 U.S. LEXIS 3512 (U.S., June 29, 2020)</w:t>
      </w:r>
    </w:p>
    <w:p w14:paraId="45F068C1" w14:textId="77777777" w:rsidR="002B10A6" w:rsidRDefault="00000000">
      <w:pPr>
        <w:pStyle w:val="Normal42"/>
        <w:widowControl w:val="0"/>
        <w:spacing w:before="240" w:line="260" w:lineRule="atLeast"/>
        <w:jc w:val="both"/>
      </w:pPr>
      <w:bookmarkStart w:id="7716" w:name="Prior_History_41"/>
      <w:bookmarkEnd w:id="7716"/>
      <w:r>
        <w:rPr>
          <w:rFonts w:ascii="Arial" w:eastAsia="Arial" w:hAnsi="Arial" w:cs="Arial"/>
          <w:b/>
          <w:color w:val="000000"/>
          <w:sz w:val="20"/>
        </w:rPr>
        <w:t>Prior History:</w:t>
      </w:r>
      <w:r>
        <w:rPr>
          <w:rFonts w:ascii="Arial" w:eastAsia="Arial" w:hAnsi="Arial" w:cs="Arial"/>
          <w:color w:val="000000"/>
          <w:sz w:val="20"/>
        </w:rPr>
        <w:t> </w:t>
      </w:r>
      <w:bookmarkStart w:id="7717" w:name="Bookmark_para_1_41"/>
      <w:bookmarkEnd w:id="7717"/>
      <w:r>
        <w:rPr>
          <w:rFonts w:ascii="Arial" w:eastAsia="Arial" w:hAnsi="Arial" w:cs="Arial"/>
          <w:color w:val="000000"/>
          <w:sz w:val="20"/>
        </w:rPr>
        <w:t> [**1] Appeal from the United States District Court for the Eastern District of Michigan at Detroit. No. 2:17-cv-12475—David M. Lawson, District Judge.</w:t>
      </w:r>
    </w:p>
    <w:p w14:paraId="32EF97D8" w14:textId="77777777" w:rsidR="002B10A6" w:rsidRDefault="00000000">
      <w:pPr>
        <w:pStyle w:val="Normal42"/>
        <w:widowControl w:val="0"/>
        <w:spacing w:before="120" w:line="260" w:lineRule="atLeast"/>
      </w:pPr>
      <w:r>
        <w:rPr>
          <w:rFonts w:ascii="Arial" w:eastAsia="Arial" w:hAnsi="Arial" w:cs="Arial"/>
          <w:color w:val="000000"/>
          <w:sz w:val="20"/>
        </w:rPr>
        <w:t>Davis v. Echo Valley Condo. Ass'n, 349 F. Supp. 3d 645, 2018 U.S. Dist. LEXIS 190426 ( E.D. Mich., Nov. 7, 2018)</w:t>
      </w:r>
    </w:p>
    <w:p w14:paraId="2CA10A3E" w14:textId="77777777" w:rsidR="002B10A6" w:rsidRDefault="00000000">
      <w:pPr>
        <w:pStyle w:val="Normal42"/>
        <w:widowControl w:val="0"/>
        <w:spacing w:before="240" w:line="260" w:lineRule="atLeast"/>
      </w:pPr>
      <w:bookmarkStart w:id="7718" w:name="Counsel_40"/>
      <w:bookmarkEnd w:id="7718"/>
      <w:r>
        <w:rPr>
          <w:rFonts w:ascii="Arial" w:eastAsia="Arial" w:hAnsi="Arial" w:cs="Arial"/>
          <w:b/>
          <w:color w:val="000000"/>
          <w:sz w:val="20"/>
        </w:rPr>
        <w:t>Counsel:</w:t>
      </w:r>
      <w:r>
        <w:rPr>
          <w:rFonts w:ascii="Arial" w:eastAsia="Arial" w:hAnsi="Arial" w:cs="Arial"/>
          <w:color w:val="000000"/>
          <w:sz w:val="20"/>
        </w:rPr>
        <w:t> ARGUED: Alan Gocha, BROOKS KUSHMAN P.C., Southfield, Michigan, for Appellant. Kay Rivest Butler, STARR, BUTLER, ALEXOPOULOS &amp; STONER, PLLC, Southfield, Michigan, for Appellees.</w:t>
      </w:r>
    </w:p>
    <w:p w14:paraId="3912BF05" w14:textId="77777777" w:rsidR="002B10A6" w:rsidRDefault="00000000">
      <w:pPr>
        <w:pStyle w:val="Normal42"/>
        <w:widowControl w:val="0"/>
        <w:spacing w:before="120" w:line="260" w:lineRule="atLeast"/>
      </w:pPr>
      <w:r>
        <w:rPr>
          <w:rFonts w:ascii="Arial" w:eastAsia="Arial" w:hAnsi="Arial" w:cs="Arial"/>
          <w:color w:val="000000"/>
          <w:sz w:val="20"/>
        </w:rPr>
        <w:t>ON BRIEF: Alan Gocha, Mark A. Cantor, Justin A. Barry, BROOKS KUSHMAN P.C., Southfield, Michigan, for Appellant. Kay Rivest Butler, STARR, BUTLER, ALEXOPOULOS &amp; STONER, PLLC, Southfield, Michigan, for Appellees.</w:t>
      </w:r>
    </w:p>
    <w:p w14:paraId="1F36FC22" w14:textId="77777777" w:rsidR="002B10A6" w:rsidRDefault="00000000">
      <w:pPr>
        <w:pStyle w:val="Normal42"/>
        <w:widowControl w:val="0"/>
        <w:spacing w:before="240" w:line="260" w:lineRule="atLeast"/>
      </w:pPr>
      <w:bookmarkStart w:id="7719" w:name="Judges_41"/>
      <w:bookmarkEnd w:id="7719"/>
      <w:r>
        <w:rPr>
          <w:rFonts w:ascii="Arial" w:eastAsia="Arial" w:hAnsi="Arial" w:cs="Arial"/>
          <w:b/>
          <w:color w:val="000000"/>
          <w:sz w:val="20"/>
        </w:rPr>
        <w:t>Judges:</w:t>
      </w:r>
      <w:r>
        <w:rPr>
          <w:rFonts w:ascii="Arial" w:eastAsia="Arial" w:hAnsi="Arial" w:cs="Arial"/>
          <w:color w:val="000000"/>
          <w:sz w:val="20"/>
        </w:rPr>
        <w:t> Before: COOK, NALBANDIAN, and MURPHY, Circuit Judges.</w:t>
      </w:r>
    </w:p>
    <w:p w14:paraId="1B736B9C" w14:textId="77777777" w:rsidR="002B10A6" w:rsidRDefault="00000000">
      <w:pPr>
        <w:pStyle w:val="Normal42"/>
        <w:widowControl w:val="0"/>
        <w:spacing w:before="240" w:line="260" w:lineRule="atLeast"/>
      </w:pPr>
      <w:bookmarkStart w:id="7720" w:name="Opinion_by_28"/>
      <w:bookmarkEnd w:id="7720"/>
      <w:r>
        <w:rPr>
          <w:rFonts w:ascii="Arial" w:eastAsia="Arial" w:hAnsi="Arial" w:cs="Arial"/>
          <w:b/>
          <w:color w:val="000000"/>
          <w:sz w:val="20"/>
        </w:rPr>
        <w:t>Opinion by:</w:t>
      </w:r>
      <w:r>
        <w:rPr>
          <w:rFonts w:ascii="Arial" w:eastAsia="Arial" w:hAnsi="Arial" w:cs="Arial"/>
          <w:color w:val="000000"/>
          <w:sz w:val="20"/>
        </w:rPr>
        <w:t> MURPHY</w:t>
      </w:r>
    </w:p>
    <w:p w14:paraId="35F40F8C" w14:textId="77777777" w:rsidR="002B10A6" w:rsidRDefault="00000000">
      <w:pPr>
        <w:pStyle w:val="Normal42"/>
        <w:keepNext/>
        <w:widowControl w:val="0"/>
        <w:spacing w:before="240" w:line="340" w:lineRule="atLeast"/>
      </w:pPr>
      <w:bookmarkStart w:id="7721" w:name="Opinion_41"/>
      <w:bookmarkEnd w:id="7721"/>
      <w:r>
        <w:rPr>
          <w:rFonts w:ascii="Arial" w:eastAsia="Arial" w:hAnsi="Arial" w:cs="Arial"/>
          <w:b/>
          <w:color w:val="000000"/>
          <w:sz w:val="28"/>
        </w:rPr>
        <w:t>Opinion</w:t>
      </w:r>
    </w:p>
    <w:p w14:paraId="6F053976" w14:textId="585D4572" w:rsidR="002B10A6" w:rsidRDefault="002D6974">
      <w:pPr>
        <w:pStyle w:val="Normal42"/>
        <w:spacing w:line="60" w:lineRule="exact"/>
      </w:pPr>
      <w:r>
        <w:rPr>
          <w:noProof/>
        </w:rPr>
        <mc:AlternateContent>
          <mc:Choice Requires="wps">
            <w:drawing>
              <wp:anchor distT="0" distB="0" distL="114300" distR="114300" simplePos="0" relativeHeight="251750400" behindDoc="0" locked="0" layoutInCell="1" allowOverlap="1" wp14:anchorId="22A80ED3" wp14:editId="28943260">
                <wp:simplePos x="0" y="0"/>
                <wp:positionH relativeFrom="column">
                  <wp:posOffset>0</wp:posOffset>
                </wp:positionH>
                <wp:positionV relativeFrom="paragraph">
                  <wp:posOffset>25400</wp:posOffset>
                </wp:positionV>
                <wp:extent cx="3187700" cy="0"/>
                <wp:effectExtent l="19050" t="15875" r="12700" b="12700"/>
                <wp:wrapTopAndBottom/>
                <wp:docPr id="1789660184"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F98DD"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67A4846" w14:textId="77777777" w:rsidR="002B10A6" w:rsidRDefault="002B10A6">
      <w:pPr>
        <w:pStyle w:val="Normal42"/>
      </w:pPr>
    </w:p>
    <w:p w14:paraId="0C336832" w14:textId="77777777" w:rsidR="002B10A6" w:rsidRDefault="00000000">
      <w:pPr>
        <w:pStyle w:val="Normal42"/>
        <w:widowControl w:val="0"/>
        <w:spacing w:before="200" w:line="260" w:lineRule="atLeast"/>
        <w:jc w:val="both"/>
      </w:pPr>
      <w:bookmarkStart w:id="7722" w:name="Bookmark_para_2_41"/>
      <w:bookmarkEnd w:id="7722"/>
      <w:r>
        <w:rPr>
          <w:rFonts w:ascii="Arial" w:eastAsia="Arial" w:hAnsi="Arial" w:cs="Arial"/>
          <w:color w:val="000000"/>
          <w:sz w:val="20"/>
        </w:rPr>
        <w:t> [*486]  MURPHY, Circuit Judge. Phyllis Davis suffers from asthma but lives in a condominium complex that allows residents to smoke in their condos. Davis asserts that the smell of smoke regularly emanating from a neighbor's condo aggravated her asthma. Unsatisfied with her condo association's efforts to address the situation, she sued the association and its property manager. Davis alleged that these defendants, by refusing to ban smoking, discriminated against her under the Fair Housing Amendments Act, violated various condo bylaws, and allowed a tortious nuisance to persist. The district court rejected Davis's claims on summary [**2]  judgment. We affirm.</w:t>
      </w:r>
    </w:p>
    <w:p w14:paraId="2B30F392" w14:textId="77777777" w:rsidR="002B10A6" w:rsidRDefault="00000000">
      <w:pPr>
        <w:pStyle w:val="Normal42"/>
        <w:widowControl w:val="0"/>
        <w:spacing w:before="120" w:line="260" w:lineRule="atLeast"/>
      </w:pPr>
      <w:r>
        <w:rPr>
          <w:rFonts w:ascii="Arial" w:eastAsia="Arial" w:hAnsi="Arial" w:cs="Arial"/>
          <w:color w:val="000000"/>
          <w:sz w:val="20"/>
        </w:rPr>
        <w:t>I.</w:t>
      </w:r>
    </w:p>
    <w:p w14:paraId="0FFD04BB" w14:textId="77777777" w:rsidR="002B10A6" w:rsidRDefault="00000000">
      <w:pPr>
        <w:pStyle w:val="Normal42"/>
        <w:widowControl w:val="0"/>
        <w:spacing w:before="200" w:line="260" w:lineRule="atLeast"/>
        <w:jc w:val="both"/>
      </w:pPr>
      <w:bookmarkStart w:id="7723" w:name="Bookmark_para_3_41"/>
      <w:bookmarkEnd w:id="7723"/>
      <w:r>
        <w:rPr>
          <w:rFonts w:ascii="Arial" w:eastAsia="Arial" w:hAnsi="Arial" w:cs="Arial"/>
          <w:color w:val="000000"/>
          <w:sz w:val="20"/>
        </w:rPr>
        <w:t>In the 1970s, a developer built the Echo Valley Condominium complex in Farmington Hills, Michigan. The complex is governed by a master deed, bylaws, and the Michigan Condominium Act, Mich. Comp. Laws § 559.101-.276. The bylaws impose many regulations on condo owners. They contain several specific bans, including, for example, a ban on keeping a dog or cat in a condo. They also contain general rules like the following: "No immoral, improper, unlawful or offensive activity shall be carried on in any apartment or upon the common elements, limited or general, nor shall anything be done which may be or  [*487]  become an annoyance or a nuisance to the co-owners of the Condominium."</w:t>
      </w:r>
    </w:p>
    <w:p w14:paraId="78AB217E" w14:textId="77777777" w:rsidR="002B10A6" w:rsidRDefault="00000000">
      <w:pPr>
        <w:pStyle w:val="Normal42"/>
        <w:widowControl w:val="0"/>
        <w:spacing w:before="200" w:line="260" w:lineRule="atLeast"/>
        <w:jc w:val="both"/>
      </w:pPr>
      <w:bookmarkStart w:id="7724" w:name="Bookmark_para_4_41"/>
      <w:bookmarkEnd w:id="7724"/>
      <w:r>
        <w:rPr>
          <w:rFonts w:ascii="Arial" w:eastAsia="Arial" w:hAnsi="Arial" w:cs="Arial"/>
          <w:color w:val="000000"/>
          <w:sz w:val="20"/>
        </w:rPr>
        <w:t>The Echo Valley Condominium Association—an association of co-owners organized as a nonprofit corporation that we will call the "Association"—manages the Echo Valley complex. A board of directors made up of volunteer co-owners oversees this Association. The bylaws give the board "all powers and duties necessary for the administration" of the Echo Valley complex, including maintaining the common elements, collecting the assessments, and enforcing the bylaws. The board also must contract with a professional manager to carry out its [**3]  duties. At most times relevant here, the Association contracted with Casa Bella Property Management, Inc., to help run the complex.</w:t>
      </w:r>
    </w:p>
    <w:p w14:paraId="5830DB61" w14:textId="77777777" w:rsidR="002B10A6" w:rsidRDefault="00000000">
      <w:pPr>
        <w:pStyle w:val="Normal42"/>
        <w:widowControl w:val="0"/>
        <w:spacing w:before="200" w:line="260" w:lineRule="atLeast"/>
        <w:jc w:val="both"/>
      </w:pPr>
      <w:bookmarkStart w:id="7725" w:name="Bookmark_para_5_41"/>
      <w:bookmarkEnd w:id="7725"/>
      <w:r>
        <w:rPr>
          <w:rFonts w:ascii="Arial" w:eastAsia="Arial" w:hAnsi="Arial" w:cs="Arial"/>
          <w:color w:val="000000"/>
          <w:sz w:val="20"/>
        </w:rPr>
        <w:t>The minutes from the regular meetings of the Association's board show that condo living can be trying, and board membership a thankless task. The board fields complaints ranging from the need for repairs ("We have had nine A.C. units break down since we last [met]"), to non-residents sneaking into the pool ("I could not believe the condition of the water after the guests left"), to inflamed passions from the pet ban ("another lady is very upset and is considering taking [a board member] to court if she stays on the board with a pet").</w:t>
      </w:r>
    </w:p>
    <w:p w14:paraId="655CF4C6" w14:textId="77777777" w:rsidR="002B10A6" w:rsidRDefault="00000000">
      <w:pPr>
        <w:pStyle w:val="Normal42"/>
        <w:widowControl w:val="0"/>
        <w:spacing w:before="200" w:line="260" w:lineRule="atLeast"/>
        <w:jc w:val="both"/>
      </w:pPr>
      <w:bookmarkStart w:id="7726" w:name="Bookmark_para_6_41"/>
      <w:bookmarkEnd w:id="7726"/>
      <w:r>
        <w:rPr>
          <w:rFonts w:ascii="Arial" w:eastAsia="Arial" w:hAnsi="Arial" w:cs="Arial"/>
          <w:color w:val="000000"/>
          <w:sz w:val="20"/>
        </w:rPr>
        <w:t xml:space="preserve">This case concerns another fact of life in Echo Valley: Condo owners regularly detect odors from each other's condos. Residents, for example, have complained about the smell of their neighbors' cooking. Some residents also smoke cigarettes in their condos. Michigan law permits smoking in one's home, </w:t>
      </w:r>
      <w:r>
        <w:rPr>
          <w:rFonts w:ascii="Arial" w:eastAsia="Arial" w:hAnsi="Arial" w:cs="Arial"/>
          <w:i/>
          <w:color w:val="000000"/>
          <w:sz w:val="20"/>
        </w:rPr>
        <w:t>cf</w:t>
      </w:r>
      <w:r>
        <w:rPr>
          <w:rFonts w:ascii="Arial" w:eastAsia="Arial" w:hAnsi="Arial" w:cs="Arial"/>
          <w:color w:val="000000"/>
          <w:sz w:val="20"/>
        </w:rPr>
        <w:t>. Mich. Comp. Laws § 333.12603(1), and the Association has long read the bylaws to permit residents to smoke in their units. (The bylaws say nothing specific about smoking.) Yet neighbors can sometimes smell this smoke, and in-condo smoking has produced complaints [**4]  to the Board over the years. Some residents have even moved out because of the Association's policy allowing smoking.</w:t>
      </w:r>
    </w:p>
    <w:p w14:paraId="3A273648" w14:textId="77777777" w:rsidR="002B10A6" w:rsidRDefault="00000000">
      <w:pPr>
        <w:pStyle w:val="Normal42"/>
        <w:widowControl w:val="0"/>
        <w:spacing w:before="200" w:line="260" w:lineRule="atLeast"/>
        <w:jc w:val="both"/>
      </w:pPr>
      <w:bookmarkStart w:id="7727" w:name="Bookmark_para_7_40"/>
      <w:bookmarkEnd w:id="7727"/>
      <w:r>
        <w:rPr>
          <w:rFonts w:ascii="Arial" w:eastAsia="Arial" w:hAnsi="Arial" w:cs="Arial"/>
          <w:color w:val="000000"/>
          <w:sz w:val="20"/>
        </w:rPr>
        <w:t>Davis, a cancer survivor with "a history of asthma and multiple chemical sensitivity disorder," seeks to change the Association's smoking policy through this suit. In 2004, she bought a condo on the second floor of a four-unit building in the complex. The condos in her building share a common entryway, basement, and attic. A 2015 letter that Davis addressed to "Dear Neighbor" suggests that smells and sounds carry across her building. As for smells, Davis told her neighbor that she "almost had an asthma attack" because "[t]he smell of whatever you were cooking this morning engulfed my condo." She asked her neighbor to cook with the windows open and exhaust fan on. As for sounds, Davis added: "Also, please stop slamming your door when you come in as it is very loud."</w:t>
      </w:r>
    </w:p>
    <w:p w14:paraId="0D5A46A5" w14:textId="77777777" w:rsidR="002B10A6" w:rsidRDefault="00000000">
      <w:pPr>
        <w:pStyle w:val="Normal42"/>
        <w:widowControl w:val="0"/>
        <w:spacing w:before="200" w:line="260" w:lineRule="atLeast"/>
        <w:jc w:val="both"/>
      </w:pPr>
      <w:bookmarkStart w:id="7728" w:name="Bookmark_para_8_40"/>
      <w:bookmarkEnd w:id="7728"/>
      <w:r>
        <w:rPr>
          <w:rFonts w:ascii="Arial" w:eastAsia="Arial" w:hAnsi="Arial" w:cs="Arial"/>
          <w:color w:val="000000"/>
          <w:sz w:val="20"/>
        </w:rPr>
        <w:t>Davis's more recent concern has been cigarette smoke. Moisey and Ella Lamnin owned a condo on the first floor of Davis's building and began renting it to Wanda Rule in 2012. At some point not apparent in the record, the smell of smoke from the Lamnins' condo (presumably from Wanda Rule and her husband) started [**5]  entering Davis's unit and lingering in the building's common areas. According to Davis, the smoke "has significant adverse effects on [her] ability to breathe comfortably."</w:t>
      </w:r>
    </w:p>
    <w:p w14:paraId="5B54DD4A" w14:textId="77777777" w:rsidR="002B10A6" w:rsidRDefault="00000000">
      <w:pPr>
        <w:pStyle w:val="Normal42"/>
        <w:widowControl w:val="0"/>
        <w:spacing w:before="200" w:line="260" w:lineRule="atLeast"/>
        <w:jc w:val="both"/>
      </w:pPr>
      <w:bookmarkStart w:id="7729" w:name="Bookmark_para_9_40"/>
      <w:bookmarkEnd w:id="7729"/>
      <w:r>
        <w:rPr>
          <w:rFonts w:ascii="Arial" w:eastAsia="Arial" w:hAnsi="Arial" w:cs="Arial"/>
          <w:color w:val="000000"/>
          <w:sz w:val="20"/>
        </w:rPr>
        <w:t>On March 1, 2016, in her first written complaint in the record, Davis emailed a Casa Bella employee to report that the Lamnins' tenants "do not work, so they are home all day and night chain smoking," which affected her "breathing, causing constant coughing, and near asthma attacks." She asked if the board could "make owners accountable for cigarette and other types of smoke seeping through  [*488]  the cracks of their doors and vents." The Association's board, which at that time included Davis, discussed her complaint at a March 2016 meeting. The board ultimately directed the Casa Bella employee to send a letter to the Lamnins. The letter noted that the board had received complaints about the smoke and that, "[w]hile there is no rule or regulation that prohibits smoking inside one's home, it can be considered a nuisance to those who do not smoke." The letter requested the Lamnins' "assistance in keeping the smell contained," such as by asking their tenants to smoke on their balcony or by further insulating their doors.</w:t>
      </w:r>
    </w:p>
    <w:p w14:paraId="61BA464F" w14:textId="77777777" w:rsidR="002B10A6" w:rsidRDefault="00000000">
      <w:pPr>
        <w:pStyle w:val="Normal42"/>
        <w:widowControl w:val="0"/>
        <w:spacing w:before="200" w:line="260" w:lineRule="atLeast"/>
        <w:jc w:val="both"/>
      </w:pPr>
      <w:bookmarkStart w:id="7730" w:name="Bookmark_para_10_39"/>
      <w:bookmarkEnd w:id="7730"/>
      <w:r>
        <w:rPr>
          <w:rFonts w:ascii="Arial" w:eastAsia="Arial" w:hAnsi="Arial" w:cs="Arial"/>
          <w:color w:val="000000"/>
          <w:sz w:val="20"/>
        </w:rPr>
        <w:t>Minutes [**6]  from a board meeting in February 2017 memorialize another complaint. Davis urged the board to send a second letter to the Lamnins about "heavy smoking of cigarettes, weed and etc[.], infiltrating common areas and other units." This time the board chose a different path. It asked Mark Clor, a heating and cooling contractor, to install a $275 fresh-air system on Davis's ductwork. This system allowed Davis's furnace to draw in fresh air from outside rather than stale air from the basement. Other board members who had installed a similar system thought that it eliminated a significant portion of the smoke smell infiltrating their condos.</w:t>
      </w:r>
    </w:p>
    <w:p w14:paraId="42282A27" w14:textId="77777777" w:rsidR="002B10A6" w:rsidRDefault="00000000">
      <w:pPr>
        <w:pStyle w:val="Normal42"/>
        <w:widowControl w:val="0"/>
        <w:spacing w:before="200" w:line="260" w:lineRule="atLeast"/>
        <w:jc w:val="both"/>
      </w:pPr>
      <w:bookmarkStart w:id="7731" w:name="Bookmark_para_11_34"/>
      <w:bookmarkEnd w:id="7731"/>
      <w:r>
        <w:rPr>
          <w:rFonts w:ascii="Arial" w:eastAsia="Arial" w:hAnsi="Arial" w:cs="Arial"/>
          <w:color w:val="000000"/>
          <w:sz w:val="20"/>
        </w:rPr>
        <w:t>While Davis told Clor that the system "was helping with the smell of smoke," it did not fully eliminate the odor. In April 2017, her lawyer sent a letter to the Lamnins stating that the smoke pervading her condo affected her health. The letter suggested that the Rules' smoking breached various bylaws and created a common-law nuisance. It asked the Lamnins either to ensure that smoke did not escape their condo or to order their tenants to stop smoking. It also copied the Association's board and made "a formal demand that [it] take further action."</w:t>
      </w:r>
    </w:p>
    <w:p w14:paraId="19E5F1C3" w14:textId="77777777" w:rsidR="002B10A6" w:rsidRDefault="00000000">
      <w:pPr>
        <w:pStyle w:val="Normal42"/>
        <w:widowControl w:val="0"/>
        <w:spacing w:before="200" w:line="260" w:lineRule="atLeast"/>
        <w:jc w:val="both"/>
      </w:pPr>
      <w:bookmarkStart w:id="7732" w:name="Bookmark_para_12_33"/>
      <w:bookmarkEnd w:id="7732"/>
      <w:r>
        <w:rPr>
          <w:rFonts w:ascii="Arial" w:eastAsia="Arial" w:hAnsi="Arial" w:cs="Arial"/>
          <w:color w:val="000000"/>
          <w:sz w:val="20"/>
        </w:rPr>
        <w:t>In their [**7]  response, the Lamnins declined to force the Rules to cease smoking because the bylaws permitted the practice. Yet the Rules, "in the spirit of being good neighbors," volunteered to "purchase and use an air purifier/ionizer[] to clean the air in their unit of any residual cigarette smoke." This solution did not appease Davis either. In "logs" that she kept between May and July 2017, she regularly identified times that she could still smell smoke in her condo or the hallways.</w:t>
      </w:r>
    </w:p>
    <w:p w14:paraId="25788648" w14:textId="77777777" w:rsidR="002B10A6" w:rsidRDefault="00000000">
      <w:pPr>
        <w:pStyle w:val="Normal42"/>
        <w:widowControl w:val="0"/>
        <w:spacing w:before="200" w:line="260" w:lineRule="atLeast"/>
        <w:jc w:val="both"/>
      </w:pPr>
      <w:bookmarkStart w:id="7733" w:name="Bookmark_para_13_33"/>
      <w:bookmarkEnd w:id="7733"/>
      <w:r>
        <w:rPr>
          <w:rFonts w:ascii="Arial" w:eastAsia="Arial" w:hAnsi="Arial" w:cs="Arial"/>
          <w:color w:val="000000"/>
          <w:sz w:val="20"/>
        </w:rPr>
        <w:t>Things came to a head in July 2017. Davis sued the Association, Casa Bella, and the Lamnins (and later amended her complaint to add Wanda Rule). Davis alleged that, by refusing to ban smoking in her building, the Association had discriminated against her because of her disability in violation of the Fair Housing Amendments Act, 42 U.S.C. § 3604(f), and a similar Michigan law. (The parties agree that the state law has the same elements as the federal act, so we do not discuss it separately.) Davis also asserted two other state-law claims: a breach-of-covenant claim for violations of various bylaws, and a nuisance claim. She sought damages and an injunction against smoking in her building.</w:t>
      </w:r>
    </w:p>
    <w:p w14:paraId="1BC433BA" w14:textId="77777777" w:rsidR="002B10A6" w:rsidRDefault="00000000">
      <w:pPr>
        <w:pStyle w:val="Normal42"/>
        <w:widowControl w:val="0"/>
        <w:spacing w:before="200" w:line="260" w:lineRule="atLeast"/>
        <w:jc w:val="both"/>
      </w:pPr>
      <w:bookmarkStart w:id="7734" w:name="Bookmark_para_14_33"/>
      <w:bookmarkEnd w:id="7734"/>
      <w:r>
        <w:rPr>
          <w:rFonts w:ascii="Arial" w:eastAsia="Arial" w:hAnsi="Arial" w:cs="Arial"/>
          <w:color w:val="000000"/>
          <w:sz w:val="20"/>
        </w:rPr>
        <w:t>Davis's suit was apparently the last straw for the Lamnins. They told Wanda [**8]  Rule that they would terminate her lease effective December 31, 2017. The Rules moved out, and the Lamnins sold their condo. By March 2018, Davis had settled with the Lamnins and dismissed them from this suit.</w:t>
      </w:r>
    </w:p>
    <w:p w14:paraId="5101298E" w14:textId="77777777" w:rsidR="002B10A6" w:rsidRDefault="00000000">
      <w:pPr>
        <w:pStyle w:val="Normal42"/>
        <w:widowControl w:val="0"/>
        <w:spacing w:before="200" w:line="260" w:lineRule="atLeast"/>
        <w:jc w:val="both"/>
      </w:pPr>
      <w:bookmarkStart w:id="7735" w:name="Bookmark_para_15_33"/>
      <w:bookmarkEnd w:id="7735"/>
      <w:r>
        <w:rPr>
          <w:rFonts w:ascii="Arial" w:eastAsia="Arial" w:hAnsi="Arial" w:cs="Arial"/>
          <w:color w:val="000000"/>
          <w:sz w:val="20"/>
        </w:rPr>
        <w:t>Even after the primary source of Davis's complaints had moved out, she continued to litigate the suit against the Association and Casa Bella. In March 2018, she began keeping "logs" again after smelling cigarette and marijuana smoke from a new source. The next month, her lawyer told defense counsel that another resident "in  [*489]  Ms. Davis'[s] building ha[d] started smoking cigarettes and marijuana," which was "triggering Ms. Davis'[s] asthma, and making it very difficult for her to breathe." The lawyer asked the Association to grant Davis "a reasonable accommodation and prohibit smoking within her building." The Association requested more information about the source, but never received a definitive answer (at least not one in the record). Around this time, as a result of this suit, the Association circulated a bylaws-amendment package to condo owners proposing a smoking ban in the complex. The proposal failed to pass.</w:t>
      </w:r>
    </w:p>
    <w:p w14:paraId="34A41543" w14:textId="77777777" w:rsidR="002B10A6" w:rsidRDefault="00000000">
      <w:pPr>
        <w:pStyle w:val="Normal42"/>
        <w:widowControl w:val="0"/>
        <w:spacing w:before="200" w:line="260" w:lineRule="atLeast"/>
        <w:jc w:val="both"/>
      </w:pPr>
      <w:bookmarkStart w:id="7736" w:name="Bookmark_para_16_30"/>
      <w:bookmarkEnd w:id="7736"/>
      <w:r>
        <w:rPr>
          <w:rFonts w:ascii="Arial" w:eastAsia="Arial" w:hAnsi="Arial" w:cs="Arial"/>
          <w:color w:val="000000"/>
          <w:sz w:val="20"/>
        </w:rPr>
        <w:t xml:space="preserve">Following these developments, each side moved for summary judgment. [**9]  The district court granted the defendants' motion. </w:t>
      </w:r>
      <w:r>
        <w:rPr>
          <w:rFonts w:ascii="Arial" w:eastAsia="Arial" w:hAnsi="Arial" w:cs="Arial"/>
          <w:i/>
          <w:color w:val="000000"/>
          <w:sz w:val="20"/>
        </w:rPr>
        <w:t>Davis v. Echo Valley Condo. Ass'n</w:t>
      </w:r>
      <w:r>
        <w:rPr>
          <w:rFonts w:ascii="Arial" w:eastAsia="Arial" w:hAnsi="Arial" w:cs="Arial"/>
          <w:color w:val="000000"/>
          <w:sz w:val="20"/>
        </w:rPr>
        <w:t xml:space="preserve">, 349 F. Supp. 3d 645, 665 (E.D. Mich. 2018). It recognized that the Fair Housing Amendments Act prohibits discrimination based on disability and defines "discrimination" to include the refusal to grant a reasonable accommodation. </w:t>
      </w:r>
      <w:r>
        <w:rPr>
          <w:rFonts w:ascii="Arial" w:eastAsia="Arial" w:hAnsi="Arial" w:cs="Arial"/>
          <w:i/>
          <w:color w:val="000000"/>
          <w:sz w:val="20"/>
        </w:rPr>
        <w:t>Id.</w:t>
      </w:r>
      <w:r>
        <w:rPr>
          <w:rFonts w:ascii="Arial" w:eastAsia="Arial" w:hAnsi="Arial" w:cs="Arial"/>
          <w:color w:val="000000"/>
          <w:sz w:val="20"/>
        </w:rPr>
        <w:t xml:space="preserve"> at 657. The court held, however, that Davis's requested smoking ban was not a "reasonable accommodation." </w:t>
      </w:r>
      <w:r>
        <w:rPr>
          <w:rFonts w:ascii="Arial" w:eastAsia="Arial" w:hAnsi="Arial" w:cs="Arial"/>
          <w:i/>
          <w:color w:val="000000"/>
          <w:sz w:val="20"/>
        </w:rPr>
        <w:t>Id.</w:t>
      </w:r>
      <w:r>
        <w:rPr>
          <w:rFonts w:ascii="Arial" w:eastAsia="Arial" w:hAnsi="Arial" w:cs="Arial"/>
          <w:color w:val="000000"/>
          <w:sz w:val="20"/>
        </w:rPr>
        <w:t xml:space="preserve"> at 659. The ban would fundamentally change the Association's smoking policy by barring residents "from engaging in a lawful activity on their own property." </w:t>
      </w:r>
      <w:r>
        <w:rPr>
          <w:rFonts w:ascii="Arial" w:eastAsia="Arial" w:hAnsi="Arial" w:cs="Arial"/>
          <w:i/>
          <w:color w:val="000000"/>
          <w:sz w:val="20"/>
        </w:rPr>
        <w:t>Id.</w:t>
      </w:r>
      <w:r>
        <w:rPr>
          <w:rFonts w:ascii="Arial" w:eastAsia="Arial" w:hAnsi="Arial" w:cs="Arial"/>
          <w:color w:val="000000"/>
          <w:sz w:val="20"/>
        </w:rPr>
        <w:t xml:space="preserve"> The court next rejected Davis's nuisance claim, analogizing to Michigan cases that refused to hold a landlord liable for a tenant's nuisance. </w:t>
      </w:r>
      <w:r>
        <w:rPr>
          <w:rFonts w:ascii="Arial" w:eastAsia="Arial" w:hAnsi="Arial" w:cs="Arial"/>
          <w:i/>
          <w:color w:val="000000"/>
          <w:sz w:val="20"/>
        </w:rPr>
        <w:t>Id.</w:t>
      </w:r>
      <w:r>
        <w:rPr>
          <w:rFonts w:ascii="Arial" w:eastAsia="Arial" w:hAnsi="Arial" w:cs="Arial"/>
          <w:color w:val="000000"/>
          <w:sz w:val="20"/>
        </w:rPr>
        <w:t xml:space="preserve"> at 660. And it found that Davis's four breach-of-covenant claims failed for various reasons. </w:t>
      </w:r>
      <w:r>
        <w:rPr>
          <w:rFonts w:ascii="Arial" w:eastAsia="Arial" w:hAnsi="Arial" w:cs="Arial"/>
          <w:i/>
          <w:color w:val="000000"/>
          <w:sz w:val="20"/>
        </w:rPr>
        <w:t>Id.</w:t>
      </w:r>
      <w:r>
        <w:rPr>
          <w:rFonts w:ascii="Arial" w:eastAsia="Arial" w:hAnsi="Arial" w:cs="Arial"/>
          <w:color w:val="000000"/>
          <w:sz w:val="20"/>
        </w:rPr>
        <w:t xml:space="preserve"> at 661-65.</w:t>
      </w:r>
    </w:p>
    <w:p w14:paraId="15D07BAA" w14:textId="77777777" w:rsidR="002B10A6" w:rsidRDefault="00000000">
      <w:pPr>
        <w:pStyle w:val="Normal42"/>
        <w:widowControl w:val="0"/>
        <w:spacing w:before="120" w:line="260" w:lineRule="atLeast"/>
      </w:pPr>
      <w:r>
        <w:rPr>
          <w:rFonts w:ascii="Arial" w:eastAsia="Arial" w:hAnsi="Arial" w:cs="Arial"/>
          <w:color w:val="000000"/>
          <w:sz w:val="20"/>
        </w:rPr>
        <w:t>II.</w:t>
      </w:r>
    </w:p>
    <w:p w14:paraId="7A24F7CE" w14:textId="77777777" w:rsidR="002B10A6" w:rsidRDefault="00000000">
      <w:pPr>
        <w:pStyle w:val="Normal42"/>
        <w:widowControl w:val="0"/>
        <w:spacing w:before="200" w:line="260" w:lineRule="atLeast"/>
        <w:jc w:val="both"/>
      </w:pPr>
      <w:bookmarkStart w:id="7737" w:name="Bookmark_para_17_30"/>
      <w:bookmarkEnd w:id="7737"/>
      <w:r>
        <w:rPr>
          <w:rFonts w:ascii="Arial" w:eastAsia="Arial" w:hAnsi="Arial" w:cs="Arial"/>
          <w:color w:val="000000"/>
          <w:sz w:val="20"/>
        </w:rPr>
        <w:t xml:space="preserve">Davis raises eight issues on appeal. She disputes the district court's resolution of her disability claim, her breach-of-covenant claims, and her nuisance claim. She also asserts evidentiary and discovery challenges. Reviewing the court's grant of summary judgment de novo, </w:t>
      </w:r>
      <w:r>
        <w:rPr>
          <w:rFonts w:ascii="Arial" w:eastAsia="Arial" w:hAnsi="Arial" w:cs="Arial"/>
          <w:i/>
          <w:color w:val="000000"/>
          <w:sz w:val="20"/>
        </w:rPr>
        <w:t>Westfield Ins. v. Tech Dry, Inc.</w:t>
      </w:r>
      <w:r>
        <w:rPr>
          <w:rFonts w:ascii="Arial" w:eastAsia="Arial" w:hAnsi="Arial" w:cs="Arial"/>
          <w:color w:val="000000"/>
          <w:sz w:val="20"/>
        </w:rPr>
        <w:t xml:space="preserve">, 336 F.3d 503, 506 (6th Cir. 2003), and its procedural rulings for an abuse of discretion, </w:t>
      </w:r>
      <w:r>
        <w:rPr>
          <w:rFonts w:ascii="Arial" w:eastAsia="Arial" w:hAnsi="Arial" w:cs="Arial"/>
          <w:i/>
          <w:color w:val="000000"/>
          <w:sz w:val="20"/>
        </w:rPr>
        <w:t>United States v. Kelsor</w:t>
      </w:r>
      <w:r>
        <w:rPr>
          <w:rFonts w:ascii="Arial" w:eastAsia="Arial" w:hAnsi="Arial" w:cs="Arial"/>
          <w:color w:val="000000"/>
          <w:sz w:val="20"/>
        </w:rPr>
        <w:t xml:space="preserve">, 665 F.3d 684, 696 (6th Cir. 2011); </w:t>
      </w:r>
      <w:r>
        <w:rPr>
          <w:rFonts w:ascii="Arial" w:eastAsia="Arial" w:hAnsi="Arial" w:cs="Arial"/>
          <w:i/>
          <w:color w:val="000000"/>
          <w:sz w:val="20"/>
        </w:rPr>
        <w:t>Vance ex rel. Hammons v. United States</w:t>
      </w:r>
      <w:r>
        <w:rPr>
          <w:rFonts w:ascii="Arial" w:eastAsia="Arial" w:hAnsi="Arial" w:cs="Arial"/>
          <w:color w:val="000000"/>
          <w:sz w:val="20"/>
        </w:rPr>
        <w:t>, 90 F.3d 1145, 1149 (6th Cir. 1996), we affirm on all fronts.</w:t>
      </w:r>
    </w:p>
    <w:p w14:paraId="77438BE0" w14:textId="77777777" w:rsidR="002B10A6" w:rsidRDefault="00000000">
      <w:pPr>
        <w:pStyle w:val="Normal42"/>
        <w:widowControl w:val="0"/>
        <w:spacing w:before="120" w:line="260" w:lineRule="atLeast"/>
      </w:pPr>
      <w:r>
        <w:rPr>
          <w:rFonts w:ascii="Arial" w:eastAsia="Arial" w:hAnsi="Arial" w:cs="Arial"/>
          <w:color w:val="000000"/>
          <w:sz w:val="20"/>
        </w:rPr>
        <w:t>A.</w:t>
      </w:r>
    </w:p>
    <w:p w14:paraId="7559FBE5" w14:textId="77777777" w:rsidR="002B10A6" w:rsidRDefault="00000000">
      <w:pPr>
        <w:pStyle w:val="Normal42"/>
        <w:widowControl w:val="0"/>
        <w:spacing w:before="200" w:line="260" w:lineRule="atLeast"/>
        <w:jc w:val="both"/>
      </w:pPr>
      <w:bookmarkStart w:id="7738" w:name="Bookmark_para_18_29"/>
      <w:bookmarkStart w:id="7739" w:name="Bookmark_LNHNREFclscc1_32"/>
      <w:bookmarkEnd w:id="7738"/>
      <w:bookmarkEnd w:id="7739"/>
      <w:r>
        <w:rPr>
          <w:rFonts w:ascii="Arial" w:eastAsia="Arial" w:hAnsi="Arial" w:cs="Arial"/>
          <w:color w:val="000000"/>
          <w:sz w:val="20"/>
        </w:rPr>
        <w:t xml:space="preserve">We begin with the disability claim. The Fair Housing Amendments Act of 1988 amended the Fair Housing Act to bar housing discrimination against the handicapped. Pub. L. No. 100-430, § 6, 102 Stat. 1619, 1620-22 (adding 42 U.S.C. § 3604(f)). Section 3604(f) makes [**10]  it unlawful "[t]o discriminate against any person in the terms, conditions, or privileges of sale or rental of a dwelling, or in the provision of services or facilities in connection with such dwelling, because of a handicap of" that person. 42 U.S.C. § 3604(f)(2). Section 3604(f) then defines "discrimination" "[f]or purposes of this subsection" to include "a refusal to make reasonable accommodations in rules, policies, practices, or services, when such accommodations may be necessary to afford such person equal opportunity to use and enjoy a dwelling." </w:t>
      </w:r>
      <w:r>
        <w:rPr>
          <w:rFonts w:ascii="Arial" w:eastAsia="Arial" w:hAnsi="Arial" w:cs="Arial"/>
          <w:i/>
          <w:color w:val="000000"/>
          <w:sz w:val="20"/>
        </w:rPr>
        <w:t>Id.</w:t>
      </w:r>
      <w:r>
        <w:rPr>
          <w:rFonts w:ascii="Arial" w:eastAsia="Arial" w:hAnsi="Arial" w:cs="Arial"/>
          <w:color w:val="000000"/>
          <w:sz w:val="20"/>
        </w:rPr>
        <w:t xml:space="preserve"> § 3604(f)(3)(B). Combining these two paragraphs in § 3604(f), Davis argues that the Association and Casa Bella "discriminate[d] against" her "in [their] provision of services or facilities in connection with" her condo by refusing to provide a "reasonable accommodation[]" (a smoking ban in her building) to their general "polic[y]" allowing smoking. </w:t>
      </w:r>
      <w:r>
        <w:rPr>
          <w:rFonts w:ascii="Arial" w:eastAsia="Arial" w:hAnsi="Arial" w:cs="Arial"/>
          <w:i/>
          <w:color w:val="000000"/>
          <w:sz w:val="20"/>
        </w:rPr>
        <w:t>Id.</w:t>
      </w:r>
      <w:r>
        <w:rPr>
          <w:rFonts w:ascii="Arial" w:eastAsia="Arial" w:hAnsi="Arial" w:cs="Arial"/>
          <w:color w:val="000000"/>
          <w:sz w:val="20"/>
        </w:rPr>
        <w:t xml:space="preserve"> § 3604(f)(2)-(3).</w:t>
      </w:r>
    </w:p>
    <w:p w14:paraId="18217336" w14:textId="77777777" w:rsidR="002B10A6" w:rsidRDefault="00000000">
      <w:pPr>
        <w:pStyle w:val="Normal42"/>
        <w:widowControl w:val="0"/>
        <w:spacing w:before="200" w:line="260" w:lineRule="atLeast"/>
        <w:jc w:val="both"/>
      </w:pPr>
      <w:bookmarkStart w:id="7740" w:name="Bookmark_para_19_28"/>
      <w:bookmarkEnd w:id="7740"/>
      <w:r>
        <w:rPr>
          <w:rFonts w:ascii="Arial" w:eastAsia="Arial" w:hAnsi="Arial" w:cs="Arial"/>
          <w:color w:val="000000"/>
          <w:sz w:val="20"/>
        </w:rPr>
        <w:t xml:space="preserve">Section 3604(f)'s text requires Davis to prove several things. </w:t>
      </w:r>
      <w:r>
        <w:rPr>
          <w:rFonts w:ascii="Arial" w:eastAsia="Arial" w:hAnsi="Arial" w:cs="Arial"/>
          <w:i/>
          <w:color w:val="000000"/>
          <w:sz w:val="20"/>
        </w:rPr>
        <w:t>See Hollis v. Chestnut Bend Homeowners Ass'n</w:t>
      </w:r>
      <w:r>
        <w:rPr>
          <w:rFonts w:ascii="Arial" w:eastAsia="Arial" w:hAnsi="Arial" w:cs="Arial"/>
          <w:color w:val="000000"/>
          <w:sz w:val="20"/>
        </w:rPr>
        <w:t xml:space="preserve">, 760 F.3d 531, 541 (6th Cir. 2014). To begin with, § 3604(f)(2) prohibits discrimination only "because of a handicap," so Davis must show that her asthma falls within the definition of "handicap." </w:t>
      </w:r>
      <w:r>
        <w:rPr>
          <w:rFonts w:ascii="Arial" w:eastAsia="Arial" w:hAnsi="Arial" w:cs="Arial"/>
          <w:i/>
          <w:color w:val="000000"/>
          <w:sz w:val="20"/>
        </w:rPr>
        <w:t>See</w:t>
      </w:r>
      <w:r>
        <w:rPr>
          <w:rFonts w:ascii="Arial" w:eastAsia="Arial" w:hAnsi="Arial" w:cs="Arial"/>
          <w:color w:val="000000"/>
          <w:sz w:val="20"/>
        </w:rPr>
        <w:t xml:space="preserve"> 42 U.S.C. § 3602(h).  [*490]  But Davis offered little evidence that, apart from the smoke-related aggravation, her asthma was otherwise severe enough to "substantially [**11]  limit[]" a "major life activit[y]." </w:t>
      </w:r>
      <w:r>
        <w:rPr>
          <w:rFonts w:ascii="Arial" w:eastAsia="Arial" w:hAnsi="Arial" w:cs="Arial"/>
          <w:i/>
          <w:color w:val="000000"/>
          <w:sz w:val="20"/>
        </w:rPr>
        <w:t>Id.</w:t>
      </w:r>
      <w:r>
        <w:rPr>
          <w:rFonts w:ascii="Arial" w:eastAsia="Arial" w:hAnsi="Arial" w:cs="Arial"/>
          <w:color w:val="000000"/>
          <w:sz w:val="20"/>
        </w:rPr>
        <w:t xml:space="preserve"> § 3602(h)(1); </w:t>
      </w:r>
      <w:r>
        <w:rPr>
          <w:rFonts w:ascii="Arial" w:eastAsia="Arial" w:hAnsi="Arial" w:cs="Arial"/>
          <w:i/>
          <w:color w:val="000000"/>
          <w:sz w:val="20"/>
        </w:rPr>
        <w:t>cf. Milton v. Tex. Dep't of Criminal Justice</w:t>
      </w:r>
      <w:r>
        <w:rPr>
          <w:rFonts w:ascii="Arial" w:eastAsia="Arial" w:hAnsi="Arial" w:cs="Arial"/>
          <w:color w:val="000000"/>
          <w:sz w:val="20"/>
        </w:rPr>
        <w:t xml:space="preserve">, 707 F.3d 570, 573-74 (5th Cir. 2013); </w:t>
      </w:r>
      <w:r>
        <w:rPr>
          <w:rFonts w:ascii="Arial" w:eastAsia="Arial" w:hAnsi="Arial" w:cs="Arial"/>
          <w:i/>
          <w:color w:val="000000"/>
          <w:sz w:val="20"/>
        </w:rPr>
        <w:t>Wofsy v. Palmshores Ret. Cmty.</w:t>
      </w:r>
      <w:r>
        <w:rPr>
          <w:rFonts w:ascii="Arial" w:eastAsia="Arial" w:hAnsi="Arial" w:cs="Arial"/>
          <w:color w:val="000000"/>
          <w:sz w:val="20"/>
        </w:rPr>
        <w:t xml:space="preserve">, 285 F. App'x 631, 634 (11th Cir. 2008) (per curiam); </w:t>
      </w:r>
      <w:r>
        <w:rPr>
          <w:rFonts w:ascii="Arial" w:eastAsia="Arial" w:hAnsi="Arial" w:cs="Arial"/>
          <w:i/>
          <w:color w:val="000000"/>
          <w:sz w:val="20"/>
        </w:rPr>
        <w:t>Sebest v. Campbell City Sch. Dist. Bd. of Educ</w:t>
      </w:r>
      <w:r>
        <w:rPr>
          <w:rFonts w:ascii="Arial" w:eastAsia="Arial" w:hAnsi="Arial" w:cs="Arial"/>
          <w:color w:val="000000"/>
          <w:sz w:val="20"/>
        </w:rPr>
        <w:t>., 94 F. App'x 320, 325-26 (6th Cir. 2004).</w:t>
      </w:r>
    </w:p>
    <w:p w14:paraId="564D8B33" w14:textId="77777777" w:rsidR="002B10A6" w:rsidRDefault="00000000">
      <w:pPr>
        <w:pStyle w:val="Normal42"/>
        <w:widowControl w:val="0"/>
        <w:spacing w:before="200" w:line="260" w:lineRule="atLeast"/>
        <w:jc w:val="both"/>
      </w:pPr>
      <w:bookmarkStart w:id="7741" w:name="Bookmark_para_20_28"/>
      <w:bookmarkEnd w:id="7741"/>
      <w:r>
        <w:rPr>
          <w:rFonts w:ascii="Arial" w:eastAsia="Arial" w:hAnsi="Arial" w:cs="Arial"/>
          <w:color w:val="000000"/>
          <w:sz w:val="20"/>
        </w:rPr>
        <w:t xml:space="preserve">In addition, § 3604(f)(3)(B) requires only those accommodations that are "necessary" to give a person with a handicap an "equal opportunity to use and enjoy a dwelling." But, as the district court noted, Davis's total smoking ban likely was not necessary (that is, "'indispensable,' 'essential,' something that 'cannot be done without'") to give her the same opportunity to use and enjoy her condo as compared to a non-disabled person who dislikes the smell of smoke. </w:t>
      </w:r>
      <w:r>
        <w:rPr>
          <w:rFonts w:ascii="Arial" w:eastAsia="Arial" w:hAnsi="Arial" w:cs="Arial"/>
          <w:i/>
          <w:color w:val="000000"/>
          <w:sz w:val="20"/>
        </w:rPr>
        <w:t>Cinnamon Hills Youth Crisis Ctr. v. St. George City</w:t>
      </w:r>
      <w:r>
        <w:rPr>
          <w:rFonts w:ascii="Arial" w:eastAsia="Arial" w:hAnsi="Arial" w:cs="Arial"/>
          <w:color w:val="000000"/>
          <w:sz w:val="20"/>
        </w:rPr>
        <w:t xml:space="preserve">, 685 F.3d 917, 923 (10th Cir. 2012) (Gorsuch, J.) (citation omitted); </w:t>
      </w:r>
      <w:r>
        <w:rPr>
          <w:rFonts w:ascii="Arial" w:eastAsia="Arial" w:hAnsi="Arial" w:cs="Arial"/>
          <w:i/>
          <w:color w:val="000000"/>
          <w:sz w:val="20"/>
        </w:rPr>
        <w:t>Vorchheimer v. Philadelphian Owners Ass'n</w:t>
      </w:r>
      <w:r>
        <w:rPr>
          <w:rFonts w:ascii="Arial" w:eastAsia="Arial" w:hAnsi="Arial" w:cs="Arial"/>
          <w:color w:val="000000"/>
          <w:sz w:val="20"/>
        </w:rPr>
        <w:t xml:space="preserve">, 903 F.3d 100, 105-09 (3d Cir. 2018); </w:t>
      </w:r>
      <w:r>
        <w:rPr>
          <w:rFonts w:ascii="Arial" w:eastAsia="Arial" w:hAnsi="Arial" w:cs="Arial"/>
          <w:i/>
          <w:color w:val="000000"/>
          <w:sz w:val="20"/>
        </w:rPr>
        <w:t>see Davis</w:t>
      </w:r>
      <w:r>
        <w:rPr>
          <w:rFonts w:ascii="Arial" w:eastAsia="Arial" w:hAnsi="Arial" w:cs="Arial"/>
          <w:color w:val="000000"/>
          <w:sz w:val="20"/>
        </w:rPr>
        <w:t xml:space="preserve">, 349 F. Supp. 3d at 658-59. In fact, Davis was apparently able to use her condo for "several years" despite the Rules' smoking, </w:t>
      </w:r>
      <w:r>
        <w:rPr>
          <w:rFonts w:ascii="Arial" w:eastAsia="Arial" w:hAnsi="Arial" w:cs="Arial"/>
          <w:i/>
          <w:color w:val="000000"/>
          <w:sz w:val="20"/>
        </w:rPr>
        <w:t>Howard v. City of Beavercreek</w:t>
      </w:r>
      <w:r>
        <w:rPr>
          <w:rFonts w:ascii="Arial" w:eastAsia="Arial" w:hAnsi="Arial" w:cs="Arial"/>
          <w:color w:val="000000"/>
          <w:sz w:val="20"/>
        </w:rPr>
        <w:t xml:space="preserve">, 276 F.3d 802, 806 (6th Cir. 2002), and the law "does not require </w:t>
      </w:r>
      <w:r>
        <w:rPr>
          <w:rFonts w:ascii="Arial" w:eastAsia="Arial" w:hAnsi="Arial" w:cs="Arial"/>
          <w:i/>
          <w:color w:val="000000"/>
          <w:sz w:val="20"/>
        </w:rPr>
        <w:t>more</w:t>
      </w:r>
      <w:r>
        <w:rPr>
          <w:rFonts w:ascii="Arial" w:eastAsia="Arial" w:hAnsi="Arial" w:cs="Arial"/>
          <w:color w:val="000000"/>
          <w:sz w:val="20"/>
        </w:rPr>
        <w:t xml:space="preserve"> or </w:t>
      </w:r>
      <w:r>
        <w:rPr>
          <w:rFonts w:ascii="Arial" w:eastAsia="Arial" w:hAnsi="Arial" w:cs="Arial"/>
          <w:i/>
          <w:color w:val="000000"/>
          <w:sz w:val="20"/>
        </w:rPr>
        <w:t>better</w:t>
      </w:r>
      <w:r>
        <w:rPr>
          <w:rFonts w:ascii="Arial" w:eastAsia="Arial" w:hAnsi="Arial" w:cs="Arial"/>
          <w:color w:val="000000"/>
          <w:sz w:val="20"/>
        </w:rPr>
        <w:t xml:space="preserve"> opportunities" for those with handicaps as compared to those without, </w:t>
      </w:r>
      <w:r>
        <w:rPr>
          <w:rFonts w:ascii="Arial" w:eastAsia="Arial" w:hAnsi="Arial" w:cs="Arial"/>
          <w:i/>
          <w:color w:val="000000"/>
          <w:sz w:val="20"/>
        </w:rPr>
        <w:t>Cinnamon Hills</w:t>
      </w:r>
      <w:r>
        <w:rPr>
          <w:rFonts w:ascii="Arial" w:eastAsia="Arial" w:hAnsi="Arial" w:cs="Arial"/>
          <w:color w:val="000000"/>
          <w:sz w:val="20"/>
        </w:rPr>
        <w:t>, 685 F.3d at 923.</w:t>
      </w:r>
    </w:p>
    <w:p w14:paraId="77E20049" w14:textId="77777777" w:rsidR="002B10A6" w:rsidRDefault="00000000">
      <w:pPr>
        <w:pStyle w:val="Normal42"/>
        <w:widowControl w:val="0"/>
        <w:spacing w:before="200" w:line="260" w:lineRule="atLeast"/>
        <w:jc w:val="both"/>
      </w:pPr>
      <w:bookmarkStart w:id="7742" w:name="Bookmark_para_21_28"/>
      <w:bookmarkEnd w:id="7742"/>
      <w:r>
        <w:rPr>
          <w:rFonts w:ascii="Arial" w:eastAsia="Arial" w:hAnsi="Arial" w:cs="Arial"/>
          <w:color w:val="000000"/>
          <w:sz w:val="20"/>
        </w:rPr>
        <w:t xml:space="preserve">Ultimately, though, we find it easiest to resolve Davis's claim on another ground: She must show that her request qualifies as a "reasonable accommodation" to the Association's policy of allowing smoking. Davis cannot meet this element. </w:t>
      </w:r>
      <w:bookmarkStart w:id="7743" w:name="Bookmark_LNHNREFclscc2_32"/>
      <w:bookmarkEnd w:id="7743"/>
      <w:r>
        <w:rPr>
          <w:rFonts w:ascii="Arial" w:eastAsia="Arial" w:hAnsi="Arial" w:cs="Arial"/>
          <w:color w:val="000000"/>
          <w:sz w:val="20"/>
        </w:rPr>
        <w:t>Text and precedent both show that the phrase "reasonable accommodation" means a moderate adjustment to a challenged policy, not a fundamental change in the policy. Davis's smoking ban falls [**12]  in the latter camp.</w:t>
      </w:r>
    </w:p>
    <w:p w14:paraId="3431EBC7" w14:textId="77777777" w:rsidR="002B10A6" w:rsidRDefault="00000000">
      <w:pPr>
        <w:pStyle w:val="Normal42"/>
        <w:widowControl w:val="0"/>
        <w:spacing w:before="200" w:line="260" w:lineRule="atLeast"/>
        <w:jc w:val="both"/>
      </w:pPr>
      <w:bookmarkStart w:id="7744" w:name="Bookmark_para_22_27"/>
      <w:bookmarkStart w:id="7745" w:name="Bookmark_LNHNREFclscc3_31"/>
      <w:bookmarkEnd w:id="7744"/>
      <w:bookmarkEnd w:id="7745"/>
      <w:r>
        <w:rPr>
          <w:rFonts w:ascii="Arial" w:eastAsia="Arial" w:hAnsi="Arial" w:cs="Arial"/>
          <w:color w:val="000000"/>
          <w:sz w:val="20"/>
        </w:rPr>
        <w:t xml:space="preserve">Start, as always, with the text. </w:t>
      </w:r>
      <w:r>
        <w:rPr>
          <w:rFonts w:ascii="Arial" w:eastAsia="Arial" w:hAnsi="Arial" w:cs="Arial"/>
          <w:i/>
          <w:color w:val="000000"/>
          <w:sz w:val="20"/>
        </w:rPr>
        <w:t>Southeastern Community College v. Davis</w:t>
      </w:r>
      <w:r>
        <w:rPr>
          <w:rFonts w:ascii="Arial" w:eastAsia="Arial" w:hAnsi="Arial" w:cs="Arial"/>
          <w:color w:val="000000"/>
          <w:sz w:val="20"/>
        </w:rPr>
        <w:t xml:space="preserve">, 442 U.S. 397, 405, 99 S. Ct. 2361, 60 L. Ed. 2d 980 (1979). The Fair Housing Amendments Act defines discrimination to include "a refusal to make reasonable accommodations in rules, policies, practices, or services." 42 U.S.C. § 3604(f)(3)(B). In this context, the word "accommodation" means "adjustment." 1 </w:t>
      </w:r>
      <w:r>
        <w:rPr>
          <w:rFonts w:ascii="Arial" w:eastAsia="Arial" w:hAnsi="Arial" w:cs="Arial"/>
          <w:i/>
          <w:color w:val="000000"/>
          <w:sz w:val="20"/>
        </w:rPr>
        <w:t>Oxford English Dictionary</w:t>
      </w:r>
      <w:r>
        <w:rPr>
          <w:rFonts w:ascii="Arial" w:eastAsia="Arial" w:hAnsi="Arial" w:cs="Arial"/>
          <w:color w:val="000000"/>
          <w:sz w:val="20"/>
        </w:rPr>
        <w:t xml:space="preserve"> 79 (2d ed. 1989); </w:t>
      </w:r>
      <w:r>
        <w:rPr>
          <w:rFonts w:ascii="Arial" w:eastAsia="Arial" w:hAnsi="Arial" w:cs="Arial"/>
          <w:i/>
          <w:color w:val="000000"/>
          <w:sz w:val="20"/>
        </w:rPr>
        <w:t>The American Heritage Dictionary of the English Language</w:t>
      </w:r>
      <w:r>
        <w:rPr>
          <w:rFonts w:ascii="Arial" w:eastAsia="Arial" w:hAnsi="Arial" w:cs="Arial"/>
          <w:color w:val="000000"/>
          <w:sz w:val="20"/>
        </w:rPr>
        <w:t xml:space="preserve"> 11 (3d ed. 1992). Like the word "modification," therefore, "accommodation" is not an apt word choice if Congress sought to mandate "fundamental changes" to a housing policy. </w:t>
      </w:r>
      <w:r>
        <w:rPr>
          <w:rFonts w:ascii="Arial" w:eastAsia="Arial" w:hAnsi="Arial" w:cs="Arial"/>
          <w:i/>
          <w:color w:val="000000"/>
          <w:sz w:val="20"/>
        </w:rPr>
        <w:t>See MCI Telecomms. Corp. v. Am. Tel. &amp; Telegraph Co.</w:t>
      </w:r>
      <w:r>
        <w:rPr>
          <w:rFonts w:ascii="Arial" w:eastAsia="Arial" w:hAnsi="Arial" w:cs="Arial"/>
          <w:color w:val="000000"/>
          <w:sz w:val="20"/>
        </w:rPr>
        <w:t xml:space="preserve">, 512 U.S. 218, 225, 114 S. Ct. 2223, 129 L. Ed. 2d 182 (1994). Consider two examples: One would naturally say that a blind tenant requests an accommodation from an apartment's "no pets" policy if the tenant seeks an exemption for a seeing eye dog. 24 C.F.R. § 100.204(b)(1). But one would not naturally say that a tenant with allergies requests an accommodation from an apartment's "pet friendly" policy if the tenant seeks a total pet ban. The former tenant seeks a </w:t>
      </w:r>
      <w:r>
        <w:rPr>
          <w:rFonts w:ascii="Arial" w:eastAsia="Arial" w:hAnsi="Arial" w:cs="Arial"/>
          <w:i/>
          <w:color w:val="000000"/>
          <w:sz w:val="20"/>
        </w:rPr>
        <w:t>one-off adjustment</w:t>
      </w:r>
      <w:r>
        <w:rPr>
          <w:rFonts w:ascii="Arial" w:eastAsia="Arial" w:hAnsi="Arial" w:cs="Arial"/>
          <w:color w:val="000000"/>
          <w:sz w:val="20"/>
        </w:rPr>
        <w:t xml:space="preserve">; the latter seeks a </w:t>
      </w:r>
      <w:r>
        <w:rPr>
          <w:rFonts w:ascii="Arial" w:eastAsia="Arial" w:hAnsi="Arial" w:cs="Arial"/>
          <w:i/>
          <w:color w:val="000000"/>
          <w:sz w:val="20"/>
        </w:rPr>
        <w:t>complete change</w:t>
      </w:r>
      <w:r>
        <w:rPr>
          <w:rFonts w:ascii="Arial" w:eastAsia="Arial" w:hAnsi="Arial" w:cs="Arial"/>
          <w:color w:val="000000"/>
          <w:sz w:val="20"/>
        </w:rPr>
        <w:t>. The word "accommodation" includes the first, but not the second, request.</w:t>
      </w:r>
    </w:p>
    <w:p w14:paraId="7A2F037C" w14:textId="77777777" w:rsidR="002B10A6" w:rsidRDefault="00000000">
      <w:pPr>
        <w:pStyle w:val="Normal42"/>
        <w:widowControl w:val="0"/>
        <w:spacing w:before="200" w:line="260" w:lineRule="atLeast"/>
        <w:jc w:val="both"/>
      </w:pPr>
      <w:bookmarkStart w:id="7746" w:name="Bookmark_para_23_25"/>
      <w:bookmarkEnd w:id="7746"/>
      <w:r>
        <w:rPr>
          <w:rFonts w:ascii="Arial" w:eastAsia="Arial" w:hAnsi="Arial" w:cs="Arial"/>
          <w:color w:val="000000"/>
          <w:sz w:val="20"/>
        </w:rPr>
        <w:t xml:space="preserve">The adjective "reasonable" further narrows the types of accommodations that the text directs property owners to make. Even if a request would qualify as an "adjustment," [**13]  the adjustment still must be "moderate," "not extravagant or excessive." 13 </w:t>
      </w:r>
      <w:r>
        <w:rPr>
          <w:rFonts w:ascii="Arial" w:eastAsia="Arial" w:hAnsi="Arial" w:cs="Arial"/>
          <w:i/>
          <w:color w:val="000000"/>
          <w:sz w:val="20"/>
        </w:rPr>
        <w:t>Oxford English Dictionary</w:t>
      </w:r>
      <w:r>
        <w:rPr>
          <w:rFonts w:ascii="Arial" w:eastAsia="Arial" w:hAnsi="Arial" w:cs="Arial"/>
          <w:color w:val="000000"/>
          <w:sz w:val="20"/>
        </w:rPr>
        <w:t xml:space="preserve">, </w:t>
      </w:r>
      <w:r>
        <w:rPr>
          <w:rFonts w:ascii="Arial" w:eastAsia="Arial" w:hAnsi="Arial" w:cs="Arial"/>
          <w:i/>
          <w:color w:val="000000"/>
          <w:sz w:val="20"/>
        </w:rPr>
        <w:t>supra</w:t>
      </w:r>
      <w:r>
        <w:rPr>
          <w:rFonts w:ascii="Arial" w:eastAsia="Arial" w:hAnsi="Arial" w:cs="Arial"/>
          <w:color w:val="000000"/>
          <w:sz w:val="20"/>
        </w:rPr>
        <w:t xml:space="preserve">, at 291; </w:t>
      </w:r>
      <w:r>
        <w:rPr>
          <w:rFonts w:ascii="Arial" w:eastAsia="Arial" w:hAnsi="Arial" w:cs="Arial"/>
          <w:i/>
          <w:color w:val="000000"/>
          <w:sz w:val="20"/>
        </w:rPr>
        <w:t>American Heritage Dictionary</w:t>
      </w:r>
      <w:r>
        <w:rPr>
          <w:rFonts w:ascii="Arial" w:eastAsia="Arial" w:hAnsi="Arial" w:cs="Arial"/>
          <w:color w:val="000000"/>
          <w:sz w:val="20"/>
        </w:rPr>
        <w:t xml:space="preserve">, </w:t>
      </w:r>
      <w:r>
        <w:rPr>
          <w:rFonts w:ascii="Arial" w:eastAsia="Arial" w:hAnsi="Arial" w:cs="Arial"/>
          <w:i/>
          <w:color w:val="000000"/>
          <w:sz w:val="20"/>
        </w:rPr>
        <w:t>supra</w:t>
      </w:r>
      <w:r>
        <w:rPr>
          <w:rFonts w:ascii="Arial" w:eastAsia="Arial" w:hAnsi="Arial" w:cs="Arial"/>
          <w:color w:val="000000"/>
          <w:sz w:val="20"/>
        </w:rPr>
        <w:t xml:space="preserve">, at 1506. Put another way, the word "reasonable" conveys that the adjustment cannot "impose[] 'undue financial  [*491]  and administrative burdens.'" </w:t>
      </w:r>
      <w:r>
        <w:rPr>
          <w:rFonts w:ascii="Arial" w:eastAsia="Arial" w:hAnsi="Arial" w:cs="Arial"/>
          <w:i/>
          <w:color w:val="000000"/>
          <w:sz w:val="20"/>
        </w:rPr>
        <w:t>Smith &amp; Lee Assocs. v. City of Taylor</w:t>
      </w:r>
      <w:r>
        <w:rPr>
          <w:rFonts w:ascii="Arial" w:eastAsia="Arial" w:hAnsi="Arial" w:cs="Arial"/>
          <w:color w:val="000000"/>
          <w:sz w:val="20"/>
        </w:rPr>
        <w:t xml:space="preserve">, 102 F.3d 781, 795 (6th Cir. 1996) (citation omitted). The word also indicates the process that courts should undertake when deciding if a proposed adjustment is unduly burdensome. Dating back to the "'reasonable' person of tort fame," a reasonableness inquiry "has long been associated with the balancing of costs and benefits." </w:t>
      </w:r>
      <w:r>
        <w:rPr>
          <w:rFonts w:ascii="Arial" w:eastAsia="Arial" w:hAnsi="Arial" w:cs="Arial"/>
          <w:i/>
          <w:color w:val="000000"/>
          <w:sz w:val="20"/>
        </w:rPr>
        <w:t>See Int'l Union, United Auto., Aerospace &amp; Agr. Implement Workers of Am. v. OSHA</w:t>
      </w:r>
      <w:r>
        <w:rPr>
          <w:rFonts w:ascii="Arial" w:eastAsia="Arial" w:hAnsi="Arial" w:cs="Arial"/>
          <w:color w:val="000000"/>
          <w:sz w:val="20"/>
        </w:rPr>
        <w:t xml:space="preserve">, 938 F.2d 1310, 1319, 291 U.S. App. D.C. 51 (D.C. Cir. 1991) (citing </w:t>
      </w:r>
      <w:r>
        <w:rPr>
          <w:rFonts w:ascii="Arial" w:eastAsia="Arial" w:hAnsi="Arial" w:cs="Arial"/>
          <w:i/>
          <w:color w:val="000000"/>
          <w:sz w:val="20"/>
        </w:rPr>
        <w:t>United States v. Carroll Towing Co.</w:t>
      </w:r>
      <w:r>
        <w:rPr>
          <w:rFonts w:ascii="Arial" w:eastAsia="Arial" w:hAnsi="Arial" w:cs="Arial"/>
          <w:color w:val="000000"/>
          <w:sz w:val="20"/>
        </w:rPr>
        <w:t xml:space="preserve">, 159 F.2d 169, 173 (2d Cir. 1947) (Hand, J.)). So an adjustment goes too far if the costs of implementing it exceed any expected benefits it will provide the person requesting it. </w:t>
      </w:r>
      <w:r>
        <w:rPr>
          <w:rFonts w:ascii="Arial" w:eastAsia="Arial" w:hAnsi="Arial" w:cs="Arial"/>
          <w:i/>
          <w:color w:val="000000"/>
          <w:sz w:val="20"/>
        </w:rPr>
        <w:t>Smith &amp; Lee Assocs.</w:t>
      </w:r>
      <w:r>
        <w:rPr>
          <w:rFonts w:ascii="Arial" w:eastAsia="Arial" w:hAnsi="Arial" w:cs="Arial"/>
          <w:color w:val="000000"/>
          <w:sz w:val="20"/>
        </w:rPr>
        <w:t>, 102 F.3d at 795.</w:t>
      </w:r>
    </w:p>
    <w:p w14:paraId="78A5B636" w14:textId="77777777" w:rsidR="002B10A6" w:rsidRDefault="00000000">
      <w:pPr>
        <w:pStyle w:val="Normal42"/>
        <w:widowControl w:val="0"/>
        <w:spacing w:before="200" w:line="260" w:lineRule="atLeast"/>
        <w:jc w:val="both"/>
      </w:pPr>
      <w:bookmarkStart w:id="7747" w:name="Bookmark_para_24_24"/>
      <w:bookmarkStart w:id="7748" w:name="Bookmark_LNHNREFclscc4_31"/>
      <w:bookmarkEnd w:id="7747"/>
      <w:bookmarkEnd w:id="7748"/>
      <w:r>
        <w:rPr>
          <w:rFonts w:ascii="Arial" w:eastAsia="Arial" w:hAnsi="Arial" w:cs="Arial"/>
          <w:color w:val="000000"/>
          <w:sz w:val="20"/>
        </w:rPr>
        <w:t xml:space="preserve">The backdrop against which Congress legislated also supports this reading of "reasonable accommodation." When the Supreme Court has given a phrase a specific meaning, courts assume that Congress intends that meaning to carry over to the "same wording in related statutes." Antonin Scalia &amp; Bryan A. Garner, </w:t>
      </w:r>
      <w:r>
        <w:rPr>
          <w:rFonts w:ascii="Arial" w:eastAsia="Arial" w:hAnsi="Arial" w:cs="Arial"/>
          <w:i/>
          <w:color w:val="000000"/>
          <w:sz w:val="20"/>
        </w:rPr>
        <w:t>Reading Law: The Interpretation of Legal Texts</w:t>
      </w:r>
      <w:r>
        <w:rPr>
          <w:rFonts w:ascii="Arial" w:eastAsia="Arial" w:hAnsi="Arial" w:cs="Arial"/>
          <w:color w:val="000000"/>
          <w:sz w:val="20"/>
        </w:rPr>
        <w:t xml:space="preserve"> § 54, at 322 (2012); </w:t>
      </w:r>
      <w:r>
        <w:rPr>
          <w:rFonts w:ascii="Arial" w:eastAsia="Arial" w:hAnsi="Arial" w:cs="Arial"/>
          <w:i/>
          <w:color w:val="000000"/>
          <w:sz w:val="20"/>
        </w:rPr>
        <w:t>Merrill Lynch, Pierce, Fenner &amp; Smith Inc. v. Dabit</w:t>
      </w:r>
      <w:r>
        <w:rPr>
          <w:rFonts w:ascii="Arial" w:eastAsia="Arial" w:hAnsi="Arial" w:cs="Arial"/>
          <w:color w:val="000000"/>
          <w:sz w:val="20"/>
        </w:rPr>
        <w:t xml:space="preserve">, 547 U.S. 71, 85-86, 126 S. Ct. 1503, 164 L. Ed. 2d 179 (2006). Here, when Congress passed the Fair Housing Amendments Act, the Supreme Court had already coined the phrase "reasonable accommodation" [**14]  to delimit the requirements of the Rehabilitation Act of 1973. </w:t>
      </w:r>
      <w:r>
        <w:rPr>
          <w:rFonts w:ascii="Arial" w:eastAsia="Arial" w:hAnsi="Arial" w:cs="Arial"/>
          <w:i/>
          <w:color w:val="000000"/>
          <w:sz w:val="20"/>
        </w:rPr>
        <w:t>Alexander v. Choate</w:t>
      </w:r>
      <w:r>
        <w:rPr>
          <w:rFonts w:ascii="Arial" w:eastAsia="Arial" w:hAnsi="Arial" w:cs="Arial"/>
          <w:color w:val="000000"/>
          <w:sz w:val="20"/>
        </w:rPr>
        <w:t xml:space="preserve">, 469 U.S. 287, 300, 301, &amp; n.20, 105 S. Ct. 712, 83 L. Ed. 2d 661 &amp; n.21 (1985). And </w:t>
      </w:r>
      <w:r>
        <w:rPr>
          <w:rFonts w:ascii="Arial" w:eastAsia="Arial" w:hAnsi="Arial" w:cs="Arial"/>
          <w:i/>
          <w:color w:val="000000"/>
          <w:sz w:val="20"/>
        </w:rPr>
        <w:t>Choate</w:t>
      </w:r>
      <w:r>
        <w:rPr>
          <w:rFonts w:ascii="Arial" w:eastAsia="Arial" w:hAnsi="Arial" w:cs="Arial"/>
          <w:color w:val="000000"/>
          <w:sz w:val="20"/>
        </w:rPr>
        <w:t xml:space="preserve"> contrasted the "reasonable accommodations" that the Rehabilitation Act compels with the "fundamental alteration[s]" that it does not. </w:t>
      </w:r>
      <w:r>
        <w:rPr>
          <w:rFonts w:ascii="Arial" w:eastAsia="Arial" w:hAnsi="Arial" w:cs="Arial"/>
          <w:i/>
          <w:color w:val="000000"/>
          <w:sz w:val="20"/>
        </w:rPr>
        <w:t>Id.</w:t>
      </w:r>
      <w:r>
        <w:rPr>
          <w:rFonts w:ascii="Arial" w:eastAsia="Arial" w:hAnsi="Arial" w:cs="Arial"/>
          <w:color w:val="000000"/>
          <w:sz w:val="20"/>
        </w:rPr>
        <w:t xml:space="preserve"> at 300 n.20 (quoting </w:t>
      </w:r>
      <w:r>
        <w:rPr>
          <w:rFonts w:ascii="Arial" w:eastAsia="Arial" w:hAnsi="Arial" w:cs="Arial"/>
          <w:i/>
          <w:color w:val="000000"/>
          <w:sz w:val="20"/>
        </w:rPr>
        <w:t>Davis</w:t>
      </w:r>
      <w:r>
        <w:rPr>
          <w:rFonts w:ascii="Arial" w:eastAsia="Arial" w:hAnsi="Arial" w:cs="Arial"/>
          <w:color w:val="000000"/>
          <w:sz w:val="20"/>
        </w:rPr>
        <w:t>, 442 U.S. at 410). This preexisting view confirms that the Fair Housing Amendments Act requires only moderate adjustments.</w:t>
      </w:r>
    </w:p>
    <w:p w14:paraId="084C33BA" w14:textId="77777777" w:rsidR="002B10A6" w:rsidRDefault="00000000">
      <w:pPr>
        <w:pStyle w:val="Normal42"/>
        <w:widowControl w:val="0"/>
        <w:spacing w:before="200" w:line="260" w:lineRule="atLeast"/>
        <w:jc w:val="both"/>
      </w:pPr>
      <w:bookmarkStart w:id="7749" w:name="Bookmark_para_25_24"/>
      <w:bookmarkStart w:id="7750" w:name="Bookmark_LNHNREFclscc5_30"/>
      <w:bookmarkEnd w:id="7749"/>
      <w:bookmarkEnd w:id="7750"/>
      <w:r>
        <w:rPr>
          <w:rFonts w:ascii="Arial" w:eastAsia="Arial" w:hAnsi="Arial" w:cs="Arial"/>
          <w:color w:val="000000"/>
          <w:sz w:val="20"/>
        </w:rPr>
        <w:t xml:space="preserve">One last textual point. The prepositional phrase "in rules, policies, practices, or services" modifies the noun "accommodation" and provides the benchmark against which to assess whether a request qualifies as a "reasonable accommodation." </w:t>
      </w:r>
      <w:r>
        <w:rPr>
          <w:rFonts w:ascii="Arial" w:eastAsia="Arial" w:hAnsi="Arial" w:cs="Arial"/>
          <w:i/>
          <w:color w:val="000000"/>
          <w:sz w:val="20"/>
        </w:rPr>
        <w:t>See</w:t>
      </w:r>
      <w:r>
        <w:rPr>
          <w:rFonts w:ascii="Arial" w:eastAsia="Arial" w:hAnsi="Arial" w:cs="Arial"/>
          <w:color w:val="000000"/>
          <w:sz w:val="20"/>
        </w:rPr>
        <w:t xml:space="preserve"> 42 U.S.C. § 3604(f)(3)(B). In other words, the phrase tells courts that they should not ask whether the request is a moderate adjustment or a fundamental change in some abstract sense. Rather, they should ask whether the request is a modest adjustment or fundamental change of the "rule, policy, practice, or service" that the plaintiff challenges.</w:t>
      </w:r>
    </w:p>
    <w:p w14:paraId="6E690EA8" w14:textId="77777777" w:rsidR="002B10A6" w:rsidRDefault="00000000">
      <w:pPr>
        <w:pStyle w:val="Normal42"/>
        <w:widowControl w:val="0"/>
        <w:spacing w:before="200" w:line="260" w:lineRule="atLeast"/>
        <w:jc w:val="both"/>
      </w:pPr>
      <w:bookmarkStart w:id="7751" w:name="Bookmark_para_26_24"/>
      <w:bookmarkStart w:id="7752" w:name="Bookmark_LNHNREFclscc6_28"/>
      <w:bookmarkEnd w:id="7751"/>
      <w:bookmarkEnd w:id="7752"/>
      <w:r>
        <w:rPr>
          <w:rFonts w:ascii="Arial" w:eastAsia="Arial" w:hAnsi="Arial" w:cs="Arial"/>
          <w:color w:val="000000"/>
          <w:sz w:val="20"/>
        </w:rPr>
        <w:t xml:space="preserve">Now turn to precedent. Whether under the Rehabilitation Act, the Fair Housing Accommodations Act, or the Americans with Disabilities Act of 1990, caselaw interpreting the phrase "reasonable accommodation" has long distinguished the types of moderate adjustments that are required from the fundamental changes [**15]  that are not. </w:t>
      </w:r>
      <w:r>
        <w:rPr>
          <w:rFonts w:ascii="Arial" w:eastAsia="Arial" w:hAnsi="Arial" w:cs="Arial"/>
          <w:i/>
          <w:color w:val="000000"/>
          <w:sz w:val="20"/>
        </w:rPr>
        <w:t>See, e.g.</w:t>
      </w:r>
      <w:r>
        <w:rPr>
          <w:rFonts w:ascii="Arial" w:eastAsia="Arial" w:hAnsi="Arial" w:cs="Arial"/>
          <w:color w:val="000000"/>
          <w:sz w:val="20"/>
        </w:rPr>
        <w:t xml:space="preserve">, </w:t>
      </w:r>
      <w:r>
        <w:rPr>
          <w:rFonts w:ascii="Arial" w:eastAsia="Arial" w:hAnsi="Arial" w:cs="Arial"/>
          <w:i/>
          <w:color w:val="000000"/>
          <w:sz w:val="20"/>
        </w:rPr>
        <w:t>Davis</w:t>
      </w:r>
      <w:r>
        <w:rPr>
          <w:rFonts w:ascii="Arial" w:eastAsia="Arial" w:hAnsi="Arial" w:cs="Arial"/>
          <w:color w:val="000000"/>
          <w:sz w:val="20"/>
        </w:rPr>
        <w:t xml:space="preserve">, 442 U.S. at 409-10; </w:t>
      </w:r>
      <w:r>
        <w:rPr>
          <w:rFonts w:ascii="Arial" w:eastAsia="Arial" w:hAnsi="Arial" w:cs="Arial"/>
          <w:i/>
          <w:color w:val="000000"/>
          <w:sz w:val="20"/>
        </w:rPr>
        <w:t>Groner v. Golden Gate Gardens Apts.</w:t>
      </w:r>
      <w:r>
        <w:rPr>
          <w:rFonts w:ascii="Arial" w:eastAsia="Arial" w:hAnsi="Arial" w:cs="Arial"/>
          <w:color w:val="000000"/>
          <w:sz w:val="20"/>
        </w:rPr>
        <w:t xml:space="preserve">, 250 F.3d 1039, 1046-47 (6th Cir. 2001); </w:t>
      </w:r>
      <w:r>
        <w:rPr>
          <w:rFonts w:ascii="Arial" w:eastAsia="Arial" w:hAnsi="Arial" w:cs="Arial"/>
          <w:i/>
          <w:color w:val="000000"/>
          <w:sz w:val="20"/>
        </w:rPr>
        <w:t>McPherson v. Mich. High Sch. Athletic Ass'n</w:t>
      </w:r>
      <w:r>
        <w:rPr>
          <w:rFonts w:ascii="Arial" w:eastAsia="Arial" w:hAnsi="Arial" w:cs="Arial"/>
          <w:color w:val="000000"/>
          <w:sz w:val="20"/>
        </w:rPr>
        <w:t>, 119 F.3d 453, 461-63 (6th Cir. 1997) (en banc).</w:t>
      </w:r>
    </w:p>
    <w:p w14:paraId="4F6423B0" w14:textId="77777777" w:rsidR="002B10A6" w:rsidRDefault="00000000">
      <w:pPr>
        <w:pStyle w:val="Normal42"/>
        <w:widowControl w:val="0"/>
        <w:spacing w:before="200" w:line="260" w:lineRule="atLeast"/>
        <w:jc w:val="both"/>
      </w:pPr>
      <w:bookmarkStart w:id="7753" w:name="Bookmark_para_27_24"/>
      <w:bookmarkEnd w:id="7753"/>
      <w:r>
        <w:rPr>
          <w:rFonts w:ascii="Arial" w:eastAsia="Arial" w:hAnsi="Arial" w:cs="Arial"/>
          <w:color w:val="000000"/>
          <w:sz w:val="20"/>
        </w:rPr>
        <w:t>Two lines of cases—one focused on the nature of a housing facility's policy, the other on an accommodation's effects on third parties—reveal the types of changes that are "fundamental."</w:t>
      </w:r>
    </w:p>
    <w:p w14:paraId="4FB9FD10" w14:textId="77777777" w:rsidR="002B10A6" w:rsidRDefault="00000000">
      <w:pPr>
        <w:pStyle w:val="Normal42"/>
        <w:widowControl w:val="0"/>
        <w:spacing w:before="200" w:line="260" w:lineRule="atLeast"/>
        <w:jc w:val="both"/>
      </w:pPr>
      <w:bookmarkStart w:id="7754" w:name="Bookmark_para_28_24"/>
      <w:bookmarkEnd w:id="7754"/>
      <w:r>
        <w:rPr>
          <w:rFonts w:ascii="Arial" w:eastAsia="Arial" w:hAnsi="Arial" w:cs="Arial"/>
          <w:color w:val="000000"/>
          <w:sz w:val="20"/>
        </w:rPr>
        <w:t xml:space="preserve">A request works a fundamental change if it turns the challenged policy into something else entirely. In </w:t>
      </w:r>
      <w:r>
        <w:rPr>
          <w:rFonts w:ascii="Arial" w:eastAsia="Arial" w:hAnsi="Arial" w:cs="Arial"/>
          <w:i/>
          <w:color w:val="000000"/>
          <w:sz w:val="20"/>
        </w:rPr>
        <w:t>Davis</w:t>
      </w:r>
      <w:r>
        <w:rPr>
          <w:rFonts w:ascii="Arial" w:eastAsia="Arial" w:hAnsi="Arial" w:cs="Arial"/>
          <w:color w:val="000000"/>
          <w:sz w:val="20"/>
        </w:rPr>
        <w:t xml:space="preserve">, for example, a nursing-school applicant with a hearing impairment asked a college to adjust its curriculum to accommodate her disability. 442 U.S. at 407-08. But her proposed changes—such as allowing the applicant to skip certain  [*492]  courses—would have transformed the nursing degree that the college offered into an altogether different degree. </w:t>
      </w:r>
      <w:r>
        <w:rPr>
          <w:rFonts w:ascii="Arial" w:eastAsia="Arial" w:hAnsi="Arial" w:cs="Arial"/>
          <w:i/>
          <w:color w:val="000000"/>
          <w:sz w:val="20"/>
        </w:rPr>
        <w:t>Id.</w:t>
      </w:r>
      <w:r>
        <w:rPr>
          <w:rFonts w:ascii="Arial" w:eastAsia="Arial" w:hAnsi="Arial" w:cs="Arial"/>
          <w:color w:val="000000"/>
          <w:sz w:val="20"/>
        </w:rPr>
        <w:t xml:space="preserve"> at 409-10. Similarly, in the employment context, a party may not ask for changes to a job's duties that would alter the job's "essential functions." </w:t>
      </w:r>
      <w:r>
        <w:rPr>
          <w:rFonts w:ascii="Arial" w:eastAsia="Arial" w:hAnsi="Arial" w:cs="Arial"/>
          <w:i/>
          <w:color w:val="000000"/>
          <w:sz w:val="20"/>
        </w:rPr>
        <w:t>Jasany v. U.S. Postal Serv.</w:t>
      </w:r>
      <w:r>
        <w:rPr>
          <w:rFonts w:ascii="Arial" w:eastAsia="Arial" w:hAnsi="Arial" w:cs="Arial"/>
          <w:color w:val="000000"/>
          <w:sz w:val="20"/>
        </w:rPr>
        <w:t xml:space="preserve">, 755 F.2d 1244, 1250 (6th Cir. 1985). So, when a job's primary task was operating a mail-sorting machine, a post-office employee did not propose a reasonable accommodation by asking not to use the machine. </w:t>
      </w:r>
      <w:r>
        <w:rPr>
          <w:rFonts w:ascii="Arial" w:eastAsia="Arial" w:hAnsi="Arial" w:cs="Arial"/>
          <w:i/>
          <w:color w:val="000000"/>
          <w:sz w:val="20"/>
        </w:rPr>
        <w:t>Id.</w:t>
      </w:r>
    </w:p>
    <w:p w14:paraId="2D2E3EC2" w14:textId="77777777" w:rsidR="002B10A6" w:rsidRDefault="00000000">
      <w:pPr>
        <w:pStyle w:val="Normal42"/>
        <w:widowControl w:val="0"/>
        <w:spacing w:before="200" w:line="260" w:lineRule="atLeast"/>
        <w:jc w:val="both"/>
      </w:pPr>
      <w:bookmarkStart w:id="7755" w:name="Bookmark_para_29_23"/>
      <w:bookmarkStart w:id="7756" w:name="Bookmark_LNHNREFclscc7_26"/>
      <w:bookmarkEnd w:id="7755"/>
      <w:bookmarkEnd w:id="7756"/>
      <w:r>
        <w:rPr>
          <w:rFonts w:ascii="Arial" w:eastAsia="Arial" w:hAnsi="Arial" w:cs="Arial"/>
          <w:color w:val="000000"/>
          <w:sz w:val="20"/>
        </w:rPr>
        <w:t xml:space="preserve">Apart from changes to a policy, courts also reject requested changes that interfere with the rights of third parties. As we said in </w:t>
      </w:r>
      <w:r>
        <w:rPr>
          <w:rFonts w:ascii="Arial" w:eastAsia="Arial" w:hAnsi="Arial" w:cs="Arial"/>
          <w:i/>
          <w:color w:val="000000"/>
          <w:sz w:val="20"/>
        </w:rPr>
        <w:t>Groner</w:t>
      </w:r>
      <w:r>
        <w:rPr>
          <w:rFonts w:ascii="Arial" w:eastAsia="Arial" w:hAnsi="Arial" w:cs="Arial"/>
          <w:color w:val="000000"/>
          <w:sz w:val="20"/>
        </w:rPr>
        <w:t xml:space="preserve">, a third party's "rights [do] not have to be sacrificed on the altar of reasonable accommodation." [**16]  250 F.3d at 1046 (quoting </w:t>
      </w:r>
      <w:r>
        <w:rPr>
          <w:rFonts w:ascii="Arial" w:eastAsia="Arial" w:hAnsi="Arial" w:cs="Arial"/>
          <w:i/>
          <w:color w:val="000000"/>
          <w:sz w:val="20"/>
        </w:rPr>
        <w:t>Temple v. Gunsalus</w:t>
      </w:r>
      <w:r>
        <w:rPr>
          <w:rFonts w:ascii="Arial" w:eastAsia="Arial" w:hAnsi="Arial" w:cs="Arial"/>
          <w:color w:val="000000"/>
          <w:sz w:val="20"/>
        </w:rPr>
        <w:t xml:space="preserve">, No. 95-3175, 1996 U.S. App. LEXIS 24994, 1996 WL 536710, at *2 (6th Cir. Sept. 20, 1996) (per curiam)). There, the plaintiff's mental illness caused him to disturb a neighbor by screaming at all hours of the night. 250 F.3d at 1041. As one of his proposed accommodations, the plaintiff asked his apartment complex to force the neighbor out in violation of its lease. </w:t>
      </w:r>
      <w:r>
        <w:rPr>
          <w:rFonts w:ascii="Arial" w:eastAsia="Arial" w:hAnsi="Arial" w:cs="Arial"/>
          <w:i/>
          <w:color w:val="000000"/>
          <w:sz w:val="20"/>
        </w:rPr>
        <w:t>Id.</w:t>
      </w:r>
      <w:r>
        <w:rPr>
          <w:rFonts w:ascii="Arial" w:eastAsia="Arial" w:hAnsi="Arial" w:cs="Arial"/>
          <w:color w:val="000000"/>
          <w:sz w:val="20"/>
        </w:rPr>
        <w:t xml:space="preserve"> at 1046. We held that landlords need not breach their contracts with neighboring tenants on account of a handicapped person's needs. </w:t>
      </w:r>
      <w:r>
        <w:rPr>
          <w:rFonts w:ascii="Arial" w:eastAsia="Arial" w:hAnsi="Arial" w:cs="Arial"/>
          <w:i/>
          <w:color w:val="000000"/>
          <w:sz w:val="20"/>
        </w:rPr>
        <w:t>Id.</w:t>
      </w:r>
      <w:r>
        <w:rPr>
          <w:rFonts w:ascii="Arial" w:eastAsia="Arial" w:hAnsi="Arial" w:cs="Arial"/>
          <w:color w:val="000000"/>
          <w:sz w:val="20"/>
        </w:rPr>
        <w:t xml:space="preserve">; </w:t>
      </w:r>
      <w:r>
        <w:rPr>
          <w:rFonts w:ascii="Arial" w:eastAsia="Arial" w:hAnsi="Arial" w:cs="Arial"/>
          <w:i/>
          <w:color w:val="000000"/>
          <w:sz w:val="20"/>
        </w:rPr>
        <w:t>see also Temple</w:t>
      </w:r>
      <w:r>
        <w:rPr>
          <w:rFonts w:ascii="Arial" w:eastAsia="Arial" w:hAnsi="Arial" w:cs="Arial"/>
          <w:color w:val="000000"/>
          <w:sz w:val="20"/>
        </w:rPr>
        <w:t xml:space="preserve">, 1996 U.S. App. LEXIS 24994, 1996 WL 536710, at *2. The same is generally true in the employment context. An employer need not "bump another employee from a position in order to accommodate a disabled employee." </w:t>
      </w:r>
      <w:r>
        <w:rPr>
          <w:rFonts w:ascii="Arial" w:eastAsia="Arial" w:hAnsi="Arial" w:cs="Arial"/>
          <w:i/>
          <w:color w:val="000000"/>
          <w:sz w:val="20"/>
        </w:rPr>
        <w:t>Lucas v. W.W. Grainger, Inc.</w:t>
      </w:r>
      <w:r>
        <w:rPr>
          <w:rFonts w:ascii="Arial" w:eastAsia="Arial" w:hAnsi="Arial" w:cs="Arial"/>
          <w:color w:val="000000"/>
          <w:sz w:val="20"/>
        </w:rPr>
        <w:t xml:space="preserve">, 257 F.3d 1249, 1256 (11th Cir. 2001); </w:t>
      </w:r>
      <w:r>
        <w:rPr>
          <w:rFonts w:ascii="Arial" w:eastAsia="Arial" w:hAnsi="Arial" w:cs="Arial"/>
          <w:i/>
          <w:color w:val="000000"/>
          <w:sz w:val="20"/>
        </w:rPr>
        <w:t>see also US Airways, Inc. v. Barnett</w:t>
      </w:r>
      <w:r>
        <w:rPr>
          <w:rFonts w:ascii="Arial" w:eastAsia="Arial" w:hAnsi="Arial" w:cs="Arial"/>
          <w:color w:val="000000"/>
          <w:sz w:val="20"/>
        </w:rPr>
        <w:t>, 535 U.S. 391, 406, 122 S. Ct. 1516, 152 L. Ed. 2d 589 (2002).</w:t>
      </w:r>
    </w:p>
    <w:p w14:paraId="622A5A30" w14:textId="77777777" w:rsidR="002B10A6" w:rsidRDefault="00000000">
      <w:pPr>
        <w:pStyle w:val="Normal42"/>
        <w:widowControl w:val="0"/>
        <w:spacing w:before="200" w:line="260" w:lineRule="atLeast"/>
        <w:jc w:val="both"/>
      </w:pPr>
      <w:bookmarkStart w:id="7757" w:name="Bookmark_para_30_22"/>
      <w:bookmarkEnd w:id="7757"/>
      <w:r>
        <w:rPr>
          <w:rFonts w:ascii="Arial" w:eastAsia="Arial" w:hAnsi="Arial" w:cs="Arial"/>
          <w:color w:val="000000"/>
          <w:sz w:val="20"/>
        </w:rPr>
        <w:t xml:space="preserve">Both lines of precedent should foreshadow the outcome here. Davis's proposed smoking ban amounts to a "fundamental alteration" of the Association's smoking policy. </w:t>
      </w:r>
      <w:r>
        <w:rPr>
          <w:rFonts w:ascii="Arial" w:eastAsia="Arial" w:hAnsi="Arial" w:cs="Arial"/>
          <w:i/>
          <w:color w:val="000000"/>
          <w:sz w:val="20"/>
        </w:rPr>
        <w:t>Howard</w:t>
      </w:r>
      <w:r>
        <w:rPr>
          <w:rFonts w:ascii="Arial" w:eastAsia="Arial" w:hAnsi="Arial" w:cs="Arial"/>
          <w:color w:val="000000"/>
          <w:sz w:val="20"/>
        </w:rPr>
        <w:t xml:space="preserve">, 276 F.3d at 806 (citation omitted). No one would describe a change from a smoking-permitted policy to a smoking-prohibited policy as an "accommodation" in the policy. It is more rewrite than adjustment. </w:t>
      </w:r>
      <w:r>
        <w:rPr>
          <w:rFonts w:ascii="Arial" w:eastAsia="Arial" w:hAnsi="Arial" w:cs="Arial"/>
          <w:i/>
          <w:color w:val="000000"/>
          <w:sz w:val="20"/>
        </w:rPr>
        <w:t>Cf. Falchenberg v. N.Y. State Dep't of Educ</w:t>
      </w:r>
      <w:r>
        <w:rPr>
          <w:rFonts w:ascii="Arial" w:eastAsia="Arial" w:hAnsi="Arial" w:cs="Arial"/>
          <w:color w:val="000000"/>
          <w:sz w:val="20"/>
        </w:rPr>
        <w:t xml:space="preserve">., 338 F. App'x 11, 13-14 (2d Cir. 2009) (summary order); </w:t>
      </w:r>
      <w:r>
        <w:rPr>
          <w:rFonts w:ascii="Arial" w:eastAsia="Arial" w:hAnsi="Arial" w:cs="Arial"/>
          <w:i/>
          <w:color w:val="000000"/>
          <w:sz w:val="20"/>
        </w:rPr>
        <w:t>Sandison v. Mich. High Sch. Athletic Ass'n</w:t>
      </w:r>
      <w:r>
        <w:rPr>
          <w:rFonts w:ascii="Arial" w:eastAsia="Arial" w:hAnsi="Arial" w:cs="Arial"/>
          <w:color w:val="000000"/>
          <w:sz w:val="20"/>
        </w:rPr>
        <w:t xml:space="preserve">, 64 F.3d 1026, 1035 (6th Cir. 1995). Not only that, Davis's proposal would intrude on the rights of third parties. Neighbors who smoke may well have bought their condos because of the Association's policy permitting smoking. So, unlike the blind applicant asking to keep a seeing [**17]  eye dog in an apartment building that bans pets, Davis is like the person with allergies seeking to expel all dogs from a building that allows pets. Here, as in </w:t>
      </w:r>
      <w:r>
        <w:rPr>
          <w:rFonts w:ascii="Arial" w:eastAsia="Arial" w:hAnsi="Arial" w:cs="Arial"/>
          <w:i/>
          <w:color w:val="000000"/>
          <w:sz w:val="20"/>
        </w:rPr>
        <w:t>Groner</w:t>
      </w:r>
      <w:r>
        <w:rPr>
          <w:rFonts w:ascii="Arial" w:eastAsia="Arial" w:hAnsi="Arial" w:cs="Arial"/>
          <w:color w:val="000000"/>
          <w:sz w:val="20"/>
        </w:rPr>
        <w:t>, a third party's "rights [do] not have to be sacrificed on the altar of reasonable accommodation." 250 F.3d at 1046 (citation omitted).</w:t>
      </w:r>
    </w:p>
    <w:p w14:paraId="0DD2C8BE" w14:textId="77777777" w:rsidR="002B10A6" w:rsidRDefault="00000000">
      <w:pPr>
        <w:pStyle w:val="Normal42"/>
        <w:widowControl w:val="0"/>
        <w:spacing w:before="120" w:line="260" w:lineRule="atLeast"/>
      </w:pPr>
      <w:r>
        <w:rPr>
          <w:rFonts w:ascii="Arial" w:eastAsia="Arial" w:hAnsi="Arial" w:cs="Arial"/>
          <w:color w:val="000000"/>
          <w:sz w:val="20"/>
        </w:rPr>
        <w:t>B.</w:t>
      </w:r>
    </w:p>
    <w:p w14:paraId="6A6BEAAD" w14:textId="77777777" w:rsidR="002B10A6" w:rsidRDefault="00000000">
      <w:pPr>
        <w:pStyle w:val="Normal42"/>
        <w:widowControl w:val="0"/>
        <w:spacing w:before="200" w:line="260" w:lineRule="atLeast"/>
        <w:jc w:val="both"/>
      </w:pPr>
      <w:bookmarkStart w:id="7758" w:name="Bookmark_para_31_22"/>
      <w:bookmarkEnd w:id="7758"/>
      <w:r>
        <w:rPr>
          <w:rFonts w:ascii="Arial" w:eastAsia="Arial" w:hAnsi="Arial" w:cs="Arial"/>
          <w:color w:val="000000"/>
          <w:sz w:val="20"/>
        </w:rPr>
        <w:t xml:space="preserve">We next turn to Davis's breach-of-covenant claims. </w:t>
      </w:r>
      <w:bookmarkStart w:id="7759" w:name="Bookmark_LNHNREFclscc8_25"/>
      <w:bookmarkEnd w:id="7759"/>
      <w:r>
        <w:rPr>
          <w:rFonts w:ascii="Arial" w:eastAsia="Arial" w:hAnsi="Arial" w:cs="Arial"/>
          <w:color w:val="000000"/>
          <w:sz w:val="20"/>
        </w:rPr>
        <w:t xml:space="preserve">Under Michigan law, the complex's bylaws are "in the nature of a contract" between the condo owners and the Association. </w:t>
      </w:r>
      <w:r>
        <w:rPr>
          <w:rFonts w:ascii="Arial" w:eastAsia="Arial" w:hAnsi="Arial" w:cs="Arial"/>
          <w:i/>
          <w:color w:val="000000"/>
          <w:sz w:val="20"/>
        </w:rPr>
        <w:t>Sawgrass Ridge Condo. Ass'n v. Alarie</w:t>
      </w:r>
      <w:r>
        <w:rPr>
          <w:rFonts w:ascii="Arial" w:eastAsia="Arial" w:hAnsi="Arial" w:cs="Arial"/>
          <w:color w:val="000000"/>
          <w:sz w:val="20"/>
        </w:rPr>
        <w:t xml:space="preserve">, No. 335144, 2018 Mich. App. LEXIS 38, 2018 WL 340944, at *2 (Mich. Ct. App. Jan. 9, 2018) (per curiam); </w:t>
      </w:r>
      <w:r>
        <w:rPr>
          <w:rFonts w:ascii="Arial" w:eastAsia="Arial" w:hAnsi="Arial" w:cs="Arial"/>
          <w:i/>
          <w:color w:val="000000"/>
          <w:sz w:val="20"/>
        </w:rPr>
        <w:t>Stadler v. Fontainebleau Condos. Ass'n</w:t>
      </w:r>
      <w:r>
        <w:rPr>
          <w:rFonts w:ascii="Arial" w:eastAsia="Arial" w:hAnsi="Arial" w:cs="Arial"/>
          <w:color w:val="000000"/>
          <w:sz w:val="20"/>
        </w:rPr>
        <w:t>, No. 343303, 2019 Mich. App. LEXIS 788, 2019 WL 1574776, at *2 (Mich. Ct. App. April 11, 2019) (per curiam). Davis seeks to enforce four of the bylaws. The first requires owners to maintain their "apartment[s]" and certain "appurtenant" spaces "in a safe, clean and sanitary condition." The second tells them: "nor shall anything be done which may be or become an annoyance or a nuisance to the co-owners of the Condominium." The third says: "No co-owner shall do . . . in his apartment . . . anything that will increase the rate of insurance on the Condominium." And the last notes that  [*493]  no "unlawful or offensive activity shall be carried on in any apartment."</w:t>
      </w:r>
    </w:p>
    <w:p w14:paraId="4916DDE4" w14:textId="77777777" w:rsidR="002B10A6" w:rsidRDefault="00000000">
      <w:pPr>
        <w:pStyle w:val="Normal42"/>
        <w:widowControl w:val="0"/>
        <w:spacing w:before="200" w:line="260" w:lineRule="atLeast"/>
        <w:jc w:val="both"/>
      </w:pPr>
      <w:bookmarkStart w:id="7760" w:name="Bookmark_para_32_22"/>
      <w:bookmarkEnd w:id="7760"/>
      <w:r>
        <w:rPr>
          <w:rFonts w:ascii="Arial" w:eastAsia="Arial" w:hAnsi="Arial" w:cs="Arial"/>
          <w:color w:val="000000"/>
          <w:sz w:val="20"/>
        </w:rPr>
        <w:t xml:space="preserve">For three general reasons, all of Davis's claims face significant headwinds. </w:t>
      </w:r>
      <w:bookmarkStart w:id="7761" w:name="Bookmark_LNHNREFclscc9_24"/>
      <w:bookmarkEnd w:id="7761"/>
      <w:r>
        <w:rPr>
          <w:rFonts w:ascii="Arial" w:eastAsia="Arial" w:hAnsi="Arial" w:cs="Arial"/>
          <w:color w:val="000000"/>
          <w:sz w:val="20"/>
        </w:rPr>
        <w:t xml:space="preserve">Reason One: These provisions are restrictive covenants on the use of property. </w:t>
      </w:r>
      <w:r>
        <w:rPr>
          <w:rFonts w:ascii="Arial" w:eastAsia="Arial" w:hAnsi="Arial" w:cs="Arial"/>
          <w:i/>
          <w:color w:val="000000"/>
          <w:sz w:val="20"/>
        </w:rPr>
        <w:t> [**18] See Vill. of Hickory Pointe Homeowners Ass'n v. Smyk</w:t>
      </w:r>
      <w:r>
        <w:rPr>
          <w:rFonts w:ascii="Arial" w:eastAsia="Arial" w:hAnsi="Arial" w:cs="Arial"/>
          <w:color w:val="000000"/>
          <w:sz w:val="20"/>
        </w:rPr>
        <w:t xml:space="preserve">, 262 Mich. App. 512, 686 N.W.2d 506, 508 (Mich. Ct. App. 2004). Because of the "bedrock principle in [Michigan] law that a landowner's bundle of rights includes the broad freedom to make legal use of her property," </w:t>
      </w:r>
      <w:r>
        <w:rPr>
          <w:rFonts w:ascii="Arial" w:eastAsia="Arial" w:hAnsi="Arial" w:cs="Arial"/>
          <w:i/>
          <w:color w:val="000000"/>
          <w:sz w:val="20"/>
        </w:rPr>
        <w:t>Thiel v. Goyings</w:t>
      </w:r>
      <w:r>
        <w:rPr>
          <w:rFonts w:ascii="Arial" w:eastAsia="Arial" w:hAnsi="Arial" w:cs="Arial"/>
          <w:color w:val="000000"/>
          <w:sz w:val="20"/>
        </w:rPr>
        <w:t xml:space="preserve">, 939 N.W.2d 152, 504 Mich. 484, 504 Mich. 484, 2019 Mich. LEXIS 1287, 2019 WL 3331810, at *6 (Mich. July 24, 2019), Michigan courts construe restrictive covenants "strictly against those claiming to enforce them, and all doubts [are] resolved in favor of the free use of the property," </w:t>
      </w:r>
      <w:r>
        <w:rPr>
          <w:rFonts w:ascii="Arial" w:eastAsia="Arial" w:hAnsi="Arial" w:cs="Arial"/>
          <w:i/>
          <w:color w:val="000000"/>
          <w:sz w:val="20"/>
        </w:rPr>
        <w:t>Moore v. Kimball</w:t>
      </w:r>
      <w:r>
        <w:rPr>
          <w:rFonts w:ascii="Arial" w:eastAsia="Arial" w:hAnsi="Arial" w:cs="Arial"/>
          <w:color w:val="000000"/>
          <w:sz w:val="20"/>
        </w:rPr>
        <w:t xml:space="preserve">, 291 Mich. 455, 289 N.W. 213, 215 (Mich. 1939); </w:t>
      </w:r>
      <w:r>
        <w:rPr>
          <w:rFonts w:ascii="Arial" w:eastAsia="Arial" w:hAnsi="Arial" w:cs="Arial"/>
          <w:i/>
          <w:color w:val="000000"/>
          <w:sz w:val="20"/>
        </w:rPr>
        <w:t>Millpointe of Hartland Condo. Ass'n v. Cipolla</w:t>
      </w:r>
      <w:r>
        <w:rPr>
          <w:rFonts w:ascii="Arial" w:eastAsia="Arial" w:hAnsi="Arial" w:cs="Arial"/>
          <w:color w:val="000000"/>
          <w:sz w:val="20"/>
        </w:rPr>
        <w:t>, No. 289668, 2010 Mich. App. LEXIS 832, 2010 WL 1873085, at *1 (Mich. Ct. App. May 11, 2010) (per curiam). Unless the bylaws plainly cover the challenged in-condo smoking, therefore, Davis must lose.</w:t>
      </w:r>
    </w:p>
    <w:p w14:paraId="0D4B5503" w14:textId="77777777" w:rsidR="002B10A6" w:rsidRDefault="00000000">
      <w:pPr>
        <w:pStyle w:val="Normal42"/>
        <w:widowControl w:val="0"/>
        <w:spacing w:before="200" w:line="260" w:lineRule="atLeast"/>
        <w:jc w:val="both"/>
      </w:pPr>
      <w:bookmarkStart w:id="7762" w:name="Bookmark_para_33_21"/>
      <w:bookmarkEnd w:id="7762"/>
      <w:r>
        <w:rPr>
          <w:rFonts w:ascii="Arial" w:eastAsia="Arial" w:hAnsi="Arial" w:cs="Arial"/>
          <w:color w:val="000000"/>
          <w:sz w:val="20"/>
        </w:rPr>
        <w:t xml:space="preserve">Reason Two: Nowhere do the Association's bylaws specifically prohibit (or even regulate) smoking. The record shows instead that the Association has long read the bylaws to permit smoking and that Echo Valley residents have long smoked in their homes. The bylaws do, by comparison, </w:t>
      </w:r>
      <w:r>
        <w:rPr>
          <w:rFonts w:ascii="Arial" w:eastAsia="Arial" w:hAnsi="Arial" w:cs="Arial"/>
          <w:i/>
          <w:color w:val="000000"/>
          <w:sz w:val="20"/>
        </w:rPr>
        <w:t>specifically</w:t>
      </w:r>
      <w:r>
        <w:rPr>
          <w:rFonts w:ascii="Arial" w:eastAsia="Arial" w:hAnsi="Arial" w:cs="Arial"/>
          <w:color w:val="000000"/>
          <w:sz w:val="20"/>
        </w:rPr>
        <w:t xml:space="preserve"> prohibit many activities, ranging from keeping a dog or cat in a condo, to drying one's clothes in common areas, to shooting a BB gun, to displaying a sign. If these bylaws meant to ban smoking, they would have done so with similarly specific language. They would not have hidden a smoking ban in, for example, a bylaw requiring owners to keep their apartments "in a safe, clean and sanitary condition." Davis thus cannot rely on any theory of "breach" that compels the [**19]  Association to impose a categorical ban on smoking.</w:t>
      </w:r>
    </w:p>
    <w:p w14:paraId="1E091E1F" w14:textId="77777777" w:rsidR="002B10A6" w:rsidRDefault="00000000">
      <w:pPr>
        <w:pStyle w:val="Normal42"/>
        <w:widowControl w:val="0"/>
        <w:spacing w:before="200" w:line="260" w:lineRule="atLeast"/>
        <w:jc w:val="both"/>
      </w:pPr>
      <w:bookmarkStart w:id="7763" w:name="Bookmark_para_34_19"/>
      <w:bookmarkEnd w:id="7763"/>
      <w:r>
        <w:rPr>
          <w:rFonts w:ascii="Arial" w:eastAsia="Arial" w:hAnsi="Arial" w:cs="Arial"/>
          <w:color w:val="000000"/>
          <w:sz w:val="20"/>
        </w:rPr>
        <w:t xml:space="preserve">Reason Three: Davis does not sue the purported violators. The Lamnins sold their condo, their tenants moved out, and Davis does not name any other resident whose smoking affects her condo. Instead, she sues the condo association (the Association) and its former property manager (Casa Bella) for failing to enforce the bylaws. The bylaws do say that the Association's board "shall be responsible" for the bylaws' "enforce[ment]." </w:t>
      </w:r>
      <w:r>
        <w:rPr>
          <w:rFonts w:ascii="Arial" w:eastAsia="Arial" w:hAnsi="Arial" w:cs="Arial"/>
          <w:i/>
          <w:color w:val="000000"/>
          <w:sz w:val="20"/>
        </w:rPr>
        <w:t>See also</w:t>
      </w:r>
      <w:r>
        <w:rPr>
          <w:rFonts w:ascii="Arial" w:eastAsia="Arial" w:hAnsi="Arial" w:cs="Arial"/>
          <w:color w:val="000000"/>
          <w:sz w:val="20"/>
        </w:rPr>
        <w:t xml:space="preserve"> Mich. Comp. Laws § 559.207. But this secondary-liability theory means that Davis must show more than that she has a breach-of-covenant claim against the Lamnins. She must show that she has a failure-to-enforce claim against the Association and Casa Bella despite their efforts to accommodate her.</w:t>
      </w:r>
    </w:p>
    <w:p w14:paraId="5ED5506B" w14:textId="77777777" w:rsidR="002B10A6" w:rsidRDefault="00000000">
      <w:pPr>
        <w:pStyle w:val="Normal42"/>
        <w:widowControl w:val="0"/>
        <w:spacing w:before="200" w:line="260" w:lineRule="atLeast"/>
        <w:jc w:val="both"/>
      </w:pPr>
      <w:bookmarkStart w:id="7764" w:name="Bookmark_para_35_19"/>
      <w:bookmarkEnd w:id="7764"/>
      <w:r>
        <w:rPr>
          <w:rFonts w:ascii="Arial" w:eastAsia="Arial" w:hAnsi="Arial" w:cs="Arial"/>
          <w:color w:val="000000"/>
          <w:sz w:val="20"/>
        </w:rPr>
        <w:t>Against this backdrop, Davis's four breach-of-covenant claims fall short.</w:t>
      </w:r>
    </w:p>
    <w:p w14:paraId="387B0BD0" w14:textId="77777777" w:rsidR="002B10A6" w:rsidRDefault="00000000">
      <w:pPr>
        <w:pStyle w:val="Normal42"/>
        <w:widowControl w:val="0"/>
        <w:spacing w:before="200" w:line="260" w:lineRule="atLeast"/>
        <w:jc w:val="both"/>
      </w:pPr>
      <w:bookmarkStart w:id="7765" w:name="Bookmark_para_36_19"/>
      <w:bookmarkEnd w:id="7765"/>
      <w:r>
        <w:rPr>
          <w:rFonts w:ascii="Arial" w:eastAsia="Arial" w:hAnsi="Arial" w:cs="Arial"/>
          <w:color w:val="000000"/>
          <w:sz w:val="20"/>
        </w:rPr>
        <w:t xml:space="preserve">1. </w:t>
      </w:r>
      <w:r>
        <w:rPr>
          <w:rFonts w:ascii="Arial" w:eastAsia="Arial" w:hAnsi="Arial" w:cs="Arial"/>
          <w:i/>
          <w:color w:val="000000"/>
          <w:sz w:val="20"/>
        </w:rPr>
        <w:t>Safe and Clean</w:t>
      </w:r>
      <w:r>
        <w:rPr>
          <w:rFonts w:ascii="Arial" w:eastAsia="Arial" w:hAnsi="Arial" w:cs="Arial"/>
          <w:color w:val="000000"/>
          <w:sz w:val="20"/>
        </w:rPr>
        <w:t xml:space="preserve">. Davis argues that the Association and Casa Bella failed to enforce the bylaw requiring owners to keep their condos in a "safe" and "clean" "condition." As generally understood, "safe" means "free from danger," 14 </w:t>
      </w:r>
      <w:r>
        <w:rPr>
          <w:rFonts w:ascii="Arial" w:eastAsia="Arial" w:hAnsi="Arial" w:cs="Arial"/>
          <w:i/>
          <w:color w:val="000000"/>
          <w:sz w:val="20"/>
        </w:rPr>
        <w:t>Oxford English Dictionary</w:t>
      </w:r>
      <w:r>
        <w:rPr>
          <w:rFonts w:ascii="Arial" w:eastAsia="Arial" w:hAnsi="Arial" w:cs="Arial"/>
          <w:color w:val="000000"/>
          <w:sz w:val="20"/>
        </w:rPr>
        <w:t xml:space="preserve">, </w:t>
      </w:r>
      <w:r>
        <w:rPr>
          <w:rFonts w:ascii="Arial" w:eastAsia="Arial" w:hAnsi="Arial" w:cs="Arial"/>
          <w:i/>
          <w:color w:val="000000"/>
          <w:sz w:val="20"/>
        </w:rPr>
        <w:t>supra</w:t>
      </w:r>
      <w:r>
        <w:rPr>
          <w:rFonts w:ascii="Arial" w:eastAsia="Arial" w:hAnsi="Arial" w:cs="Arial"/>
          <w:color w:val="000000"/>
          <w:sz w:val="20"/>
        </w:rPr>
        <w:t xml:space="preserve">, at 355, whereas "clean" means "free from pollution," </w:t>
      </w:r>
      <w:r>
        <w:rPr>
          <w:rFonts w:ascii="Arial" w:eastAsia="Arial" w:hAnsi="Arial" w:cs="Arial"/>
          <w:i/>
          <w:color w:val="000000"/>
          <w:sz w:val="20"/>
        </w:rPr>
        <w:t>The Random House Dictionary of the English Language [**20] </w:t>
      </w:r>
      <w:r>
        <w:rPr>
          <w:rFonts w:ascii="Arial" w:eastAsia="Arial" w:hAnsi="Arial" w:cs="Arial"/>
          <w:color w:val="000000"/>
          <w:sz w:val="20"/>
        </w:rPr>
        <w:t xml:space="preserve"> 383 (2d ed. 1987). But these words must be construed in their context rather than in a vacuum. </w:t>
      </w:r>
      <w:r>
        <w:rPr>
          <w:rFonts w:ascii="Arial" w:eastAsia="Arial" w:hAnsi="Arial" w:cs="Arial"/>
          <w:i/>
          <w:color w:val="000000"/>
          <w:sz w:val="20"/>
        </w:rPr>
        <w:t>Thiel</w:t>
      </w:r>
      <w:r>
        <w:rPr>
          <w:rFonts w:ascii="Arial" w:eastAsia="Arial" w:hAnsi="Arial" w:cs="Arial"/>
          <w:color w:val="000000"/>
          <w:sz w:val="20"/>
        </w:rPr>
        <w:t xml:space="preserve">, 504 Mich. 484, 504 Mich. 484, 939 N.W.2d 152, 2019 Mich. LEXIS 1287, 2019 WL 3331810, at *6. And, notably, they are part of a bylaws package that allows smoking. </w:t>
      </w:r>
      <w:r>
        <w:rPr>
          <w:rFonts w:ascii="Arial" w:eastAsia="Arial" w:hAnsi="Arial" w:cs="Arial"/>
          <w:i/>
          <w:color w:val="000000"/>
          <w:sz w:val="20"/>
        </w:rPr>
        <w:t>Id.</w:t>
      </w:r>
      <w:r>
        <w:rPr>
          <w:rFonts w:ascii="Arial" w:eastAsia="Arial" w:hAnsi="Arial" w:cs="Arial"/>
          <w:color w:val="000000"/>
          <w:sz w:val="20"/>
        </w:rPr>
        <w:t xml:space="preserve"> So ordinary levels of "smoke" cannot be considered a "danger" or "pollution"; otherwise, this provision would ban a practice that the bylaws permit.</w:t>
      </w:r>
    </w:p>
    <w:p w14:paraId="6380F677" w14:textId="77777777" w:rsidR="002B10A6" w:rsidRDefault="00000000">
      <w:pPr>
        <w:pStyle w:val="Normal42"/>
        <w:widowControl w:val="0"/>
        <w:spacing w:before="200" w:line="260" w:lineRule="atLeast"/>
        <w:jc w:val="both"/>
      </w:pPr>
      <w:bookmarkStart w:id="7766" w:name="Bookmark_para_37_18"/>
      <w:bookmarkEnd w:id="7766"/>
      <w:r>
        <w:rPr>
          <w:rFonts w:ascii="Arial" w:eastAsia="Arial" w:hAnsi="Arial" w:cs="Arial"/>
          <w:color w:val="000000"/>
          <w:sz w:val="20"/>
        </w:rPr>
        <w:t xml:space="preserve">Davis's claim fails under this reading. We need not decide whether unusual amounts or types of smoking might violate this provision, because her theory of  [*494]  "breach" is far more expansive. Based on a combination of common knowledge and board-member admissions, she argues that </w:t>
      </w:r>
      <w:r>
        <w:rPr>
          <w:rFonts w:ascii="Arial" w:eastAsia="Arial" w:hAnsi="Arial" w:cs="Arial"/>
          <w:i/>
          <w:color w:val="000000"/>
          <w:sz w:val="20"/>
        </w:rPr>
        <w:t>any</w:t>
      </w:r>
      <w:r>
        <w:rPr>
          <w:rFonts w:ascii="Arial" w:eastAsia="Arial" w:hAnsi="Arial" w:cs="Arial"/>
          <w:color w:val="000000"/>
          <w:sz w:val="20"/>
        </w:rPr>
        <w:t xml:space="preserve"> smoke makes condos unsafe and unclean because smoking is harmful to health. This interpretation would incorrectly compel the Association to ban smoking, which we view as inconsistent with the bylaws when read as a whole.</w:t>
      </w:r>
    </w:p>
    <w:p w14:paraId="657C0D24" w14:textId="77777777" w:rsidR="002B10A6" w:rsidRDefault="00000000">
      <w:pPr>
        <w:pStyle w:val="Normal42"/>
        <w:widowControl w:val="0"/>
        <w:spacing w:before="200" w:line="260" w:lineRule="atLeast"/>
        <w:jc w:val="both"/>
      </w:pPr>
      <w:bookmarkStart w:id="7767" w:name="Bookmark_para_38_15"/>
      <w:bookmarkEnd w:id="7767"/>
      <w:r>
        <w:rPr>
          <w:rFonts w:ascii="Arial" w:eastAsia="Arial" w:hAnsi="Arial" w:cs="Arial"/>
          <w:color w:val="000000"/>
          <w:sz w:val="20"/>
        </w:rPr>
        <w:t xml:space="preserve">2. </w:t>
      </w:r>
      <w:r>
        <w:rPr>
          <w:rFonts w:ascii="Arial" w:eastAsia="Arial" w:hAnsi="Arial" w:cs="Arial"/>
          <w:i/>
          <w:color w:val="000000"/>
          <w:sz w:val="20"/>
        </w:rPr>
        <w:t>Annoyance or Nuisance</w:t>
      </w:r>
      <w:r>
        <w:rPr>
          <w:rFonts w:ascii="Arial" w:eastAsia="Arial" w:hAnsi="Arial" w:cs="Arial"/>
          <w:color w:val="000000"/>
          <w:sz w:val="20"/>
        </w:rPr>
        <w:t xml:space="preserve">. Davis next contends that smoking falls within the bylaw prohibiting activities "which may be or become an annoyance or a nuisance to the co-owners of the Condominium." The bylaw does not define these terms. </w:t>
      </w:r>
      <w:bookmarkStart w:id="7768" w:name="Bookmark_LNHNREFclscc10_23"/>
      <w:bookmarkEnd w:id="7768"/>
      <w:r>
        <w:rPr>
          <w:rFonts w:ascii="Arial" w:eastAsia="Arial" w:hAnsi="Arial" w:cs="Arial"/>
          <w:color w:val="000000"/>
          <w:sz w:val="20"/>
        </w:rPr>
        <w:t xml:space="preserve">A "nuisance" is, however, a well-known common-law concept. </w:t>
      </w:r>
      <w:r>
        <w:rPr>
          <w:rFonts w:ascii="Arial" w:eastAsia="Arial" w:hAnsi="Arial" w:cs="Arial"/>
          <w:i/>
          <w:color w:val="000000"/>
          <w:sz w:val="20"/>
        </w:rPr>
        <w:t>See Weimer v. Bunbury</w:t>
      </w:r>
      <w:r>
        <w:rPr>
          <w:rFonts w:ascii="Arial" w:eastAsia="Arial" w:hAnsi="Arial" w:cs="Arial"/>
          <w:color w:val="000000"/>
          <w:sz w:val="20"/>
        </w:rPr>
        <w:t xml:space="preserve">, 30 Mich. 201, 211 (1874) (Cooley, J.). Under Michigan law, a private nuisance is an "unreasonable interference [**21]  with the use or enjoyment of property" that results in "significant harm." </w:t>
      </w:r>
      <w:r>
        <w:rPr>
          <w:rFonts w:ascii="Arial" w:eastAsia="Arial" w:hAnsi="Arial" w:cs="Arial"/>
          <w:i/>
          <w:color w:val="000000"/>
          <w:sz w:val="20"/>
        </w:rPr>
        <w:t>Adams v. Cleveland-Cliffs Iron Co.</w:t>
      </w:r>
      <w:r>
        <w:rPr>
          <w:rFonts w:ascii="Arial" w:eastAsia="Arial" w:hAnsi="Arial" w:cs="Arial"/>
          <w:color w:val="000000"/>
          <w:sz w:val="20"/>
        </w:rPr>
        <w:t xml:space="preserve">, 237 Mich. App. 51, 602 N.W.2d 215, 222 (Mich. Ct. App. 1999) (emphasis omitted); </w:t>
      </w:r>
      <w:r>
        <w:rPr>
          <w:rFonts w:ascii="Arial" w:eastAsia="Arial" w:hAnsi="Arial" w:cs="Arial"/>
          <w:i/>
          <w:color w:val="000000"/>
          <w:sz w:val="20"/>
        </w:rPr>
        <w:t>Adkins v. Thomas Solvent Co.</w:t>
      </w:r>
      <w:r>
        <w:rPr>
          <w:rFonts w:ascii="Arial" w:eastAsia="Arial" w:hAnsi="Arial" w:cs="Arial"/>
          <w:color w:val="000000"/>
          <w:sz w:val="20"/>
        </w:rPr>
        <w:t xml:space="preserve">, 440 Mich. 293, 487 N.W.2d 715, 720-21 (Mich. 1992). And, in this context, "annoyance" is synonymous with "nuisance." An "annoyance" is "[a]nything annoying or causing trouble, a </w:t>
      </w:r>
      <w:r>
        <w:rPr>
          <w:rFonts w:ascii="Arial" w:eastAsia="Arial" w:hAnsi="Arial" w:cs="Arial"/>
          <w:i/>
          <w:color w:val="000000"/>
          <w:sz w:val="20"/>
        </w:rPr>
        <w:t>nuisance</w:t>
      </w:r>
      <w:r>
        <w:rPr>
          <w:rFonts w:ascii="Arial" w:eastAsia="Arial" w:hAnsi="Arial" w:cs="Arial"/>
          <w:color w:val="000000"/>
          <w:sz w:val="20"/>
        </w:rPr>
        <w:t xml:space="preserve">." 1 </w:t>
      </w:r>
      <w:r>
        <w:rPr>
          <w:rFonts w:ascii="Arial" w:eastAsia="Arial" w:hAnsi="Arial" w:cs="Arial"/>
          <w:i/>
          <w:color w:val="000000"/>
          <w:sz w:val="20"/>
        </w:rPr>
        <w:t>Oxford English Dictionary</w:t>
      </w:r>
      <w:r>
        <w:rPr>
          <w:rFonts w:ascii="Arial" w:eastAsia="Arial" w:hAnsi="Arial" w:cs="Arial"/>
          <w:color w:val="000000"/>
          <w:sz w:val="20"/>
        </w:rPr>
        <w:t xml:space="preserve">, </w:t>
      </w:r>
      <w:r>
        <w:rPr>
          <w:rFonts w:ascii="Arial" w:eastAsia="Arial" w:hAnsi="Arial" w:cs="Arial"/>
          <w:i/>
          <w:color w:val="000000"/>
          <w:sz w:val="20"/>
        </w:rPr>
        <w:t>supra</w:t>
      </w:r>
      <w:r>
        <w:rPr>
          <w:rFonts w:ascii="Arial" w:eastAsia="Arial" w:hAnsi="Arial" w:cs="Arial"/>
          <w:color w:val="000000"/>
          <w:sz w:val="20"/>
        </w:rPr>
        <w:t xml:space="preserve">, at 486 (emphasis added); </w:t>
      </w:r>
      <w:r>
        <w:rPr>
          <w:rFonts w:ascii="Arial" w:eastAsia="Arial" w:hAnsi="Arial" w:cs="Arial"/>
          <w:i/>
          <w:color w:val="000000"/>
          <w:sz w:val="20"/>
        </w:rPr>
        <w:t>see also Random House Dictionary</w:t>
      </w:r>
      <w:r>
        <w:rPr>
          <w:rFonts w:ascii="Arial" w:eastAsia="Arial" w:hAnsi="Arial" w:cs="Arial"/>
          <w:color w:val="000000"/>
          <w:sz w:val="20"/>
        </w:rPr>
        <w:t xml:space="preserve">, </w:t>
      </w:r>
      <w:r>
        <w:rPr>
          <w:rFonts w:ascii="Arial" w:eastAsia="Arial" w:hAnsi="Arial" w:cs="Arial"/>
          <w:i/>
          <w:color w:val="000000"/>
          <w:sz w:val="20"/>
        </w:rPr>
        <w:t>supra</w:t>
      </w:r>
      <w:r>
        <w:rPr>
          <w:rFonts w:ascii="Arial" w:eastAsia="Arial" w:hAnsi="Arial" w:cs="Arial"/>
          <w:color w:val="000000"/>
          <w:sz w:val="20"/>
        </w:rPr>
        <w:t xml:space="preserve">, at 84 (same); </w:t>
      </w:r>
      <w:r>
        <w:rPr>
          <w:rFonts w:ascii="Arial" w:eastAsia="Arial" w:hAnsi="Arial" w:cs="Arial"/>
          <w:i/>
          <w:color w:val="000000"/>
          <w:sz w:val="20"/>
        </w:rPr>
        <w:t>cf. Black's Law Dictionary</w:t>
      </w:r>
      <w:r>
        <w:rPr>
          <w:rFonts w:ascii="Arial" w:eastAsia="Arial" w:hAnsi="Arial" w:cs="Arial"/>
          <w:color w:val="000000"/>
          <w:sz w:val="20"/>
        </w:rPr>
        <w:t xml:space="preserve"> 82 (5th ed. 1979) (cross-referencing "Nuisance").</w:t>
      </w:r>
    </w:p>
    <w:p w14:paraId="63111D14" w14:textId="77777777" w:rsidR="002B10A6" w:rsidRDefault="00000000">
      <w:pPr>
        <w:pStyle w:val="Normal42"/>
        <w:widowControl w:val="0"/>
        <w:spacing w:before="200" w:line="260" w:lineRule="atLeast"/>
        <w:jc w:val="both"/>
      </w:pPr>
      <w:bookmarkStart w:id="7769" w:name="Bookmark_para_39_15"/>
      <w:bookmarkEnd w:id="7769"/>
      <w:r>
        <w:rPr>
          <w:rFonts w:ascii="Arial" w:eastAsia="Arial" w:hAnsi="Arial" w:cs="Arial"/>
          <w:color w:val="000000"/>
          <w:sz w:val="20"/>
        </w:rPr>
        <w:t xml:space="preserve">To be sure, this reading renders these terms largely duplicative. But that is inevitable. </w:t>
      </w:r>
      <w:bookmarkStart w:id="7770" w:name="Bookmark_LNHNREFclscc11_23"/>
      <w:bookmarkEnd w:id="7770"/>
      <w:r>
        <w:rPr>
          <w:rFonts w:ascii="Arial" w:eastAsia="Arial" w:hAnsi="Arial" w:cs="Arial"/>
          <w:color w:val="000000"/>
          <w:sz w:val="20"/>
        </w:rPr>
        <w:t xml:space="preserve">Any reading of "annoyance" (even one that reduces the required interference with property) swallows up the term "nuisance." And "[s]ometimes drafters </w:t>
      </w:r>
      <w:r>
        <w:rPr>
          <w:rFonts w:ascii="Arial" w:eastAsia="Arial" w:hAnsi="Arial" w:cs="Arial"/>
          <w:i/>
          <w:color w:val="000000"/>
          <w:sz w:val="20"/>
        </w:rPr>
        <w:t>do</w:t>
      </w:r>
      <w:r>
        <w:rPr>
          <w:rFonts w:ascii="Arial" w:eastAsia="Arial" w:hAnsi="Arial" w:cs="Arial"/>
          <w:color w:val="000000"/>
          <w:sz w:val="20"/>
        </w:rPr>
        <w:t xml:space="preserve"> repeat themselves and </w:t>
      </w:r>
      <w:r>
        <w:rPr>
          <w:rFonts w:ascii="Arial" w:eastAsia="Arial" w:hAnsi="Arial" w:cs="Arial"/>
          <w:i/>
          <w:color w:val="000000"/>
          <w:sz w:val="20"/>
        </w:rPr>
        <w:t>do</w:t>
      </w:r>
      <w:r>
        <w:rPr>
          <w:rFonts w:ascii="Arial" w:eastAsia="Arial" w:hAnsi="Arial" w:cs="Arial"/>
          <w:color w:val="000000"/>
          <w:sz w:val="20"/>
        </w:rPr>
        <w:t xml:space="preserve"> include words that add nothing of substance, either out of a flawed sense of style or to engage in the ill-conceived but lamentably common belt-and-suspenders approach." Scalia &amp; Garner, </w:t>
      </w:r>
      <w:r>
        <w:rPr>
          <w:rFonts w:ascii="Arial" w:eastAsia="Arial" w:hAnsi="Arial" w:cs="Arial"/>
          <w:i/>
          <w:color w:val="000000"/>
          <w:sz w:val="20"/>
        </w:rPr>
        <w:t>supra</w:t>
      </w:r>
      <w:r>
        <w:rPr>
          <w:rFonts w:ascii="Arial" w:eastAsia="Arial" w:hAnsi="Arial" w:cs="Arial"/>
          <w:color w:val="000000"/>
          <w:sz w:val="20"/>
        </w:rPr>
        <w:t xml:space="preserve">, § 26, at 176-77 (listing "peace and quiet" as an example). We must also consider the restriction's context. </w:t>
      </w:r>
      <w:r>
        <w:rPr>
          <w:rFonts w:ascii="Arial" w:eastAsia="Arial" w:hAnsi="Arial" w:cs="Arial"/>
          <w:i/>
          <w:color w:val="000000"/>
          <w:sz w:val="20"/>
        </w:rPr>
        <w:t>Thiel</w:t>
      </w:r>
      <w:r>
        <w:rPr>
          <w:rFonts w:ascii="Arial" w:eastAsia="Arial" w:hAnsi="Arial" w:cs="Arial"/>
          <w:color w:val="000000"/>
          <w:sz w:val="20"/>
        </w:rPr>
        <w:t xml:space="preserve">, 2019 Mich. LEXIS 1287, 2019 WL 3331810, at *8, *10. It regulates neighbors who have opted to live relatively close to each other, making it unlikely that an owner's slight irritation would trigger a bylaw permitting the owner to bring an "action to recover sums due for damages" [**22]  against a co-owner. Context compels limiting this bylaw's coverage to activities that most residents would </w:t>
      </w:r>
      <w:r>
        <w:rPr>
          <w:rFonts w:ascii="Arial" w:eastAsia="Arial" w:hAnsi="Arial" w:cs="Arial"/>
          <w:i/>
          <w:color w:val="000000"/>
          <w:sz w:val="20"/>
        </w:rPr>
        <w:t>reasonably</w:t>
      </w:r>
      <w:r>
        <w:rPr>
          <w:rFonts w:ascii="Arial" w:eastAsia="Arial" w:hAnsi="Arial" w:cs="Arial"/>
          <w:color w:val="000000"/>
          <w:sz w:val="20"/>
        </w:rPr>
        <w:t xml:space="preserve"> find </w:t>
      </w:r>
      <w:r>
        <w:rPr>
          <w:rFonts w:ascii="Arial" w:eastAsia="Arial" w:hAnsi="Arial" w:cs="Arial"/>
          <w:i/>
          <w:color w:val="000000"/>
          <w:sz w:val="20"/>
        </w:rPr>
        <w:t>significantly</w:t>
      </w:r>
      <w:r>
        <w:rPr>
          <w:rFonts w:ascii="Arial" w:eastAsia="Arial" w:hAnsi="Arial" w:cs="Arial"/>
          <w:color w:val="000000"/>
          <w:sz w:val="20"/>
        </w:rPr>
        <w:t xml:space="preserve"> bothersome—in contrast to the activities that can be "generally expected" in a condo complex. </w:t>
      </w:r>
      <w:r>
        <w:rPr>
          <w:rFonts w:ascii="Arial" w:eastAsia="Arial" w:hAnsi="Arial" w:cs="Arial"/>
          <w:i/>
          <w:color w:val="000000"/>
          <w:sz w:val="20"/>
        </w:rPr>
        <w:t>Cf. Bedows v. Hoffman</w:t>
      </w:r>
      <w:r>
        <w:rPr>
          <w:rFonts w:ascii="Arial" w:eastAsia="Arial" w:hAnsi="Arial" w:cs="Arial"/>
          <w:color w:val="000000"/>
          <w:sz w:val="20"/>
        </w:rPr>
        <w:t>, 2016 IL App (4th) 160146-U, 2016 WL 6906744, at *11 (Ill. Ct. App. 2016).</w:t>
      </w:r>
    </w:p>
    <w:p w14:paraId="229583E6" w14:textId="77777777" w:rsidR="002B10A6" w:rsidRDefault="00000000">
      <w:pPr>
        <w:pStyle w:val="Normal42"/>
        <w:widowControl w:val="0"/>
        <w:spacing w:before="200" w:line="260" w:lineRule="atLeast"/>
        <w:jc w:val="both"/>
      </w:pPr>
      <w:bookmarkStart w:id="7771" w:name="Bookmark_para_40_15"/>
      <w:bookmarkEnd w:id="7771"/>
      <w:r>
        <w:rPr>
          <w:rFonts w:ascii="Arial" w:eastAsia="Arial" w:hAnsi="Arial" w:cs="Arial"/>
          <w:color w:val="000000"/>
          <w:sz w:val="20"/>
        </w:rPr>
        <w:t xml:space="preserve">We agree with the district court that Davis did not create a genuine issue of material fact that the Board violated its duty to enforce this nuisance bylaw. </w:t>
      </w:r>
      <w:r>
        <w:rPr>
          <w:rFonts w:ascii="Arial" w:eastAsia="Arial" w:hAnsi="Arial" w:cs="Arial"/>
          <w:i/>
          <w:color w:val="000000"/>
          <w:sz w:val="20"/>
        </w:rPr>
        <w:t>Davis</w:t>
      </w:r>
      <w:r>
        <w:rPr>
          <w:rFonts w:ascii="Arial" w:eastAsia="Arial" w:hAnsi="Arial" w:cs="Arial"/>
          <w:color w:val="000000"/>
          <w:sz w:val="20"/>
        </w:rPr>
        <w:t xml:space="preserve">, 349 F. Supp. 3d at 662-65. Davis chose to live in a condo complex whose bylaws do not restrict smoking. </w:t>
      </w:r>
      <w:bookmarkStart w:id="7772" w:name="Bookmark_LNHNREFclscc12_21"/>
      <w:bookmarkEnd w:id="7772"/>
      <w:r>
        <w:rPr>
          <w:rFonts w:ascii="Arial" w:eastAsia="Arial" w:hAnsi="Arial" w:cs="Arial"/>
          <w:color w:val="000000"/>
          <w:sz w:val="20"/>
        </w:rPr>
        <w:t xml:space="preserve">As other courts have found, while even a small amount of smoke might be a nuisance in a complex that bans smoking, the same cannot be said for a complex that allows it. </w:t>
      </w:r>
      <w:r>
        <w:rPr>
          <w:rFonts w:ascii="Arial" w:eastAsia="Arial" w:hAnsi="Arial" w:cs="Arial"/>
          <w:i/>
          <w:color w:val="000000"/>
          <w:sz w:val="20"/>
        </w:rPr>
        <w:t>See Schuman v. Greenbelt Homes, Inc.</w:t>
      </w:r>
      <w:r>
        <w:rPr>
          <w:rFonts w:ascii="Arial" w:eastAsia="Arial" w:hAnsi="Arial" w:cs="Arial"/>
          <w:color w:val="000000"/>
          <w:sz w:val="20"/>
        </w:rPr>
        <w:t xml:space="preserve">, 212 Md. App. 451, 69 A.3d 512, 520 (Md. Ct. Spec. App. 2013). Indeed, other courts reviewing these claims "have almost uniformly found no right to relief" on nuisance theories. </w:t>
      </w:r>
      <w:r>
        <w:rPr>
          <w:rFonts w:ascii="Arial" w:eastAsia="Arial" w:hAnsi="Arial" w:cs="Arial"/>
          <w:i/>
          <w:color w:val="000000"/>
          <w:sz w:val="20"/>
        </w:rPr>
        <w:t>Nuncio v. Rock Knoll Townhome Vill., Inc.</w:t>
      </w:r>
      <w:r>
        <w:rPr>
          <w:rFonts w:ascii="Arial" w:eastAsia="Arial" w:hAnsi="Arial" w:cs="Arial"/>
          <w:color w:val="000000"/>
          <w:sz w:val="20"/>
        </w:rPr>
        <w:t xml:space="preserve">, 2016 OK CIV APP 83, 389 P.3d 370, 374-75 (Okla. Civ. App. 2016); </w:t>
      </w:r>
      <w:r>
        <w:rPr>
          <w:rFonts w:ascii="Arial" w:eastAsia="Arial" w:hAnsi="Arial" w:cs="Arial"/>
          <w:i/>
          <w:color w:val="000000"/>
          <w:sz w:val="20"/>
        </w:rPr>
        <w:t>see Ewen v. Maccherone</w:t>
      </w:r>
      <w:r>
        <w:rPr>
          <w:rFonts w:ascii="Arial" w:eastAsia="Arial" w:hAnsi="Arial" w:cs="Arial"/>
          <w:color w:val="000000"/>
          <w:sz w:val="20"/>
        </w:rPr>
        <w:t xml:space="preserve">, 32 Misc. 3d 12, 927 N.Y.S.2d 274, 276-77 (N.Y. App. Div. 2011) (per curiam); </w:t>
      </w:r>
      <w:r>
        <w:rPr>
          <w:rFonts w:ascii="Arial" w:eastAsia="Arial" w:hAnsi="Arial" w:cs="Arial"/>
          <w:i/>
          <w:color w:val="000000"/>
          <w:sz w:val="20"/>
        </w:rPr>
        <w:t>Boffoli v. Orton</w:t>
      </w:r>
      <w:r>
        <w:rPr>
          <w:rFonts w:ascii="Arial" w:eastAsia="Arial" w:hAnsi="Arial" w:cs="Arial"/>
          <w:color w:val="000000"/>
          <w:sz w:val="20"/>
        </w:rPr>
        <w:t xml:space="preserve">, No. 63457-7-I, 2010 Wash. App. LEXIS 807, 2010 WL 1533397, at *3 (Wash. Ct. App. Apr. 19, 2010); </w:t>
      </w:r>
      <w:r>
        <w:rPr>
          <w:rFonts w:ascii="Arial" w:eastAsia="Arial" w:hAnsi="Arial" w:cs="Arial"/>
          <w:i/>
          <w:color w:val="000000"/>
          <w:sz w:val="20"/>
        </w:rPr>
        <w:t>DeNardo v. Corneloup</w:t>
      </w:r>
      <w:r>
        <w:rPr>
          <w:rFonts w:ascii="Arial" w:eastAsia="Arial" w:hAnsi="Arial" w:cs="Arial"/>
          <w:color w:val="000000"/>
          <w:sz w:val="20"/>
        </w:rPr>
        <w:t xml:space="preserve">, 163 P.3d 956, 961 (Alaska 2007). These cases identify a (clear) default rule around which parties may bargain by, for example, adopting restrictive covenants imposing a specific ban (or limit) on smoking in their communities. </w:t>
      </w:r>
      <w:r>
        <w:rPr>
          <w:rFonts w:ascii="Arial" w:eastAsia="Arial" w:hAnsi="Arial" w:cs="Arial"/>
          <w:i/>
          <w:color w:val="000000"/>
          <w:sz w:val="20"/>
        </w:rPr>
        <w:t>Cf</w:t>
      </w:r>
      <w:r>
        <w:rPr>
          <w:rFonts w:ascii="Arial" w:eastAsia="Arial" w:hAnsi="Arial" w:cs="Arial"/>
          <w:color w:val="000000"/>
          <w:sz w:val="20"/>
        </w:rPr>
        <w:t xml:space="preserve">. R.H. Coase,  [*495]  </w:t>
      </w:r>
      <w:r>
        <w:rPr>
          <w:rFonts w:ascii="Arial" w:eastAsia="Arial" w:hAnsi="Arial" w:cs="Arial"/>
          <w:i/>
          <w:color w:val="000000"/>
          <w:sz w:val="20"/>
        </w:rPr>
        <w:t>The Problem of Social Cost</w:t>
      </w:r>
      <w:r>
        <w:rPr>
          <w:rFonts w:ascii="Arial" w:eastAsia="Arial" w:hAnsi="Arial" w:cs="Arial"/>
          <w:color w:val="000000"/>
          <w:sz w:val="20"/>
        </w:rPr>
        <w:t>, 3 J.L. &amp; Econ. 1 (1960).</w:t>
      </w:r>
    </w:p>
    <w:p w14:paraId="5CF1DD27" w14:textId="77777777" w:rsidR="002B10A6" w:rsidRDefault="00000000">
      <w:pPr>
        <w:pStyle w:val="Normal42"/>
        <w:widowControl w:val="0"/>
        <w:spacing w:before="200" w:line="260" w:lineRule="atLeast"/>
        <w:jc w:val="both"/>
      </w:pPr>
      <w:bookmarkStart w:id="7773" w:name="Bookmark_para_41_15"/>
      <w:bookmarkEnd w:id="7773"/>
      <w:r>
        <w:rPr>
          <w:rFonts w:ascii="Arial" w:eastAsia="Arial" w:hAnsi="Arial" w:cs="Arial"/>
          <w:color w:val="000000"/>
          <w:sz w:val="20"/>
        </w:rPr>
        <w:t xml:space="preserve">In addition, while smoking affects Davis more than other residents given her unique sensitivities, that fact undercuts [**23]  her breach-of-covenant claim. As another court has noted, "nuisance is not subjective." </w:t>
      </w:r>
      <w:r>
        <w:rPr>
          <w:rFonts w:ascii="Arial" w:eastAsia="Arial" w:hAnsi="Arial" w:cs="Arial"/>
          <w:i/>
          <w:color w:val="000000"/>
          <w:sz w:val="20"/>
        </w:rPr>
        <w:t>Schuman</w:t>
      </w:r>
      <w:r>
        <w:rPr>
          <w:rFonts w:ascii="Arial" w:eastAsia="Arial" w:hAnsi="Arial" w:cs="Arial"/>
          <w:color w:val="000000"/>
          <w:sz w:val="20"/>
        </w:rPr>
        <w:t>, 69 A.3d at 525. This bylaw ties the standard of liability to an ordinary resident, not a resident with unique needs.</w:t>
      </w:r>
    </w:p>
    <w:p w14:paraId="45BE0FC3" w14:textId="77777777" w:rsidR="002B10A6" w:rsidRDefault="00000000">
      <w:pPr>
        <w:pStyle w:val="Normal42"/>
        <w:widowControl w:val="0"/>
        <w:spacing w:before="200" w:line="260" w:lineRule="atLeast"/>
        <w:jc w:val="both"/>
      </w:pPr>
      <w:bookmarkStart w:id="7774" w:name="Bookmark_para_42_14"/>
      <w:bookmarkEnd w:id="7774"/>
      <w:r>
        <w:rPr>
          <w:rFonts w:ascii="Arial" w:eastAsia="Arial" w:hAnsi="Arial" w:cs="Arial"/>
          <w:color w:val="000000"/>
          <w:sz w:val="20"/>
        </w:rPr>
        <w:t xml:space="preserve">Lastly, the Association and Casa Bella did not simply ignore Davis's concerns. They sought to facilitate a compromise. The Association's board initially authorized a letter asking the Lamnins to assist in keeping the smoke smell contained to their condo. At the Association's expense, the board then contracted for a $275 fresh-air system for Davis's condo, a system that Davis said helped to reduce the smell of smoke. The Rules also agreed to use an air purifier in their unit. And the board ultimately put the issue to the condo owners by holding a vote on whether to ban smoking. After the Rules left, moreover, Davis never identified for the board any other specific resident that allegedly violated a bylaw. These efforts undermine any claim that the board failed to enforce the bylaw. </w:t>
      </w:r>
      <w:r>
        <w:rPr>
          <w:rFonts w:ascii="Arial" w:eastAsia="Arial" w:hAnsi="Arial" w:cs="Arial"/>
          <w:i/>
          <w:color w:val="000000"/>
          <w:sz w:val="20"/>
        </w:rPr>
        <w:t>Cf. America v. Sunspray Condo. Ass'n</w:t>
      </w:r>
      <w:r>
        <w:rPr>
          <w:rFonts w:ascii="Arial" w:eastAsia="Arial" w:hAnsi="Arial" w:cs="Arial"/>
          <w:color w:val="000000"/>
          <w:sz w:val="20"/>
        </w:rPr>
        <w:t>, 2013 ME 19, 61 A.3d 1249, 1255-56 (Me. 2013).</w:t>
      </w:r>
    </w:p>
    <w:p w14:paraId="276F8994" w14:textId="77777777" w:rsidR="002B10A6" w:rsidRDefault="00000000">
      <w:pPr>
        <w:pStyle w:val="Normal42"/>
        <w:widowControl w:val="0"/>
        <w:spacing w:before="200" w:line="260" w:lineRule="atLeast"/>
        <w:jc w:val="both"/>
      </w:pPr>
      <w:bookmarkStart w:id="7775" w:name="Bookmark_para_43_13"/>
      <w:bookmarkEnd w:id="7775"/>
      <w:r>
        <w:rPr>
          <w:rFonts w:ascii="Arial" w:eastAsia="Arial" w:hAnsi="Arial" w:cs="Arial"/>
          <w:color w:val="000000"/>
          <w:sz w:val="20"/>
        </w:rPr>
        <w:t>In response, Davis argues that a relaxed standard of annoyance applies because the bylaw covers activities that "</w:t>
      </w:r>
      <w:r>
        <w:rPr>
          <w:rFonts w:ascii="Arial" w:eastAsia="Arial" w:hAnsi="Arial" w:cs="Arial"/>
          <w:i/>
          <w:color w:val="000000"/>
          <w:sz w:val="20"/>
        </w:rPr>
        <w:t>may</w:t>
      </w:r>
      <w:r>
        <w:rPr>
          <w:rFonts w:ascii="Arial" w:eastAsia="Arial" w:hAnsi="Arial" w:cs="Arial"/>
          <w:color w:val="000000"/>
          <w:sz w:val="20"/>
        </w:rPr>
        <w:t xml:space="preserve"> be or become" an annoyance. "As used here," we read "the auxiliary verb 'may' [to] signal[] a hazard [**24]  that is yet to come"; it does not lower the level of hazard that must be shown. </w:t>
      </w:r>
      <w:r>
        <w:rPr>
          <w:rFonts w:ascii="Arial" w:eastAsia="Arial" w:hAnsi="Arial" w:cs="Arial"/>
          <w:i/>
          <w:color w:val="000000"/>
          <w:sz w:val="20"/>
        </w:rPr>
        <w:t>Russell v. Citigroup, Inc.</w:t>
      </w:r>
      <w:r>
        <w:rPr>
          <w:rFonts w:ascii="Arial" w:eastAsia="Arial" w:hAnsi="Arial" w:cs="Arial"/>
          <w:color w:val="000000"/>
          <w:sz w:val="20"/>
        </w:rPr>
        <w:t xml:space="preserve">, 748 F.3d 677, 680 (6th Cir. 2014) (citing a definition of "may" in </w:t>
      </w:r>
      <w:r>
        <w:rPr>
          <w:rFonts w:ascii="Arial" w:eastAsia="Arial" w:hAnsi="Arial" w:cs="Arial"/>
          <w:i/>
          <w:color w:val="000000"/>
          <w:sz w:val="20"/>
        </w:rPr>
        <w:t>Oxford English Dictionary</w:t>
      </w:r>
      <w:r>
        <w:rPr>
          <w:rFonts w:ascii="Arial" w:eastAsia="Arial" w:hAnsi="Arial" w:cs="Arial"/>
          <w:color w:val="000000"/>
          <w:sz w:val="20"/>
        </w:rPr>
        <w:t xml:space="preserve"> (3d ed. 2012)). Indeed, when asked at oral argument why this lower level of annoyance would not ban a resident from cooking if a neighbor found the smell annoying (as Davis has found it previously), her counsel responded that "cooking is necessary." We see no textual basis for that distinction; instead, we think the standard of annoyance must be set at a sufficiently high level to permit activities that are "generally expected" in a condo complex. </w:t>
      </w:r>
      <w:r>
        <w:rPr>
          <w:rFonts w:ascii="Arial" w:eastAsia="Arial" w:hAnsi="Arial" w:cs="Arial"/>
          <w:i/>
          <w:color w:val="000000"/>
          <w:sz w:val="20"/>
        </w:rPr>
        <w:t>Bedows</w:t>
      </w:r>
      <w:r>
        <w:rPr>
          <w:rFonts w:ascii="Arial" w:eastAsia="Arial" w:hAnsi="Arial" w:cs="Arial"/>
          <w:color w:val="000000"/>
          <w:sz w:val="20"/>
        </w:rPr>
        <w:t xml:space="preserve">, 2016 IL App (4th) 160146-U, 2016 WL 6906744, at *11. And in the Echo Valley complex, those expected activities include both cooking </w:t>
      </w:r>
      <w:r>
        <w:rPr>
          <w:rFonts w:ascii="Arial" w:eastAsia="Arial" w:hAnsi="Arial" w:cs="Arial"/>
          <w:i/>
          <w:color w:val="000000"/>
          <w:sz w:val="20"/>
        </w:rPr>
        <w:t>and</w:t>
      </w:r>
      <w:r>
        <w:rPr>
          <w:rFonts w:ascii="Arial" w:eastAsia="Arial" w:hAnsi="Arial" w:cs="Arial"/>
          <w:color w:val="000000"/>
          <w:sz w:val="20"/>
        </w:rPr>
        <w:t xml:space="preserve"> smoking in one's condo.</w:t>
      </w:r>
    </w:p>
    <w:p w14:paraId="7CFDAF28" w14:textId="77777777" w:rsidR="002B10A6" w:rsidRDefault="00000000">
      <w:pPr>
        <w:pStyle w:val="Normal42"/>
        <w:widowControl w:val="0"/>
        <w:spacing w:before="200" w:line="260" w:lineRule="atLeast"/>
        <w:jc w:val="both"/>
      </w:pPr>
      <w:bookmarkStart w:id="7776" w:name="Bookmark_para_44_13"/>
      <w:bookmarkEnd w:id="7776"/>
      <w:r>
        <w:rPr>
          <w:rFonts w:ascii="Arial" w:eastAsia="Arial" w:hAnsi="Arial" w:cs="Arial"/>
          <w:color w:val="000000"/>
          <w:sz w:val="20"/>
        </w:rPr>
        <w:t xml:space="preserve">Davis also points to evidence suggesting that the amount of smoke infiltrating her condo and her hallways is "strong," at times even leaving the smell on clothes and towels. Like the district court, though, we do not think this evidence suffices to take this case outside the default rule that smoking cannot be considered a nuisance in a condo complex that allows it. Indeed, Davis presented no evidence that her neighbors had "unique" "smoking habits." </w:t>
      </w:r>
      <w:r>
        <w:rPr>
          <w:rFonts w:ascii="Arial" w:eastAsia="Arial" w:hAnsi="Arial" w:cs="Arial"/>
          <w:i/>
          <w:color w:val="000000"/>
          <w:sz w:val="20"/>
        </w:rPr>
        <w:t>Davis</w:t>
      </w:r>
      <w:r>
        <w:rPr>
          <w:rFonts w:ascii="Arial" w:eastAsia="Arial" w:hAnsi="Arial" w:cs="Arial"/>
          <w:color w:val="000000"/>
          <w:sz w:val="20"/>
        </w:rPr>
        <w:t>, 349 F. Supp. 3d at 664.</w:t>
      </w:r>
    </w:p>
    <w:p w14:paraId="2B357ACF" w14:textId="77777777" w:rsidR="002B10A6" w:rsidRDefault="00000000">
      <w:pPr>
        <w:pStyle w:val="Normal42"/>
        <w:widowControl w:val="0"/>
        <w:spacing w:before="200" w:line="260" w:lineRule="atLeast"/>
        <w:jc w:val="both"/>
      </w:pPr>
      <w:bookmarkStart w:id="7777" w:name="Bookmark_para_45_13"/>
      <w:bookmarkEnd w:id="7777"/>
      <w:r>
        <w:rPr>
          <w:rFonts w:ascii="Arial" w:eastAsia="Arial" w:hAnsi="Arial" w:cs="Arial"/>
          <w:color w:val="000000"/>
          <w:sz w:val="20"/>
        </w:rPr>
        <w:t xml:space="preserve">3. </w:t>
      </w:r>
      <w:r>
        <w:rPr>
          <w:rFonts w:ascii="Arial" w:eastAsia="Arial" w:hAnsi="Arial" w:cs="Arial"/>
          <w:i/>
          <w:color w:val="000000"/>
          <w:sz w:val="20"/>
        </w:rPr>
        <w:t>Rate of Insurance</w:t>
      </w:r>
      <w:r>
        <w:rPr>
          <w:rFonts w:ascii="Arial" w:eastAsia="Arial" w:hAnsi="Arial" w:cs="Arial"/>
          <w:color w:val="000000"/>
          <w:sz w:val="20"/>
        </w:rPr>
        <w:t>. Davis next invokes the [**25]  bylaw that bars condo owners from doing anything "that will increase the rate of insurance on the Condominium." She alleges that smoking increases that rate because it is a "fire hazard." Like her first theory, this claim fails because it ignores the overall context of permissible smoking at Echo Valley. We can no more read this provision to ban smoking than we can read it to ban other fire hazards like cooking. Even if we accepted the theory, Davis's sole evidence in support—a board member's personal opinion that smoking raises insurance rates—does not suffice to withstand summary judgment. Davis does not explain why this board member may competently opine on actuarial science.</w:t>
      </w:r>
    </w:p>
    <w:p w14:paraId="3DB5129E" w14:textId="77777777" w:rsidR="002B10A6" w:rsidRDefault="00000000">
      <w:pPr>
        <w:pStyle w:val="Normal42"/>
        <w:widowControl w:val="0"/>
        <w:spacing w:before="200" w:line="260" w:lineRule="atLeast"/>
        <w:jc w:val="both"/>
      </w:pPr>
      <w:bookmarkStart w:id="7778" w:name="Bookmark_para_46_12"/>
      <w:bookmarkEnd w:id="7778"/>
      <w:r>
        <w:rPr>
          <w:rFonts w:ascii="Arial" w:eastAsia="Arial" w:hAnsi="Arial" w:cs="Arial"/>
          <w:color w:val="000000"/>
          <w:sz w:val="20"/>
        </w:rPr>
        <w:t xml:space="preserve">4. </w:t>
      </w:r>
      <w:r>
        <w:rPr>
          <w:rFonts w:ascii="Arial" w:eastAsia="Arial" w:hAnsi="Arial" w:cs="Arial"/>
          <w:i/>
          <w:color w:val="000000"/>
          <w:sz w:val="20"/>
        </w:rPr>
        <w:t>Unlawful or Offensive Activity</w:t>
      </w:r>
      <w:r>
        <w:rPr>
          <w:rFonts w:ascii="Arial" w:eastAsia="Arial" w:hAnsi="Arial" w:cs="Arial"/>
          <w:color w:val="000000"/>
          <w:sz w:val="20"/>
        </w:rPr>
        <w:t xml:space="preserve">. Davis last contends that the Association failed to enforce the bylaw provision prohibiting "unlawful or offensive activities." Her argument turns on the fact that marijuana is  [*496]  unlawful, and on board-member opinions that marijuana and cigarette smoke are offensive. This claim fails for a procedural reason: Davis did not allege it in her complaint, and she did not properly move to amend her complaint to include it. </w:t>
      </w:r>
      <w:r>
        <w:rPr>
          <w:rFonts w:ascii="Arial" w:eastAsia="Arial" w:hAnsi="Arial" w:cs="Arial"/>
          <w:i/>
          <w:color w:val="000000"/>
          <w:sz w:val="20"/>
        </w:rPr>
        <w:t>Davis</w:t>
      </w:r>
      <w:r>
        <w:rPr>
          <w:rFonts w:ascii="Arial" w:eastAsia="Arial" w:hAnsi="Arial" w:cs="Arial"/>
          <w:color w:val="000000"/>
          <w:sz w:val="20"/>
        </w:rPr>
        <w:t>, 349 F. Supp. 3d at 661.</w:t>
      </w:r>
    </w:p>
    <w:p w14:paraId="669812CF" w14:textId="77777777" w:rsidR="002B10A6" w:rsidRDefault="00000000">
      <w:pPr>
        <w:pStyle w:val="Normal42"/>
        <w:widowControl w:val="0"/>
        <w:spacing w:before="200" w:line="260" w:lineRule="atLeast"/>
        <w:jc w:val="both"/>
      </w:pPr>
      <w:bookmarkStart w:id="7779" w:name="Bookmark_para_47_12"/>
      <w:bookmarkStart w:id="7780" w:name="Bookmark_I5Y2VMDN2SF8NC0020000400"/>
      <w:bookmarkStart w:id="7781" w:name="Bookmark_I5XSXFBX2N1RRM0040000400"/>
      <w:bookmarkStart w:id="7782" w:name="Bookmark_LNHNREFclscc13_16"/>
      <w:bookmarkEnd w:id="7779"/>
      <w:bookmarkEnd w:id="7780"/>
      <w:bookmarkEnd w:id="7781"/>
      <w:bookmarkEnd w:id="7782"/>
      <w:r>
        <w:rPr>
          <w:rFonts w:ascii="Arial" w:eastAsia="Arial" w:hAnsi="Arial" w:cs="Arial"/>
          <w:color w:val="000000"/>
          <w:sz w:val="20"/>
        </w:rPr>
        <w:t xml:space="preserve">Parties who seek to raise new claims at the summary-judgment [**26]  stage must first move to amend their pleadings under Federal Rule of Civil Procedure 15(a) before asserting the claims in summary-judgment briefing. </w:t>
      </w:r>
      <w:bookmarkStart w:id="7783" w:name="Bookmark_I5XSXFBY2SF8NT0010000400"/>
      <w:bookmarkEnd w:id="7783"/>
      <w:r>
        <w:rPr>
          <w:rFonts w:ascii="Arial" w:eastAsia="Arial" w:hAnsi="Arial" w:cs="Arial"/>
          <w:i/>
          <w:color w:val="000000"/>
          <w:sz w:val="20"/>
        </w:rPr>
        <w:t xml:space="preserve">See </w:t>
      </w:r>
      <w:bookmarkStart w:id="7784" w:name="Bookmark_I5Y2VMDN2SF8NC0010000400"/>
      <w:bookmarkEnd w:id="7784"/>
      <w:r>
        <w:rPr>
          <w:rFonts w:ascii="Arial" w:eastAsia="Arial" w:hAnsi="Arial" w:cs="Arial"/>
          <w:i/>
          <w:color w:val="000000"/>
          <w:sz w:val="20"/>
        </w:rPr>
        <w:t>Rafferty v. Trumbull County</w:t>
      </w:r>
      <w:r>
        <w:rPr>
          <w:rFonts w:ascii="Arial" w:eastAsia="Arial" w:hAnsi="Arial" w:cs="Arial"/>
          <w:color w:val="000000"/>
          <w:sz w:val="20"/>
        </w:rPr>
        <w:t xml:space="preserve">, 758 F. App'x 425, 429 (6th Cir. 2018); </w:t>
      </w:r>
      <w:bookmarkStart w:id="7785" w:name="Bookmark_I5XSXFBX2D6MVV0040000400"/>
      <w:bookmarkEnd w:id="7785"/>
      <w:r>
        <w:rPr>
          <w:rFonts w:ascii="Arial" w:eastAsia="Arial" w:hAnsi="Arial" w:cs="Arial"/>
          <w:i/>
          <w:color w:val="000000"/>
          <w:sz w:val="20"/>
        </w:rPr>
        <w:t>Carter v. Ford Motor Co.</w:t>
      </w:r>
      <w:r>
        <w:rPr>
          <w:rFonts w:ascii="Arial" w:eastAsia="Arial" w:hAnsi="Arial" w:cs="Arial"/>
          <w:color w:val="000000"/>
          <w:sz w:val="20"/>
        </w:rPr>
        <w:t xml:space="preserve">, 561 F.3d 562, 567-69 (6th Cir. 2009); </w:t>
      </w:r>
      <w:bookmarkStart w:id="7786" w:name="Bookmark_I5XSXFBX2N1RRM0010000400"/>
      <w:bookmarkEnd w:id="7786"/>
      <w:r>
        <w:rPr>
          <w:rFonts w:ascii="Arial" w:eastAsia="Arial" w:hAnsi="Arial" w:cs="Arial"/>
          <w:i/>
          <w:color w:val="000000"/>
          <w:sz w:val="20"/>
        </w:rPr>
        <w:t>Tucker v. Union of Needletrades, Indus., &amp; Textile Emps</w:t>
      </w:r>
      <w:r>
        <w:rPr>
          <w:rFonts w:ascii="Arial" w:eastAsia="Arial" w:hAnsi="Arial" w:cs="Arial"/>
          <w:color w:val="000000"/>
          <w:sz w:val="20"/>
        </w:rPr>
        <w:t xml:space="preserve">., 407 F.3d 784, 788 (6th Cir. 2005). By that point, "a plaintiff has conducted discovery and has had the opportunity to amend the complaint and raise additional theories." </w:t>
      </w:r>
      <w:bookmarkStart w:id="7787" w:name="Bookmark_I5XSXFBX2N1RRM0030000400"/>
      <w:bookmarkEnd w:id="7787"/>
      <w:r>
        <w:rPr>
          <w:rFonts w:ascii="Arial" w:eastAsia="Arial" w:hAnsi="Arial" w:cs="Arial"/>
          <w:i/>
          <w:color w:val="000000"/>
          <w:sz w:val="20"/>
        </w:rPr>
        <w:t>West v. Wayne County</w:t>
      </w:r>
      <w:r>
        <w:rPr>
          <w:rFonts w:ascii="Arial" w:eastAsia="Arial" w:hAnsi="Arial" w:cs="Arial"/>
          <w:color w:val="000000"/>
          <w:sz w:val="20"/>
        </w:rPr>
        <w:t xml:space="preserve">, 672 F. App'x 535, 541 (6th Cir. 2016). </w:t>
      </w:r>
      <w:bookmarkStart w:id="7788" w:name="Bookmark_I5XSXFBY2SF8NT0010000400_2"/>
      <w:bookmarkEnd w:id="7788"/>
      <w:r>
        <w:rPr>
          <w:rFonts w:ascii="Arial" w:eastAsia="Arial" w:hAnsi="Arial" w:cs="Arial"/>
          <w:color w:val="000000"/>
          <w:sz w:val="20"/>
        </w:rPr>
        <w:t xml:space="preserve">But if the plaintiff raises the new claims for the first time in the summary-judgment briefing, it generally "subjects a defendant to 'unfair surprise,' because the defendant has no opportunity to investigate the claim during discovery." </w:t>
      </w:r>
      <w:bookmarkStart w:id="7789" w:name="Bookmark_I5XSXFBX2N1RRM0050000400"/>
      <w:bookmarkEnd w:id="7789"/>
      <w:r>
        <w:rPr>
          <w:rFonts w:ascii="Arial" w:eastAsia="Arial" w:hAnsi="Arial" w:cs="Arial"/>
          <w:i/>
          <w:color w:val="000000"/>
          <w:sz w:val="20"/>
        </w:rPr>
        <w:t>M.D. ex rel. Deweese v. Bowling Green Indep. Sch. Dist.</w:t>
      </w:r>
      <w:r>
        <w:rPr>
          <w:rFonts w:ascii="Arial" w:eastAsia="Arial" w:hAnsi="Arial" w:cs="Arial"/>
          <w:color w:val="000000"/>
          <w:sz w:val="20"/>
        </w:rPr>
        <w:t>, 709 F. App'x 775, 778 (6th Cir. 2017) (citation omitted).</w:t>
      </w:r>
    </w:p>
    <w:p w14:paraId="7316801D" w14:textId="77777777" w:rsidR="002B10A6" w:rsidRDefault="00000000">
      <w:pPr>
        <w:pStyle w:val="Normal42"/>
        <w:widowControl w:val="0"/>
        <w:spacing w:before="200" w:line="260" w:lineRule="atLeast"/>
        <w:jc w:val="both"/>
      </w:pPr>
      <w:bookmarkStart w:id="7790" w:name="Bookmark_para_48_12"/>
      <w:bookmarkEnd w:id="7790"/>
      <w:r>
        <w:rPr>
          <w:rFonts w:ascii="Arial" w:eastAsia="Arial" w:hAnsi="Arial" w:cs="Arial"/>
          <w:color w:val="000000"/>
          <w:sz w:val="20"/>
        </w:rPr>
        <w:t>Davis's failure to follow this rule dooms her claim. Davis's unlawful-or-offensive claim relies on a different substance, different smokers, a different time period, and a different bylaw. Her complaint did not mention marijuana or this specific bylaw. Nor did it challenge smoking other than from the Lamnins' condo. The complaint instead alleged that other condos in Davis's building had "been designated non-smoking by their respective owners." It was not until April 2018—after Davis had filed her amended complaint and after the Lamnins had terminated Rule's lease—that Davis's lawyer informed the Association that someone else "in Ms. Davis' building has started smoking cigarettes [**27]  and marijuana." In short, Davis never notified the Association and Casa Bella in the correct way that she sought to bring this new claim into the case.</w:t>
      </w:r>
    </w:p>
    <w:p w14:paraId="413DCE79" w14:textId="77777777" w:rsidR="002B10A6" w:rsidRDefault="00000000">
      <w:pPr>
        <w:pStyle w:val="Normal42"/>
        <w:widowControl w:val="0"/>
        <w:spacing w:before="200" w:line="260" w:lineRule="atLeast"/>
        <w:jc w:val="both"/>
      </w:pPr>
      <w:bookmarkStart w:id="7791" w:name="Bookmark_para_49_10"/>
      <w:bookmarkStart w:id="7792" w:name="Bookmark_I5XSXFBY2SF8NT0030000400"/>
      <w:bookmarkEnd w:id="7791"/>
      <w:bookmarkEnd w:id="7792"/>
      <w:r>
        <w:rPr>
          <w:rFonts w:ascii="Arial" w:eastAsia="Arial" w:hAnsi="Arial" w:cs="Arial"/>
          <w:color w:val="000000"/>
          <w:sz w:val="20"/>
        </w:rPr>
        <w:t xml:space="preserve">Davis responds by framing her "claim" at a high level of generality, suggesting that her "breach of covenant" claim encompasses any violation of any bylaw by any source. This expansive theory does not suffice at the motion-to-dismiss stage, </w:t>
      </w:r>
      <w:r>
        <w:rPr>
          <w:rFonts w:ascii="Arial" w:eastAsia="Arial" w:hAnsi="Arial" w:cs="Arial"/>
          <w:i/>
          <w:color w:val="000000"/>
          <w:sz w:val="20"/>
        </w:rPr>
        <w:t xml:space="preserve">cf. </w:t>
      </w:r>
      <w:bookmarkStart w:id="7793" w:name="Bookmark_I5XSXFBY2SF8NT0020000400"/>
      <w:bookmarkEnd w:id="7793"/>
      <w:r>
        <w:rPr>
          <w:rFonts w:ascii="Arial" w:eastAsia="Arial" w:hAnsi="Arial" w:cs="Arial"/>
          <w:i/>
          <w:color w:val="000000"/>
          <w:sz w:val="20"/>
        </w:rPr>
        <w:t>Northampton Rest. Grp. v. FirstMerit Bank, N.A.</w:t>
      </w:r>
      <w:r>
        <w:rPr>
          <w:rFonts w:ascii="Arial" w:eastAsia="Arial" w:hAnsi="Arial" w:cs="Arial"/>
          <w:color w:val="000000"/>
          <w:sz w:val="20"/>
        </w:rPr>
        <w:t xml:space="preserve">, 492 F. App'x 518, 521-22 (6th Cir. 2012), let alone at the summary-judgment stage, </w:t>
      </w:r>
      <w:bookmarkStart w:id="7794" w:name="Bookmark_I5XSXFBY2SF8NT0040000400"/>
      <w:bookmarkEnd w:id="7794"/>
      <w:r>
        <w:rPr>
          <w:rFonts w:ascii="Arial" w:eastAsia="Arial" w:hAnsi="Arial" w:cs="Arial"/>
          <w:i/>
          <w:color w:val="000000"/>
          <w:sz w:val="20"/>
        </w:rPr>
        <w:t>Tucker</w:t>
      </w:r>
      <w:r>
        <w:rPr>
          <w:rFonts w:ascii="Arial" w:eastAsia="Arial" w:hAnsi="Arial" w:cs="Arial"/>
          <w:color w:val="000000"/>
          <w:sz w:val="20"/>
        </w:rPr>
        <w:t xml:space="preserve">, 407 F.3d at 788. </w:t>
      </w:r>
      <w:bookmarkStart w:id="7795" w:name="Bookmark_I5XSXFBY2HM6540020000400"/>
      <w:bookmarkEnd w:id="7795"/>
      <w:r>
        <w:rPr>
          <w:rFonts w:ascii="Arial" w:eastAsia="Arial" w:hAnsi="Arial" w:cs="Arial"/>
          <w:color w:val="000000"/>
          <w:sz w:val="20"/>
        </w:rPr>
        <w:t xml:space="preserve">Davis also argues that, unlike in the cases we cite, she raised her new claim in her </w:t>
      </w:r>
      <w:r>
        <w:rPr>
          <w:rFonts w:ascii="Arial" w:eastAsia="Arial" w:hAnsi="Arial" w:cs="Arial"/>
          <w:i/>
          <w:color w:val="000000"/>
          <w:sz w:val="20"/>
        </w:rPr>
        <w:t>own</w:t>
      </w:r>
      <w:r>
        <w:rPr>
          <w:rFonts w:ascii="Arial" w:eastAsia="Arial" w:hAnsi="Arial" w:cs="Arial"/>
          <w:color w:val="000000"/>
          <w:sz w:val="20"/>
        </w:rPr>
        <w:t xml:space="preserve"> summary-judgment motion, not just in her </w:t>
      </w:r>
      <w:r>
        <w:rPr>
          <w:rFonts w:ascii="Arial" w:eastAsia="Arial" w:hAnsi="Arial" w:cs="Arial"/>
          <w:i/>
          <w:color w:val="000000"/>
          <w:sz w:val="20"/>
        </w:rPr>
        <w:t>opposition</w:t>
      </w:r>
      <w:r>
        <w:rPr>
          <w:rFonts w:ascii="Arial" w:eastAsia="Arial" w:hAnsi="Arial" w:cs="Arial"/>
          <w:color w:val="000000"/>
          <w:sz w:val="20"/>
        </w:rPr>
        <w:t xml:space="preserve"> to the other side's motion. </w:t>
      </w:r>
      <w:bookmarkStart w:id="7796" w:name="Bookmark_I5XSXFBY2HM6540020000400_2"/>
      <w:bookmarkEnd w:id="7796"/>
      <w:r>
        <w:rPr>
          <w:rFonts w:ascii="Arial" w:eastAsia="Arial" w:hAnsi="Arial" w:cs="Arial"/>
          <w:color w:val="000000"/>
          <w:sz w:val="20"/>
        </w:rPr>
        <w:t xml:space="preserve">She does not explain why that distinction matters. In both contexts, a defendant has "no opportunity to investigate the claim during discovery." </w:t>
      </w:r>
      <w:bookmarkStart w:id="7797" w:name="Bookmark_I5XSXFBY2HM6540010000400"/>
      <w:bookmarkEnd w:id="7797"/>
      <w:r>
        <w:rPr>
          <w:rFonts w:ascii="Arial" w:eastAsia="Arial" w:hAnsi="Arial" w:cs="Arial"/>
          <w:i/>
          <w:color w:val="000000"/>
          <w:sz w:val="20"/>
        </w:rPr>
        <w:t>Deweese</w:t>
      </w:r>
      <w:r>
        <w:rPr>
          <w:rFonts w:ascii="Arial" w:eastAsia="Arial" w:hAnsi="Arial" w:cs="Arial"/>
          <w:color w:val="000000"/>
          <w:sz w:val="20"/>
        </w:rPr>
        <w:t xml:space="preserve">, 709 F. App'x at 778. </w:t>
      </w:r>
      <w:bookmarkStart w:id="7798" w:name="Bookmark_I5XSXFBY2HM6540040000400"/>
      <w:bookmarkEnd w:id="7798"/>
      <w:r>
        <w:rPr>
          <w:rFonts w:ascii="Arial" w:eastAsia="Arial" w:hAnsi="Arial" w:cs="Arial"/>
          <w:color w:val="000000"/>
          <w:sz w:val="20"/>
        </w:rPr>
        <w:t xml:space="preserve">Davis finally suggests that the district court should have granted her leave to amend. But she "buried" her request for leave in a perfunctory footnote in a summary-judgment brief that did not cite Rule 15 or the relevant caselaw. </w:t>
      </w:r>
      <w:r>
        <w:rPr>
          <w:rFonts w:ascii="Arial" w:eastAsia="Arial" w:hAnsi="Arial" w:cs="Arial"/>
          <w:i/>
          <w:color w:val="000000"/>
          <w:sz w:val="20"/>
        </w:rPr>
        <w:t xml:space="preserve">See </w:t>
      </w:r>
      <w:bookmarkStart w:id="7799" w:name="Bookmark_I5XSXFBY2HM6540030000400"/>
      <w:bookmarkEnd w:id="7799"/>
      <w:r>
        <w:rPr>
          <w:rFonts w:ascii="Arial" w:eastAsia="Arial" w:hAnsi="Arial" w:cs="Arial"/>
          <w:i/>
          <w:color w:val="000000"/>
          <w:sz w:val="20"/>
        </w:rPr>
        <w:t>Pulte Homes, Inc. v. Laborers' Int'l Union of N. Am</w:t>
      </w:r>
      <w:r>
        <w:rPr>
          <w:rFonts w:ascii="Arial" w:eastAsia="Arial" w:hAnsi="Arial" w:cs="Arial"/>
          <w:color w:val="000000"/>
          <w:sz w:val="20"/>
        </w:rPr>
        <w:t xml:space="preserve">., 648 F.3d 295, 305 (6th Cir. 2011). The district court did not abuse its discretion by finding this approach inadequate. </w:t>
      </w:r>
      <w:r>
        <w:rPr>
          <w:rFonts w:ascii="Arial" w:eastAsia="Arial" w:hAnsi="Arial" w:cs="Arial"/>
          <w:i/>
          <w:color w:val="000000"/>
          <w:sz w:val="20"/>
        </w:rPr>
        <w:t>See id.</w:t>
      </w:r>
    </w:p>
    <w:p w14:paraId="7B26CE32" w14:textId="77777777" w:rsidR="002B10A6" w:rsidRDefault="00000000">
      <w:pPr>
        <w:pStyle w:val="Normal42"/>
        <w:widowControl w:val="0"/>
        <w:spacing w:before="120" w:line="260" w:lineRule="atLeast"/>
      </w:pPr>
      <w:r>
        <w:rPr>
          <w:rFonts w:ascii="Arial" w:eastAsia="Arial" w:hAnsi="Arial" w:cs="Arial"/>
          <w:color w:val="000000"/>
          <w:sz w:val="20"/>
        </w:rPr>
        <w:t>C.</w:t>
      </w:r>
    </w:p>
    <w:p w14:paraId="1AC156FE" w14:textId="77777777" w:rsidR="002B10A6" w:rsidRDefault="00000000">
      <w:pPr>
        <w:pStyle w:val="Normal42"/>
        <w:widowControl w:val="0"/>
        <w:spacing w:before="200" w:line="260" w:lineRule="atLeast"/>
        <w:jc w:val="both"/>
      </w:pPr>
      <w:bookmarkStart w:id="7800" w:name="Bookmark_para_50_9"/>
      <w:bookmarkStart w:id="7801" w:name="Bookmark_I5XSXFBY2D6MW40010000400"/>
      <w:bookmarkEnd w:id="7800"/>
      <w:bookmarkEnd w:id="7801"/>
      <w:r>
        <w:rPr>
          <w:rFonts w:ascii="Arial" w:eastAsia="Arial" w:hAnsi="Arial" w:cs="Arial"/>
          <w:color w:val="000000"/>
          <w:sz w:val="20"/>
        </w:rPr>
        <w:t xml:space="preserve">Up next is Davis's tort claim for nuisance. </w:t>
      </w:r>
      <w:bookmarkStart w:id="7802" w:name="Bookmark_I5XSXFBY2D6MW40030000400"/>
      <w:bookmarkStart w:id="7803" w:name="Bookmark_LNHNREFclscc14_16"/>
      <w:bookmarkEnd w:id="7802"/>
      <w:bookmarkEnd w:id="7803"/>
      <w:r>
        <w:rPr>
          <w:rFonts w:ascii="Arial" w:eastAsia="Arial" w:hAnsi="Arial" w:cs="Arial"/>
          <w:color w:val="000000"/>
          <w:sz w:val="20"/>
        </w:rPr>
        <w:t xml:space="preserve">In Michigan, as noted, a nuisance is an "unreasonable interference with the [**28]  use or enjoyment of . . . property." </w:t>
      </w:r>
      <w:bookmarkStart w:id="7804" w:name="Bookmark_I5XSXFBY2HM6540050000400"/>
      <w:bookmarkEnd w:id="7804"/>
      <w:r>
        <w:rPr>
          <w:rFonts w:ascii="Arial" w:eastAsia="Arial" w:hAnsi="Arial" w:cs="Arial"/>
          <w:i/>
          <w:color w:val="000000"/>
          <w:sz w:val="20"/>
        </w:rPr>
        <w:t>Adams</w:t>
      </w:r>
      <w:r>
        <w:rPr>
          <w:rFonts w:ascii="Arial" w:eastAsia="Arial" w:hAnsi="Arial" w:cs="Arial"/>
          <w:color w:val="000000"/>
          <w:sz w:val="20"/>
        </w:rPr>
        <w:t xml:space="preserve">, 602 N.W.2d at 222. To be liable, a party must have "possession and control over the property" causing the nuisance. </w:t>
      </w:r>
      <w:bookmarkStart w:id="7805" w:name="Bookmark_I5XSXFBY2D6MW40030000400_2"/>
      <w:bookmarkStart w:id="7806" w:name="Bookmark_I5XSXFC02D6MW60020000400"/>
      <w:bookmarkStart w:id="7807" w:name="Bookmark_I5XSXFBY2D6MW40020000400"/>
      <w:bookmarkEnd w:id="7805"/>
      <w:bookmarkEnd w:id="7806"/>
      <w:bookmarkEnd w:id="7807"/>
      <w:r>
        <w:rPr>
          <w:rFonts w:ascii="Arial" w:eastAsia="Arial" w:hAnsi="Arial" w:cs="Arial"/>
          <w:i/>
          <w:color w:val="000000"/>
          <w:sz w:val="20"/>
        </w:rPr>
        <w:t>Sholberg v. Truman</w:t>
      </w:r>
      <w:r>
        <w:rPr>
          <w:rFonts w:ascii="Arial" w:eastAsia="Arial" w:hAnsi="Arial" w:cs="Arial"/>
          <w:color w:val="000000"/>
          <w:sz w:val="20"/>
        </w:rPr>
        <w:t xml:space="preserve">, 496 Mich. 1,  [*497]  852 N.W.2d 89, 93 (Mich. 2014) (quoting </w:t>
      </w:r>
      <w:bookmarkStart w:id="7808" w:name="Bookmark_I5XSXFBY2D6MW40040000400"/>
      <w:bookmarkEnd w:id="7808"/>
      <w:r>
        <w:rPr>
          <w:rFonts w:ascii="Arial" w:eastAsia="Arial" w:hAnsi="Arial" w:cs="Arial"/>
          <w:i/>
          <w:color w:val="000000"/>
          <w:sz w:val="20"/>
        </w:rPr>
        <w:t>Merritt v. Nickelson</w:t>
      </w:r>
      <w:r>
        <w:rPr>
          <w:rFonts w:ascii="Arial" w:eastAsia="Arial" w:hAnsi="Arial" w:cs="Arial"/>
          <w:color w:val="000000"/>
          <w:sz w:val="20"/>
        </w:rPr>
        <w:t xml:space="preserve">, 407 Mich. 544, 287 N.W.2d 178, 181 (Mich. 1980)). </w:t>
      </w:r>
      <w:bookmarkStart w:id="7809" w:name="Bookmark_I5XSXFC02D6MW60020000400_2"/>
      <w:bookmarkEnd w:id="7809"/>
      <w:r>
        <w:rPr>
          <w:rFonts w:ascii="Arial" w:eastAsia="Arial" w:hAnsi="Arial" w:cs="Arial"/>
          <w:color w:val="000000"/>
          <w:sz w:val="20"/>
        </w:rPr>
        <w:t xml:space="preserve">A landlord, for example, generally does not face liability for a tenant's actions that create a nuisance because the landlord does not possess or control the tenant's property. </w:t>
      </w:r>
      <w:r>
        <w:rPr>
          <w:rFonts w:ascii="Arial" w:eastAsia="Arial" w:hAnsi="Arial" w:cs="Arial"/>
          <w:i/>
          <w:color w:val="000000"/>
          <w:sz w:val="20"/>
        </w:rPr>
        <w:t xml:space="preserve">See </w:t>
      </w:r>
      <w:bookmarkStart w:id="7810" w:name="Bookmark_I5XSXFC02D6MW60010000400"/>
      <w:bookmarkEnd w:id="7810"/>
      <w:r>
        <w:rPr>
          <w:rFonts w:ascii="Arial" w:eastAsia="Arial" w:hAnsi="Arial" w:cs="Arial"/>
          <w:i/>
          <w:color w:val="000000"/>
          <w:sz w:val="20"/>
        </w:rPr>
        <w:t>Samuelson v. Cleveland Iron Mining Co.</w:t>
      </w:r>
      <w:r>
        <w:rPr>
          <w:rFonts w:ascii="Arial" w:eastAsia="Arial" w:hAnsi="Arial" w:cs="Arial"/>
          <w:color w:val="000000"/>
          <w:sz w:val="20"/>
        </w:rPr>
        <w:t xml:space="preserve">, 49 Mich. 164, 13 N.W. 499, 502 (Mich. 1882) (Cooley, J.). </w:t>
      </w:r>
      <w:bookmarkStart w:id="7811" w:name="Bookmark_I5XSXFC02D6MW60040000400"/>
      <w:bookmarkEnd w:id="7811"/>
      <w:r>
        <w:rPr>
          <w:rFonts w:ascii="Arial" w:eastAsia="Arial" w:hAnsi="Arial" w:cs="Arial"/>
          <w:color w:val="000000"/>
          <w:sz w:val="20"/>
        </w:rPr>
        <w:t xml:space="preserve">This principle bars Davis's nuisance claim against the Association and Casa Bella because they did not possess or control the condo units in Davis's building. As the district court noted, "a condominium association is even farther removed" from the conduct of its condo owners than is a landlord from the conduct of its tenants. </w:t>
      </w:r>
      <w:bookmarkStart w:id="7812" w:name="Bookmark_I5XSXFC02D6MW60030000400"/>
      <w:bookmarkEnd w:id="7812"/>
      <w:r>
        <w:rPr>
          <w:rFonts w:ascii="Arial" w:eastAsia="Arial" w:hAnsi="Arial" w:cs="Arial"/>
          <w:i/>
          <w:color w:val="000000"/>
          <w:sz w:val="20"/>
        </w:rPr>
        <w:t>Davis</w:t>
      </w:r>
      <w:r>
        <w:rPr>
          <w:rFonts w:ascii="Arial" w:eastAsia="Arial" w:hAnsi="Arial" w:cs="Arial"/>
          <w:color w:val="000000"/>
          <w:sz w:val="20"/>
        </w:rPr>
        <w:t>, 349 F. Supp. 3d at 660.</w:t>
      </w:r>
    </w:p>
    <w:p w14:paraId="06330773" w14:textId="77777777" w:rsidR="002B10A6" w:rsidRDefault="00000000">
      <w:pPr>
        <w:pStyle w:val="Normal42"/>
        <w:widowControl w:val="0"/>
        <w:spacing w:before="200" w:line="260" w:lineRule="atLeast"/>
        <w:jc w:val="both"/>
      </w:pPr>
      <w:bookmarkStart w:id="7813" w:name="Bookmark_para_51_9"/>
      <w:bookmarkStart w:id="7814" w:name="Bookmark_I5XSXFC02N1RS00010000400"/>
      <w:bookmarkEnd w:id="7813"/>
      <w:bookmarkEnd w:id="7814"/>
      <w:r>
        <w:rPr>
          <w:rFonts w:ascii="Arial" w:eastAsia="Arial" w:hAnsi="Arial" w:cs="Arial"/>
          <w:color w:val="000000"/>
          <w:sz w:val="20"/>
        </w:rPr>
        <w:t xml:space="preserve">Davis responds that this principle applies only in "the absence of a contract duty on the part of the" defendant and that the Association undertook the contractual duty to enforce the bylaws. </w:t>
      </w:r>
      <w:r>
        <w:rPr>
          <w:rFonts w:ascii="Arial" w:eastAsia="Arial" w:hAnsi="Arial" w:cs="Arial"/>
          <w:i/>
          <w:color w:val="000000"/>
          <w:sz w:val="20"/>
        </w:rPr>
        <w:t xml:space="preserve">See </w:t>
      </w:r>
      <w:bookmarkStart w:id="7815" w:name="Bookmark_I5XSXFC02D6MW60050000400"/>
      <w:bookmarkEnd w:id="7815"/>
      <w:r>
        <w:rPr>
          <w:rFonts w:ascii="Arial" w:eastAsia="Arial" w:hAnsi="Arial" w:cs="Arial"/>
          <w:i/>
          <w:color w:val="000000"/>
          <w:sz w:val="20"/>
        </w:rPr>
        <w:t>Sholberg</w:t>
      </w:r>
      <w:r>
        <w:rPr>
          <w:rFonts w:ascii="Arial" w:eastAsia="Arial" w:hAnsi="Arial" w:cs="Arial"/>
          <w:color w:val="000000"/>
          <w:sz w:val="20"/>
        </w:rPr>
        <w:t>, 852 N.W.2d at 93-97. But we have already found that her breach-of-covenant claims fail. Because Davis did not establish a contract breach, she could not show that Echo Valley or Casa Bella had any contractual ability to prevent the challenged conduct.</w:t>
      </w:r>
    </w:p>
    <w:p w14:paraId="6EB16A97" w14:textId="77777777" w:rsidR="002B10A6" w:rsidRDefault="00000000">
      <w:pPr>
        <w:pStyle w:val="Normal42"/>
        <w:widowControl w:val="0"/>
        <w:spacing w:before="120" w:line="260" w:lineRule="atLeast"/>
      </w:pPr>
      <w:r>
        <w:rPr>
          <w:rFonts w:ascii="Arial" w:eastAsia="Arial" w:hAnsi="Arial" w:cs="Arial"/>
          <w:color w:val="000000"/>
          <w:sz w:val="20"/>
        </w:rPr>
        <w:t>D.</w:t>
      </w:r>
    </w:p>
    <w:p w14:paraId="27531C51" w14:textId="77777777" w:rsidR="002B10A6" w:rsidRDefault="00000000">
      <w:pPr>
        <w:pStyle w:val="Normal42"/>
        <w:widowControl w:val="0"/>
        <w:spacing w:before="200" w:line="260" w:lineRule="atLeast"/>
        <w:jc w:val="both"/>
      </w:pPr>
      <w:bookmarkStart w:id="7816" w:name="Bookmark_para_52_8"/>
      <w:bookmarkEnd w:id="7816"/>
      <w:r>
        <w:rPr>
          <w:rFonts w:ascii="Arial" w:eastAsia="Arial" w:hAnsi="Arial" w:cs="Arial"/>
          <w:color w:val="000000"/>
          <w:sz w:val="20"/>
        </w:rPr>
        <w:t xml:space="preserve">We end with two procedural claims. Davis argues that the district court should have excluded a "sham [**29]  affidavit" from Mark Clor—the heating-and-cooling contractor who noted that Davis's unit does not share a ventilation system with other units—because Clor did not meet expert-witness requirements. </w:t>
      </w:r>
      <w:bookmarkStart w:id="7817" w:name="Bookmark_I5XSXFC02N1RS00030000400"/>
      <w:bookmarkEnd w:id="7817"/>
      <w:r>
        <w:rPr>
          <w:rFonts w:ascii="Arial" w:eastAsia="Arial" w:hAnsi="Arial" w:cs="Arial"/>
          <w:i/>
          <w:color w:val="000000"/>
          <w:sz w:val="20"/>
        </w:rPr>
        <w:t>See</w:t>
      </w:r>
      <w:r>
        <w:rPr>
          <w:rFonts w:ascii="Arial" w:eastAsia="Arial" w:hAnsi="Arial" w:cs="Arial"/>
          <w:color w:val="000000"/>
          <w:sz w:val="20"/>
        </w:rPr>
        <w:t xml:space="preserve"> Fed. R. Evid. 702. </w:t>
      </w:r>
      <w:bookmarkStart w:id="7818" w:name="Bookmark_I5XSXFC02N1RS00050000400"/>
      <w:bookmarkEnd w:id="7818"/>
      <w:r>
        <w:rPr>
          <w:rFonts w:ascii="Arial" w:eastAsia="Arial" w:hAnsi="Arial" w:cs="Arial"/>
          <w:color w:val="000000"/>
          <w:sz w:val="20"/>
        </w:rPr>
        <w:t xml:space="preserve">But the district court did not abuse its discretion in concluding that Clor testified as a lay witness, not an expert, based on his personal observations of the basement's open ductwork. </w:t>
      </w:r>
      <w:bookmarkStart w:id="7819" w:name="Bookmark_I5XSXFC02SF8P40020000400"/>
      <w:bookmarkStart w:id="7820" w:name="Bookmark_I5XSXFC02N1RS00020000400"/>
      <w:bookmarkEnd w:id="7819"/>
      <w:bookmarkEnd w:id="7820"/>
      <w:r>
        <w:rPr>
          <w:rFonts w:ascii="Arial" w:eastAsia="Arial" w:hAnsi="Arial" w:cs="Arial"/>
          <w:i/>
          <w:color w:val="000000"/>
          <w:sz w:val="20"/>
        </w:rPr>
        <w:t>Kelsor</w:t>
      </w:r>
      <w:r>
        <w:rPr>
          <w:rFonts w:ascii="Arial" w:eastAsia="Arial" w:hAnsi="Arial" w:cs="Arial"/>
          <w:color w:val="000000"/>
          <w:sz w:val="20"/>
        </w:rPr>
        <w:t xml:space="preserve">, 665 F.3d at 696. </w:t>
      </w:r>
      <w:bookmarkStart w:id="7821" w:name="Bookmark_I5XSXFC02SF8P40020000400_2"/>
      <w:bookmarkStart w:id="7822" w:name="Bookmark_I5XSXFC02N1RS00050000400_2"/>
      <w:bookmarkEnd w:id="7821"/>
      <w:bookmarkEnd w:id="7822"/>
      <w:r>
        <w:rPr>
          <w:rFonts w:ascii="Arial" w:eastAsia="Arial" w:hAnsi="Arial" w:cs="Arial"/>
          <w:color w:val="000000"/>
          <w:sz w:val="20"/>
        </w:rPr>
        <w:t xml:space="preserve">And his testimony fell comfortably within the rules for lay opinions because it was "rationally based on [his] perception," "helpful," and "not based on scientific, technical, or other specialized knowledge." Fed. R. Evid. 701; </w:t>
      </w:r>
      <w:bookmarkStart w:id="7823" w:name="Bookmark_I5XSXFC02N1RS00040000400"/>
      <w:bookmarkEnd w:id="7823"/>
      <w:r>
        <w:rPr>
          <w:rFonts w:ascii="Arial" w:eastAsia="Arial" w:hAnsi="Arial" w:cs="Arial"/>
          <w:i/>
          <w:color w:val="000000"/>
          <w:sz w:val="20"/>
        </w:rPr>
        <w:t>United States v. Manzano</w:t>
      </w:r>
      <w:r>
        <w:rPr>
          <w:rFonts w:ascii="Arial" w:eastAsia="Arial" w:hAnsi="Arial" w:cs="Arial"/>
          <w:color w:val="000000"/>
          <w:sz w:val="20"/>
        </w:rPr>
        <w:t xml:space="preserve">, </w:t>
      </w:r>
      <w:r>
        <w:rPr>
          <w:rFonts w:ascii="Arial" w:eastAsia="Arial" w:hAnsi="Arial" w:cs="Arial"/>
          <w:color w:val="000000"/>
          <w:sz w:val="20"/>
          <w:u w:val="single"/>
        </w:rPr>
        <w:t>   </w:t>
      </w:r>
      <w:r>
        <w:rPr>
          <w:rFonts w:ascii="Arial" w:eastAsia="Arial" w:hAnsi="Arial" w:cs="Arial"/>
          <w:color w:val="000000"/>
          <w:sz w:val="20"/>
        </w:rPr>
        <w:t xml:space="preserve"> F. App'x </w:t>
      </w:r>
      <w:r>
        <w:rPr>
          <w:rFonts w:ascii="Arial" w:eastAsia="Arial" w:hAnsi="Arial" w:cs="Arial"/>
          <w:color w:val="000000"/>
          <w:sz w:val="20"/>
          <w:u w:val="single"/>
        </w:rPr>
        <w:t>   </w:t>
      </w:r>
      <w:r>
        <w:rPr>
          <w:rFonts w:ascii="Arial" w:eastAsia="Arial" w:hAnsi="Arial" w:cs="Arial"/>
          <w:color w:val="000000"/>
          <w:sz w:val="20"/>
        </w:rPr>
        <w:t xml:space="preserve">, 793 Fed. Appx. 360, 2019 U.S. App. LEXIS 32357, 2019 WL 5561389, at *3 (6th Cir. Oct. 29, 2019). Contrary to Davis's claim that Clor's opinion would require the "supernatural" ability to see through walls, "[i]t took no special knowledge for Clor to describe what was there in the basement to be seen." </w:t>
      </w:r>
      <w:bookmarkStart w:id="7824" w:name="Bookmark_I5XSXFC02SF8P40010000400"/>
      <w:bookmarkEnd w:id="7824"/>
      <w:r>
        <w:rPr>
          <w:rFonts w:ascii="Arial" w:eastAsia="Arial" w:hAnsi="Arial" w:cs="Arial"/>
          <w:i/>
          <w:color w:val="000000"/>
          <w:sz w:val="20"/>
        </w:rPr>
        <w:t>Davis</w:t>
      </w:r>
      <w:r>
        <w:rPr>
          <w:rFonts w:ascii="Arial" w:eastAsia="Arial" w:hAnsi="Arial" w:cs="Arial"/>
          <w:color w:val="000000"/>
          <w:sz w:val="20"/>
        </w:rPr>
        <w:t>, 349 F. Supp. 3d at 654. And Davis's remaining arguments—that Clor's testimony was contradicted by other evidence or based on limited knowledge—go to weight, not admissibility.</w:t>
      </w:r>
    </w:p>
    <w:p w14:paraId="3A7213D6" w14:textId="77777777" w:rsidR="002B10A6" w:rsidRDefault="00000000">
      <w:pPr>
        <w:pStyle w:val="Normal42"/>
        <w:widowControl w:val="0"/>
        <w:spacing w:before="200" w:line="260" w:lineRule="atLeast"/>
        <w:jc w:val="both"/>
      </w:pPr>
      <w:bookmarkStart w:id="7825" w:name="Bookmark_para_53_8"/>
      <w:bookmarkStart w:id="7826" w:name="Bookmark_I5XSXFC02SF8P40040000400"/>
      <w:bookmarkEnd w:id="7825"/>
      <w:bookmarkEnd w:id="7826"/>
      <w:r>
        <w:rPr>
          <w:rFonts w:ascii="Arial" w:eastAsia="Arial" w:hAnsi="Arial" w:cs="Arial"/>
          <w:color w:val="000000"/>
          <w:sz w:val="20"/>
        </w:rPr>
        <w:t xml:space="preserve">Davis also says that the district court did not give her an adequate opportunity to prove her claims because it dismissed two of her discovery motions as moot when it ruled for the Association and Casa Bella. </w:t>
      </w:r>
      <w:bookmarkStart w:id="7827" w:name="Bookmark_LNHNREFclscc15_13"/>
      <w:bookmarkEnd w:id="7827"/>
      <w:r>
        <w:rPr>
          <w:rFonts w:ascii="Arial" w:eastAsia="Arial" w:hAnsi="Arial" w:cs="Arial"/>
          <w:color w:val="000000"/>
          <w:sz w:val="20"/>
        </w:rPr>
        <w:t xml:space="preserve">Davis is correct in one respect: [**30]  "The general rule is that summary judgment is improper if the non-movant is not afforded a sufficient opportunity for discovery." </w:t>
      </w:r>
      <w:bookmarkStart w:id="7828" w:name="Bookmark_I5XSXFC02SF8P40030000400"/>
      <w:bookmarkEnd w:id="7828"/>
      <w:r>
        <w:rPr>
          <w:rFonts w:ascii="Arial" w:eastAsia="Arial" w:hAnsi="Arial" w:cs="Arial"/>
          <w:i/>
          <w:color w:val="000000"/>
          <w:sz w:val="20"/>
        </w:rPr>
        <w:t>Vance</w:t>
      </w:r>
      <w:r>
        <w:rPr>
          <w:rFonts w:ascii="Arial" w:eastAsia="Arial" w:hAnsi="Arial" w:cs="Arial"/>
          <w:color w:val="000000"/>
          <w:sz w:val="20"/>
        </w:rPr>
        <w:t>, 90 F.3d at 1148. But she is wrong in another: She did not lack a sufficient opportunity for discovery. The parties engaged in extensive discovery, and her single paragraph on this issue fails to tell us what information she needed or why it was relevant. Her conclusory claim falls well short of establishing an abuse of discretion.</w:t>
      </w:r>
    </w:p>
    <w:p w14:paraId="456FCC5D" w14:textId="77777777" w:rsidR="002B10A6" w:rsidRDefault="00000000">
      <w:pPr>
        <w:pStyle w:val="Normal42"/>
        <w:widowControl w:val="0"/>
        <w:spacing w:before="200" w:line="260" w:lineRule="atLeast"/>
        <w:jc w:val="both"/>
      </w:pPr>
      <w:bookmarkStart w:id="7829" w:name="Bookmark_para_54_8"/>
      <w:bookmarkEnd w:id="7829"/>
      <w:r>
        <w:rPr>
          <w:rFonts w:ascii="Arial" w:eastAsia="Arial" w:hAnsi="Arial" w:cs="Arial"/>
          <w:color w:val="000000"/>
          <w:sz w:val="20"/>
        </w:rPr>
        <w:t>We affirm.</w:t>
      </w:r>
    </w:p>
    <w:p w14:paraId="6CFFDA88" w14:textId="77777777" w:rsidR="002B10A6" w:rsidRDefault="002B10A6">
      <w:pPr>
        <w:pStyle w:val="Normal42"/>
      </w:pPr>
    </w:p>
    <w:p w14:paraId="2E6F8FF0" w14:textId="5D48238A" w:rsidR="002B10A6" w:rsidRDefault="00000000">
      <w:pPr>
        <w:pStyle w:val="Normal42"/>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51424" behindDoc="0" locked="0" layoutInCell="1" allowOverlap="1" wp14:anchorId="244D7804" wp14:editId="037C940B">
                <wp:simplePos x="0" y="0"/>
                <wp:positionH relativeFrom="column">
                  <wp:posOffset>0</wp:posOffset>
                </wp:positionH>
                <wp:positionV relativeFrom="paragraph">
                  <wp:posOffset>127000</wp:posOffset>
                </wp:positionV>
                <wp:extent cx="6502400" cy="0"/>
                <wp:effectExtent l="9525" t="12700" r="12700" b="6350"/>
                <wp:wrapNone/>
                <wp:docPr id="2083227244"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EAD01"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8F1BFD6" w14:textId="77777777" w:rsidR="002B10A6" w:rsidRDefault="002B10A6">
      <w:pPr>
        <w:pStyle w:val="Normal43"/>
        <w:sectPr w:rsidR="002B10A6">
          <w:headerReference w:type="even" r:id="rId264"/>
          <w:headerReference w:type="default" r:id="rId265"/>
          <w:footerReference w:type="even" r:id="rId266"/>
          <w:footerReference w:type="default" r:id="rId267"/>
          <w:headerReference w:type="first" r:id="rId268"/>
          <w:footerReference w:type="first" r:id="rId269"/>
          <w:pgSz w:w="12240" w:h="15840"/>
          <w:pgMar w:top="840" w:right="1000" w:bottom="840" w:left="1000" w:header="400" w:footer="400" w:gutter="0"/>
          <w:cols w:space="720"/>
          <w:titlePg/>
        </w:sectPr>
      </w:pPr>
    </w:p>
    <w:p w14:paraId="3D591975" w14:textId="77777777" w:rsidR="002B10A6" w:rsidRDefault="002B10A6">
      <w:pPr>
        <w:pStyle w:val="Normal43"/>
      </w:pPr>
    </w:p>
    <w:p w14:paraId="1E32777F" w14:textId="77777777" w:rsidR="002B10A6" w:rsidRDefault="00000000">
      <w:pPr>
        <w:pStyle w:val="Heading142"/>
        <w:keepNext w:val="0"/>
        <w:widowControl w:val="0"/>
        <w:spacing w:after="200" w:line="340" w:lineRule="atLeast"/>
        <w:jc w:val="center"/>
      </w:pPr>
      <w:r>
        <w:rPr>
          <w:rFonts w:eastAsia="Arial"/>
          <w:color w:val="000000"/>
          <w:sz w:val="28"/>
        </w:rPr>
        <w:t>Kelley v. Smith's Food &amp; Drug Ctrs., Inc.</w:t>
      </w:r>
    </w:p>
    <w:p w14:paraId="111EFC63" w14:textId="77777777" w:rsidR="002B10A6" w:rsidRDefault="00000000">
      <w:pPr>
        <w:pStyle w:val="Normal43"/>
        <w:widowControl w:val="0"/>
        <w:spacing w:before="120" w:line="260" w:lineRule="atLeast"/>
        <w:jc w:val="center"/>
      </w:pPr>
      <w:r>
        <w:rPr>
          <w:rFonts w:ascii="Arial" w:eastAsia="Arial" w:hAnsi="Arial" w:cs="Arial"/>
          <w:color w:val="000000"/>
          <w:sz w:val="20"/>
        </w:rPr>
        <w:t>United States Court of Appeals for the Tenth Circuit</w:t>
      </w:r>
    </w:p>
    <w:p w14:paraId="6CC50CBF" w14:textId="77777777" w:rsidR="002B10A6" w:rsidRDefault="00000000">
      <w:pPr>
        <w:pStyle w:val="Normal43"/>
        <w:widowControl w:val="0"/>
        <w:spacing w:before="120" w:line="260" w:lineRule="atLeast"/>
        <w:jc w:val="center"/>
      </w:pPr>
      <w:r>
        <w:rPr>
          <w:rFonts w:ascii="Arial" w:eastAsia="Arial" w:hAnsi="Arial" w:cs="Arial"/>
          <w:color w:val="000000"/>
          <w:sz w:val="20"/>
        </w:rPr>
        <w:t>November 27, 2019, Filed</w:t>
      </w:r>
    </w:p>
    <w:p w14:paraId="5E86F0B9" w14:textId="77777777" w:rsidR="002B10A6" w:rsidRDefault="00000000">
      <w:pPr>
        <w:pStyle w:val="Normal43"/>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19-4006</w:t>
      </w:r>
    </w:p>
    <w:p w14:paraId="79CDD46D" w14:textId="77777777" w:rsidR="002B10A6" w:rsidRDefault="002B10A6">
      <w:pPr>
        <w:pStyle w:val="Normal43"/>
        <w:widowControl w:val="0"/>
        <w:spacing w:line="240" w:lineRule="atLeast"/>
        <w:jc w:val="both"/>
      </w:pPr>
      <w:bookmarkStart w:id="7830" w:name="Bookmark_44"/>
      <w:bookmarkEnd w:id="7830"/>
    </w:p>
    <w:p w14:paraId="685B5707" w14:textId="77777777" w:rsidR="002B10A6" w:rsidRDefault="00000000">
      <w:pPr>
        <w:pStyle w:val="Normal43"/>
        <w:widowControl w:val="0"/>
        <w:spacing w:before="200" w:line="240" w:lineRule="atLeast"/>
      </w:pPr>
      <w:bookmarkStart w:id="7831" w:name="Reporter_42"/>
      <w:bookmarkEnd w:id="7831"/>
      <w:r>
        <w:rPr>
          <w:rFonts w:ascii="Arial" w:eastAsia="Arial" w:hAnsi="Arial" w:cs="Arial"/>
          <w:b/>
          <w:color w:val="000000"/>
          <w:sz w:val="18"/>
        </w:rPr>
        <w:t>Reporter</w:t>
      </w:r>
    </w:p>
    <w:p w14:paraId="13268415" w14:textId="77777777" w:rsidR="002B10A6" w:rsidRDefault="00000000">
      <w:pPr>
        <w:pStyle w:val="Normal43"/>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793 Fed. Appx. 787 *; 2019 U.S. App. LEXIS 35603 **</w:t>
      </w:r>
    </w:p>
    <w:p w14:paraId="47A5D99E" w14:textId="77777777" w:rsidR="002B10A6" w:rsidRDefault="00000000">
      <w:pPr>
        <w:pStyle w:val="Normal43"/>
        <w:widowControl w:val="0"/>
        <w:spacing w:before="120" w:line="260" w:lineRule="atLeast"/>
      </w:pPr>
      <w:r>
        <w:rPr>
          <w:rFonts w:ascii="Arial" w:eastAsia="Arial" w:hAnsi="Arial" w:cs="Arial"/>
          <w:color w:val="000000"/>
          <w:sz w:val="20"/>
        </w:rPr>
        <w:t>TREVOR KELLEY, Plaintiff - Appellant, v. SMITH'S FOOD &amp; DRUG CENTERS, INC., Defendant - Appellee.</w:t>
      </w:r>
    </w:p>
    <w:p w14:paraId="409A60E2" w14:textId="77777777" w:rsidR="002B10A6" w:rsidRDefault="00000000">
      <w:pPr>
        <w:pStyle w:val="Normal43"/>
        <w:widowControl w:val="0"/>
        <w:spacing w:before="240" w:line="260" w:lineRule="atLeast"/>
        <w:jc w:val="both"/>
      </w:pPr>
      <w:bookmarkStart w:id="7832" w:name="Notice_16"/>
      <w:bookmarkEnd w:id="7832"/>
      <w:r>
        <w:rPr>
          <w:rFonts w:ascii="Arial" w:eastAsia="Arial" w:hAnsi="Arial" w:cs="Arial"/>
          <w:b/>
          <w:color w:val="000000"/>
          <w:sz w:val="20"/>
        </w:rPr>
        <w:t>Notice:</w:t>
      </w:r>
      <w:r>
        <w:rPr>
          <w:rFonts w:ascii="Arial" w:eastAsia="Arial" w:hAnsi="Arial" w:cs="Arial"/>
          <w:color w:val="000000"/>
          <w:sz w:val="20"/>
        </w:rPr>
        <w:t> </w:t>
      </w:r>
      <w:bookmarkStart w:id="7833" w:name="Bookmark_para_1_42"/>
      <w:bookmarkEnd w:id="7833"/>
      <w:r>
        <w:rPr>
          <w:rFonts w:ascii="Arial" w:eastAsia="Arial" w:hAnsi="Arial" w:cs="Arial"/>
          <w:color w:val="000000"/>
          <w:sz w:val="20"/>
        </w:rPr>
        <w:t>PLEASE REFER TO FEDERAL RULES OF APPELLATE PROCEDURE RULE 32.1 GOVERNING THE CITATION TO UNPUBLISHED OPINIONS.</w:t>
      </w:r>
    </w:p>
    <w:p w14:paraId="7D8399CF" w14:textId="77777777" w:rsidR="002B10A6" w:rsidRDefault="00000000">
      <w:pPr>
        <w:pStyle w:val="Normal43"/>
        <w:widowControl w:val="0"/>
        <w:spacing w:before="240" w:line="260" w:lineRule="atLeast"/>
        <w:jc w:val="both"/>
      </w:pPr>
      <w:bookmarkStart w:id="7834" w:name="Prior_History_42"/>
      <w:bookmarkEnd w:id="7834"/>
      <w:r>
        <w:rPr>
          <w:rFonts w:ascii="Arial" w:eastAsia="Arial" w:hAnsi="Arial" w:cs="Arial"/>
          <w:b/>
          <w:color w:val="000000"/>
          <w:sz w:val="20"/>
        </w:rPr>
        <w:t>Prior History:</w:t>
      </w:r>
      <w:r>
        <w:rPr>
          <w:rFonts w:ascii="Arial" w:eastAsia="Arial" w:hAnsi="Arial" w:cs="Arial"/>
          <w:color w:val="000000"/>
          <w:sz w:val="20"/>
        </w:rPr>
        <w:t> </w:t>
      </w:r>
      <w:bookmarkStart w:id="7835" w:name="Bookmark_para_2_42"/>
      <w:bookmarkEnd w:id="7835"/>
      <w:r>
        <w:rPr>
          <w:rFonts w:ascii="Arial" w:eastAsia="Arial" w:hAnsi="Arial" w:cs="Arial"/>
          <w:color w:val="000000"/>
          <w:sz w:val="20"/>
        </w:rPr>
        <w:t> [**1] (D.C. No. 2:17-CV-00803-BSJ). (D. Utah).</w:t>
      </w:r>
    </w:p>
    <w:p w14:paraId="3CB0A6FD" w14:textId="77777777" w:rsidR="002B10A6" w:rsidRDefault="00000000">
      <w:pPr>
        <w:pStyle w:val="Normal43"/>
        <w:widowControl w:val="0"/>
        <w:spacing w:before="240" w:line="260" w:lineRule="atLeast"/>
      </w:pPr>
      <w:bookmarkStart w:id="7836" w:name="Counsel_41"/>
      <w:bookmarkEnd w:id="7836"/>
      <w:r>
        <w:rPr>
          <w:rFonts w:ascii="Arial" w:eastAsia="Arial" w:hAnsi="Arial" w:cs="Arial"/>
          <w:b/>
          <w:color w:val="000000"/>
          <w:sz w:val="20"/>
        </w:rPr>
        <w:t>Counsel:</w:t>
      </w:r>
      <w:r>
        <w:rPr>
          <w:rFonts w:ascii="Arial" w:eastAsia="Arial" w:hAnsi="Arial" w:cs="Arial"/>
          <w:color w:val="000000"/>
          <w:sz w:val="20"/>
        </w:rPr>
        <w:t> For Trevor Kelley, Plaintiff - Appellant: James Knight Ord III, Ord Firm, Salt Lake City, UT.</w:t>
      </w:r>
    </w:p>
    <w:p w14:paraId="60031D70" w14:textId="77777777" w:rsidR="002B10A6" w:rsidRDefault="00000000">
      <w:pPr>
        <w:pStyle w:val="Normal43"/>
        <w:widowControl w:val="0"/>
        <w:spacing w:before="120" w:line="260" w:lineRule="atLeast"/>
      </w:pPr>
      <w:r>
        <w:rPr>
          <w:rFonts w:ascii="Arial" w:eastAsia="Arial" w:hAnsi="Arial" w:cs="Arial"/>
          <w:color w:val="000000"/>
          <w:sz w:val="20"/>
        </w:rPr>
        <w:t>For Smith's Food &amp; Drug Centers, Inc., Defendant - Appellee: Michael J. Chilleen, Gregory F. Hurley, Sheppard Mullin Richter &amp; Hampton, Costa Mesa, CA.</w:t>
      </w:r>
    </w:p>
    <w:p w14:paraId="728D303F" w14:textId="77777777" w:rsidR="002B10A6" w:rsidRDefault="00000000">
      <w:pPr>
        <w:pStyle w:val="Normal43"/>
        <w:widowControl w:val="0"/>
        <w:spacing w:before="240" w:line="260" w:lineRule="atLeast"/>
      </w:pPr>
      <w:bookmarkStart w:id="7837" w:name="Judges_42"/>
      <w:bookmarkEnd w:id="7837"/>
      <w:r>
        <w:rPr>
          <w:rFonts w:ascii="Arial" w:eastAsia="Arial" w:hAnsi="Arial" w:cs="Arial"/>
          <w:b/>
          <w:color w:val="000000"/>
          <w:sz w:val="20"/>
        </w:rPr>
        <w:t>Judges:</w:t>
      </w:r>
      <w:r>
        <w:rPr>
          <w:rFonts w:ascii="Arial" w:eastAsia="Arial" w:hAnsi="Arial" w:cs="Arial"/>
          <w:color w:val="000000"/>
          <w:sz w:val="20"/>
        </w:rPr>
        <w:t> Before HARTZ, HOLMES, and MORITZ, Circuit Judges.</w:t>
      </w:r>
    </w:p>
    <w:p w14:paraId="2D80C392" w14:textId="77777777" w:rsidR="002B10A6" w:rsidRDefault="00000000">
      <w:pPr>
        <w:pStyle w:val="Normal43"/>
        <w:widowControl w:val="0"/>
        <w:spacing w:before="240" w:line="260" w:lineRule="atLeast"/>
      </w:pPr>
      <w:bookmarkStart w:id="7838" w:name="Opinion_by_29"/>
      <w:bookmarkEnd w:id="7838"/>
      <w:r>
        <w:rPr>
          <w:rFonts w:ascii="Arial" w:eastAsia="Arial" w:hAnsi="Arial" w:cs="Arial"/>
          <w:b/>
          <w:color w:val="000000"/>
          <w:sz w:val="20"/>
        </w:rPr>
        <w:t>Opinion by:</w:t>
      </w:r>
      <w:r>
        <w:rPr>
          <w:rFonts w:ascii="Arial" w:eastAsia="Arial" w:hAnsi="Arial" w:cs="Arial"/>
          <w:color w:val="000000"/>
          <w:sz w:val="20"/>
        </w:rPr>
        <w:t> Harris L Hartz</w:t>
      </w:r>
    </w:p>
    <w:p w14:paraId="3FDB740F" w14:textId="77777777" w:rsidR="002B10A6" w:rsidRDefault="00000000">
      <w:pPr>
        <w:pStyle w:val="Normal43"/>
        <w:keepNext/>
        <w:widowControl w:val="0"/>
        <w:spacing w:before="240" w:line="340" w:lineRule="atLeast"/>
      </w:pPr>
      <w:bookmarkStart w:id="7839" w:name="Opinion_42"/>
      <w:bookmarkEnd w:id="7839"/>
      <w:r>
        <w:rPr>
          <w:rFonts w:ascii="Arial" w:eastAsia="Arial" w:hAnsi="Arial" w:cs="Arial"/>
          <w:b/>
          <w:color w:val="000000"/>
          <w:sz w:val="28"/>
        </w:rPr>
        <w:t>Opinion</w:t>
      </w:r>
    </w:p>
    <w:p w14:paraId="610029E1" w14:textId="1D3185D6" w:rsidR="002B10A6" w:rsidRDefault="002D6974">
      <w:pPr>
        <w:pStyle w:val="Normal43"/>
        <w:spacing w:line="60" w:lineRule="exact"/>
      </w:pPr>
      <w:r>
        <w:rPr>
          <w:noProof/>
        </w:rPr>
        <mc:AlternateContent>
          <mc:Choice Requires="wps">
            <w:drawing>
              <wp:anchor distT="0" distB="0" distL="114300" distR="114300" simplePos="0" relativeHeight="251752448" behindDoc="0" locked="0" layoutInCell="1" allowOverlap="1" wp14:anchorId="4B01F03E" wp14:editId="5E271A87">
                <wp:simplePos x="0" y="0"/>
                <wp:positionH relativeFrom="column">
                  <wp:posOffset>0</wp:posOffset>
                </wp:positionH>
                <wp:positionV relativeFrom="paragraph">
                  <wp:posOffset>25400</wp:posOffset>
                </wp:positionV>
                <wp:extent cx="3187700" cy="0"/>
                <wp:effectExtent l="19050" t="15875" r="12700" b="12700"/>
                <wp:wrapTopAndBottom/>
                <wp:docPr id="1034340919"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9F53F0"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E53930C" w14:textId="77777777" w:rsidR="002B10A6" w:rsidRDefault="002B10A6">
      <w:pPr>
        <w:pStyle w:val="Normal43"/>
        <w:spacing w:line="120" w:lineRule="exact"/>
      </w:pPr>
    </w:p>
    <w:p w14:paraId="473D2C4B" w14:textId="77777777" w:rsidR="002B10A6" w:rsidRDefault="00000000">
      <w:pPr>
        <w:pStyle w:val="Normal43"/>
        <w:widowControl w:val="0"/>
        <w:spacing w:before="240" w:line="260" w:lineRule="atLeast"/>
      </w:pPr>
      <w:r>
        <w:br/>
      </w:r>
      <w:r>
        <w:rPr>
          <w:rFonts w:ascii="Arial" w:eastAsia="Arial" w:hAnsi="Arial" w:cs="Arial"/>
          <w:color w:val="000000"/>
          <w:sz w:val="20"/>
        </w:rPr>
        <w:t xml:space="preserve"> [*788]  </w:t>
      </w:r>
      <w:r>
        <w:rPr>
          <w:rFonts w:ascii="Arial" w:eastAsia="Arial" w:hAnsi="Arial" w:cs="Arial"/>
          <w:b/>
          <w:color w:val="000000"/>
          <w:sz w:val="20"/>
        </w:rPr>
        <w:t>ORDER AND JUDGMENT</w:t>
      </w:r>
      <w:r>
        <w:rPr>
          <w:rFonts w:ascii="Arial" w:eastAsia="Arial" w:hAnsi="Arial" w:cs="Arial"/>
          <w:vertAlign w:val="superscript"/>
        </w:rPr>
        <w:footnoteReference w:customMarkFollows="1" w:id="411"/>
        <w:t>*</w:t>
      </w:r>
    </w:p>
    <w:p w14:paraId="10D91988" w14:textId="77777777" w:rsidR="002B10A6" w:rsidRDefault="00000000">
      <w:pPr>
        <w:pStyle w:val="Normal43"/>
        <w:widowControl w:val="0"/>
        <w:spacing w:before="200" w:line="260" w:lineRule="atLeast"/>
        <w:jc w:val="both"/>
      </w:pPr>
      <w:bookmarkStart w:id="7841" w:name="Bookmark_para_3_42"/>
      <w:bookmarkEnd w:id="7841"/>
      <w:r>
        <w:rPr>
          <w:rFonts w:ascii="Arial" w:eastAsia="Arial" w:hAnsi="Arial" w:cs="Arial"/>
          <w:color w:val="000000"/>
          <w:sz w:val="20"/>
        </w:rPr>
        <w:t>Trevor Kelley, who is disabled and uses a wheelchair, sued Smith's Food &amp; Drug Centers, Inc. (Smith's) to compel it to bring its grocery store into compliance with Title III of the Americans with Disabilities Act, 42 U.S.C. §§ 12181-12189 (ADA). The district court dismissed the complaint as moot. We exercise jurisdiction under 28 U.S.C. § 1291 and affirm.</w:t>
      </w:r>
    </w:p>
    <w:p w14:paraId="73B5398A" w14:textId="77777777" w:rsidR="002B10A6" w:rsidRDefault="00000000">
      <w:pPr>
        <w:pStyle w:val="Normal43"/>
        <w:widowControl w:val="0"/>
        <w:spacing w:before="240" w:line="260" w:lineRule="atLeast"/>
      </w:pPr>
      <w:r>
        <w:br/>
      </w:r>
      <w:r>
        <w:rPr>
          <w:rFonts w:ascii="Arial" w:eastAsia="Arial" w:hAnsi="Arial" w:cs="Arial"/>
          <w:b/>
          <w:color w:val="000000"/>
          <w:sz w:val="20"/>
        </w:rPr>
        <w:t>I. BACKGROUND</w:t>
      </w:r>
    </w:p>
    <w:p w14:paraId="0A6D59BF" w14:textId="77777777" w:rsidR="002B10A6" w:rsidRDefault="00000000">
      <w:pPr>
        <w:pStyle w:val="Normal43"/>
        <w:widowControl w:val="0"/>
        <w:spacing w:before="200" w:line="260" w:lineRule="atLeast"/>
        <w:jc w:val="both"/>
      </w:pPr>
      <w:bookmarkStart w:id="7842" w:name="Bookmark_para_4_42"/>
      <w:bookmarkEnd w:id="7842"/>
      <w:r>
        <w:rPr>
          <w:rFonts w:ascii="Arial" w:eastAsia="Arial" w:hAnsi="Arial" w:cs="Arial"/>
          <w:color w:val="000000"/>
          <w:sz w:val="20"/>
        </w:rPr>
        <w:t>Mr. Kelley complained about two barriers at Smith's: (1) the soap dispensers in the store's restrooms were too high to reach from a wheelchair; and (2) the signs in the parking lot identifying accessible parking spaces were not ADA-compliant so he could not see the signs to find the accessible parking spaces, and the lack of ADA-compliant signage failed to discourage parking by nondisabled shoppers. After Smith's produced evidence that it had permanently remediated these items, the district court determined [**2]  that Mr. Kelley's claims were moot and dismissed the case with prejudice. As a sanction for his attorney's repeated failure to comply with the court orders to complete a pretrial order, the court denied Mr. Kelley's request for attorney fees. Mr. Kelley does not dispute that the two architectural barriers raised in his complaint have been remediated and that the remediation was permanent. He contends, however, that the case is not moot because (1) while this litigation was pending he, his ADA expert, and his attorney discovered between eight and a dozen additional architectural barriers at Smith's  [*789]  store that violated the ADA; and (2) once this litigation ended, there was nothing to stop Smith's from again violating the ADA, since Smith's did not have a policy to comply with the ADA in the future. Mr. Kelley also challenges the ground for the district court's denial of his request for attorney fees and costs.</w:t>
      </w:r>
    </w:p>
    <w:p w14:paraId="2018BC8C" w14:textId="77777777" w:rsidR="002B10A6" w:rsidRDefault="00000000">
      <w:pPr>
        <w:pStyle w:val="Normal43"/>
        <w:widowControl w:val="0"/>
        <w:spacing w:before="240" w:line="260" w:lineRule="atLeast"/>
      </w:pPr>
      <w:r>
        <w:br/>
      </w:r>
      <w:r>
        <w:rPr>
          <w:rFonts w:ascii="Arial" w:eastAsia="Arial" w:hAnsi="Arial" w:cs="Arial"/>
          <w:b/>
          <w:color w:val="000000"/>
          <w:sz w:val="20"/>
        </w:rPr>
        <w:t>II. ADA TITLE III</w:t>
      </w:r>
    </w:p>
    <w:p w14:paraId="7005F743" w14:textId="77777777" w:rsidR="002B10A6" w:rsidRDefault="00000000">
      <w:pPr>
        <w:pStyle w:val="Normal43"/>
        <w:widowControl w:val="0"/>
        <w:spacing w:before="200" w:line="260" w:lineRule="atLeast"/>
        <w:jc w:val="both"/>
      </w:pPr>
      <w:bookmarkStart w:id="7843" w:name="Bookmark_para_5_42"/>
      <w:bookmarkStart w:id="7844" w:name="Bookmark_LNHNREFclscc1_33"/>
      <w:bookmarkEnd w:id="7843"/>
      <w:bookmarkEnd w:id="7844"/>
      <w:r>
        <w:rPr>
          <w:rFonts w:ascii="Arial" w:eastAsia="Arial" w:hAnsi="Arial" w:cs="Arial"/>
          <w:color w:val="000000"/>
          <w:sz w:val="20"/>
        </w:rPr>
        <w:t xml:space="preserve">Title III of the ADA proscribes discrimination in places of public accommodation against persons with disabilities. </w:t>
      </w:r>
      <w:bookmarkStart w:id="7845" w:name="Bookmark_I5XN8YMG28T3W60020000400"/>
      <w:bookmarkEnd w:id="7845"/>
      <w:r>
        <w:rPr>
          <w:rFonts w:ascii="Arial" w:eastAsia="Arial" w:hAnsi="Arial" w:cs="Arial"/>
          <w:i/>
          <w:color w:val="000000"/>
          <w:sz w:val="20"/>
        </w:rPr>
        <w:t>See</w:t>
      </w:r>
      <w:r>
        <w:rPr>
          <w:rFonts w:ascii="Arial" w:eastAsia="Arial" w:hAnsi="Arial" w:cs="Arial"/>
          <w:color w:val="000000"/>
          <w:sz w:val="20"/>
        </w:rPr>
        <w:t xml:space="preserve"> 42 U.S.C. § 12182(a). Discrimination includes "a failure to remove architectural barriers, and communication barriers that are structural in nature, in existing facilities [**3]  . . . where such removal is readily achievable." </w:t>
      </w:r>
      <w:r>
        <w:rPr>
          <w:rFonts w:ascii="Arial" w:eastAsia="Arial" w:hAnsi="Arial" w:cs="Arial"/>
          <w:i/>
          <w:color w:val="000000"/>
          <w:sz w:val="20"/>
        </w:rPr>
        <w:t>Id.</w:t>
      </w:r>
      <w:r>
        <w:rPr>
          <w:rFonts w:ascii="Arial" w:eastAsia="Arial" w:hAnsi="Arial" w:cs="Arial"/>
          <w:color w:val="000000"/>
          <w:sz w:val="20"/>
        </w:rPr>
        <w:t xml:space="preserve"> § 12182(b)(2)(A)(iv). "The ADA provides a private right of action for preventative relief, including an application for a permanent or temporary injunction or restraining order for 'any person who is being subjected to discrimination on the basis of disability in violation of' Title III." </w:t>
      </w:r>
      <w:bookmarkStart w:id="7846" w:name="Bookmark_I5XN8YMG28T3W60010000400"/>
      <w:bookmarkEnd w:id="7846"/>
      <w:r>
        <w:rPr>
          <w:rFonts w:ascii="Arial" w:eastAsia="Arial" w:hAnsi="Arial" w:cs="Arial"/>
          <w:i/>
          <w:color w:val="000000"/>
          <w:sz w:val="20"/>
        </w:rPr>
        <w:t>Colo. Cross Disability Coal. v. Hermanson Family Ltd. P'ship I</w:t>
      </w:r>
      <w:r>
        <w:rPr>
          <w:rFonts w:ascii="Arial" w:eastAsia="Arial" w:hAnsi="Arial" w:cs="Arial"/>
          <w:color w:val="000000"/>
          <w:sz w:val="20"/>
        </w:rPr>
        <w:t>, 264 F.3d 999, 1001-02 (10th Cir. 2001) (quoting 42 U.S.C. §§ 12182(a)(1), 2000a-3(a)).</w:t>
      </w:r>
    </w:p>
    <w:p w14:paraId="2FEBAC38" w14:textId="77777777" w:rsidR="002B10A6" w:rsidRDefault="00000000">
      <w:pPr>
        <w:pStyle w:val="Normal43"/>
        <w:widowControl w:val="0"/>
        <w:spacing w:before="240" w:line="260" w:lineRule="atLeast"/>
      </w:pPr>
      <w:r>
        <w:br/>
      </w:r>
      <w:r>
        <w:rPr>
          <w:rFonts w:ascii="Arial" w:eastAsia="Arial" w:hAnsi="Arial" w:cs="Arial"/>
          <w:b/>
          <w:color w:val="000000"/>
          <w:sz w:val="20"/>
        </w:rPr>
        <w:t>III. MOOTNESS</w:t>
      </w:r>
    </w:p>
    <w:p w14:paraId="7F3AA2F4" w14:textId="77777777" w:rsidR="002B10A6" w:rsidRDefault="00000000">
      <w:pPr>
        <w:pStyle w:val="Normal43"/>
        <w:widowControl w:val="0"/>
        <w:spacing w:before="200" w:line="260" w:lineRule="atLeast"/>
        <w:jc w:val="both"/>
      </w:pPr>
      <w:bookmarkStart w:id="7847" w:name="Bookmark_para_6_42"/>
      <w:bookmarkStart w:id="7848" w:name="Bookmark_I5XN8YMG28T3W60040000400"/>
      <w:bookmarkStart w:id="7849" w:name="Bookmark_I5XN8YMH2D6NTH0010000400"/>
      <w:bookmarkStart w:id="7850" w:name="Bookmark_LNHNREFclscc2_33"/>
      <w:bookmarkEnd w:id="7847"/>
      <w:bookmarkEnd w:id="7848"/>
      <w:bookmarkEnd w:id="7849"/>
      <w:bookmarkEnd w:id="7850"/>
      <w:r>
        <w:rPr>
          <w:rFonts w:ascii="Arial" w:eastAsia="Arial" w:hAnsi="Arial" w:cs="Arial"/>
          <w:color w:val="000000"/>
          <w:sz w:val="20"/>
        </w:rPr>
        <w:t xml:space="preserve">"The constitutional mootness doctrine is grounded in the Article III requirement that federal courts may only decide actual ongoing cases or controversies. </w:t>
      </w:r>
      <w:bookmarkStart w:id="7851" w:name="Bookmark_I5XN8YMH2D6NTH0030000400"/>
      <w:bookmarkEnd w:id="7851"/>
      <w:r>
        <w:rPr>
          <w:rFonts w:ascii="Arial" w:eastAsia="Arial" w:hAnsi="Arial" w:cs="Arial"/>
          <w:color w:val="000000"/>
          <w:sz w:val="20"/>
        </w:rPr>
        <w:t xml:space="preserve">This court lacks subject matter jurisdiction if a case is moot." </w:t>
      </w:r>
      <w:bookmarkStart w:id="7852" w:name="Bookmark_I5XN8YMG28T3W60030000400"/>
      <w:bookmarkEnd w:id="7852"/>
      <w:r>
        <w:rPr>
          <w:rFonts w:ascii="Arial" w:eastAsia="Arial" w:hAnsi="Arial" w:cs="Arial"/>
          <w:i/>
          <w:color w:val="000000"/>
          <w:sz w:val="20"/>
        </w:rPr>
        <w:t>Keller Tank Servs. II, Inc. v. Comm'r</w:t>
      </w:r>
      <w:r>
        <w:rPr>
          <w:rFonts w:ascii="Arial" w:eastAsia="Arial" w:hAnsi="Arial" w:cs="Arial"/>
          <w:color w:val="000000"/>
          <w:sz w:val="20"/>
        </w:rPr>
        <w:t xml:space="preserve">, 854 F.3d 1178, 1192-93 (10th Cir. 2017) (citations, brackets, and internal quotation marks omitted). </w:t>
      </w:r>
      <w:bookmarkStart w:id="7853" w:name="Bookmark_I5XN8YMH2D6NTH0050000400"/>
      <w:bookmarkEnd w:id="7853"/>
      <w:r>
        <w:rPr>
          <w:rFonts w:ascii="Arial" w:eastAsia="Arial" w:hAnsi="Arial" w:cs="Arial"/>
          <w:color w:val="000000"/>
          <w:sz w:val="20"/>
        </w:rPr>
        <w:t xml:space="preserve">To determine whether a party has the requisite "personal stake in the outcome of the lawsuit at all stages of the litigation," the inquiry "is whether granting relief for the issues before the court will have some effect in the real world." </w:t>
      </w:r>
      <w:bookmarkStart w:id="7854" w:name="Bookmark_I5XN8YMG28T3W60050000400"/>
      <w:bookmarkEnd w:id="7854"/>
      <w:r>
        <w:rPr>
          <w:rFonts w:ascii="Arial" w:eastAsia="Arial" w:hAnsi="Arial" w:cs="Arial"/>
          <w:i/>
          <w:color w:val="000000"/>
          <w:sz w:val="20"/>
        </w:rPr>
        <w:t>Id.</w:t>
      </w:r>
      <w:r>
        <w:rPr>
          <w:rFonts w:ascii="Arial" w:eastAsia="Arial" w:hAnsi="Arial" w:cs="Arial"/>
          <w:color w:val="000000"/>
          <w:sz w:val="20"/>
        </w:rPr>
        <w:t xml:space="preserve"> at 1193 (internal quotation marks omitted). </w:t>
      </w:r>
      <w:bookmarkStart w:id="7855" w:name="Bookmark_I5XN8YMH2D6NTH0050000400_2"/>
      <w:bookmarkStart w:id="7856" w:name="Bookmark_I5XN8YMH2D6NTH0030000400_2"/>
      <w:bookmarkEnd w:id="7855"/>
      <w:bookmarkEnd w:id="7856"/>
      <w:r>
        <w:rPr>
          <w:rFonts w:ascii="Arial" w:eastAsia="Arial" w:hAnsi="Arial" w:cs="Arial"/>
          <w:color w:val="000000"/>
          <w:sz w:val="20"/>
        </w:rPr>
        <w:t xml:space="preserve">An action becomes moot when "an intervening circumstance deprives the plaintiff of a personal stake in the outcome of the lawsuit." </w:t>
      </w:r>
      <w:r>
        <w:rPr>
          <w:rFonts w:ascii="Arial" w:eastAsia="Arial" w:hAnsi="Arial" w:cs="Arial"/>
          <w:i/>
          <w:color w:val="000000"/>
          <w:sz w:val="20"/>
        </w:rPr>
        <w:t>Id.</w:t>
      </w:r>
      <w:r>
        <w:rPr>
          <w:rFonts w:ascii="Arial" w:eastAsia="Arial" w:hAnsi="Arial" w:cs="Arial"/>
          <w:color w:val="000000"/>
          <w:sz w:val="20"/>
        </w:rPr>
        <w:t xml:space="preserve"> "[W]hen the defendant voluntarily stops the challenged conduct, . . . the claim will be deemed moot only if two conditions exist: [1] [i]t is absolutely [**4]  clear the allegedly wrongful behavior could not reasonably be expected to recur, [and] [2] [i]nterim relief or events have completely and irrevocably eradicated the effects of the alleged violation." </w:t>
      </w:r>
      <w:bookmarkStart w:id="7857" w:name="Bookmark_I5XN8YMH2D6NTH0020000400"/>
      <w:bookmarkEnd w:id="7857"/>
      <w:r>
        <w:rPr>
          <w:rFonts w:ascii="Arial" w:eastAsia="Arial" w:hAnsi="Arial" w:cs="Arial"/>
          <w:i/>
          <w:color w:val="000000"/>
          <w:sz w:val="20"/>
        </w:rPr>
        <w:t>EEOC v. CollegeAmerica Denver, Inc.</w:t>
      </w:r>
      <w:r>
        <w:rPr>
          <w:rFonts w:ascii="Arial" w:eastAsia="Arial" w:hAnsi="Arial" w:cs="Arial"/>
          <w:color w:val="000000"/>
          <w:sz w:val="20"/>
        </w:rPr>
        <w:t xml:space="preserve">, 869 F.3d 1171, 1173-74 (10th Cir. 2017) (footnote omitted) (internal quotation marks omitted). "We review de novo whether a claim is moot." </w:t>
      </w:r>
      <w:bookmarkStart w:id="7858" w:name="Bookmark_I5XN8YMH2D6NTH0040000400"/>
      <w:bookmarkEnd w:id="7858"/>
      <w:r>
        <w:rPr>
          <w:rFonts w:ascii="Arial" w:eastAsia="Arial" w:hAnsi="Arial" w:cs="Arial"/>
          <w:i/>
          <w:color w:val="000000"/>
          <w:sz w:val="20"/>
        </w:rPr>
        <w:t>Id.</w:t>
      </w:r>
      <w:r>
        <w:rPr>
          <w:rFonts w:ascii="Arial" w:eastAsia="Arial" w:hAnsi="Arial" w:cs="Arial"/>
          <w:color w:val="000000"/>
          <w:sz w:val="20"/>
        </w:rPr>
        <w:t xml:space="preserve"> at 1173.</w:t>
      </w:r>
    </w:p>
    <w:p w14:paraId="078A56D7" w14:textId="77777777" w:rsidR="002B10A6" w:rsidRDefault="00000000">
      <w:pPr>
        <w:pStyle w:val="Normal43"/>
        <w:widowControl w:val="0"/>
        <w:spacing w:before="200" w:line="260" w:lineRule="atLeast"/>
        <w:jc w:val="both"/>
      </w:pPr>
      <w:bookmarkStart w:id="7859" w:name="Bookmark_para_7_41"/>
      <w:bookmarkEnd w:id="7859"/>
      <w:r>
        <w:rPr>
          <w:rFonts w:ascii="Arial" w:eastAsia="Arial" w:hAnsi="Arial" w:cs="Arial"/>
          <w:color w:val="000000"/>
          <w:sz w:val="20"/>
        </w:rPr>
        <w:t>The district court dismissed the case as moot because the two architectural barriers alleged in the complaint as violating the ADA were permanently remediated while this litigation was pending. Nevertheless, Mr. Kelley argues that the court was required to consider additional, unremediated conditions at Smith's that he discovered after filing his complaint. Although Mr. Kelley filed a motion to amend his complaint to add the allegedly unremediated architectural barriers at Smith's, he does not challenge the denial of the motion to amend.</w:t>
      </w:r>
      <w:r>
        <w:rPr>
          <w:rFonts w:ascii="Arial" w:eastAsia="Arial" w:hAnsi="Arial" w:cs="Arial"/>
          <w:vertAlign w:val="superscript"/>
        </w:rPr>
        <w:footnoteReference w:customMarkFollows="1" w:id="412"/>
        <w:t>1</w:t>
      </w:r>
    </w:p>
    <w:p w14:paraId="613234AB" w14:textId="77777777" w:rsidR="002B10A6" w:rsidRDefault="00000000">
      <w:pPr>
        <w:pStyle w:val="Normal43"/>
        <w:widowControl w:val="0"/>
        <w:spacing w:before="200" w:line="260" w:lineRule="atLeast"/>
        <w:jc w:val="both"/>
      </w:pPr>
      <w:bookmarkStart w:id="7863" w:name="Bookmark_para_8_41"/>
      <w:bookmarkStart w:id="7864" w:name="Bookmark_I1XHRBH5F980000BGV20000J"/>
      <w:bookmarkStart w:id="7865" w:name="Bookmark_I1XHRBH5GTN0000BGV20000K"/>
      <w:bookmarkStart w:id="7866" w:name="Bookmark_I1XHRBH5J7Y0000BGV20000M"/>
      <w:bookmarkStart w:id="7867" w:name="Bookmark_I1XHRBH5KN60000BGV20000N"/>
      <w:bookmarkStart w:id="7868" w:name="Bookmark_I5XN8YMH2HM5TW0040000400"/>
      <w:bookmarkStart w:id="7869" w:name="Bookmark_I1XHRBH5N540000BGV20000P"/>
      <w:bookmarkStart w:id="7870" w:name="Bookmark_I5XN8YMJ2HM5V10020000400"/>
      <w:bookmarkEnd w:id="7863"/>
      <w:bookmarkEnd w:id="7864"/>
      <w:bookmarkEnd w:id="7865"/>
      <w:bookmarkEnd w:id="7866"/>
      <w:bookmarkEnd w:id="7867"/>
      <w:bookmarkEnd w:id="7868"/>
      <w:bookmarkEnd w:id="7869"/>
      <w:bookmarkEnd w:id="7870"/>
      <w:r>
        <w:rPr>
          <w:rFonts w:ascii="Arial" w:eastAsia="Arial" w:hAnsi="Arial" w:cs="Arial"/>
          <w:color w:val="000000"/>
          <w:sz w:val="20"/>
        </w:rPr>
        <w:t>To support his claim that he was entitled to relief for architectural barriers not included in his complaint, Mr. Kelley  [*790]  relies on four cases from other circuits holding that an ADA plaintiff has standing to seek relief for ADA violations that he or she did not personally encounter as long as the violation was relevant to the plaintiff's disability. [**5]  He characterizes this holding as the "</w:t>
      </w:r>
      <w:r>
        <w:rPr>
          <w:rFonts w:ascii="Arial" w:eastAsia="Arial" w:hAnsi="Arial" w:cs="Arial"/>
          <w:i/>
          <w:color w:val="000000"/>
          <w:sz w:val="20"/>
        </w:rPr>
        <w:t>Doran</w:t>
      </w:r>
      <w:r>
        <w:rPr>
          <w:rFonts w:ascii="Arial" w:eastAsia="Arial" w:hAnsi="Arial" w:cs="Arial"/>
          <w:color w:val="000000"/>
          <w:sz w:val="20"/>
        </w:rPr>
        <w:t xml:space="preserve"> doctrine." </w:t>
      </w:r>
      <w:r>
        <w:rPr>
          <w:rFonts w:ascii="Arial" w:eastAsia="Arial" w:hAnsi="Arial" w:cs="Arial"/>
          <w:i/>
          <w:color w:val="000000"/>
          <w:sz w:val="20"/>
        </w:rPr>
        <w:t xml:space="preserve">See </w:t>
      </w:r>
      <w:bookmarkStart w:id="7871" w:name="Bookmark_I5XN8YMH2HM5TW0030000400"/>
      <w:bookmarkEnd w:id="7871"/>
      <w:r>
        <w:rPr>
          <w:rFonts w:ascii="Arial" w:eastAsia="Arial" w:hAnsi="Arial" w:cs="Arial"/>
          <w:i/>
          <w:color w:val="000000"/>
          <w:sz w:val="20"/>
        </w:rPr>
        <w:t>Doran v. 7-Eleven, Inc.</w:t>
      </w:r>
      <w:r>
        <w:rPr>
          <w:rFonts w:ascii="Arial" w:eastAsia="Arial" w:hAnsi="Arial" w:cs="Arial"/>
          <w:color w:val="000000"/>
          <w:sz w:val="20"/>
        </w:rPr>
        <w:t>, 524 F.3d 1034, 1044 (9th Cir. 2008) ("Even if a disabled plaintiff did not know about certain barriers when the plaintiff first filed suit, that plaintiff will have a personal stake in the outcome of the controversy so long as his or her suit is limited to barriers related to that person's particular disability." (internal quotation marks omitted));</w:t>
      </w:r>
      <w:r>
        <w:rPr>
          <w:rFonts w:ascii="Arial" w:eastAsia="Arial" w:hAnsi="Arial" w:cs="Arial"/>
          <w:vertAlign w:val="superscript"/>
        </w:rPr>
        <w:footnoteReference w:customMarkFollows="1" w:id="413"/>
        <w:t>2</w:t>
      </w:r>
      <w:r>
        <w:rPr>
          <w:rFonts w:ascii="Arial" w:eastAsia="Arial" w:hAnsi="Arial" w:cs="Arial"/>
          <w:color w:val="000000"/>
          <w:sz w:val="20"/>
        </w:rPr>
        <w:t xml:space="preserve"> </w:t>
      </w:r>
      <w:bookmarkStart w:id="7873" w:name="Bookmark_I5XN8YMH2HM5TW0050000400"/>
      <w:bookmarkEnd w:id="7873"/>
      <w:r>
        <w:rPr>
          <w:rFonts w:ascii="Arial" w:eastAsia="Arial" w:hAnsi="Arial" w:cs="Arial"/>
          <w:i/>
          <w:color w:val="000000"/>
          <w:sz w:val="20"/>
        </w:rPr>
        <w:t>Kreisler v. Second Ave. Diner Corp.</w:t>
      </w:r>
      <w:r>
        <w:rPr>
          <w:rFonts w:ascii="Arial" w:eastAsia="Arial" w:hAnsi="Arial" w:cs="Arial"/>
          <w:color w:val="000000"/>
          <w:sz w:val="20"/>
        </w:rPr>
        <w:t xml:space="preserve">, 731 F.3d 184, 188 (2d Cir. 2013) (per curiam) (plaintiff who used a wheelchair had standing to pursue relief as to the defendant diner's lack of a ramp at the entrance, as well as barriers inside the diner related to his disability that he had not yet encountered); </w:t>
      </w:r>
      <w:bookmarkStart w:id="7874" w:name="Bookmark_I5XN8YMH2HM5TY0020000400"/>
      <w:bookmarkEnd w:id="7874"/>
      <w:r>
        <w:rPr>
          <w:rFonts w:ascii="Arial" w:eastAsia="Arial" w:hAnsi="Arial" w:cs="Arial"/>
          <w:i/>
          <w:color w:val="000000"/>
          <w:sz w:val="20"/>
        </w:rPr>
        <w:t>Chapman v. Pier 1 Imports (U.S.) Inc.</w:t>
      </w:r>
      <w:r>
        <w:rPr>
          <w:rFonts w:ascii="Arial" w:eastAsia="Arial" w:hAnsi="Arial" w:cs="Arial"/>
          <w:color w:val="000000"/>
          <w:sz w:val="20"/>
        </w:rPr>
        <w:t xml:space="preserve">, 631 F.3d 939, 950 (9th Cir. 2011) (en banc) (court has "Article III jurisdiction to entertain requests for injunctive relief both to halt the deterrent effect of a noncompliant accommodation and to prevent imminent 'discrimination' . . . against a disabled individual who plans to visit a noncompliant accommodation in the future"); </w:t>
      </w:r>
      <w:bookmarkStart w:id="7875" w:name="Bookmark_I5XN8YMH2HM5TY0040000400"/>
      <w:bookmarkEnd w:id="7875"/>
      <w:r>
        <w:rPr>
          <w:rFonts w:ascii="Arial" w:eastAsia="Arial" w:hAnsi="Arial" w:cs="Arial"/>
          <w:i/>
          <w:color w:val="000000"/>
          <w:sz w:val="20"/>
        </w:rPr>
        <w:t>Steger v. Franco, Inc.</w:t>
      </w:r>
      <w:r>
        <w:rPr>
          <w:rFonts w:ascii="Arial" w:eastAsia="Arial" w:hAnsi="Arial" w:cs="Arial"/>
          <w:color w:val="000000"/>
          <w:sz w:val="20"/>
        </w:rPr>
        <w:t xml:space="preserve">, 228 F.3d 889, 893-94 (8th Cir. 2000) (blind plaintiff had standing to challenge conditions at the defendant's property that presented risks to blind persons, including those he had not personally encountered, but not those unrelated to blind persons). </w:t>
      </w:r>
      <w:r>
        <w:rPr>
          <w:rFonts w:ascii="Arial" w:eastAsia="Arial" w:hAnsi="Arial" w:cs="Arial"/>
          <w:i/>
          <w:color w:val="000000"/>
          <w:sz w:val="20"/>
        </w:rPr>
        <w:t xml:space="preserve">But see </w:t>
      </w:r>
      <w:bookmarkStart w:id="7876" w:name="Bookmark_I5XN8YMJ2HM5V10010000400"/>
      <w:bookmarkEnd w:id="7876"/>
      <w:r>
        <w:rPr>
          <w:rFonts w:ascii="Arial" w:eastAsia="Arial" w:hAnsi="Arial" w:cs="Arial"/>
          <w:i/>
          <w:color w:val="000000"/>
          <w:sz w:val="20"/>
        </w:rPr>
        <w:t>Davis v. Anthony, Inc.</w:t>
      </w:r>
      <w:r>
        <w:rPr>
          <w:rFonts w:ascii="Arial" w:eastAsia="Arial" w:hAnsi="Arial" w:cs="Arial"/>
          <w:color w:val="000000"/>
          <w:sz w:val="20"/>
        </w:rPr>
        <w:t>, 886 F.3d 674, 678 (8th Cir. 2018) (plaintiff who used a wheelchair did not [**6]  have standing to sue for unencountered violations inside the defendant steakhouse that never injured her because she sued only for parking-space violations).</w:t>
      </w:r>
    </w:p>
    <w:p w14:paraId="5E1B77A9" w14:textId="77777777" w:rsidR="002B10A6" w:rsidRDefault="00000000">
      <w:pPr>
        <w:pStyle w:val="Normal43"/>
        <w:widowControl w:val="0"/>
        <w:spacing w:before="200" w:line="260" w:lineRule="atLeast"/>
        <w:jc w:val="both"/>
      </w:pPr>
      <w:bookmarkStart w:id="7877" w:name="Bookmark_para_9_41"/>
      <w:bookmarkStart w:id="7878" w:name="Bookmark_I5XN8YMJ2HM5V10040000400"/>
      <w:bookmarkEnd w:id="7877"/>
      <w:bookmarkEnd w:id="7878"/>
      <w:r>
        <w:rPr>
          <w:rFonts w:ascii="Arial" w:eastAsia="Arial" w:hAnsi="Arial" w:cs="Arial"/>
          <w:color w:val="000000"/>
          <w:sz w:val="20"/>
        </w:rPr>
        <w:t xml:space="preserve">These cases, however, addressed only the plaintiff's </w:t>
      </w:r>
      <w:r>
        <w:rPr>
          <w:rFonts w:ascii="Arial" w:eastAsia="Arial" w:hAnsi="Arial" w:cs="Arial"/>
          <w:i/>
          <w:color w:val="000000"/>
          <w:sz w:val="20"/>
        </w:rPr>
        <w:t>standing</w:t>
      </w:r>
      <w:r>
        <w:rPr>
          <w:rFonts w:ascii="Arial" w:eastAsia="Arial" w:hAnsi="Arial" w:cs="Arial"/>
          <w:color w:val="000000"/>
          <w:sz w:val="20"/>
        </w:rPr>
        <w:t xml:space="preserve">. They are irrelevant to the issues presented here—what barriers were alleged in the complaint and were they remediated. </w:t>
      </w:r>
      <w:bookmarkStart w:id="7879" w:name="Bookmark_I5XN8YMK28T3WG0010000400"/>
      <w:bookmarkStart w:id="7880" w:name="Bookmark_LNHNREFclscc3_32"/>
      <w:bookmarkEnd w:id="7879"/>
      <w:bookmarkEnd w:id="7880"/>
      <w:r>
        <w:rPr>
          <w:rFonts w:ascii="Arial" w:eastAsia="Arial" w:hAnsi="Arial" w:cs="Arial"/>
          <w:color w:val="000000"/>
          <w:sz w:val="20"/>
        </w:rPr>
        <w:t xml:space="preserve">Federal Rule of Civil Procedure 8(a)(2) requires a complaint to contain "a short and plain statement of the claim showing that the [plaintiff] is entitled to relief." "Rule 8 serves the important purpose of requiring plaintiffs to state their claims intelligibly so as to inform the defendants of the legal claims being asserted." </w:t>
      </w:r>
      <w:bookmarkStart w:id="7881" w:name="Bookmark_I5XN8YMJ2HM5V10030000400"/>
      <w:bookmarkEnd w:id="7881"/>
      <w:r>
        <w:rPr>
          <w:rFonts w:ascii="Arial" w:eastAsia="Arial" w:hAnsi="Arial" w:cs="Arial"/>
          <w:i/>
          <w:color w:val="000000"/>
          <w:sz w:val="20"/>
        </w:rPr>
        <w:t>Mann v. Boatright</w:t>
      </w:r>
      <w:r>
        <w:rPr>
          <w:rFonts w:ascii="Arial" w:eastAsia="Arial" w:hAnsi="Arial" w:cs="Arial"/>
          <w:color w:val="000000"/>
          <w:sz w:val="20"/>
        </w:rPr>
        <w:t xml:space="preserve">, 477 F.3d 1140, 1148 (10th Cir. 2007). </w:t>
      </w:r>
      <w:bookmarkStart w:id="7882" w:name="Bookmark_I5XN8YMK28T3WG0010000400_2"/>
      <w:bookmarkEnd w:id="7882"/>
      <w:r>
        <w:rPr>
          <w:rFonts w:ascii="Arial" w:eastAsia="Arial" w:hAnsi="Arial" w:cs="Arial"/>
          <w:color w:val="000000"/>
          <w:sz w:val="20"/>
        </w:rPr>
        <w:t xml:space="preserve">Another purpose is to allow the court to determine whether, if the facts alleged were proved, the plaintiff would be entitled to relief. </w:t>
      </w:r>
      <w:r>
        <w:rPr>
          <w:rFonts w:ascii="Arial" w:eastAsia="Arial" w:hAnsi="Arial" w:cs="Arial"/>
          <w:i/>
          <w:color w:val="000000"/>
          <w:sz w:val="20"/>
        </w:rPr>
        <w:t xml:space="preserve">See </w:t>
      </w:r>
      <w:bookmarkStart w:id="7883" w:name="Bookmark_I5XN8YMJ2HM5V10050000400"/>
      <w:bookmarkEnd w:id="7883"/>
      <w:r>
        <w:rPr>
          <w:rFonts w:ascii="Arial" w:eastAsia="Arial" w:hAnsi="Arial" w:cs="Arial"/>
          <w:i/>
          <w:color w:val="000000"/>
          <w:sz w:val="20"/>
        </w:rPr>
        <w:t>Monument Builders of Greater Kan. City, Inc. v. Am. Cemetery Ass'n of Kan.</w:t>
      </w:r>
      <w:r>
        <w:rPr>
          <w:rFonts w:ascii="Arial" w:eastAsia="Arial" w:hAnsi="Arial" w:cs="Arial"/>
          <w:color w:val="000000"/>
          <w:sz w:val="20"/>
        </w:rPr>
        <w:t>, 891 F.2d 1473, 1480 (10th Cir. 1989).</w:t>
      </w:r>
    </w:p>
    <w:p w14:paraId="5ECA6BAE" w14:textId="77777777" w:rsidR="002B10A6" w:rsidRDefault="00000000">
      <w:pPr>
        <w:pStyle w:val="Normal43"/>
        <w:widowControl w:val="0"/>
        <w:spacing w:before="200" w:line="260" w:lineRule="atLeast"/>
        <w:jc w:val="both"/>
      </w:pPr>
      <w:bookmarkStart w:id="7884" w:name="Bookmark_para_10_40"/>
      <w:bookmarkStart w:id="7885" w:name="Bookmark_I5XN8YMK28T3WG0030000400"/>
      <w:bookmarkStart w:id="7886" w:name="Bookmark_LNHNREFclscc4_32"/>
      <w:bookmarkEnd w:id="7884"/>
      <w:bookmarkEnd w:id="7885"/>
      <w:bookmarkEnd w:id="7886"/>
      <w:r>
        <w:rPr>
          <w:rFonts w:ascii="Arial" w:eastAsia="Arial" w:hAnsi="Arial" w:cs="Arial"/>
          <w:color w:val="000000"/>
          <w:sz w:val="20"/>
        </w:rPr>
        <w:t xml:space="preserve">"In general, only disclosures of barriers in a properly pleaded complaint can provide [the fair notice required by Rule 8]; a disclosure made during discovery, including in an expert report, would rarely be an adequate substitute." </w:t>
      </w:r>
      <w:bookmarkStart w:id="7887" w:name="Bookmark_I5XN8YMK28T3WG0020000400"/>
      <w:bookmarkEnd w:id="7887"/>
      <w:r>
        <w:rPr>
          <w:rFonts w:ascii="Arial" w:eastAsia="Arial" w:hAnsi="Arial" w:cs="Arial"/>
          <w:i/>
          <w:color w:val="000000"/>
          <w:sz w:val="20"/>
        </w:rPr>
        <w:t>Oliver v. Ralphs Grocery Co.</w:t>
      </w:r>
      <w:r>
        <w:rPr>
          <w:rFonts w:ascii="Arial" w:eastAsia="Arial" w:hAnsi="Arial" w:cs="Arial"/>
          <w:color w:val="000000"/>
          <w:sz w:val="20"/>
        </w:rPr>
        <w:t xml:space="preserve">, 654 F.3d 903, 909 (9th Cir. 2011). "[F]or purposes of Rule 8, a plaintiff must identify the barriers that constitute the grounds for a claim of discrimination under the ADA in the complaint itself." </w:t>
      </w:r>
      <w:r>
        <w:rPr>
          <w:rFonts w:ascii="Arial" w:eastAsia="Arial" w:hAnsi="Arial" w:cs="Arial"/>
          <w:i/>
          <w:color w:val="000000"/>
          <w:sz w:val="20"/>
        </w:rPr>
        <w:t>Id.</w:t>
      </w:r>
      <w:r>
        <w:rPr>
          <w:rFonts w:ascii="Arial" w:eastAsia="Arial" w:hAnsi="Arial" w:cs="Arial"/>
          <w:color w:val="000000"/>
          <w:sz w:val="20"/>
        </w:rPr>
        <w:t xml:space="preserve"> The "</w:t>
      </w:r>
      <w:r>
        <w:rPr>
          <w:rFonts w:ascii="Arial" w:eastAsia="Arial" w:hAnsi="Arial" w:cs="Arial"/>
          <w:i/>
          <w:color w:val="000000"/>
          <w:sz w:val="20"/>
        </w:rPr>
        <w:t>Doran</w:t>
      </w:r>
      <w:r>
        <w:rPr>
          <w:rFonts w:ascii="Arial" w:eastAsia="Arial" w:hAnsi="Arial" w:cs="Arial"/>
          <w:color w:val="000000"/>
          <w:sz w:val="20"/>
        </w:rPr>
        <w:t xml:space="preserve"> doctrine" referenced above [**7]  "does not help [Mr. Kelley], because . . . it sheds no light on what a plaintiff's complaint must include to comply with the fair notice requirement of Rule 8." </w:t>
      </w:r>
      <w:r>
        <w:rPr>
          <w:rFonts w:ascii="Arial" w:eastAsia="Arial" w:hAnsi="Arial" w:cs="Arial"/>
          <w:i/>
          <w:color w:val="000000"/>
          <w:sz w:val="20"/>
        </w:rPr>
        <w:t>Id.</w:t>
      </w:r>
    </w:p>
    <w:p w14:paraId="1691D186" w14:textId="77777777" w:rsidR="002B10A6" w:rsidRDefault="00000000">
      <w:pPr>
        <w:pStyle w:val="Normal43"/>
        <w:widowControl w:val="0"/>
        <w:spacing w:before="200" w:line="260" w:lineRule="atLeast"/>
        <w:jc w:val="both"/>
      </w:pPr>
      <w:bookmarkStart w:id="7888" w:name="Bookmark_para_11_35"/>
      <w:bookmarkStart w:id="7889" w:name="Bookmark_I5XN8YMK28T3WG0050000400"/>
      <w:bookmarkEnd w:id="7888"/>
      <w:bookmarkEnd w:id="7889"/>
      <w:r>
        <w:rPr>
          <w:rFonts w:ascii="Arial" w:eastAsia="Arial" w:hAnsi="Arial" w:cs="Arial"/>
          <w:color w:val="000000"/>
          <w:sz w:val="20"/>
        </w:rPr>
        <w:t xml:space="preserve">Mr. Kelley further contends that the district court erred by not allowing  [*791]  him to conduct "discovery on the factual issues raised by [the] motion [to dismiss for lack of jurisdiction]." </w:t>
      </w:r>
      <w:bookmarkStart w:id="7890" w:name="Bookmark_I5XN8YMK28T3WG0040000400"/>
      <w:bookmarkEnd w:id="7890"/>
      <w:r>
        <w:rPr>
          <w:rFonts w:ascii="Arial" w:eastAsia="Arial" w:hAnsi="Arial" w:cs="Arial"/>
          <w:i/>
          <w:color w:val="000000"/>
          <w:sz w:val="20"/>
        </w:rPr>
        <w:t>Sizova v. Nat'l Inst. of Standards &amp; Tech.</w:t>
      </w:r>
      <w:r>
        <w:rPr>
          <w:rFonts w:ascii="Arial" w:eastAsia="Arial" w:hAnsi="Arial" w:cs="Arial"/>
          <w:color w:val="000000"/>
          <w:sz w:val="20"/>
        </w:rPr>
        <w:t xml:space="preserve">, 282 F.3d 1320, 1326 (10th Cir. 2002) (internal quotation marks omitted). But he has not pointed to any discovery relevant to the mootness of the claims raised in his complaint. He conceded that Smith's had remediated the architectural barriers alleged in the complaint, so there remained no factual issues. </w:t>
      </w:r>
      <w:r>
        <w:rPr>
          <w:rFonts w:ascii="Arial" w:eastAsia="Arial" w:hAnsi="Arial" w:cs="Arial"/>
          <w:i/>
          <w:color w:val="000000"/>
          <w:sz w:val="20"/>
        </w:rPr>
        <w:t>See id.</w:t>
      </w:r>
      <w:r>
        <w:rPr>
          <w:rFonts w:ascii="Arial" w:eastAsia="Arial" w:hAnsi="Arial" w:cs="Arial"/>
          <w:color w:val="000000"/>
          <w:sz w:val="20"/>
        </w:rPr>
        <w:t xml:space="preserve"> (</w:t>
      </w:r>
      <w:bookmarkStart w:id="7891" w:name="Bookmark_LNHNREFclscc5_31"/>
      <w:bookmarkEnd w:id="7891"/>
      <w:r>
        <w:rPr>
          <w:rFonts w:ascii="Arial" w:eastAsia="Arial" w:hAnsi="Arial" w:cs="Arial"/>
          <w:color w:val="000000"/>
          <w:sz w:val="20"/>
        </w:rPr>
        <w:t>"[A] refusal to grant discovery constitutes an abuse of discretion if the denial results in prejudice to a litigant," and "[p]rejudice is present [only] where pertinent facts bearing on the question of jurisdiction are controverted." (internal quotation marks omitted)).</w:t>
      </w:r>
    </w:p>
    <w:p w14:paraId="731FB6F3" w14:textId="77777777" w:rsidR="002B10A6" w:rsidRDefault="00000000">
      <w:pPr>
        <w:pStyle w:val="Normal43"/>
        <w:widowControl w:val="0"/>
        <w:spacing w:before="200" w:line="260" w:lineRule="atLeast"/>
        <w:jc w:val="both"/>
      </w:pPr>
      <w:bookmarkStart w:id="7892" w:name="Bookmark_para_12_34"/>
      <w:bookmarkEnd w:id="7892"/>
      <w:r>
        <w:rPr>
          <w:rFonts w:ascii="Arial" w:eastAsia="Arial" w:hAnsi="Arial" w:cs="Arial"/>
          <w:color w:val="000000"/>
          <w:sz w:val="20"/>
        </w:rPr>
        <w:t xml:space="preserve">In addition, Mr. Kelley suggests that his claims are not moot because Smith's may violate the ADA in other respects in the future. He argues that Smith's was required to have "policies and procedures in place[] to both prevent further barriers and to quickly remedy further barriers as they arise." Aplt. Opening [**8]  Br. at 34. </w:t>
      </w:r>
      <w:bookmarkStart w:id="7893" w:name="Bookmark_I5XN8YMK2HM5V50020000400"/>
      <w:bookmarkEnd w:id="7893"/>
      <w:r>
        <w:rPr>
          <w:rFonts w:ascii="Arial" w:eastAsia="Arial" w:hAnsi="Arial" w:cs="Arial"/>
          <w:color w:val="000000"/>
          <w:sz w:val="20"/>
        </w:rPr>
        <w:t>He cites no authority requiring Smith's to produce such a policy.</w:t>
      </w:r>
      <w:r>
        <w:rPr>
          <w:rFonts w:ascii="Arial" w:eastAsia="Arial" w:hAnsi="Arial" w:cs="Arial"/>
          <w:vertAlign w:val="superscript"/>
        </w:rPr>
        <w:footnoteReference w:customMarkFollows="1" w:id="414"/>
        <w:t>3</w:t>
      </w:r>
      <w:r>
        <w:rPr>
          <w:rFonts w:ascii="Arial" w:eastAsia="Arial" w:hAnsi="Arial" w:cs="Arial"/>
          <w:color w:val="000000"/>
          <w:sz w:val="20"/>
        </w:rPr>
        <w:t xml:space="preserve"> Moreover, the complaint did not include this claim and</w:t>
      </w:r>
      <w:bookmarkStart w:id="7895" w:name="Bookmark_LNHNREFclscc6_29"/>
      <w:bookmarkEnd w:id="7895"/>
      <w:r>
        <w:rPr>
          <w:rFonts w:ascii="Arial" w:eastAsia="Arial" w:hAnsi="Arial" w:cs="Arial"/>
          <w:color w:val="000000"/>
          <w:sz w:val="20"/>
        </w:rPr>
        <w:t xml:space="preserve"> Mr. Kelley has not cited "the precise references in the record where the issue was raised and ruled on," 10th Cir. R. 28.1(A). </w:t>
      </w:r>
      <w:bookmarkStart w:id="7896" w:name="Bookmark_I5XN8YMK2HM5V50040000400"/>
      <w:bookmarkEnd w:id="7896"/>
      <w:r>
        <w:rPr>
          <w:rFonts w:ascii="Arial" w:eastAsia="Arial" w:hAnsi="Arial" w:cs="Arial"/>
          <w:color w:val="000000"/>
          <w:sz w:val="20"/>
        </w:rPr>
        <w:t xml:space="preserve">Without a specific reference, we will not search the record to determine if an issue has been preserved for appeal. </w:t>
      </w:r>
      <w:r>
        <w:rPr>
          <w:rFonts w:ascii="Arial" w:eastAsia="Arial" w:hAnsi="Arial" w:cs="Arial"/>
          <w:i/>
          <w:color w:val="000000"/>
          <w:sz w:val="20"/>
        </w:rPr>
        <w:t xml:space="preserve">Cf. </w:t>
      </w:r>
      <w:bookmarkStart w:id="7897" w:name="Bookmark_I5XN8YMK2HM5V50010000400"/>
      <w:bookmarkEnd w:id="7897"/>
      <w:r>
        <w:rPr>
          <w:rFonts w:ascii="Arial" w:eastAsia="Arial" w:hAnsi="Arial" w:cs="Arial"/>
          <w:i/>
          <w:color w:val="000000"/>
          <w:sz w:val="20"/>
        </w:rPr>
        <w:t>Gross v. Burggraf Constr. Co.</w:t>
      </w:r>
      <w:r>
        <w:rPr>
          <w:rFonts w:ascii="Arial" w:eastAsia="Arial" w:hAnsi="Arial" w:cs="Arial"/>
          <w:color w:val="000000"/>
          <w:sz w:val="20"/>
        </w:rPr>
        <w:t xml:space="preserve">, 53 F.3d 1531, 1546 (10th Cir. 1995) (declining to search the record for "dormant evidence which might require submission of the case to a jury"). </w:t>
      </w:r>
      <w:bookmarkStart w:id="7898" w:name="Bookmark_I5XN8YMK2HM5V50040000400_2"/>
      <w:bookmarkEnd w:id="7898"/>
      <w:r>
        <w:rPr>
          <w:rFonts w:ascii="Arial" w:eastAsia="Arial" w:hAnsi="Arial" w:cs="Arial"/>
          <w:color w:val="000000"/>
          <w:sz w:val="20"/>
        </w:rPr>
        <w:t xml:space="preserve">Because Mr. Kelley "did not raise this argument below and does not provide a compelling reason for us to address it on appeal," we decline to consider it. </w:t>
      </w:r>
      <w:bookmarkStart w:id="7899" w:name="Bookmark_I5XN8YMK2HM5V50030000400"/>
      <w:bookmarkEnd w:id="7899"/>
      <w:r>
        <w:rPr>
          <w:rFonts w:ascii="Arial" w:eastAsia="Arial" w:hAnsi="Arial" w:cs="Arial"/>
          <w:i/>
          <w:color w:val="000000"/>
          <w:sz w:val="20"/>
        </w:rPr>
        <w:t>Brigance v. Vail Summit Resorts, Inc.</w:t>
      </w:r>
      <w:r>
        <w:rPr>
          <w:rFonts w:ascii="Arial" w:eastAsia="Arial" w:hAnsi="Arial" w:cs="Arial"/>
          <w:color w:val="000000"/>
          <w:sz w:val="20"/>
        </w:rPr>
        <w:t>, 883 F.3d 1243, 1254-55 (10th Cir. 2018). In any event, there is no dispute that Smith's remediation of the two ADA violations alleged in the complaint are permanent corrections.</w:t>
      </w:r>
    </w:p>
    <w:p w14:paraId="22BA8E1A" w14:textId="77777777" w:rsidR="002B10A6" w:rsidRDefault="00000000">
      <w:pPr>
        <w:pStyle w:val="Normal43"/>
        <w:widowControl w:val="0"/>
        <w:spacing w:before="240" w:line="260" w:lineRule="atLeast"/>
      </w:pPr>
      <w:r>
        <w:br/>
      </w:r>
      <w:r>
        <w:rPr>
          <w:rFonts w:ascii="Arial" w:eastAsia="Arial" w:hAnsi="Arial" w:cs="Arial"/>
          <w:b/>
          <w:color w:val="000000"/>
          <w:sz w:val="20"/>
        </w:rPr>
        <w:t>IV. SANCTION—DENIAL OF COSTS AND ATTORNEY FEES</w:t>
      </w:r>
    </w:p>
    <w:p w14:paraId="69EA3ECE" w14:textId="77777777" w:rsidR="002B10A6" w:rsidRDefault="00000000">
      <w:pPr>
        <w:pStyle w:val="Normal43"/>
        <w:widowControl w:val="0"/>
        <w:spacing w:before="200" w:line="260" w:lineRule="atLeast"/>
        <w:jc w:val="both"/>
      </w:pPr>
      <w:bookmarkStart w:id="7900" w:name="Bookmark_para_13_34"/>
      <w:bookmarkEnd w:id="7900"/>
      <w:r>
        <w:rPr>
          <w:rFonts w:ascii="Arial" w:eastAsia="Arial" w:hAnsi="Arial" w:cs="Arial"/>
          <w:color w:val="000000"/>
          <w:sz w:val="20"/>
        </w:rPr>
        <w:t>Mr. Kelley also challenges the district court's order denying his request for costs and attorney fees as a sanction for his attorney's repeated failure to comply with court orders concerning filing a pretrial order. Mr. Kelley contends that his attorney complied with the district court's directives to file a pretrial order and that the district court should not have imposed the sanction without [**9]  giving counsel an opportunity to cure or show cause.</w:t>
      </w:r>
    </w:p>
    <w:p w14:paraId="5A7849FD" w14:textId="77777777" w:rsidR="002B10A6" w:rsidRDefault="00000000">
      <w:pPr>
        <w:pStyle w:val="Normal43"/>
        <w:widowControl w:val="0"/>
        <w:spacing w:before="200" w:line="260" w:lineRule="atLeast"/>
        <w:jc w:val="both"/>
      </w:pPr>
      <w:bookmarkStart w:id="7901" w:name="Bookmark_para_14_34"/>
      <w:bookmarkStart w:id="7902" w:name="Bookmark_I5XN8YMM2SF8N80010000400"/>
      <w:bookmarkStart w:id="7903" w:name="Bookmark_I5XN8YMM2SF8N80030000400"/>
      <w:bookmarkStart w:id="7904" w:name="Bookmark_LNHNREFclscc7_27"/>
      <w:bookmarkEnd w:id="7901"/>
      <w:bookmarkEnd w:id="7902"/>
      <w:bookmarkEnd w:id="7903"/>
      <w:bookmarkEnd w:id="7904"/>
      <w:r>
        <w:rPr>
          <w:rFonts w:ascii="Arial" w:eastAsia="Arial" w:hAnsi="Arial" w:cs="Arial"/>
          <w:color w:val="000000"/>
          <w:sz w:val="20"/>
        </w:rPr>
        <w:t xml:space="preserve">"A successful [ADA Title III] plaintiff may . . . be entitled to attorney fees and costs." </w:t>
      </w:r>
      <w:bookmarkStart w:id="7905" w:name="Bookmark_I5XN8YMK2HM5V50050000400"/>
      <w:bookmarkEnd w:id="7905"/>
      <w:r>
        <w:rPr>
          <w:rFonts w:ascii="Arial" w:eastAsia="Arial" w:hAnsi="Arial" w:cs="Arial"/>
          <w:i/>
          <w:color w:val="000000"/>
          <w:sz w:val="20"/>
        </w:rPr>
        <w:t>Colo. Cross Disability Coal.</w:t>
      </w:r>
      <w:r>
        <w:rPr>
          <w:rFonts w:ascii="Arial" w:eastAsia="Arial" w:hAnsi="Arial" w:cs="Arial"/>
          <w:color w:val="000000"/>
          <w:sz w:val="20"/>
        </w:rPr>
        <w:t xml:space="preserve">, 264 F.3d at 1002 (citing 42 U.S.C. § 2000a-3(b)). </w:t>
      </w:r>
      <w:bookmarkStart w:id="7906" w:name="Bookmark_I5XN8YMM2D6NTX0020000400"/>
      <w:bookmarkEnd w:id="7906"/>
      <w:r>
        <w:rPr>
          <w:rFonts w:ascii="Arial" w:eastAsia="Arial" w:hAnsi="Arial" w:cs="Arial"/>
          <w:color w:val="000000"/>
          <w:sz w:val="20"/>
        </w:rPr>
        <w:t xml:space="preserve">Section 2000a-3(b) permits the district court to award reasonable attorney fees to the prevailing party at the district court's discretion. But the term </w:t>
      </w:r>
      <w:r>
        <w:rPr>
          <w:rFonts w:ascii="Arial" w:eastAsia="Arial" w:hAnsi="Arial" w:cs="Arial"/>
          <w:i/>
          <w:color w:val="000000"/>
          <w:sz w:val="20"/>
        </w:rPr>
        <w:t>prevailing party</w:t>
      </w:r>
      <w:r>
        <w:rPr>
          <w:rFonts w:ascii="Arial" w:eastAsia="Arial" w:hAnsi="Arial" w:cs="Arial"/>
          <w:color w:val="000000"/>
          <w:sz w:val="20"/>
        </w:rPr>
        <w:t xml:space="preserve"> does not include "a party that has failed to secure a judgment on the merits or a court-ordered consent decree, but has nonetheless achieved the desired result because the lawsuit brought about a voluntary change in the defendant's conduct." </w:t>
      </w:r>
      <w:bookmarkStart w:id="7907" w:name="Bookmark_I5XN8YMM2SF8N80020000400"/>
      <w:bookmarkEnd w:id="7907"/>
      <w:r>
        <w:rPr>
          <w:rFonts w:ascii="Arial" w:eastAsia="Arial" w:hAnsi="Arial" w:cs="Arial"/>
          <w:i/>
          <w:color w:val="000000"/>
          <w:sz w:val="20"/>
        </w:rPr>
        <w:t>Buckhannon Bd. &amp; Care Home, Inc. v. W. Va. Dep't of Health &amp; Human Res.</w:t>
      </w:r>
      <w:r>
        <w:rPr>
          <w:rFonts w:ascii="Arial" w:eastAsia="Arial" w:hAnsi="Arial" w:cs="Arial"/>
          <w:color w:val="000000"/>
          <w:sz w:val="20"/>
        </w:rPr>
        <w:t xml:space="preserve">, 532 U.S. 598, 600, [*792]  121 S. Ct. 1835, 149 L. Ed. 2d 855 (2001); </w:t>
      </w:r>
      <w:r>
        <w:rPr>
          <w:rFonts w:ascii="Arial" w:eastAsia="Arial" w:hAnsi="Arial" w:cs="Arial"/>
          <w:i/>
          <w:color w:val="000000"/>
          <w:sz w:val="20"/>
        </w:rPr>
        <w:t xml:space="preserve">accord </w:t>
      </w:r>
      <w:bookmarkStart w:id="7908" w:name="Bookmark_I5XN8YMM2SF8N80040000400"/>
      <w:bookmarkEnd w:id="7908"/>
      <w:r>
        <w:rPr>
          <w:rFonts w:ascii="Arial" w:eastAsia="Arial" w:hAnsi="Arial" w:cs="Arial"/>
          <w:i/>
          <w:color w:val="000000"/>
          <w:sz w:val="20"/>
        </w:rPr>
        <w:t>Moseley v. Bd. of Educ. of Albuquerque Pub. Sch.</w:t>
      </w:r>
      <w:r>
        <w:rPr>
          <w:rFonts w:ascii="Arial" w:eastAsia="Arial" w:hAnsi="Arial" w:cs="Arial"/>
          <w:color w:val="000000"/>
          <w:sz w:val="20"/>
        </w:rPr>
        <w:t xml:space="preserve">, 483 F.3d 689, 694 (10th Cir. 2007) ("[B]ecause the underlying substantive claims are moot, [the plaintiff] cannot recover attorney's fees and costs."). </w:t>
      </w:r>
      <w:bookmarkStart w:id="7909" w:name="Bookmark_I5XN8YMM2D6NTX0020000400_2"/>
      <w:bookmarkStart w:id="7910" w:name="Bookmark_I5XN8YMM2D6NTX0040000400"/>
      <w:bookmarkEnd w:id="7909"/>
      <w:bookmarkEnd w:id="7910"/>
      <w:r>
        <w:rPr>
          <w:rFonts w:ascii="Arial" w:eastAsia="Arial" w:hAnsi="Arial" w:cs="Arial"/>
          <w:color w:val="000000"/>
          <w:sz w:val="20"/>
        </w:rPr>
        <w:t xml:space="preserve">"A defendant's voluntary change in conduct, although perhaps accomplishing what the plaintiff sought to achieve by the lawsuit, lacks the necessary judicial </w:t>
      </w:r>
      <w:r>
        <w:rPr>
          <w:rFonts w:ascii="Arial" w:eastAsia="Arial" w:hAnsi="Arial" w:cs="Arial"/>
          <w:i/>
          <w:color w:val="000000"/>
          <w:sz w:val="20"/>
        </w:rPr>
        <w:t>imprimatur</w:t>
      </w:r>
      <w:r>
        <w:rPr>
          <w:rFonts w:ascii="Arial" w:eastAsia="Arial" w:hAnsi="Arial" w:cs="Arial"/>
          <w:color w:val="000000"/>
          <w:sz w:val="20"/>
        </w:rPr>
        <w:t xml:space="preserve"> on the change." </w:t>
      </w:r>
      <w:bookmarkStart w:id="7911" w:name="Bookmark_I5XN8YMM2D6NTX0010000400"/>
      <w:bookmarkEnd w:id="7911"/>
      <w:r>
        <w:rPr>
          <w:rFonts w:ascii="Arial" w:eastAsia="Arial" w:hAnsi="Arial" w:cs="Arial"/>
          <w:i/>
          <w:color w:val="000000"/>
          <w:sz w:val="20"/>
        </w:rPr>
        <w:t>Buckhannon</w:t>
      </w:r>
      <w:r>
        <w:rPr>
          <w:rFonts w:ascii="Arial" w:eastAsia="Arial" w:hAnsi="Arial" w:cs="Arial"/>
          <w:color w:val="000000"/>
          <w:sz w:val="20"/>
        </w:rPr>
        <w:t xml:space="preserve">, 532 U.S. at 605. </w:t>
      </w:r>
      <w:bookmarkStart w:id="7912" w:name="Bookmark_I5XN8YMM2D6NTX0040000400_2"/>
      <w:bookmarkEnd w:id="7912"/>
      <w:r>
        <w:rPr>
          <w:rFonts w:ascii="Arial" w:eastAsia="Arial" w:hAnsi="Arial" w:cs="Arial"/>
          <w:color w:val="000000"/>
          <w:sz w:val="20"/>
        </w:rPr>
        <w:t xml:space="preserve">Therefore, we affirm the district court's denial of costs and attorney fees, albeit for reasons other than those stated by the district court. </w:t>
      </w:r>
      <w:r>
        <w:rPr>
          <w:rFonts w:ascii="Arial" w:eastAsia="Arial" w:hAnsi="Arial" w:cs="Arial"/>
          <w:i/>
          <w:color w:val="000000"/>
          <w:sz w:val="20"/>
        </w:rPr>
        <w:t xml:space="preserve">See </w:t>
      </w:r>
      <w:bookmarkStart w:id="7913" w:name="Bookmark_I5XN8YMM2D6NTX0030000400"/>
      <w:bookmarkEnd w:id="7913"/>
      <w:r>
        <w:rPr>
          <w:rFonts w:ascii="Arial" w:eastAsia="Arial" w:hAnsi="Arial" w:cs="Arial"/>
          <w:i/>
          <w:color w:val="000000"/>
          <w:sz w:val="20"/>
        </w:rPr>
        <w:t>Safe Streets All. v. Hickenlooper</w:t>
      </w:r>
      <w:r>
        <w:rPr>
          <w:rFonts w:ascii="Arial" w:eastAsia="Arial" w:hAnsi="Arial" w:cs="Arial"/>
          <w:color w:val="000000"/>
          <w:sz w:val="20"/>
        </w:rPr>
        <w:t>, 859 F.3d 865, 878-79 (10th Cir. 2017) (</w:t>
      </w:r>
      <w:bookmarkStart w:id="7914" w:name="Bookmark_LNHNREFclscc8_26"/>
      <w:bookmarkEnd w:id="7914"/>
      <w:r>
        <w:rPr>
          <w:rFonts w:ascii="Arial" w:eastAsia="Arial" w:hAnsi="Arial" w:cs="Arial"/>
          <w:color w:val="000000"/>
          <w:sz w:val="20"/>
        </w:rPr>
        <w:t>appellate court may affirm the district court's "ruling on any grounds adequately supported by the record, even grounds not relied upon by the district court" (internal quotation marks omitted)). [**10] </w:t>
      </w:r>
    </w:p>
    <w:p w14:paraId="53BB50FE" w14:textId="77777777" w:rsidR="002B10A6" w:rsidRDefault="00000000">
      <w:pPr>
        <w:pStyle w:val="Normal43"/>
        <w:widowControl w:val="0"/>
        <w:spacing w:before="200" w:line="260" w:lineRule="atLeast"/>
        <w:jc w:val="both"/>
      </w:pPr>
      <w:bookmarkStart w:id="7915" w:name="Bookmark_para_15_34"/>
      <w:bookmarkEnd w:id="7915"/>
      <w:r>
        <w:rPr>
          <w:rFonts w:ascii="Arial" w:eastAsia="Arial" w:hAnsi="Arial" w:cs="Arial"/>
          <w:color w:val="000000"/>
          <w:sz w:val="20"/>
        </w:rPr>
        <w:t xml:space="preserve">Mr. Kelley acknowledges that "the law [does] not allow for an award of costs and fees" when a case is dismissed as moot. Aplt. Opening Br. at 36. Instead, he objects to the district court's characterization of the denial of fees as a sanction. </w:t>
      </w:r>
      <w:bookmarkStart w:id="7916" w:name="Bookmark_I5XN8YMM2HM5V80010000400"/>
      <w:bookmarkEnd w:id="7916"/>
      <w:r>
        <w:rPr>
          <w:rFonts w:ascii="Arial" w:eastAsia="Arial" w:hAnsi="Arial" w:cs="Arial"/>
          <w:color w:val="000000"/>
          <w:sz w:val="20"/>
        </w:rPr>
        <w:t xml:space="preserve">He argues that the district court failed to follow the prescribed procedure before issuing sanctions, and asserts that the sanctions order "was utter[ly] superfluous and prejudicial," </w:t>
      </w:r>
      <w:r>
        <w:rPr>
          <w:rFonts w:ascii="Arial" w:eastAsia="Arial" w:hAnsi="Arial" w:cs="Arial"/>
          <w:i/>
          <w:color w:val="000000"/>
          <w:sz w:val="20"/>
        </w:rPr>
        <w:t>id.</w:t>
      </w:r>
      <w:r>
        <w:rPr>
          <w:rFonts w:ascii="Arial" w:eastAsia="Arial" w:hAnsi="Arial" w:cs="Arial"/>
          <w:color w:val="000000"/>
          <w:sz w:val="20"/>
        </w:rPr>
        <w:t xml:space="preserve"> at 42. But he has not explained how any action by this court could provide him any relief or how the sanctions order prejudiced him or his attorney, given his concession that he is not entitled to attorney fees and costs. </w:t>
      </w:r>
      <w:bookmarkStart w:id="7917" w:name="Bookmark_LNHNREFclscc9_25"/>
      <w:bookmarkEnd w:id="7917"/>
      <w:r>
        <w:rPr>
          <w:rFonts w:ascii="Arial" w:eastAsia="Arial" w:hAnsi="Arial" w:cs="Arial"/>
          <w:color w:val="000000"/>
          <w:sz w:val="20"/>
        </w:rPr>
        <w:t xml:space="preserve">"[A] federal court has neither the power to render advisory opinions nor to decide questions that cannot affect the rights of litigants in the case before them." </w:t>
      </w:r>
      <w:bookmarkStart w:id="7918" w:name="Bookmark_I5XN8YMM2D6NTX0050000400"/>
      <w:bookmarkEnd w:id="7918"/>
      <w:r>
        <w:rPr>
          <w:rFonts w:ascii="Arial" w:eastAsia="Arial" w:hAnsi="Arial" w:cs="Arial"/>
          <w:i/>
          <w:color w:val="000000"/>
          <w:sz w:val="20"/>
        </w:rPr>
        <w:t>Preiser v. Newkirk</w:t>
      </w:r>
      <w:r>
        <w:rPr>
          <w:rFonts w:ascii="Arial" w:eastAsia="Arial" w:hAnsi="Arial" w:cs="Arial"/>
          <w:color w:val="000000"/>
          <w:sz w:val="20"/>
        </w:rPr>
        <w:t>, 422 U.S. 395, 401, 95 S. Ct. 2330, 45 L. Ed. 2d 272 (1975) (internal quotation marks omitted). Therefore, we do not address Mr. Kelley's claim that the district court erred in characterizing the order denying attorney fees and costs as a sanction.</w:t>
      </w:r>
    </w:p>
    <w:p w14:paraId="541EF132" w14:textId="77777777" w:rsidR="002B10A6" w:rsidRDefault="00000000">
      <w:pPr>
        <w:pStyle w:val="Normal43"/>
        <w:widowControl w:val="0"/>
        <w:spacing w:before="240" w:line="260" w:lineRule="atLeast"/>
      </w:pPr>
      <w:r>
        <w:br/>
      </w:r>
      <w:r>
        <w:rPr>
          <w:rFonts w:ascii="Arial" w:eastAsia="Arial" w:hAnsi="Arial" w:cs="Arial"/>
          <w:b/>
          <w:color w:val="000000"/>
          <w:sz w:val="20"/>
        </w:rPr>
        <w:t>V. MISCELLANEOUS ISSUES</w:t>
      </w:r>
    </w:p>
    <w:p w14:paraId="4217EB99" w14:textId="77777777" w:rsidR="002B10A6" w:rsidRDefault="00000000">
      <w:pPr>
        <w:pStyle w:val="Normal43"/>
        <w:widowControl w:val="0"/>
        <w:spacing w:before="200" w:line="260" w:lineRule="atLeast"/>
        <w:jc w:val="both"/>
      </w:pPr>
      <w:bookmarkStart w:id="7919" w:name="Bookmark_para_16_31"/>
      <w:bookmarkEnd w:id="7919"/>
      <w:r>
        <w:rPr>
          <w:rFonts w:ascii="Arial" w:eastAsia="Arial" w:hAnsi="Arial" w:cs="Arial"/>
          <w:color w:val="000000"/>
          <w:sz w:val="20"/>
        </w:rPr>
        <w:t>Smith's devotes almost five pages of its ten-page appellate argument to (1) explaining that an Arizona business funded Mr. Kelley's litigation, (2) describing the other litigation the [**11]  business has funded, and (3) comparing the other litigation to this case. These matters are not relevant to the issues on appeal. In addition, the five pages of legal arguments do not even mention several of Mr. Kelley's appellate arguments—whether discovery was required, whether the "</w:t>
      </w:r>
      <w:r>
        <w:rPr>
          <w:rFonts w:ascii="Arial" w:eastAsia="Arial" w:hAnsi="Arial" w:cs="Arial"/>
          <w:i/>
          <w:color w:val="000000"/>
          <w:sz w:val="20"/>
        </w:rPr>
        <w:t>Doran</w:t>
      </w:r>
      <w:r>
        <w:rPr>
          <w:rFonts w:ascii="Arial" w:eastAsia="Arial" w:hAnsi="Arial" w:cs="Arial"/>
          <w:color w:val="000000"/>
          <w:sz w:val="20"/>
        </w:rPr>
        <w:t xml:space="preserve"> doctrine" applied, whether Smith's was required to have an ADA policy, or whether the attorney-fee sanction was appropriate. Smith's briefing is unhelpful.</w:t>
      </w:r>
    </w:p>
    <w:p w14:paraId="2AB61DA8" w14:textId="77777777" w:rsidR="002B10A6" w:rsidRDefault="00000000">
      <w:pPr>
        <w:pStyle w:val="Normal43"/>
        <w:widowControl w:val="0"/>
        <w:spacing w:before="200" w:line="260" w:lineRule="atLeast"/>
        <w:jc w:val="both"/>
      </w:pPr>
      <w:bookmarkStart w:id="7920" w:name="Bookmark_para_17_31"/>
      <w:bookmarkEnd w:id="7920"/>
      <w:r>
        <w:rPr>
          <w:rFonts w:ascii="Arial" w:eastAsia="Arial" w:hAnsi="Arial" w:cs="Arial"/>
          <w:color w:val="000000"/>
          <w:sz w:val="20"/>
        </w:rPr>
        <w:t>In his appellate reply brief, Mr. Kelley asserts that in arguing he was an agent of the Arizona business—an argument he claims the district court rejected—Smith's "made multiple baseless allegations, [made] logic[al] fallacies, and cast multiple aspersions, amounting to ad hominem attacks on Kelley and his [c]ounsel." Aplt. Reply Br. at 12. He includes in his appellate reply brief a request that this court award attorney fees for Smith's allegedly sanctionable argument.</w:t>
      </w:r>
    </w:p>
    <w:p w14:paraId="279C7E0A" w14:textId="77777777" w:rsidR="002B10A6" w:rsidRDefault="00000000">
      <w:pPr>
        <w:pStyle w:val="Normal43"/>
        <w:widowControl w:val="0"/>
        <w:spacing w:before="200" w:line="260" w:lineRule="atLeast"/>
        <w:jc w:val="both"/>
      </w:pPr>
      <w:bookmarkStart w:id="7921" w:name="Bookmark_para_18_30"/>
      <w:bookmarkStart w:id="7922" w:name="Bookmark_I5XN8YMM2HM5V80030000400"/>
      <w:bookmarkEnd w:id="7921"/>
      <w:bookmarkEnd w:id="7922"/>
      <w:r>
        <w:rPr>
          <w:rFonts w:ascii="Arial" w:eastAsia="Arial" w:hAnsi="Arial" w:cs="Arial"/>
          <w:color w:val="000000"/>
          <w:sz w:val="20"/>
        </w:rPr>
        <w:t xml:space="preserve">"We must deny this request because [Mr. Kelley] failed to file a separate motion or notice requesting sanctions." </w:t>
      </w:r>
      <w:bookmarkStart w:id="7923" w:name="Bookmark_I5XN8YMM2HM5V80020000400"/>
      <w:bookmarkEnd w:id="7923"/>
      <w:r>
        <w:rPr>
          <w:rFonts w:ascii="Arial" w:eastAsia="Arial" w:hAnsi="Arial" w:cs="Arial"/>
          <w:i/>
          <w:color w:val="000000"/>
          <w:sz w:val="20"/>
        </w:rPr>
        <w:t>Abeyta v. City of Albuquerque</w:t>
      </w:r>
      <w:r>
        <w:rPr>
          <w:rFonts w:ascii="Arial" w:eastAsia="Arial" w:hAnsi="Arial" w:cs="Arial"/>
          <w:color w:val="000000"/>
          <w:sz w:val="20"/>
        </w:rPr>
        <w:t xml:space="preserve">, 664 F.3d 792, 797 (10th Cir. 2011). </w:t>
      </w:r>
      <w:bookmarkStart w:id="7924" w:name="Bookmark_LNHNREFclscc10_24"/>
      <w:bookmarkEnd w:id="7924"/>
      <w:r>
        <w:rPr>
          <w:rFonts w:ascii="Arial" w:eastAsia="Arial" w:hAnsi="Arial" w:cs="Arial"/>
          <w:color w:val="000000"/>
          <w:sz w:val="20"/>
        </w:rPr>
        <w:t xml:space="preserve">"[Federal Rule of Appellate Procedure 38] requires that before a court of appeals may impose sanctions, the person to be sanctioned must have notice and an opportunity to respond. A separately filed motion [**12]  requesting sanctions constitutes notice. A statement inserted in a party's brief that the party moves for sanctions is not sufficient notice [*793]  ." </w:t>
      </w:r>
      <w:r>
        <w:rPr>
          <w:rFonts w:ascii="Arial" w:eastAsia="Arial" w:hAnsi="Arial" w:cs="Arial"/>
          <w:i/>
          <w:color w:val="000000"/>
          <w:sz w:val="20"/>
        </w:rPr>
        <w:t>Id.</w:t>
      </w:r>
      <w:r>
        <w:rPr>
          <w:rFonts w:ascii="Arial" w:eastAsia="Arial" w:hAnsi="Arial" w:cs="Arial"/>
          <w:color w:val="000000"/>
          <w:sz w:val="20"/>
        </w:rPr>
        <w:t xml:space="preserve"> (ellipsis and internal quotation marks omitted).</w:t>
      </w:r>
    </w:p>
    <w:p w14:paraId="399C0E77" w14:textId="77777777" w:rsidR="002B10A6" w:rsidRDefault="00000000">
      <w:pPr>
        <w:pStyle w:val="Normal43"/>
        <w:widowControl w:val="0"/>
        <w:spacing w:before="240" w:line="260" w:lineRule="atLeast"/>
      </w:pPr>
      <w:r>
        <w:br/>
      </w:r>
      <w:r>
        <w:rPr>
          <w:rFonts w:ascii="Arial" w:eastAsia="Arial" w:hAnsi="Arial" w:cs="Arial"/>
          <w:b/>
          <w:color w:val="000000"/>
          <w:sz w:val="20"/>
        </w:rPr>
        <w:t>VI. CONCLUSION</w:t>
      </w:r>
    </w:p>
    <w:p w14:paraId="32E3B3FD" w14:textId="77777777" w:rsidR="002B10A6" w:rsidRDefault="00000000">
      <w:pPr>
        <w:pStyle w:val="Normal43"/>
        <w:widowControl w:val="0"/>
        <w:spacing w:before="200" w:line="260" w:lineRule="atLeast"/>
        <w:jc w:val="both"/>
      </w:pPr>
      <w:bookmarkStart w:id="7925" w:name="Bookmark_para_19_29"/>
      <w:bookmarkEnd w:id="7925"/>
      <w:r>
        <w:rPr>
          <w:rFonts w:ascii="Arial" w:eastAsia="Arial" w:hAnsi="Arial" w:cs="Arial"/>
          <w:color w:val="000000"/>
          <w:sz w:val="20"/>
        </w:rPr>
        <w:t>We affirm the district court's judgment.</w:t>
      </w:r>
    </w:p>
    <w:p w14:paraId="647CB2B2" w14:textId="77777777" w:rsidR="002B10A6" w:rsidRDefault="00000000">
      <w:pPr>
        <w:pStyle w:val="Normal43"/>
        <w:widowControl w:val="0"/>
        <w:spacing w:before="200" w:line="260" w:lineRule="atLeast"/>
        <w:jc w:val="both"/>
      </w:pPr>
      <w:bookmarkStart w:id="7926" w:name="Bookmark_para_20_29"/>
      <w:bookmarkEnd w:id="7926"/>
      <w:r>
        <w:rPr>
          <w:rFonts w:ascii="Arial" w:eastAsia="Arial" w:hAnsi="Arial" w:cs="Arial"/>
          <w:color w:val="000000"/>
          <w:sz w:val="20"/>
        </w:rPr>
        <w:t>Entered for the Court</w:t>
      </w:r>
    </w:p>
    <w:p w14:paraId="1EE042F0" w14:textId="77777777" w:rsidR="002B10A6" w:rsidRDefault="00000000">
      <w:pPr>
        <w:pStyle w:val="Normal43"/>
        <w:widowControl w:val="0"/>
        <w:spacing w:before="200" w:line="260" w:lineRule="atLeast"/>
        <w:jc w:val="both"/>
      </w:pPr>
      <w:bookmarkStart w:id="7927" w:name="Bookmark_para_21_29"/>
      <w:bookmarkEnd w:id="7927"/>
      <w:r>
        <w:rPr>
          <w:rFonts w:ascii="Arial" w:eastAsia="Arial" w:hAnsi="Arial" w:cs="Arial"/>
          <w:color w:val="000000"/>
          <w:sz w:val="20"/>
        </w:rPr>
        <w:t>Harris L Hartz</w:t>
      </w:r>
    </w:p>
    <w:p w14:paraId="1C74B6B9" w14:textId="77777777" w:rsidR="002B10A6" w:rsidRDefault="00000000">
      <w:pPr>
        <w:pStyle w:val="Normal43"/>
        <w:widowControl w:val="0"/>
        <w:spacing w:before="200" w:line="260" w:lineRule="atLeast"/>
        <w:jc w:val="both"/>
      </w:pPr>
      <w:bookmarkStart w:id="7928" w:name="Bookmark_para_22_28"/>
      <w:bookmarkEnd w:id="7928"/>
      <w:r>
        <w:rPr>
          <w:rFonts w:ascii="Arial" w:eastAsia="Arial" w:hAnsi="Arial" w:cs="Arial"/>
          <w:color w:val="000000"/>
          <w:sz w:val="20"/>
        </w:rPr>
        <w:t>Circuit Judge</w:t>
      </w:r>
    </w:p>
    <w:p w14:paraId="4492A043" w14:textId="77777777" w:rsidR="002B10A6" w:rsidRDefault="002B10A6">
      <w:pPr>
        <w:pStyle w:val="Normal43"/>
      </w:pPr>
    </w:p>
    <w:p w14:paraId="481B0800" w14:textId="7D9C34CC" w:rsidR="002B10A6" w:rsidRDefault="00000000">
      <w:pPr>
        <w:pStyle w:val="Normal43"/>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53472" behindDoc="0" locked="0" layoutInCell="1" allowOverlap="1" wp14:anchorId="246A5C9B" wp14:editId="6C471276">
                <wp:simplePos x="0" y="0"/>
                <wp:positionH relativeFrom="column">
                  <wp:posOffset>0</wp:posOffset>
                </wp:positionH>
                <wp:positionV relativeFrom="paragraph">
                  <wp:posOffset>127000</wp:posOffset>
                </wp:positionV>
                <wp:extent cx="6502400" cy="0"/>
                <wp:effectExtent l="9525" t="12700" r="12700" b="6350"/>
                <wp:wrapNone/>
                <wp:docPr id="1740208184"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83DF5"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00EC3C9" w14:textId="77777777" w:rsidR="002B10A6" w:rsidRDefault="002B10A6">
      <w:pPr>
        <w:pStyle w:val="Normal44"/>
        <w:sectPr w:rsidR="002B10A6">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gutter="0"/>
          <w:cols w:space="720"/>
          <w:titlePg/>
        </w:sectPr>
      </w:pPr>
    </w:p>
    <w:p w14:paraId="6179E36A" w14:textId="77777777" w:rsidR="002B10A6" w:rsidRDefault="002B10A6">
      <w:pPr>
        <w:pStyle w:val="Normal44"/>
      </w:pPr>
    </w:p>
    <w:p w14:paraId="1C163AD8" w14:textId="77777777" w:rsidR="002B10A6" w:rsidRDefault="00000000">
      <w:pPr>
        <w:pStyle w:val="Heading143"/>
        <w:keepNext w:val="0"/>
        <w:widowControl w:val="0"/>
        <w:spacing w:after="200" w:line="340" w:lineRule="atLeast"/>
        <w:jc w:val="center"/>
      </w:pPr>
      <w:r>
        <w:rPr>
          <w:rFonts w:eastAsia="Arial"/>
          <w:color w:val="000000"/>
          <w:sz w:val="28"/>
        </w:rPr>
        <w:t>Cropp v. Larimer Cty.</w:t>
      </w:r>
    </w:p>
    <w:p w14:paraId="1BDC2213" w14:textId="77777777" w:rsidR="002B10A6" w:rsidRDefault="00000000">
      <w:pPr>
        <w:pStyle w:val="Normal44"/>
        <w:widowControl w:val="0"/>
        <w:spacing w:before="120" w:line="260" w:lineRule="atLeast"/>
        <w:jc w:val="center"/>
      </w:pPr>
      <w:r>
        <w:rPr>
          <w:rFonts w:ascii="Arial" w:eastAsia="Arial" w:hAnsi="Arial" w:cs="Arial"/>
          <w:color w:val="000000"/>
          <w:sz w:val="20"/>
        </w:rPr>
        <w:t>United States Court of Appeals for the Tenth Circuit</w:t>
      </w:r>
    </w:p>
    <w:p w14:paraId="6713EFD1" w14:textId="77777777" w:rsidR="002B10A6" w:rsidRDefault="00000000">
      <w:pPr>
        <w:pStyle w:val="Normal44"/>
        <w:widowControl w:val="0"/>
        <w:spacing w:before="120" w:line="260" w:lineRule="atLeast"/>
        <w:jc w:val="center"/>
      </w:pPr>
      <w:r>
        <w:rPr>
          <w:rFonts w:ascii="Arial" w:eastAsia="Arial" w:hAnsi="Arial" w:cs="Arial"/>
          <w:color w:val="000000"/>
          <w:sz w:val="20"/>
        </w:rPr>
        <w:t>November 13, 2019, Filed</w:t>
      </w:r>
    </w:p>
    <w:p w14:paraId="02E4189E" w14:textId="77777777" w:rsidR="002B10A6" w:rsidRDefault="00000000">
      <w:pPr>
        <w:pStyle w:val="Normal44"/>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18-1262</w:t>
      </w:r>
    </w:p>
    <w:p w14:paraId="03912A43" w14:textId="77777777" w:rsidR="002B10A6" w:rsidRDefault="002B10A6">
      <w:pPr>
        <w:pStyle w:val="Normal44"/>
        <w:widowControl w:val="0"/>
        <w:spacing w:line="240" w:lineRule="atLeast"/>
        <w:jc w:val="both"/>
      </w:pPr>
      <w:bookmarkStart w:id="7929" w:name="Bookmark_45"/>
      <w:bookmarkEnd w:id="7929"/>
    </w:p>
    <w:p w14:paraId="730EFD0B" w14:textId="77777777" w:rsidR="002B10A6" w:rsidRDefault="00000000">
      <w:pPr>
        <w:pStyle w:val="Normal44"/>
        <w:widowControl w:val="0"/>
        <w:spacing w:before="200" w:line="240" w:lineRule="atLeast"/>
      </w:pPr>
      <w:bookmarkStart w:id="7930" w:name="Reporter_43"/>
      <w:bookmarkEnd w:id="7930"/>
      <w:r>
        <w:rPr>
          <w:rFonts w:ascii="Arial" w:eastAsia="Arial" w:hAnsi="Arial" w:cs="Arial"/>
          <w:b/>
          <w:color w:val="000000"/>
          <w:sz w:val="18"/>
        </w:rPr>
        <w:t>Reporter</w:t>
      </w:r>
    </w:p>
    <w:p w14:paraId="210E8261" w14:textId="77777777" w:rsidR="002B10A6" w:rsidRDefault="00000000">
      <w:pPr>
        <w:pStyle w:val="Normal44"/>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941 F.3d 1237 *; 793 Fed. Appx. 771 **; 2019 U.S. App. LEXIS 33814 ***; 2019 WL 5959598</w:t>
      </w:r>
    </w:p>
    <w:p w14:paraId="44AC8374" w14:textId="77777777" w:rsidR="002B10A6" w:rsidRDefault="00000000">
      <w:pPr>
        <w:pStyle w:val="Normal44"/>
        <w:widowControl w:val="0"/>
        <w:spacing w:before="120" w:line="260" w:lineRule="atLeast"/>
      </w:pPr>
      <w:r>
        <w:rPr>
          <w:rFonts w:ascii="Arial" w:eastAsia="Arial" w:hAnsi="Arial" w:cs="Arial"/>
          <w:color w:val="000000"/>
          <w:sz w:val="20"/>
        </w:rPr>
        <w:t>STANLEY CROPP; CATHERINE CROPP, Plaintiffs - Appellants, v. LARIMER COUNTY, COLORADO; KANDI WULFERT, Corporal of Larimer County Sheriff's Office, in her individual capacity, Defendants - Appellees.</w:t>
      </w:r>
    </w:p>
    <w:p w14:paraId="293BC62B" w14:textId="77777777" w:rsidR="002B10A6" w:rsidRDefault="00000000">
      <w:pPr>
        <w:pStyle w:val="Normal44"/>
        <w:widowControl w:val="0"/>
        <w:spacing w:before="240" w:line="260" w:lineRule="atLeast"/>
        <w:jc w:val="both"/>
      </w:pPr>
      <w:bookmarkStart w:id="7931" w:name="Prior_History_43"/>
      <w:bookmarkEnd w:id="7931"/>
      <w:r>
        <w:rPr>
          <w:rFonts w:ascii="Arial" w:eastAsia="Arial" w:hAnsi="Arial" w:cs="Arial"/>
          <w:b/>
          <w:color w:val="000000"/>
          <w:sz w:val="20"/>
        </w:rPr>
        <w:t>Prior History:</w:t>
      </w:r>
      <w:r>
        <w:rPr>
          <w:rFonts w:ascii="Arial" w:eastAsia="Arial" w:hAnsi="Arial" w:cs="Arial"/>
          <w:color w:val="000000"/>
          <w:sz w:val="20"/>
        </w:rPr>
        <w:t> </w:t>
      </w:r>
      <w:bookmarkStart w:id="7932" w:name="Bookmark_para_1_43"/>
      <w:bookmarkEnd w:id="7932"/>
      <w:r>
        <w:rPr>
          <w:rFonts w:ascii="Arial" w:eastAsia="Arial" w:hAnsi="Arial" w:cs="Arial"/>
          <w:color w:val="000000"/>
          <w:sz w:val="20"/>
        </w:rPr>
        <w:t> [***1] (D.C. No. 1:15-CV-02806-JLK). (D. Colo.).</w:t>
      </w:r>
    </w:p>
    <w:p w14:paraId="752E2EF8" w14:textId="77777777" w:rsidR="002B10A6" w:rsidRDefault="00000000">
      <w:pPr>
        <w:pStyle w:val="Normal44"/>
        <w:widowControl w:val="0"/>
        <w:spacing w:before="120" w:line="260" w:lineRule="atLeast"/>
      </w:pPr>
      <w:r>
        <w:rPr>
          <w:rFonts w:ascii="Arial" w:eastAsia="Arial" w:hAnsi="Arial" w:cs="Arial"/>
          <w:color w:val="000000"/>
          <w:sz w:val="20"/>
        </w:rPr>
        <w:t>Cropp v. Larimer Cty., 2018 U.S. Dist. LEXIS 233830, 2018 WL 10373735 (D. Colo., May 23, 2018)</w:t>
      </w:r>
    </w:p>
    <w:p w14:paraId="07CCC7A6" w14:textId="77777777" w:rsidR="002B10A6" w:rsidRDefault="00000000">
      <w:pPr>
        <w:pStyle w:val="Normal44"/>
        <w:widowControl w:val="0"/>
        <w:spacing w:before="240" w:line="260" w:lineRule="atLeast"/>
      </w:pPr>
      <w:bookmarkStart w:id="7933" w:name="Counsel_42"/>
      <w:bookmarkEnd w:id="7933"/>
      <w:r>
        <w:rPr>
          <w:rFonts w:ascii="Arial" w:eastAsia="Arial" w:hAnsi="Arial" w:cs="Arial"/>
          <w:b/>
          <w:color w:val="000000"/>
          <w:sz w:val="20"/>
        </w:rPr>
        <w:t>Counsel:</w:t>
      </w:r>
      <w:r>
        <w:rPr>
          <w:rFonts w:ascii="Arial" w:eastAsia="Arial" w:hAnsi="Arial" w:cs="Arial"/>
          <w:color w:val="000000"/>
          <w:sz w:val="20"/>
        </w:rPr>
        <w:t> For Stanley Cropp, Plaintiff - Appellant: Michael Paul Fairhurst, Darold W. Killmer, Esq., Killmer, Lane &amp; Newman, Denver, CO.</w:t>
      </w:r>
    </w:p>
    <w:p w14:paraId="5613DFFA" w14:textId="77777777" w:rsidR="002B10A6" w:rsidRDefault="00000000">
      <w:pPr>
        <w:pStyle w:val="Normal44"/>
        <w:widowControl w:val="0"/>
        <w:spacing w:before="120" w:line="260" w:lineRule="atLeast"/>
      </w:pPr>
      <w:r>
        <w:rPr>
          <w:rFonts w:ascii="Arial" w:eastAsia="Arial" w:hAnsi="Arial" w:cs="Arial"/>
          <w:color w:val="000000"/>
          <w:sz w:val="20"/>
        </w:rPr>
        <w:t>For Catherine Cropp, Larimer County, Colorado, KANDI WULFERT, Corporal of Larimer County Sheriff's Office, in her individual capacity, Defendants - Appellees: David M. Goddard, Michael Turner Lowe, Bruno, Colin &amp; Lowe, Denver, CO; Jeannine Sue Haag, Larimer County Attorney's Office, Fort Collins, CO.</w:t>
      </w:r>
    </w:p>
    <w:p w14:paraId="53846E42" w14:textId="77777777" w:rsidR="002B10A6" w:rsidRDefault="00000000">
      <w:pPr>
        <w:pStyle w:val="Normal44"/>
        <w:widowControl w:val="0"/>
        <w:spacing w:before="240" w:line="260" w:lineRule="atLeast"/>
      </w:pPr>
      <w:bookmarkStart w:id="7934" w:name="Judges_43"/>
      <w:bookmarkEnd w:id="7934"/>
      <w:r>
        <w:rPr>
          <w:rFonts w:ascii="Arial" w:eastAsia="Arial" w:hAnsi="Arial" w:cs="Arial"/>
          <w:b/>
          <w:color w:val="000000"/>
          <w:sz w:val="20"/>
        </w:rPr>
        <w:t>Judges:</w:t>
      </w:r>
      <w:r>
        <w:rPr>
          <w:rFonts w:ascii="Arial" w:eastAsia="Arial" w:hAnsi="Arial" w:cs="Arial"/>
          <w:color w:val="000000"/>
          <w:sz w:val="20"/>
        </w:rPr>
        <w:t> Before BRISCOE, LUCERO, and MORITZ, Circuit Judges. LUCERO, J., concurring in part and dissenting in part.</w:t>
      </w:r>
    </w:p>
    <w:p w14:paraId="1A86BE29" w14:textId="77777777" w:rsidR="002B10A6" w:rsidRDefault="00000000">
      <w:pPr>
        <w:pStyle w:val="Normal44"/>
        <w:widowControl w:val="0"/>
        <w:spacing w:before="240" w:line="260" w:lineRule="atLeast"/>
      </w:pPr>
      <w:bookmarkStart w:id="7935" w:name="Opinion_by_30"/>
      <w:bookmarkEnd w:id="7935"/>
      <w:r>
        <w:rPr>
          <w:rFonts w:ascii="Arial" w:eastAsia="Arial" w:hAnsi="Arial" w:cs="Arial"/>
          <w:b/>
          <w:color w:val="000000"/>
          <w:sz w:val="20"/>
        </w:rPr>
        <w:t>Opinion by:</w:t>
      </w:r>
      <w:r>
        <w:rPr>
          <w:rFonts w:ascii="Arial" w:eastAsia="Arial" w:hAnsi="Arial" w:cs="Arial"/>
          <w:color w:val="000000"/>
          <w:sz w:val="20"/>
        </w:rPr>
        <w:t> Nancy L. Moritz</w:t>
      </w:r>
    </w:p>
    <w:p w14:paraId="3E39D8C0" w14:textId="77777777" w:rsidR="002B10A6" w:rsidRDefault="00000000">
      <w:pPr>
        <w:pStyle w:val="Normal44"/>
        <w:keepNext/>
        <w:widowControl w:val="0"/>
        <w:spacing w:before="240" w:line="340" w:lineRule="atLeast"/>
      </w:pPr>
      <w:bookmarkStart w:id="7936" w:name="Opinion_43"/>
      <w:bookmarkEnd w:id="7936"/>
      <w:r>
        <w:rPr>
          <w:rFonts w:ascii="Arial" w:eastAsia="Arial" w:hAnsi="Arial" w:cs="Arial"/>
          <w:b/>
          <w:color w:val="000000"/>
          <w:sz w:val="28"/>
        </w:rPr>
        <w:t>Opinion</w:t>
      </w:r>
    </w:p>
    <w:p w14:paraId="4C3D1DE2" w14:textId="28F550D0" w:rsidR="002B10A6" w:rsidRDefault="002D6974">
      <w:pPr>
        <w:pStyle w:val="Normal44"/>
        <w:spacing w:line="60" w:lineRule="exact"/>
      </w:pPr>
      <w:r>
        <w:rPr>
          <w:noProof/>
        </w:rPr>
        <mc:AlternateContent>
          <mc:Choice Requires="wps">
            <w:drawing>
              <wp:anchor distT="0" distB="0" distL="114300" distR="114300" simplePos="0" relativeHeight="251754496" behindDoc="0" locked="0" layoutInCell="1" allowOverlap="1" wp14:anchorId="1F6F773C" wp14:editId="5F0048CA">
                <wp:simplePos x="0" y="0"/>
                <wp:positionH relativeFrom="column">
                  <wp:posOffset>0</wp:posOffset>
                </wp:positionH>
                <wp:positionV relativeFrom="paragraph">
                  <wp:posOffset>25400</wp:posOffset>
                </wp:positionV>
                <wp:extent cx="3187700" cy="0"/>
                <wp:effectExtent l="19050" t="15875" r="12700" b="12700"/>
                <wp:wrapTopAndBottom/>
                <wp:docPr id="1973703942"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5EBF5"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5FB042AA" w14:textId="77777777" w:rsidR="002B10A6" w:rsidRDefault="002B10A6">
      <w:pPr>
        <w:pStyle w:val="Normal44"/>
      </w:pPr>
    </w:p>
    <w:p w14:paraId="07FA4C40" w14:textId="77777777" w:rsidR="002B10A6" w:rsidRDefault="00000000">
      <w:pPr>
        <w:pStyle w:val="Normal44"/>
        <w:widowControl w:val="0"/>
        <w:spacing w:before="200" w:line="260" w:lineRule="atLeast"/>
        <w:jc w:val="both"/>
      </w:pPr>
      <w:bookmarkStart w:id="7937" w:name="Bookmark_para_2_43"/>
      <w:bookmarkEnd w:id="7937"/>
      <w:r>
        <w:rPr>
          <w:rFonts w:ascii="Arial" w:eastAsia="Arial" w:hAnsi="Arial" w:cs="Arial"/>
          <w:color w:val="000000"/>
          <w:sz w:val="20"/>
        </w:rPr>
        <w:t>[EDITOR'S NOTE: The following court-provided text does not appear at this cite in F.3d.]</w:t>
      </w:r>
    </w:p>
    <w:p w14:paraId="284BFA95" w14:textId="77777777" w:rsidR="002B10A6" w:rsidRDefault="00000000">
      <w:pPr>
        <w:pStyle w:val="Normal44"/>
        <w:widowControl w:val="0"/>
        <w:spacing w:before="240" w:line="260" w:lineRule="atLeast"/>
      </w:pPr>
      <w:r>
        <w:br/>
      </w:r>
      <w:r>
        <w:rPr>
          <w:rFonts w:ascii="Arial" w:eastAsia="Arial" w:hAnsi="Arial" w:cs="Arial"/>
          <w:color w:val="000000"/>
          <w:sz w:val="20"/>
        </w:rPr>
        <w:t xml:space="preserve"> [**773]   [*none]  </w:t>
      </w:r>
      <w:r>
        <w:rPr>
          <w:rFonts w:ascii="Arial" w:eastAsia="Arial" w:hAnsi="Arial" w:cs="Arial"/>
          <w:b/>
          <w:color w:val="000000"/>
          <w:sz w:val="20"/>
        </w:rPr>
        <w:t>ORDER AND JUDGMENT</w:t>
      </w:r>
      <w:r>
        <w:rPr>
          <w:rFonts w:ascii="Arial" w:eastAsia="Arial" w:hAnsi="Arial" w:cs="Arial"/>
          <w:vertAlign w:val="superscript"/>
        </w:rPr>
        <w:footnoteReference w:customMarkFollows="1" w:id="415"/>
        <w:t>*</w:t>
      </w:r>
    </w:p>
    <w:p w14:paraId="05D8FCFA" w14:textId="77777777" w:rsidR="002B10A6" w:rsidRDefault="00000000">
      <w:pPr>
        <w:pStyle w:val="Normal44"/>
        <w:widowControl w:val="0"/>
        <w:spacing w:before="200" w:line="260" w:lineRule="atLeast"/>
        <w:jc w:val="both"/>
      </w:pPr>
      <w:bookmarkStart w:id="7939" w:name="Bookmark_para_3_43"/>
      <w:bookmarkEnd w:id="7939"/>
      <w:r>
        <w:rPr>
          <w:rFonts w:ascii="Arial" w:eastAsia="Arial" w:hAnsi="Arial" w:cs="Arial"/>
          <w:color w:val="000000"/>
          <w:sz w:val="20"/>
        </w:rPr>
        <w:t>Plaintiffs Stanley Cropp and Catherine Cropp (collectively, the Cropps) brought suit against defendant Larimer County (the County), alleging that the County violated their rights under Title II of the Americans with Disabilities Act (ADA) of 1990, 42 U.S.C. § 12132, and § 504 of the Rehabilitation Act of 1973, 29 U.S.C. § 794. The district court granted summary judgment to the County. The Cropps now appeal the district court's order. For the reasons discussed below, we affirm in part, reverse in part, and remand to the district court for further proceedings consistent with this order and judgment.</w:t>
      </w:r>
    </w:p>
    <w:p w14:paraId="706DA3F0" w14:textId="77777777" w:rsidR="002B10A6" w:rsidRDefault="00000000">
      <w:pPr>
        <w:pStyle w:val="Normal44"/>
        <w:widowControl w:val="0"/>
        <w:spacing w:before="240" w:line="260" w:lineRule="atLeast"/>
      </w:pPr>
      <w:r>
        <w:br/>
      </w:r>
      <w:r>
        <w:rPr>
          <w:rFonts w:ascii="Arial" w:eastAsia="Arial" w:hAnsi="Arial" w:cs="Arial"/>
          <w:b/>
          <w:color w:val="000000"/>
          <w:sz w:val="20"/>
        </w:rPr>
        <w:t>Background</w:t>
      </w:r>
      <w:r>
        <w:rPr>
          <w:rFonts w:ascii="Arial" w:eastAsia="Arial" w:hAnsi="Arial" w:cs="Arial"/>
          <w:vertAlign w:val="superscript"/>
        </w:rPr>
        <w:footnoteReference w:customMarkFollows="1" w:id="416"/>
        <w:t>1</w:t>
      </w:r>
    </w:p>
    <w:p w14:paraId="393712F8" w14:textId="77777777" w:rsidR="002B10A6" w:rsidRDefault="00000000">
      <w:pPr>
        <w:pStyle w:val="Normal44"/>
        <w:widowControl w:val="0"/>
        <w:spacing w:before="200" w:line="260" w:lineRule="atLeast"/>
        <w:jc w:val="both"/>
      </w:pPr>
      <w:bookmarkStart w:id="7943" w:name="Bookmark_para_4_43"/>
      <w:bookmarkEnd w:id="7943"/>
      <w:r>
        <w:rPr>
          <w:rFonts w:ascii="Arial" w:eastAsia="Arial" w:hAnsi="Arial" w:cs="Arial"/>
          <w:color w:val="000000"/>
          <w:sz w:val="20"/>
        </w:rPr>
        <w:t>Mr. [***2]  Cropp suffers from Alzheimer's disease and dementia. Late one evening, Mr. Cropp was on a walk by himself near the Cropps' Colorado home when officers with the Fort Collins Police department stopped him and began asking him questions. Confused by the encounter, Mr. Cropp attempted to walk away. In response, the officers violently tackled him, threw him into the gravel, handcuffed him, and arrested him.</w:t>
      </w:r>
      <w:r>
        <w:rPr>
          <w:rFonts w:ascii="Arial" w:eastAsia="Arial" w:hAnsi="Arial" w:cs="Arial"/>
          <w:vertAlign w:val="superscript"/>
        </w:rPr>
        <w:footnoteReference w:customMarkFollows="1" w:id="417"/>
        <w:t>2</w:t>
      </w:r>
      <w:r>
        <w:rPr>
          <w:rFonts w:ascii="Arial" w:eastAsia="Arial" w:hAnsi="Arial" w:cs="Arial"/>
          <w:color w:val="000000"/>
          <w:sz w:val="20"/>
        </w:rPr>
        <w:t xml:space="preserve"> They then transported Mr. Cropp to the Larimer County Jail (the Jail).</w:t>
      </w:r>
    </w:p>
    <w:p w14:paraId="10DF7369" w14:textId="77777777" w:rsidR="002B10A6" w:rsidRDefault="00000000">
      <w:pPr>
        <w:pStyle w:val="Normal44"/>
        <w:widowControl w:val="0"/>
        <w:spacing w:before="200" w:line="260" w:lineRule="atLeast"/>
        <w:jc w:val="both"/>
      </w:pPr>
      <w:bookmarkStart w:id="7945" w:name="Bookmark_para_5_43"/>
      <w:bookmarkEnd w:id="7945"/>
      <w:r>
        <w:rPr>
          <w:rFonts w:ascii="Arial" w:eastAsia="Arial" w:hAnsi="Arial" w:cs="Arial"/>
          <w:color w:val="000000"/>
          <w:sz w:val="20"/>
        </w:rPr>
        <w:t xml:space="preserve">When Mrs. Cropp learned of Mr. Cropp's arrest and went to the Jail to obtain his release, she informed Kandi Wulfert, a Corporal with the Larimer County Sheriff's Office, that Mr. Cropp suffers from Alzheimer's disease. Mrs.  [**774]  Cropp then asked Wulfert what steps she needed to take to secure Mr. Cropp's release. In response, Wulfert told her that the Jail could not release Mr. Cropp until he signed an appearance-bond form. Yet as Mr. Cropp then explained to Mrs. Cropp via the Jail's internal telephone system, he did not understand the form he needed to sign. Thus, Mrs. Cropp requested permission "to sit next to her husband to help explain the situation and assist him in completing the release paperwork." App. vol. [***3]  4, 1080. Jail officials countered by offering Mrs. Cropp a chance to speak to Mr. Cropp "using the visitation booth in the booking area." </w:t>
      </w:r>
      <w:r>
        <w:rPr>
          <w:rFonts w:ascii="Arial" w:eastAsia="Arial" w:hAnsi="Arial" w:cs="Arial"/>
          <w:i/>
          <w:color w:val="000000"/>
          <w:sz w:val="20"/>
        </w:rPr>
        <w:t>Id.</w:t>
      </w:r>
      <w:r>
        <w:rPr>
          <w:rFonts w:ascii="Arial" w:eastAsia="Arial" w:hAnsi="Arial" w:cs="Arial"/>
          <w:color w:val="000000"/>
          <w:sz w:val="20"/>
        </w:rPr>
        <w:t xml:space="preserve"> at 1081. This arrangement would have allowed the Cropps to speak via telephone and to see each other face-to-face—albeit "through a glass partition." </w:t>
      </w:r>
      <w:r>
        <w:rPr>
          <w:rFonts w:ascii="Arial" w:eastAsia="Arial" w:hAnsi="Arial" w:cs="Arial"/>
          <w:i/>
          <w:color w:val="000000"/>
          <w:sz w:val="20"/>
        </w:rPr>
        <w:t>Id.</w:t>
      </w:r>
      <w:r>
        <w:rPr>
          <w:rFonts w:ascii="Arial" w:eastAsia="Arial" w:hAnsi="Arial" w:cs="Arial"/>
          <w:color w:val="000000"/>
          <w:sz w:val="20"/>
        </w:rPr>
        <w:t xml:space="preserve"> In addition, jail officials provided Mr. Cropp with access to "pretrial staff" who "discussed the paperwork with [him] during intake." </w:t>
      </w:r>
      <w:r>
        <w:rPr>
          <w:rFonts w:ascii="Arial" w:eastAsia="Arial" w:hAnsi="Arial" w:cs="Arial"/>
          <w:i/>
          <w:color w:val="000000"/>
          <w:sz w:val="20"/>
        </w:rPr>
        <w:t>Id.</w:t>
      </w:r>
      <w:r>
        <w:rPr>
          <w:rFonts w:ascii="Arial" w:eastAsia="Arial" w:hAnsi="Arial" w:cs="Arial"/>
          <w:color w:val="000000"/>
          <w:sz w:val="20"/>
        </w:rPr>
        <w:t xml:space="preserve"> at 1091. "[J]ail personnel" also "attempted to explain the pretrial process and paperwork requirements to" Mrs. Cropp. </w:t>
      </w:r>
      <w:r>
        <w:rPr>
          <w:rFonts w:ascii="Arial" w:eastAsia="Arial" w:hAnsi="Arial" w:cs="Arial"/>
          <w:i/>
          <w:color w:val="000000"/>
          <w:sz w:val="20"/>
        </w:rPr>
        <w:t>Id.</w:t>
      </w:r>
      <w:r>
        <w:rPr>
          <w:rFonts w:ascii="Arial" w:eastAsia="Arial" w:hAnsi="Arial" w:cs="Arial"/>
          <w:color w:val="000000"/>
          <w:sz w:val="20"/>
        </w:rPr>
        <w:t xml:space="preserve"> And when Mrs. Cropp asked to speak to a nurse, Wulfert "got the nurse for [her]." App. vol. 1, 205.</w:t>
      </w:r>
    </w:p>
    <w:p w14:paraId="675B4946" w14:textId="77777777" w:rsidR="002B10A6" w:rsidRDefault="00000000">
      <w:pPr>
        <w:pStyle w:val="Normal44"/>
        <w:widowControl w:val="0"/>
        <w:spacing w:before="200" w:line="260" w:lineRule="atLeast"/>
        <w:jc w:val="both"/>
      </w:pPr>
      <w:bookmarkStart w:id="7946" w:name="Bookmark_para_6_43"/>
      <w:bookmarkEnd w:id="7946"/>
      <w:r>
        <w:rPr>
          <w:rFonts w:ascii="Arial" w:eastAsia="Arial" w:hAnsi="Arial" w:cs="Arial"/>
          <w:color w:val="000000"/>
          <w:sz w:val="20"/>
        </w:rPr>
        <w:t xml:space="preserve">Mrs. Cropp declined to speak to the nurse because Wulfert insisted upon being present during the conversation. Likewise, Mrs. Cropp refused to use the visitation booth because she "did not feel" she could fully explain the appearance-bond form to Mr. Cropp "through the glass and a phone." </w:t>
      </w:r>
      <w:r>
        <w:rPr>
          <w:rFonts w:ascii="Arial" w:eastAsia="Arial" w:hAnsi="Arial" w:cs="Arial"/>
          <w:i/>
          <w:color w:val="000000"/>
          <w:sz w:val="20"/>
        </w:rPr>
        <w:t>Id.</w:t>
      </w:r>
      <w:r>
        <w:rPr>
          <w:rFonts w:ascii="Arial" w:eastAsia="Arial" w:hAnsi="Arial" w:cs="Arial"/>
          <w:color w:val="000000"/>
          <w:sz w:val="20"/>
        </w:rPr>
        <w:t xml:space="preserve"> at 196. More specifically, she "did not feel that [she] could sit down and go, [']This part says this, this is where you would sign this one, if you understand it.[']" </w:t>
      </w:r>
      <w:r>
        <w:rPr>
          <w:rFonts w:ascii="Arial" w:eastAsia="Arial" w:hAnsi="Arial" w:cs="Arial"/>
          <w:i/>
          <w:color w:val="000000"/>
          <w:sz w:val="20"/>
        </w:rPr>
        <w:t>Id.</w:t>
      </w:r>
      <w:r>
        <w:rPr>
          <w:rFonts w:ascii="Arial" w:eastAsia="Arial" w:hAnsi="Arial" w:cs="Arial"/>
          <w:color w:val="000000"/>
          <w:sz w:val="20"/>
        </w:rPr>
        <w:t xml:space="preserve"> And Mrs. Cropp informed jail officials of these concerns. That is, she told them that she could not "show" the [***4]  appearance-bond form to Mr. Cropp "and go over it" with him "so he would have true understanding" of its contents with a glass partition between them. </w:t>
      </w:r>
      <w:r>
        <w:rPr>
          <w:rFonts w:ascii="Arial" w:eastAsia="Arial" w:hAnsi="Arial" w:cs="Arial"/>
          <w:i/>
          <w:color w:val="000000"/>
          <w:sz w:val="20"/>
        </w:rPr>
        <w:t>Id.</w:t>
      </w:r>
      <w:r>
        <w:rPr>
          <w:rFonts w:ascii="Arial" w:eastAsia="Arial" w:hAnsi="Arial" w:cs="Arial"/>
          <w:color w:val="000000"/>
          <w:sz w:val="20"/>
        </w:rPr>
        <w:t xml:space="preserve"> at 255-56. She further stated, "I cannot do that as well: [']Do you see this here; this is what it's saying to you.['] I can't do that." </w:t>
      </w:r>
      <w:r>
        <w:rPr>
          <w:rFonts w:ascii="Arial" w:eastAsia="Arial" w:hAnsi="Arial" w:cs="Arial"/>
          <w:i/>
          <w:color w:val="000000"/>
          <w:sz w:val="20"/>
        </w:rPr>
        <w:t>Id.</w:t>
      </w:r>
      <w:r>
        <w:rPr>
          <w:rFonts w:ascii="Arial" w:eastAsia="Arial" w:hAnsi="Arial" w:cs="Arial"/>
          <w:color w:val="000000"/>
          <w:sz w:val="20"/>
        </w:rPr>
        <w:t xml:space="preserve"> at 256. Nevertheless, jail officials denied Mrs. Cropp's request to sit with Mr. Cropp, citing the Jail's "policy prohibiting physical[-]contact visitation between pretrial detainees and their family members."</w:t>
      </w:r>
      <w:r>
        <w:rPr>
          <w:rFonts w:ascii="Arial" w:eastAsia="Arial" w:hAnsi="Arial" w:cs="Arial"/>
          <w:vertAlign w:val="superscript"/>
        </w:rPr>
        <w:footnoteReference w:customMarkFollows="1" w:id="418"/>
        <w:t>3</w:t>
      </w:r>
      <w:r>
        <w:rPr>
          <w:rFonts w:ascii="Arial" w:eastAsia="Arial" w:hAnsi="Arial" w:cs="Arial"/>
          <w:color w:val="000000"/>
          <w:sz w:val="20"/>
        </w:rPr>
        <w:t xml:space="preserve"> App. vol. 4, 1080.</w:t>
      </w:r>
    </w:p>
    <w:p w14:paraId="3417033C" w14:textId="77777777" w:rsidR="002B10A6" w:rsidRDefault="00000000">
      <w:pPr>
        <w:pStyle w:val="Normal44"/>
        <w:widowControl w:val="0"/>
        <w:spacing w:before="200" w:line="260" w:lineRule="atLeast"/>
        <w:jc w:val="both"/>
      </w:pPr>
      <w:bookmarkStart w:id="7948" w:name="Bookmark_para_7_42"/>
      <w:bookmarkEnd w:id="7948"/>
      <w:r>
        <w:rPr>
          <w:rFonts w:ascii="Arial" w:eastAsia="Arial" w:hAnsi="Arial" w:cs="Arial"/>
          <w:color w:val="000000"/>
          <w:sz w:val="20"/>
        </w:rPr>
        <w:t>Mr. Cropp eventually signed the appearance-bond form without Mrs. Cropp's assistance. But by then, he had spent approximately eleven hours in custody.</w:t>
      </w:r>
    </w:p>
    <w:p w14:paraId="71E3D17C" w14:textId="77777777" w:rsidR="002B10A6" w:rsidRDefault="00000000">
      <w:pPr>
        <w:pStyle w:val="Normal44"/>
        <w:widowControl w:val="0"/>
        <w:spacing w:before="200" w:line="260" w:lineRule="atLeast"/>
        <w:jc w:val="both"/>
      </w:pPr>
      <w:bookmarkStart w:id="7949" w:name="Bookmark_para_8_42"/>
      <w:bookmarkEnd w:id="7949"/>
      <w:r>
        <w:rPr>
          <w:rFonts w:ascii="Arial" w:eastAsia="Arial" w:hAnsi="Arial" w:cs="Arial"/>
          <w:color w:val="000000"/>
          <w:sz w:val="20"/>
        </w:rPr>
        <w:t>Following Mr. Cropp's release, the Cropps sued the County. As relevant here, they alleged the County (1) discriminated against Mr. Cropp in violation of Title II and § 504 by denying him access to an unobstructed physical-contact visit with Mrs. Cropp, during which he could have discussed with her the meaning of the appearance-bond form; and (2) violated Mrs. Cropp's rights under Title II by discriminating against her based on her association with Mr. Cropp and by retaliating against her for engaging in protected activities.</w:t>
      </w:r>
    </w:p>
    <w:p w14:paraId="4BE88732" w14:textId="77777777" w:rsidR="002B10A6" w:rsidRDefault="00000000">
      <w:pPr>
        <w:pStyle w:val="Normal44"/>
        <w:widowControl w:val="0"/>
        <w:spacing w:before="200" w:line="260" w:lineRule="atLeast"/>
        <w:jc w:val="both"/>
      </w:pPr>
      <w:bookmarkStart w:id="7950" w:name="Bookmark_para_9_42"/>
      <w:bookmarkEnd w:id="7950"/>
      <w:r>
        <w:rPr>
          <w:rFonts w:ascii="Arial" w:eastAsia="Arial" w:hAnsi="Arial" w:cs="Arial"/>
          <w:color w:val="000000"/>
          <w:sz w:val="20"/>
        </w:rPr>
        <w:t>The County then filed [***5]  a motion for summary judgment on the Cropps' Title II and § 504 claims, and the district court granted that motion. The Cropps now appeal the district court's order granting summary judgment to the County on those claims.</w:t>
      </w:r>
      <w:r>
        <w:rPr>
          <w:rFonts w:ascii="Arial" w:eastAsia="Arial" w:hAnsi="Arial" w:cs="Arial"/>
          <w:vertAlign w:val="superscript"/>
        </w:rPr>
        <w:footnoteReference w:customMarkFollows="1" w:id="419"/>
        <w:t>4</w:t>
      </w:r>
    </w:p>
    <w:p w14:paraId="32975A76" w14:textId="77777777" w:rsidR="002B10A6" w:rsidRDefault="00000000">
      <w:pPr>
        <w:pStyle w:val="Normal44"/>
        <w:widowControl w:val="0"/>
        <w:spacing w:before="240" w:line="260" w:lineRule="atLeast"/>
      </w:pPr>
      <w:r>
        <w:br/>
      </w:r>
      <w:r>
        <w:rPr>
          <w:rFonts w:ascii="Arial" w:eastAsia="Arial" w:hAnsi="Arial" w:cs="Arial"/>
          <w:color w:val="000000"/>
          <w:sz w:val="20"/>
        </w:rPr>
        <w:t xml:space="preserve"> [**775]  </w:t>
      </w:r>
      <w:r>
        <w:rPr>
          <w:rFonts w:ascii="Arial" w:eastAsia="Arial" w:hAnsi="Arial" w:cs="Arial"/>
          <w:b/>
          <w:color w:val="000000"/>
          <w:sz w:val="20"/>
        </w:rPr>
        <w:t>Analysis</w:t>
      </w:r>
    </w:p>
    <w:p w14:paraId="73763DC7" w14:textId="77777777" w:rsidR="002B10A6" w:rsidRDefault="00000000">
      <w:pPr>
        <w:pStyle w:val="Normal44"/>
        <w:widowControl w:val="0"/>
        <w:spacing w:before="200" w:line="260" w:lineRule="atLeast"/>
        <w:jc w:val="both"/>
      </w:pPr>
      <w:bookmarkStart w:id="7952" w:name="Bookmark_para_10_41"/>
      <w:bookmarkEnd w:id="7952"/>
      <w:r>
        <w:rPr>
          <w:rFonts w:ascii="Arial" w:eastAsia="Arial" w:hAnsi="Arial" w:cs="Arial"/>
          <w:color w:val="000000"/>
          <w:sz w:val="20"/>
        </w:rPr>
        <w:t xml:space="preserve">In asserting that the district court erred in granting summary judgment to the County, the Cropps advance two arguments. First, they insist that a reasonable jury could find that the County intentionally "denied Mr. Cropp meaningful access to its programs and services by depriving him of the opportunity non-disabled people have to interpret the legal paperwork he was given [at the Jail] before choosing whether to sign it, in violation of [Title II] and [§ 504]." Aplt. Br. 21-22. Second, they allege that "a jury could properly find that [the] County discriminated and retaliated against Mrs. Cropp herself in violation of her own rights under [Title II]." </w:t>
      </w:r>
      <w:r>
        <w:rPr>
          <w:rFonts w:ascii="Arial" w:eastAsia="Arial" w:hAnsi="Arial" w:cs="Arial"/>
          <w:i/>
          <w:color w:val="000000"/>
          <w:sz w:val="20"/>
        </w:rPr>
        <w:t>Id.</w:t>
      </w:r>
      <w:r>
        <w:rPr>
          <w:rFonts w:ascii="Arial" w:eastAsia="Arial" w:hAnsi="Arial" w:cs="Arial"/>
          <w:color w:val="000000"/>
          <w:sz w:val="20"/>
        </w:rPr>
        <w:t xml:space="preserve"> at 22.</w:t>
      </w:r>
    </w:p>
    <w:p w14:paraId="1A2CDE20" w14:textId="77777777" w:rsidR="002B10A6" w:rsidRDefault="00000000">
      <w:pPr>
        <w:pStyle w:val="Normal44"/>
        <w:widowControl w:val="0"/>
        <w:spacing w:before="200" w:line="260" w:lineRule="atLeast"/>
        <w:jc w:val="both"/>
      </w:pPr>
      <w:bookmarkStart w:id="7953" w:name="Bookmark_para_11_36"/>
      <w:bookmarkStart w:id="7954" w:name="Bookmark_I5XJ3CCS2N1R4M0040000400"/>
      <w:bookmarkEnd w:id="7953"/>
      <w:bookmarkEnd w:id="7954"/>
      <w:r>
        <w:rPr>
          <w:rFonts w:ascii="Arial" w:eastAsia="Arial" w:hAnsi="Arial" w:cs="Arial"/>
          <w:color w:val="000000"/>
          <w:sz w:val="20"/>
        </w:rPr>
        <w:t>In evaluating these arguments,</w:t>
      </w:r>
      <w:bookmarkStart w:id="7955" w:name="Bookmark_LNHNREFclscc1_34"/>
      <w:bookmarkEnd w:id="7955"/>
      <w:r>
        <w:rPr>
          <w:rFonts w:ascii="Arial" w:eastAsia="Arial" w:hAnsi="Arial" w:cs="Arial"/>
          <w:color w:val="000000"/>
          <w:sz w:val="20"/>
        </w:rPr>
        <w:t xml:space="preserve"> we review de novo the district court's order granting summary judgment to the County. </w:t>
      </w:r>
      <w:bookmarkStart w:id="7956" w:name="Bookmark_I5XJ3CCT28T4H40010000400"/>
      <w:bookmarkEnd w:id="7956"/>
      <w:r>
        <w:rPr>
          <w:rFonts w:ascii="Arial" w:eastAsia="Arial" w:hAnsi="Arial" w:cs="Arial"/>
          <w:i/>
          <w:color w:val="000000"/>
          <w:sz w:val="20"/>
        </w:rPr>
        <w:t xml:space="preserve">See </w:t>
      </w:r>
      <w:bookmarkStart w:id="7957" w:name="Bookmark_I5XJ3CCS2N1R4M0030000400"/>
      <w:bookmarkEnd w:id="7957"/>
      <w:r>
        <w:rPr>
          <w:rFonts w:ascii="Arial" w:eastAsia="Arial" w:hAnsi="Arial" w:cs="Arial"/>
          <w:i/>
          <w:color w:val="000000"/>
          <w:sz w:val="20"/>
        </w:rPr>
        <w:t>J.V. v. Albuquerque Pub. Sch.</w:t>
      </w:r>
      <w:r>
        <w:rPr>
          <w:rFonts w:ascii="Arial" w:eastAsia="Arial" w:hAnsi="Arial" w:cs="Arial"/>
          <w:color w:val="000000"/>
          <w:sz w:val="20"/>
        </w:rPr>
        <w:t xml:space="preserve">, 813 F.3d 1289, 1294 (10th Cir. 2016). </w:t>
      </w:r>
      <w:bookmarkStart w:id="7958" w:name="Bookmark_I5XJ3CCT28T4H40050000400"/>
      <w:bookmarkEnd w:id="7958"/>
      <w:r>
        <w:rPr>
          <w:rFonts w:ascii="Arial" w:eastAsia="Arial" w:hAnsi="Arial" w:cs="Arial"/>
          <w:color w:val="000000"/>
          <w:sz w:val="20"/>
        </w:rPr>
        <w:t xml:space="preserve">Summary judgment is appropriate when "there is no genuine dispute as to any material fact and the movant is entitled to judgment as a matter of law." Fed. R. Civ. P. 56(a). </w:t>
      </w:r>
      <w:bookmarkStart w:id="7959" w:name="Bookmark_I5XJ3CCT28T4H40050000400_2"/>
      <w:bookmarkStart w:id="7960" w:name="Bookmark_I5XJ3CCT28T4H40010000400_2"/>
      <w:bookmarkEnd w:id="7959"/>
      <w:bookmarkEnd w:id="7960"/>
      <w:r>
        <w:rPr>
          <w:rFonts w:ascii="Arial" w:eastAsia="Arial" w:hAnsi="Arial" w:cs="Arial"/>
          <w:color w:val="000000"/>
          <w:sz w:val="20"/>
        </w:rPr>
        <w:t xml:space="preserve">A dispute "is genuine 'if there is sufficient [***6]  evidence on each side so that a rational trier of fact could resolve the issue either way.'" </w:t>
      </w:r>
      <w:bookmarkStart w:id="7961" w:name="Bookmark_I5XJ3CCS2N1R4M0050000400"/>
      <w:bookmarkEnd w:id="7961"/>
      <w:r>
        <w:rPr>
          <w:rFonts w:ascii="Arial" w:eastAsia="Arial" w:hAnsi="Arial" w:cs="Arial"/>
          <w:i/>
          <w:color w:val="000000"/>
          <w:sz w:val="20"/>
        </w:rPr>
        <w:t>J.V.</w:t>
      </w:r>
      <w:r>
        <w:rPr>
          <w:rFonts w:ascii="Arial" w:eastAsia="Arial" w:hAnsi="Arial" w:cs="Arial"/>
          <w:color w:val="000000"/>
          <w:sz w:val="20"/>
        </w:rPr>
        <w:t xml:space="preserve">, 813 F.3d at 1295 (quoting </w:t>
      </w:r>
      <w:bookmarkStart w:id="7962" w:name="Bookmark_I5XJ3CCT28T4H40020000400"/>
      <w:bookmarkEnd w:id="7962"/>
      <w:r>
        <w:rPr>
          <w:rFonts w:ascii="Arial" w:eastAsia="Arial" w:hAnsi="Arial" w:cs="Arial"/>
          <w:i/>
          <w:color w:val="000000"/>
          <w:sz w:val="20"/>
        </w:rPr>
        <w:t>Becker v. Bateman</w:t>
      </w:r>
      <w:r>
        <w:rPr>
          <w:rFonts w:ascii="Arial" w:eastAsia="Arial" w:hAnsi="Arial" w:cs="Arial"/>
          <w:color w:val="000000"/>
          <w:sz w:val="20"/>
        </w:rPr>
        <w:t xml:space="preserve">, 709 F.3d 1019, 1022 (10th Cir. 2013)). A dispute "is material 'if under the substantive law it is essential to the proper disposition of the claim.'" </w:t>
      </w:r>
      <w:r>
        <w:rPr>
          <w:rFonts w:ascii="Arial" w:eastAsia="Arial" w:hAnsi="Arial" w:cs="Arial"/>
          <w:i/>
          <w:color w:val="000000"/>
          <w:sz w:val="20"/>
        </w:rPr>
        <w:t>Id.</w:t>
      </w:r>
      <w:r>
        <w:rPr>
          <w:rFonts w:ascii="Arial" w:eastAsia="Arial" w:hAnsi="Arial" w:cs="Arial"/>
          <w:color w:val="000000"/>
          <w:sz w:val="20"/>
        </w:rPr>
        <w:t xml:space="preserve"> (quoting </w:t>
      </w:r>
      <w:bookmarkStart w:id="7963" w:name="Bookmark_I5XJ3CCT28T4H40040000400"/>
      <w:bookmarkEnd w:id="7963"/>
      <w:r>
        <w:rPr>
          <w:rFonts w:ascii="Arial" w:eastAsia="Arial" w:hAnsi="Arial" w:cs="Arial"/>
          <w:i/>
          <w:color w:val="000000"/>
          <w:sz w:val="20"/>
        </w:rPr>
        <w:t>Becker</w:t>
      </w:r>
      <w:r>
        <w:rPr>
          <w:rFonts w:ascii="Arial" w:eastAsia="Arial" w:hAnsi="Arial" w:cs="Arial"/>
          <w:color w:val="000000"/>
          <w:sz w:val="20"/>
        </w:rPr>
        <w:t>, 709 F.3d at 1022).</w:t>
      </w:r>
    </w:p>
    <w:p w14:paraId="46523B94" w14:textId="77777777" w:rsidR="002B10A6" w:rsidRDefault="00000000">
      <w:pPr>
        <w:pStyle w:val="Normal44"/>
        <w:widowControl w:val="0"/>
        <w:spacing w:before="200" w:line="260" w:lineRule="atLeast"/>
        <w:jc w:val="both"/>
      </w:pPr>
      <w:bookmarkStart w:id="7964" w:name="Bookmark_para_12_35"/>
      <w:bookmarkEnd w:id="7964"/>
      <w:r>
        <w:rPr>
          <w:rFonts w:ascii="Arial" w:eastAsia="Arial" w:hAnsi="Arial" w:cs="Arial"/>
          <w:color w:val="000000"/>
          <w:sz w:val="20"/>
        </w:rPr>
        <w:t xml:space="preserve">Before evaluating the Cropps' arguments under this standard, we pause here to clarify the precise nature of the claims before us. As discussed above, </w:t>
      </w:r>
      <w:r>
        <w:rPr>
          <w:rFonts w:ascii="Arial" w:eastAsia="Arial" w:hAnsi="Arial" w:cs="Arial"/>
          <w:i/>
          <w:color w:val="000000"/>
          <w:sz w:val="20"/>
        </w:rPr>
        <w:t>see supra</w:t>
      </w:r>
      <w:r>
        <w:rPr>
          <w:rFonts w:ascii="Arial" w:eastAsia="Arial" w:hAnsi="Arial" w:cs="Arial"/>
          <w:color w:val="000000"/>
          <w:sz w:val="20"/>
        </w:rPr>
        <w:t xml:space="preserve"> note 4, the Cropps brought several distinct claims, including (but not limited to) their Title II and § 504 claims. And in bringing these various claims, the Cropps also requested various forms of relief, including (1) compensatory damages, (2) declaratory relief, (3) injunctive relief, and (4) punitive damages. However, it is not clear from the Cropps' complaint whether they sought all four forms of relief on each of their various claims. Nor is it clear that the district court understood them to be doing so; indeed, in granting the County's motion for summary judgment, the district court mentioned only compensatory damages. Nevertheless, the Cropps assert on appeal that they sought both compensatory damages </w:t>
      </w:r>
      <w:r>
        <w:rPr>
          <w:rFonts w:ascii="Arial" w:eastAsia="Arial" w:hAnsi="Arial" w:cs="Arial"/>
          <w:i/>
          <w:color w:val="000000"/>
          <w:sz w:val="20"/>
        </w:rPr>
        <w:t>and</w:t>
      </w:r>
      <w:r>
        <w:rPr>
          <w:rFonts w:ascii="Arial" w:eastAsia="Arial" w:hAnsi="Arial" w:cs="Arial"/>
          <w:color w:val="000000"/>
          <w:sz w:val="20"/>
        </w:rPr>
        <w:t xml:space="preserve"> injunctive relief as remedies for their Title II and § 504 claims. Thus, in an abundance of caution, [***7]  we assume that the district court implicitly adjudicated their requests for both types of relief when it granted the County's motion for summary judgment on those claims.</w:t>
      </w:r>
    </w:p>
    <w:p w14:paraId="5BC48151" w14:textId="77777777" w:rsidR="002B10A6" w:rsidRDefault="00000000">
      <w:pPr>
        <w:pStyle w:val="Normal44"/>
        <w:widowControl w:val="0"/>
        <w:spacing w:before="200" w:line="260" w:lineRule="atLeast"/>
        <w:jc w:val="both"/>
      </w:pPr>
      <w:bookmarkStart w:id="7965" w:name="Bookmark_para_13_35"/>
      <w:bookmarkStart w:id="7966" w:name="Bookmark_I5XJ3CCT28T4H60020000400"/>
      <w:bookmarkStart w:id="7967" w:name="Bookmark_I5XJ3CCT28T4H60040000400"/>
      <w:bookmarkEnd w:id="7965"/>
      <w:bookmarkEnd w:id="7966"/>
      <w:bookmarkEnd w:id="7967"/>
      <w:r>
        <w:rPr>
          <w:rFonts w:ascii="Arial" w:eastAsia="Arial" w:hAnsi="Arial" w:cs="Arial"/>
          <w:color w:val="000000"/>
          <w:sz w:val="20"/>
        </w:rPr>
        <w:t xml:space="preserve">Yet to the extent the district court implicitly ruled on the Cropps' request for injunctive relief, it lacked jurisdiction to do so. By the time the Cropps filed suit against the County, Mr. Cropp was no longer in jail. And in the absence of any argument from the Cropps on this point, "we decline to speculate" about whether he "will likely end up [there] again" at some point "in the future." </w:t>
      </w:r>
      <w:bookmarkStart w:id="7968" w:name="Bookmark_I5XJ3CCT28T4H60010000400"/>
      <w:bookmarkEnd w:id="7968"/>
      <w:r>
        <w:rPr>
          <w:rFonts w:ascii="Arial" w:eastAsia="Arial" w:hAnsi="Arial" w:cs="Arial"/>
          <w:i/>
          <w:color w:val="000000"/>
          <w:sz w:val="20"/>
        </w:rPr>
        <w:t>Barney v. Pulsipher</w:t>
      </w:r>
      <w:r>
        <w:rPr>
          <w:rFonts w:ascii="Arial" w:eastAsia="Arial" w:hAnsi="Arial" w:cs="Arial"/>
          <w:color w:val="000000"/>
          <w:sz w:val="20"/>
        </w:rPr>
        <w:t xml:space="preserve">, 143 F.3d 1299, 1306 n.3 (10th Cir. 1998). Thus, we hold that the Cropps lacked standing to seek injunctive relief on their Title II and § 504 claims. </w:t>
      </w:r>
      <w:bookmarkStart w:id="7969" w:name="Bookmark_I5XJ3CCT2N1R4X0010000400"/>
      <w:bookmarkEnd w:id="7969"/>
      <w:r>
        <w:rPr>
          <w:rFonts w:ascii="Arial" w:eastAsia="Arial" w:hAnsi="Arial" w:cs="Arial"/>
          <w:i/>
          <w:color w:val="000000"/>
          <w:sz w:val="20"/>
        </w:rPr>
        <w:t>See id.</w:t>
      </w:r>
      <w:r>
        <w:rPr>
          <w:rFonts w:ascii="Arial" w:eastAsia="Arial" w:hAnsi="Arial" w:cs="Arial"/>
          <w:color w:val="000000"/>
          <w:sz w:val="20"/>
        </w:rPr>
        <w:t xml:space="preserve"> (holding that plaintiffs lacked standing to pursue claims for injunctive relief arising from their past confinement (citing </w:t>
      </w:r>
      <w:bookmarkStart w:id="7970" w:name="Bookmark_I5XJ3CCT28T4H60030000400"/>
      <w:bookmarkEnd w:id="7970"/>
      <w:r>
        <w:rPr>
          <w:rFonts w:ascii="Arial" w:eastAsia="Arial" w:hAnsi="Arial" w:cs="Arial"/>
          <w:i/>
          <w:color w:val="000000"/>
          <w:sz w:val="20"/>
        </w:rPr>
        <w:t>City of L.A. v. Lyons</w:t>
      </w:r>
      <w:r>
        <w:rPr>
          <w:rFonts w:ascii="Arial" w:eastAsia="Arial" w:hAnsi="Arial" w:cs="Arial"/>
          <w:color w:val="000000"/>
          <w:sz w:val="20"/>
        </w:rPr>
        <w:t xml:space="preserve">, 461 U.S. 95, 104-05, 103 S. Ct. 1660, 75 L. Ed. 2d 675 (1983))). </w:t>
      </w:r>
      <w:bookmarkStart w:id="7971" w:name="Bookmark_I5XJ3CCT2N1R4X0010000400_2"/>
      <w:bookmarkEnd w:id="7971"/>
      <w:r>
        <w:rPr>
          <w:rFonts w:ascii="Arial" w:eastAsia="Arial" w:hAnsi="Arial" w:cs="Arial"/>
          <w:color w:val="000000"/>
          <w:sz w:val="20"/>
        </w:rPr>
        <w:t xml:space="preserve">We therefore (1) reverse the district court's order to the extent it implicitly granted summary judgment to the County on the Cropps'  [**776]  Title II and § 504 claims for injunctive relief and (2) remand to the district court with directions to vacate that portion of its order and dismiss those claims without prejudice. </w:t>
      </w:r>
      <w:r>
        <w:rPr>
          <w:rFonts w:ascii="Arial" w:eastAsia="Arial" w:hAnsi="Arial" w:cs="Arial"/>
          <w:i/>
          <w:color w:val="000000"/>
          <w:sz w:val="20"/>
        </w:rPr>
        <w:t xml:space="preserve">See </w:t>
      </w:r>
      <w:bookmarkStart w:id="7972" w:name="Bookmark_I5XJ3CCT28T4H60050000400"/>
      <w:bookmarkEnd w:id="7972"/>
      <w:r>
        <w:rPr>
          <w:rFonts w:ascii="Arial" w:eastAsia="Arial" w:hAnsi="Arial" w:cs="Arial"/>
          <w:i/>
          <w:color w:val="000000"/>
          <w:sz w:val="20"/>
        </w:rPr>
        <w:t>Colo. Outfitters Ass'n v. Hickenlooper</w:t>
      </w:r>
      <w:r>
        <w:rPr>
          <w:rFonts w:ascii="Arial" w:eastAsia="Arial" w:hAnsi="Arial" w:cs="Arial"/>
          <w:color w:val="000000"/>
          <w:sz w:val="20"/>
        </w:rPr>
        <w:t>, 823 F.3d 537, 555 (10th Cir. 2016).</w:t>
      </w:r>
    </w:p>
    <w:p w14:paraId="1CA1F77D" w14:textId="77777777" w:rsidR="002B10A6" w:rsidRDefault="00000000">
      <w:pPr>
        <w:pStyle w:val="Normal44"/>
        <w:widowControl w:val="0"/>
        <w:spacing w:before="200" w:line="260" w:lineRule="atLeast"/>
        <w:jc w:val="both"/>
      </w:pPr>
      <w:bookmarkStart w:id="7973" w:name="Bookmark_para_14_35"/>
      <w:bookmarkEnd w:id="7973"/>
      <w:r>
        <w:rPr>
          <w:rFonts w:ascii="Arial" w:eastAsia="Arial" w:hAnsi="Arial" w:cs="Arial"/>
          <w:color w:val="000000"/>
          <w:sz w:val="20"/>
        </w:rPr>
        <w:t xml:space="preserve">Notably, however—and in stark contrast to their requests for injunctive and compensatory [***8]  relief—the Cropps make no mention of declaratory relief on appeal. Accordingly, we see no reason to suspect they requested such relief below on their Title II and § 504 claims, let alone that the district court resolved whether they were entitled to such relief for purposes of these particular claims. </w:t>
      </w:r>
      <w:bookmarkStart w:id="7974" w:name="Bookmark_I5XJ3CCT2N1R4X0030000400"/>
      <w:bookmarkEnd w:id="7974"/>
      <w:r>
        <w:rPr>
          <w:rFonts w:ascii="Arial" w:eastAsia="Arial" w:hAnsi="Arial" w:cs="Arial"/>
          <w:color w:val="000000"/>
          <w:sz w:val="20"/>
        </w:rPr>
        <w:t xml:space="preserve">Further, punitive damages are not available under Title II or § 504. So even assuming the Cropps sought such relief below, the County was necessarily entitled to summary judgment on that aspect of their Title II and § 504 claims. </w:t>
      </w:r>
      <w:r>
        <w:rPr>
          <w:rFonts w:ascii="Arial" w:eastAsia="Arial" w:hAnsi="Arial" w:cs="Arial"/>
          <w:i/>
          <w:color w:val="000000"/>
          <w:sz w:val="20"/>
        </w:rPr>
        <w:t xml:space="preserve">See </w:t>
      </w:r>
      <w:bookmarkStart w:id="7975" w:name="Bookmark_I5XJ3CCT2N1R4X0020000400"/>
      <w:bookmarkEnd w:id="7975"/>
      <w:r>
        <w:rPr>
          <w:rFonts w:ascii="Arial" w:eastAsia="Arial" w:hAnsi="Arial" w:cs="Arial"/>
          <w:i/>
          <w:color w:val="000000"/>
          <w:sz w:val="20"/>
        </w:rPr>
        <w:t>Barnes v. Gorman</w:t>
      </w:r>
      <w:r>
        <w:rPr>
          <w:rFonts w:ascii="Arial" w:eastAsia="Arial" w:hAnsi="Arial" w:cs="Arial"/>
          <w:color w:val="000000"/>
          <w:sz w:val="20"/>
        </w:rPr>
        <w:t>, 536 U.S. 181, 189, 122 S. Ct. 2097, 153 L. Ed. 2d 230 (2002). Accordingly, for the remainder of this order and judgment, we focus solely on what remains of the Cropps' Title II and § 504 claims: their claims for compensatory damages.</w:t>
      </w:r>
    </w:p>
    <w:p w14:paraId="0CA041F1" w14:textId="77777777" w:rsidR="002B10A6" w:rsidRDefault="00000000">
      <w:pPr>
        <w:pStyle w:val="Normal44"/>
        <w:widowControl w:val="0"/>
        <w:spacing w:before="240" w:line="260" w:lineRule="atLeast"/>
      </w:pPr>
      <w:r>
        <w:br/>
      </w:r>
      <w:r>
        <w:rPr>
          <w:rFonts w:ascii="Arial" w:eastAsia="Arial" w:hAnsi="Arial" w:cs="Arial"/>
          <w:b/>
          <w:color w:val="000000"/>
          <w:sz w:val="20"/>
        </w:rPr>
        <w:t>I. Mr. Cropp's Title II and § 504 Claims for Compensatory Damages</w:t>
      </w:r>
    </w:p>
    <w:p w14:paraId="7B0E719F" w14:textId="77777777" w:rsidR="002B10A6" w:rsidRDefault="00000000">
      <w:pPr>
        <w:pStyle w:val="Normal44"/>
        <w:widowControl w:val="0"/>
        <w:spacing w:before="200" w:line="260" w:lineRule="atLeast"/>
        <w:jc w:val="both"/>
      </w:pPr>
      <w:bookmarkStart w:id="7976" w:name="Bookmark_para_15_35"/>
      <w:bookmarkStart w:id="7977" w:name="Bookmark_I5XJ3CCT2N1R4X0050000400"/>
      <w:bookmarkStart w:id="7978" w:name="Bookmark_LNHNREFclscc2_34"/>
      <w:bookmarkEnd w:id="7976"/>
      <w:bookmarkEnd w:id="7977"/>
      <w:bookmarkEnd w:id="7978"/>
      <w:r>
        <w:rPr>
          <w:rFonts w:ascii="Arial" w:eastAsia="Arial" w:hAnsi="Arial" w:cs="Arial"/>
          <w:color w:val="000000"/>
          <w:sz w:val="20"/>
        </w:rPr>
        <w:t xml:space="preserve">Both Title II and § 504 prohibit disability-based discrimination. </w:t>
      </w:r>
      <w:r>
        <w:rPr>
          <w:rFonts w:ascii="Arial" w:eastAsia="Arial" w:hAnsi="Arial" w:cs="Arial"/>
          <w:i/>
          <w:color w:val="000000"/>
          <w:sz w:val="20"/>
        </w:rPr>
        <w:t>See</w:t>
      </w:r>
      <w:r>
        <w:rPr>
          <w:rFonts w:ascii="Arial" w:eastAsia="Arial" w:hAnsi="Arial" w:cs="Arial"/>
          <w:color w:val="000000"/>
          <w:sz w:val="20"/>
        </w:rPr>
        <w:t xml:space="preserve"> § 12132 ("[N]o qualified individual with a disability shall, by reason of such disability, be excluded from participation in or be denied the benefits of the services, programs, or activities of a public entity, or be subjected to discrimination by any such entity."); § 794(a) ("No otherwise qualified individual with a disability . . . shall, solely by reason of her or his disability, be excluded [***9]  from the participation in, be denied the benefits of, or be subjected to discrimination under any program or activity receiving [f]ederal financial assistance."); </w:t>
      </w:r>
      <w:bookmarkStart w:id="7979" w:name="Bookmark_I5XJ3CCT2N1R4X0040000400"/>
      <w:bookmarkEnd w:id="7979"/>
      <w:r>
        <w:rPr>
          <w:rFonts w:ascii="Arial" w:eastAsia="Arial" w:hAnsi="Arial" w:cs="Arial"/>
          <w:i/>
          <w:color w:val="000000"/>
          <w:sz w:val="20"/>
        </w:rPr>
        <w:t>PGA Tour, Inc. v. Martin</w:t>
      </w:r>
      <w:r>
        <w:rPr>
          <w:rFonts w:ascii="Arial" w:eastAsia="Arial" w:hAnsi="Arial" w:cs="Arial"/>
          <w:color w:val="000000"/>
          <w:sz w:val="20"/>
        </w:rPr>
        <w:t xml:space="preserve">, 532 U.S. 661, 674, 121 S. Ct. 1879, 149 L. Ed. 2d 904 (2001) ("Congress enacted the ADA in 1990 to remedy widespread discrimination against disabled individuals."); </w:t>
      </w:r>
      <w:bookmarkStart w:id="7980" w:name="Bookmark_I5XJ3CCV2D6N600010000400"/>
      <w:bookmarkEnd w:id="7980"/>
      <w:r>
        <w:rPr>
          <w:rFonts w:ascii="Arial" w:eastAsia="Arial" w:hAnsi="Arial" w:cs="Arial"/>
          <w:i/>
          <w:color w:val="000000"/>
          <w:sz w:val="20"/>
        </w:rPr>
        <w:t>Arbogast v. Kan., Dep't of Labor</w:t>
      </w:r>
      <w:r>
        <w:rPr>
          <w:rFonts w:ascii="Arial" w:eastAsia="Arial" w:hAnsi="Arial" w:cs="Arial"/>
          <w:color w:val="000000"/>
          <w:sz w:val="20"/>
        </w:rPr>
        <w:t>, 789 F.3d 1174, 1182 (10th Cir. 2015) ("Congress enacted the Rehabilitation Act of 1973 to combat discrimination targeted toward individuals with physical and mental disabilities.").</w:t>
      </w:r>
    </w:p>
    <w:p w14:paraId="7429CE01" w14:textId="77777777" w:rsidR="002B10A6" w:rsidRDefault="00000000">
      <w:pPr>
        <w:pStyle w:val="Normal44"/>
        <w:widowControl w:val="0"/>
        <w:spacing w:before="200" w:line="260" w:lineRule="atLeast"/>
        <w:jc w:val="both"/>
      </w:pPr>
      <w:bookmarkStart w:id="7981" w:name="Bookmark_para_16_32"/>
      <w:bookmarkStart w:id="7982" w:name="Bookmark_I5XJ3CCV2D6N600040000400"/>
      <w:bookmarkStart w:id="7983" w:name="Bookmark_I5XJ3CCW28T4HJ0010000400"/>
      <w:bookmarkStart w:id="7984" w:name="Bookmark_I5XJ3CCW28T4HJ0030000400"/>
      <w:bookmarkEnd w:id="7981"/>
      <w:bookmarkEnd w:id="7982"/>
      <w:bookmarkEnd w:id="7983"/>
      <w:bookmarkEnd w:id="7984"/>
      <w:r>
        <w:rPr>
          <w:rFonts w:ascii="Arial" w:eastAsia="Arial" w:hAnsi="Arial" w:cs="Arial"/>
          <w:color w:val="000000"/>
          <w:sz w:val="20"/>
        </w:rPr>
        <w:t>To effectuate the ADA's nondiscrimination mandate, the Department of Justice has promulgated a series of regulations.</w:t>
      </w:r>
      <w:r>
        <w:rPr>
          <w:rFonts w:ascii="Arial" w:eastAsia="Arial" w:hAnsi="Arial" w:cs="Arial"/>
          <w:vertAlign w:val="superscript"/>
        </w:rPr>
        <w:footnoteReference w:customMarkFollows="1" w:id="420"/>
        <w:t>5</w:t>
      </w:r>
      <w:r>
        <w:rPr>
          <w:rFonts w:ascii="Arial" w:eastAsia="Arial" w:hAnsi="Arial" w:cs="Arial"/>
          <w:color w:val="000000"/>
          <w:sz w:val="20"/>
        </w:rPr>
        <w:t xml:space="preserve"> </w:t>
      </w:r>
      <w:r>
        <w:rPr>
          <w:rFonts w:ascii="Arial" w:eastAsia="Arial" w:hAnsi="Arial" w:cs="Arial"/>
          <w:i/>
          <w:color w:val="000000"/>
          <w:sz w:val="20"/>
        </w:rPr>
        <w:t>See</w:t>
      </w:r>
      <w:r>
        <w:rPr>
          <w:rFonts w:ascii="Arial" w:eastAsia="Arial" w:hAnsi="Arial" w:cs="Arial"/>
          <w:color w:val="000000"/>
          <w:sz w:val="20"/>
        </w:rPr>
        <w:t xml:space="preserve"> 42 U.S.C. § 12134; </w:t>
      </w:r>
      <w:bookmarkStart w:id="7987" w:name="Bookmark_I5XJ3CCV2D6N600030000400"/>
      <w:bookmarkEnd w:id="7987"/>
      <w:r>
        <w:rPr>
          <w:rFonts w:ascii="Arial" w:eastAsia="Arial" w:hAnsi="Arial" w:cs="Arial"/>
          <w:i/>
          <w:color w:val="000000"/>
          <w:sz w:val="20"/>
        </w:rPr>
        <w:t>Robertson v. Las Animas Cty. Sheriff's Dep't</w:t>
      </w:r>
      <w:r>
        <w:rPr>
          <w:rFonts w:ascii="Arial" w:eastAsia="Arial" w:hAnsi="Arial" w:cs="Arial"/>
          <w:color w:val="000000"/>
          <w:sz w:val="20"/>
        </w:rPr>
        <w:t>, 500 F.3d 1185, 1195 (10th Cir. 2007). As relevant here, one of those regulations requires public entities to "make reasonable modifications in policies, practices, or procedures when the modifications are necessary to avoid discrimination on the basis of disability, unless the public entity can demonstrate that making the modifications would fundamentally alter the nature of the service, program, or activity."</w:t>
      </w:r>
      <w:r>
        <w:rPr>
          <w:rFonts w:ascii="Arial" w:eastAsia="Arial" w:hAnsi="Arial" w:cs="Arial"/>
          <w:vertAlign w:val="superscript"/>
        </w:rPr>
        <w:footnoteReference w:customMarkFollows="1" w:id="421"/>
        <w:t>6</w:t>
      </w:r>
      <w:r>
        <w:rPr>
          <w:rFonts w:ascii="Arial" w:eastAsia="Arial" w:hAnsi="Arial" w:cs="Arial"/>
          <w:color w:val="000000"/>
          <w:sz w:val="20"/>
        </w:rPr>
        <w:t xml:space="preserve"> 28 C.F.R. § 35.130(b)(7)(i). The thrust of Mr. Cropp's Title II and § 504 claims is that by denying him access to the requested physical-contact visit with Mrs. Cropp—a visit that Mr. Cropp says he needed in order "to interpret the [J]ail's complex legal forms" and secure his release from custody—the  [**777]  County intentionally [***10]  discriminated against him by "failing to reasonably accommodate [his] disability."</w:t>
      </w:r>
      <w:r>
        <w:rPr>
          <w:rFonts w:ascii="Arial" w:eastAsia="Arial" w:hAnsi="Arial" w:cs="Arial"/>
          <w:vertAlign w:val="superscript"/>
        </w:rPr>
        <w:footnoteReference w:customMarkFollows="1" w:id="422"/>
        <w:t>7</w:t>
      </w:r>
      <w:r>
        <w:rPr>
          <w:rFonts w:ascii="Arial" w:eastAsia="Arial" w:hAnsi="Arial" w:cs="Arial"/>
          <w:color w:val="000000"/>
          <w:sz w:val="20"/>
        </w:rPr>
        <w:t xml:space="preserve"> Aplt. Br. 16; Rep. Br. 1.</w:t>
      </w:r>
    </w:p>
    <w:p w14:paraId="02D0F647" w14:textId="77777777" w:rsidR="002B10A6" w:rsidRDefault="00000000">
      <w:pPr>
        <w:pStyle w:val="Normal44"/>
        <w:widowControl w:val="0"/>
        <w:spacing w:before="200" w:line="260" w:lineRule="atLeast"/>
        <w:jc w:val="both"/>
      </w:pPr>
      <w:bookmarkStart w:id="7993" w:name="Bookmark_para_17_32"/>
      <w:bookmarkEnd w:id="7993"/>
      <w:r>
        <w:rPr>
          <w:rFonts w:ascii="Arial" w:eastAsia="Arial" w:hAnsi="Arial" w:cs="Arial"/>
          <w:color w:val="000000"/>
          <w:sz w:val="20"/>
        </w:rPr>
        <w:t xml:space="preserve">In particular, Mr. Cropp alleges the County was obligated to ensure that its communications with him via the Jail's appearance-bond form were as effective as its communications with other inmates via that same form. </w:t>
      </w:r>
      <w:r>
        <w:rPr>
          <w:rFonts w:ascii="Arial" w:eastAsia="Arial" w:hAnsi="Arial" w:cs="Arial"/>
          <w:i/>
          <w:color w:val="000000"/>
          <w:sz w:val="20"/>
        </w:rPr>
        <w:t>See</w:t>
      </w:r>
      <w:r>
        <w:rPr>
          <w:rFonts w:ascii="Arial" w:eastAsia="Arial" w:hAnsi="Arial" w:cs="Arial"/>
          <w:color w:val="000000"/>
          <w:sz w:val="20"/>
        </w:rPr>
        <w:t xml:space="preserve"> 28 C.F.R. § 35.160(a)(1) ("A public entity shall take appropriate steps to ensure that communications with applicants, participants, members of the public, and companions with disabilities are as effective as communications with others."). And to comply with that obligation, he asserts, the County was required to provide him with an auxiliary aid that enabled him to understand the appearance-bond form as well as other inmates. </w:t>
      </w:r>
      <w:r>
        <w:rPr>
          <w:rFonts w:ascii="Arial" w:eastAsia="Arial" w:hAnsi="Arial" w:cs="Arial"/>
          <w:i/>
          <w:color w:val="000000"/>
          <w:sz w:val="20"/>
        </w:rPr>
        <w:t>See</w:t>
      </w:r>
      <w:r>
        <w:rPr>
          <w:rFonts w:ascii="Arial" w:eastAsia="Arial" w:hAnsi="Arial" w:cs="Arial"/>
          <w:color w:val="000000"/>
          <w:sz w:val="20"/>
        </w:rPr>
        <w:t xml:space="preserve"> § 35.160(b)(1) ("A public entity shall furnish appropriate auxiliary aids and services where necessary to afford individuals with disabilities, including applicants, participants, companions, and members of the public, an equal opportunity to participate in, and enjoy the benefits of, a service, program, or activity of a public entity."). More specifically, Mr. Cropp alleges the County was required to provide him access to the requested physical-contact visit [***11]  with Mrs. Cropp because it was the only auxiliary aid that would allow him to understand the Jail's appearance-bond form well enough to sign that form and avail himself of the benefit of being released on his own recognizance. </w:t>
      </w:r>
      <w:r>
        <w:rPr>
          <w:rFonts w:ascii="Arial" w:eastAsia="Arial" w:hAnsi="Arial" w:cs="Arial"/>
          <w:i/>
          <w:color w:val="000000"/>
          <w:sz w:val="20"/>
        </w:rPr>
        <w:t>See id.</w:t>
      </w:r>
      <w:r>
        <w:rPr>
          <w:rFonts w:ascii="Arial" w:eastAsia="Arial" w:hAnsi="Arial" w:cs="Arial"/>
          <w:color w:val="000000"/>
          <w:sz w:val="20"/>
        </w:rPr>
        <w:t xml:space="preserve"> Without access to such a physical-contact visit, Mr. Cropp maintains, the County's communications with him via the appearance-bond form were not as effective as the County's communications with other inmates via that same form. </w:t>
      </w:r>
      <w:r>
        <w:rPr>
          <w:rFonts w:ascii="Arial" w:eastAsia="Arial" w:hAnsi="Arial" w:cs="Arial"/>
          <w:i/>
          <w:color w:val="000000"/>
          <w:sz w:val="20"/>
        </w:rPr>
        <w:t>See</w:t>
      </w:r>
      <w:r>
        <w:rPr>
          <w:rFonts w:ascii="Arial" w:eastAsia="Arial" w:hAnsi="Arial" w:cs="Arial"/>
          <w:color w:val="000000"/>
          <w:sz w:val="20"/>
        </w:rPr>
        <w:t xml:space="preserve"> § 35.160(a)(1).</w:t>
      </w:r>
    </w:p>
    <w:p w14:paraId="2584A34A" w14:textId="77777777" w:rsidR="002B10A6" w:rsidRDefault="00000000">
      <w:pPr>
        <w:pStyle w:val="Normal44"/>
        <w:widowControl w:val="0"/>
        <w:spacing w:before="200" w:line="260" w:lineRule="atLeast"/>
        <w:jc w:val="both"/>
      </w:pPr>
      <w:bookmarkStart w:id="7994" w:name="Bookmark_para_18_31"/>
      <w:bookmarkEnd w:id="7994"/>
      <w:r>
        <w:rPr>
          <w:rFonts w:ascii="Arial" w:eastAsia="Arial" w:hAnsi="Arial" w:cs="Arial"/>
          <w:color w:val="000000"/>
          <w:sz w:val="20"/>
        </w:rPr>
        <w:t xml:space="preserve">In rejecting these arguments and granting summary judgment to the County on Mr. Cropp's failure-to-accommodate claims, the district court recognized that the County had a duty to "make reasonable modifications" to the County's "policies, practices, [and] procedures" if such "modifications [were] necessary to avoid discriminat[ing]" against Mr. Cropp "on the basis of [his] disability." App. vol. 4, 1091 (quoting § 35.130(b)(7)(i)). Likewise, the district court acknowledged that this duty required the County to take "appropriate steps to ensure that" the County's "communications with" Mr. Cropp via the Jail's appearance-bond form were "as effective as" the County's communications with other inmates. </w:t>
      </w:r>
      <w:r>
        <w:rPr>
          <w:rFonts w:ascii="Arial" w:eastAsia="Arial" w:hAnsi="Arial" w:cs="Arial"/>
          <w:i/>
          <w:color w:val="000000"/>
          <w:sz w:val="20"/>
        </w:rPr>
        <w:t>Id.</w:t>
      </w:r>
      <w:r>
        <w:rPr>
          <w:rFonts w:ascii="Arial" w:eastAsia="Arial" w:hAnsi="Arial" w:cs="Arial"/>
          <w:color w:val="000000"/>
          <w:sz w:val="20"/>
        </w:rPr>
        <w:t xml:space="preserve"> at 1092 (quoting § 35.160(a)(1)). Nevertheless, the district court [***12]  ruled that the County's refusal to provide Mr. Cropp with access to a physical-contact visit did not violate Title II or § 504.</w:t>
      </w:r>
    </w:p>
    <w:p w14:paraId="6C7908C7" w14:textId="77777777" w:rsidR="002B10A6" w:rsidRDefault="00000000">
      <w:pPr>
        <w:pStyle w:val="Normal44"/>
        <w:widowControl w:val="0"/>
        <w:spacing w:before="200" w:line="260" w:lineRule="atLeast"/>
        <w:jc w:val="both"/>
      </w:pPr>
      <w:bookmarkStart w:id="7995" w:name="Bookmark_para_19_30"/>
      <w:bookmarkEnd w:id="7995"/>
      <w:r>
        <w:rPr>
          <w:rFonts w:ascii="Arial" w:eastAsia="Arial" w:hAnsi="Arial" w:cs="Arial"/>
          <w:color w:val="000000"/>
          <w:sz w:val="20"/>
        </w:rPr>
        <w:t xml:space="preserve">In doing so, the district court first concluded that the "service" Mr. Cropp sought access to was a physical-contact visit. </w:t>
      </w:r>
      <w:bookmarkStart w:id="7996" w:name="Bookmark_I5XJ3CCW2HM6G60020000400"/>
      <w:bookmarkEnd w:id="7996"/>
      <w:r>
        <w:rPr>
          <w:rFonts w:ascii="Arial" w:eastAsia="Arial" w:hAnsi="Arial" w:cs="Arial"/>
          <w:i/>
          <w:color w:val="000000"/>
          <w:sz w:val="20"/>
        </w:rPr>
        <w:t>Id.; see also</w:t>
      </w:r>
      <w:r>
        <w:rPr>
          <w:rFonts w:ascii="Arial" w:eastAsia="Arial" w:hAnsi="Arial" w:cs="Arial"/>
          <w:color w:val="000000"/>
          <w:sz w:val="20"/>
        </w:rPr>
        <w:t xml:space="preserve"> § 12132 ("[N]o qualified individual with a disability shall, by reason of such disability, be excluded from participation in or be denied the benefits of the services, programs, or activities of a public  [**778]  entity . . . ."). And because "no other inmates" had access to this particular "service," the district court reasoned that the County had no duty to "modify" the Jail's policies to make this "service" available to Mr. Cropp. App. vol. 4, 1092; </w:t>
      </w:r>
      <w:r>
        <w:rPr>
          <w:rFonts w:ascii="Arial" w:eastAsia="Arial" w:hAnsi="Arial" w:cs="Arial"/>
          <w:i/>
          <w:color w:val="000000"/>
          <w:sz w:val="20"/>
        </w:rPr>
        <w:t xml:space="preserve">see also </w:t>
      </w:r>
      <w:bookmarkStart w:id="7997" w:name="Bookmark_I5XJ3CCW2HM6G60010000400"/>
      <w:bookmarkEnd w:id="7997"/>
      <w:r>
        <w:rPr>
          <w:rFonts w:ascii="Arial" w:eastAsia="Arial" w:hAnsi="Arial" w:cs="Arial"/>
          <w:i/>
          <w:color w:val="000000"/>
          <w:sz w:val="20"/>
        </w:rPr>
        <w:t>Taylor v. Colo. Dep't of Health Care Policy &amp; Fin.</w:t>
      </w:r>
      <w:r>
        <w:rPr>
          <w:rFonts w:ascii="Arial" w:eastAsia="Arial" w:hAnsi="Arial" w:cs="Arial"/>
          <w:color w:val="000000"/>
          <w:sz w:val="20"/>
        </w:rPr>
        <w:t>, 811 F.3d 1230, 1236 (10th Cir. 2016) (noting public entity was under no obligation to modify its program unless plaintiff showed that without such modification, plaintiff could not "obtain the same benefits made available to nondisabled individuals").</w:t>
      </w:r>
    </w:p>
    <w:p w14:paraId="7A52A24A" w14:textId="77777777" w:rsidR="002B10A6" w:rsidRDefault="00000000">
      <w:pPr>
        <w:pStyle w:val="Normal44"/>
        <w:widowControl w:val="0"/>
        <w:spacing w:before="200" w:line="260" w:lineRule="atLeast"/>
        <w:jc w:val="both"/>
      </w:pPr>
      <w:bookmarkStart w:id="7998" w:name="Bookmark_para_20_30"/>
      <w:bookmarkEnd w:id="7998"/>
      <w:r>
        <w:rPr>
          <w:rFonts w:ascii="Arial" w:eastAsia="Arial" w:hAnsi="Arial" w:cs="Arial"/>
          <w:color w:val="000000"/>
          <w:sz w:val="20"/>
        </w:rPr>
        <w:t>But as Mr. Cropp points out, the service he sought access to was not, as the district court found, a physical-contact visit. Instead, the service Mr. Cropp sought access to was the opportunity to understand the Jail's appearance-bond form well enough to sign that form and "be [***13]  released from jail on his own recognizance." Rep. Br. 7. The physical-contact visit was merely the auxiliary aid via which Mr. Cropp asserted he could access that service. To the extent the district court ruled otherwise, it erred.</w:t>
      </w:r>
    </w:p>
    <w:p w14:paraId="4F28F595" w14:textId="77777777" w:rsidR="002B10A6" w:rsidRDefault="00000000">
      <w:pPr>
        <w:pStyle w:val="Normal44"/>
        <w:widowControl w:val="0"/>
        <w:spacing w:before="200" w:line="260" w:lineRule="atLeast"/>
        <w:jc w:val="both"/>
      </w:pPr>
      <w:bookmarkStart w:id="7999" w:name="Bookmark_para_21_30"/>
      <w:bookmarkEnd w:id="7999"/>
      <w:r>
        <w:rPr>
          <w:rFonts w:ascii="Arial" w:eastAsia="Arial" w:hAnsi="Arial" w:cs="Arial"/>
          <w:color w:val="000000"/>
          <w:sz w:val="20"/>
        </w:rPr>
        <w:t>Nevertheless, that error does not necessarily require reversal; the district court made three other intermediate rulings that could conceivably support its ultimate order granting summary judgment to the County on Mr. Cropp's failure to accommodate claims.</w:t>
      </w:r>
    </w:p>
    <w:p w14:paraId="716222FA" w14:textId="77777777" w:rsidR="002B10A6" w:rsidRDefault="00000000">
      <w:pPr>
        <w:pStyle w:val="Normal44"/>
        <w:widowControl w:val="0"/>
        <w:spacing w:before="200" w:line="260" w:lineRule="atLeast"/>
        <w:jc w:val="both"/>
      </w:pPr>
      <w:bookmarkStart w:id="8000" w:name="Bookmark_para_22_29"/>
      <w:bookmarkStart w:id="8001" w:name="Bookmark_I5XJ3CCW2HM6G60040000400"/>
      <w:bookmarkEnd w:id="8000"/>
      <w:bookmarkEnd w:id="8001"/>
      <w:r>
        <w:rPr>
          <w:rFonts w:ascii="Arial" w:eastAsia="Arial" w:hAnsi="Arial" w:cs="Arial"/>
          <w:color w:val="000000"/>
          <w:sz w:val="20"/>
        </w:rPr>
        <w:t xml:space="preserve">First, the district court determined the County was entitled to summary judgment because Mr. Cropp failed to present sufficient evidence from which a jury could conclude that a physical-contact visit was "necessary" to make the County's communications with Mr. Cropp "as effective as [its] communications with other detainees." App. vol. 4, 1093; </w:t>
      </w:r>
      <w:r>
        <w:rPr>
          <w:rFonts w:ascii="Arial" w:eastAsia="Arial" w:hAnsi="Arial" w:cs="Arial"/>
          <w:i/>
          <w:color w:val="000000"/>
          <w:sz w:val="20"/>
        </w:rPr>
        <w:t>see also</w:t>
      </w:r>
      <w:r>
        <w:rPr>
          <w:rFonts w:ascii="Arial" w:eastAsia="Arial" w:hAnsi="Arial" w:cs="Arial"/>
          <w:color w:val="000000"/>
          <w:sz w:val="20"/>
        </w:rPr>
        <w:t xml:space="preserve"> § 35.160(b)(1) (requiring public entities to "furnish appropriate auxiliary aids . . . where necessary to afford individuals with disabilities . . . an equal opportunity to participate in, and enjoy the benefits of," public entity's services, programs, and activities). And the court further ruled that the County "ma[d]e reasonable accommodations to ensure Mr. Cropp had [***14]  meaningful access to its services" by providing him with access to the visitation booth—even if Mr. Cropp would have preferred a physical-contact visit. App. vol. 4, 1093; </w:t>
      </w:r>
      <w:r>
        <w:rPr>
          <w:rFonts w:ascii="Arial" w:eastAsia="Arial" w:hAnsi="Arial" w:cs="Arial"/>
          <w:i/>
          <w:color w:val="000000"/>
          <w:sz w:val="20"/>
        </w:rPr>
        <w:t xml:space="preserve">cf. </w:t>
      </w:r>
      <w:bookmarkStart w:id="8002" w:name="Bookmark_I5XJ3CCW2HM6G60030000400"/>
      <w:bookmarkEnd w:id="8002"/>
      <w:r>
        <w:rPr>
          <w:rFonts w:ascii="Arial" w:eastAsia="Arial" w:hAnsi="Arial" w:cs="Arial"/>
          <w:i/>
          <w:color w:val="000000"/>
          <w:sz w:val="20"/>
        </w:rPr>
        <w:t>Selenke v. Med. Imaging of Colo.</w:t>
      </w:r>
      <w:r>
        <w:rPr>
          <w:rFonts w:ascii="Arial" w:eastAsia="Arial" w:hAnsi="Arial" w:cs="Arial"/>
          <w:color w:val="000000"/>
          <w:sz w:val="20"/>
        </w:rPr>
        <w:t xml:space="preserve">, 248 F.3d 1249, 1263 (10th Cir. 2001) ("[T]he ADA requires an employer to provide a 'reasonable accommodation, not the accommodation [the disabled individual] would prefer.'" (quoting </w:t>
      </w:r>
      <w:bookmarkStart w:id="8003" w:name="Bookmark_I5XJ3CCW2HM6G60050000400"/>
      <w:bookmarkEnd w:id="8003"/>
      <w:r>
        <w:rPr>
          <w:rFonts w:ascii="Arial" w:eastAsia="Arial" w:hAnsi="Arial" w:cs="Arial"/>
          <w:i/>
          <w:color w:val="000000"/>
          <w:sz w:val="20"/>
        </w:rPr>
        <w:t>Rehling v. City of Chi.</w:t>
      </w:r>
      <w:r>
        <w:rPr>
          <w:rFonts w:ascii="Arial" w:eastAsia="Arial" w:hAnsi="Arial" w:cs="Arial"/>
          <w:color w:val="000000"/>
          <w:sz w:val="20"/>
        </w:rPr>
        <w:t>, 207 F.3d 1009, 1014 (7th Cir. 2000))).</w:t>
      </w:r>
    </w:p>
    <w:p w14:paraId="5CE4C675" w14:textId="77777777" w:rsidR="002B10A6" w:rsidRDefault="00000000">
      <w:pPr>
        <w:pStyle w:val="Normal44"/>
        <w:widowControl w:val="0"/>
        <w:spacing w:before="200" w:line="260" w:lineRule="atLeast"/>
        <w:jc w:val="both"/>
      </w:pPr>
      <w:bookmarkStart w:id="8004" w:name="Bookmark_para_23_26"/>
      <w:bookmarkStart w:id="8005" w:name="Bookmark_I5XJ3CCX2SF8G40030000400"/>
      <w:bookmarkEnd w:id="8004"/>
      <w:bookmarkEnd w:id="8005"/>
      <w:r>
        <w:rPr>
          <w:rFonts w:ascii="Arial" w:eastAsia="Arial" w:hAnsi="Arial" w:cs="Arial"/>
          <w:color w:val="000000"/>
          <w:sz w:val="20"/>
        </w:rPr>
        <w:t xml:space="preserve">Second, the district court ruled that Mr. Cropp failed to present any evidence from which a reasonable jury could conclude that the County </w:t>
      </w:r>
      <w:r>
        <w:rPr>
          <w:rFonts w:ascii="Arial" w:eastAsia="Arial" w:hAnsi="Arial" w:cs="Arial"/>
          <w:i/>
          <w:color w:val="000000"/>
          <w:sz w:val="20"/>
        </w:rPr>
        <w:t>intentionally</w:t>
      </w:r>
      <w:r>
        <w:rPr>
          <w:rFonts w:ascii="Arial" w:eastAsia="Arial" w:hAnsi="Arial" w:cs="Arial"/>
          <w:color w:val="000000"/>
          <w:sz w:val="20"/>
        </w:rPr>
        <w:t xml:space="preserve"> discriminated against him. Specifically, the district court found that Mr. Cropp failed to present evidence that in denying him access to a physical-contact visit, the County acted with (1) "discriminatory animus" or (2) deliberate indifference. App. vol. 4, 1090; </w:t>
      </w:r>
      <w:r>
        <w:rPr>
          <w:rFonts w:ascii="Arial" w:eastAsia="Arial" w:hAnsi="Arial" w:cs="Arial"/>
          <w:i/>
          <w:color w:val="000000"/>
          <w:sz w:val="20"/>
        </w:rPr>
        <w:t xml:space="preserve">see also </w:t>
      </w:r>
      <w:bookmarkStart w:id="8006" w:name="Bookmark_I5XJ3CCX2SF8G40020000400"/>
      <w:bookmarkEnd w:id="8006"/>
      <w:r>
        <w:rPr>
          <w:rFonts w:ascii="Arial" w:eastAsia="Arial" w:hAnsi="Arial" w:cs="Arial"/>
          <w:i/>
          <w:color w:val="000000"/>
          <w:sz w:val="20"/>
        </w:rPr>
        <w:t>Powers v. MJB Acquisition Corp.</w:t>
      </w:r>
      <w:r>
        <w:rPr>
          <w:rFonts w:ascii="Arial" w:eastAsia="Arial" w:hAnsi="Arial" w:cs="Arial"/>
          <w:color w:val="000000"/>
          <w:sz w:val="20"/>
        </w:rPr>
        <w:t>, 184 F.3d 1147, 1152-53 (10th Cir. 1999) (setting forth means by which plaintiff can prove intentional discrimination under § 504).</w:t>
      </w:r>
    </w:p>
    <w:p w14:paraId="4F9E573C" w14:textId="77777777" w:rsidR="002B10A6" w:rsidRDefault="00000000">
      <w:pPr>
        <w:pStyle w:val="Normal44"/>
        <w:widowControl w:val="0"/>
        <w:spacing w:before="200" w:line="260" w:lineRule="atLeast"/>
        <w:jc w:val="both"/>
      </w:pPr>
      <w:bookmarkStart w:id="8007" w:name="Bookmark_para_24_25"/>
      <w:bookmarkEnd w:id="8007"/>
      <w:r>
        <w:rPr>
          <w:rFonts w:ascii="Arial" w:eastAsia="Arial" w:hAnsi="Arial" w:cs="Arial"/>
          <w:color w:val="000000"/>
          <w:sz w:val="20"/>
        </w:rPr>
        <w:t xml:space="preserve">Third, the district court ruled that the County was entitled to summary judgment on Mr. Cropp's failure-to-accommodate claims because it successfully demonstrated that providing Mr. Cropp with access to a physical-contact visit "would result in a fundamental alteration in the nature of a service, program, or activity or in undue financial and administrative burdens." [***15]  App. vol. 4, 1092 (quoting 28 C.F.R. § 35.164); </w:t>
      </w:r>
      <w:r>
        <w:rPr>
          <w:rFonts w:ascii="Arial" w:eastAsia="Arial" w:hAnsi="Arial" w:cs="Arial"/>
          <w:i/>
          <w:color w:val="000000"/>
          <w:sz w:val="20"/>
        </w:rPr>
        <w:t>see also</w:t>
      </w:r>
      <w:r>
        <w:rPr>
          <w:rFonts w:ascii="Arial" w:eastAsia="Arial" w:hAnsi="Arial" w:cs="Arial"/>
          <w:color w:val="000000"/>
          <w:sz w:val="20"/>
        </w:rPr>
        <w:t xml:space="preserve"> § 35.164 (stating that ADA does not "require a public entity to take any action that it can demonstrate would result in" such alteration).</w:t>
      </w:r>
    </w:p>
    <w:p w14:paraId="088585BF" w14:textId="77777777" w:rsidR="002B10A6" w:rsidRDefault="00000000">
      <w:pPr>
        <w:pStyle w:val="Normal44"/>
        <w:widowControl w:val="0"/>
        <w:spacing w:before="200" w:line="260" w:lineRule="atLeast"/>
        <w:jc w:val="both"/>
      </w:pPr>
      <w:bookmarkStart w:id="8008" w:name="Bookmark_para_25_25"/>
      <w:bookmarkEnd w:id="8008"/>
      <w:r>
        <w:rPr>
          <w:rFonts w:ascii="Arial" w:eastAsia="Arial" w:hAnsi="Arial" w:cs="Arial"/>
          <w:color w:val="000000"/>
          <w:sz w:val="20"/>
        </w:rPr>
        <w:t xml:space="preserve"> [**779]  On appeal, the parties debate whether the district court erred in ruling that Mr. Cropp failed to present any evidence from which a reasonable jury might conclude that by denying him a physical-contact visit, the County discriminated against him by depriving him of "meaningful access to its programs and services." App. vol. 4, 1093-94. And they similarly spar over whether the district court erred in ruling that providing Mr. Cropp with access to the requested physical-contact visit would have "result[ed] in a fundamental alteration in the nature of" the County's services, programs, or activities "or in undue financial and administrative burdens." </w:t>
      </w:r>
      <w:r>
        <w:rPr>
          <w:rFonts w:ascii="Arial" w:eastAsia="Arial" w:hAnsi="Arial" w:cs="Arial"/>
          <w:i/>
          <w:color w:val="000000"/>
          <w:sz w:val="20"/>
        </w:rPr>
        <w:t>Id.</w:t>
      </w:r>
      <w:r>
        <w:rPr>
          <w:rFonts w:ascii="Arial" w:eastAsia="Arial" w:hAnsi="Arial" w:cs="Arial"/>
          <w:color w:val="000000"/>
          <w:sz w:val="20"/>
        </w:rPr>
        <w:t xml:space="preserve"> at 1092 (quoting § 35.164). But we need not settle these disputes to resolve this appeal. Instead, for the reasons discussed below, we conclude that even assuming Mr. Cropp presented evidence from which a reasonable jury could find the County discriminated against him by depriving him of access to a physical-contact visit, the County is nevertheless entitled to summary judgment on his failure-to-accommodate [***16]  claims because—as the district court correctly concluded—Mr. Cropp failed to present any evidence from which a reasonable jury could conclude the alleged discrimination was intentional.</w:t>
      </w:r>
      <w:r>
        <w:rPr>
          <w:rFonts w:ascii="Arial" w:eastAsia="Arial" w:hAnsi="Arial" w:cs="Arial"/>
          <w:vertAlign w:val="superscript"/>
        </w:rPr>
        <w:footnoteReference w:customMarkFollows="1" w:id="423"/>
        <w:t>8</w:t>
      </w:r>
    </w:p>
    <w:p w14:paraId="0568A7EA" w14:textId="77777777" w:rsidR="002B10A6" w:rsidRDefault="00000000">
      <w:pPr>
        <w:pStyle w:val="Normal44"/>
        <w:widowControl w:val="0"/>
        <w:spacing w:before="200" w:line="260" w:lineRule="atLeast"/>
        <w:jc w:val="both"/>
      </w:pPr>
      <w:bookmarkStart w:id="8010" w:name="Bookmark_para_26_25"/>
      <w:bookmarkEnd w:id="8010"/>
      <w:r>
        <w:rPr>
          <w:rFonts w:ascii="Arial" w:eastAsia="Arial" w:hAnsi="Arial" w:cs="Arial"/>
          <w:color w:val="000000"/>
          <w:sz w:val="20"/>
        </w:rPr>
        <w:t xml:space="preserve">Recall that at this juncture, Mr. Cropp's only Title II and § 504 claims are for compensatory damages. </w:t>
      </w:r>
      <w:r>
        <w:rPr>
          <w:rFonts w:ascii="Arial" w:eastAsia="Arial" w:hAnsi="Arial" w:cs="Arial"/>
          <w:i/>
          <w:color w:val="000000"/>
          <w:sz w:val="20"/>
        </w:rPr>
        <w:t>See supra</w:t>
      </w:r>
      <w:r>
        <w:rPr>
          <w:rFonts w:ascii="Arial" w:eastAsia="Arial" w:hAnsi="Arial" w:cs="Arial"/>
          <w:color w:val="000000"/>
          <w:sz w:val="20"/>
        </w:rPr>
        <w:t xml:space="preserve"> pp. 5-7. And the district court ruled below that to recover such compensatory damages, Mr. Cropp had to "establish </w:t>
      </w:r>
      <w:r>
        <w:rPr>
          <w:rFonts w:ascii="Arial" w:eastAsia="Arial" w:hAnsi="Arial" w:cs="Arial"/>
          <w:i/>
          <w:color w:val="000000"/>
          <w:sz w:val="20"/>
        </w:rPr>
        <w:t>intentional</w:t>
      </w:r>
      <w:r>
        <w:rPr>
          <w:rFonts w:ascii="Arial" w:eastAsia="Arial" w:hAnsi="Arial" w:cs="Arial"/>
          <w:color w:val="000000"/>
          <w:sz w:val="20"/>
        </w:rPr>
        <w:t xml:space="preserve"> discrimination." App. vol. 4, 1089 (emphasis added). </w:t>
      </w:r>
      <w:bookmarkStart w:id="8011" w:name="Bookmark_I5XJ3CCX2SF8G40050000400"/>
      <w:bookmarkStart w:id="8012" w:name="Bookmark_I5XJ3CCX2N1R5K0020000400"/>
      <w:bookmarkStart w:id="8013" w:name="Bookmark_I5XJ3CCX2N1R5K0040000400"/>
      <w:bookmarkEnd w:id="8011"/>
      <w:bookmarkEnd w:id="8012"/>
      <w:bookmarkEnd w:id="8013"/>
      <w:r>
        <w:rPr>
          <w:rFonts w:ascii="Arial" w:eastAsia="Arial" w:hAnsi="Arial" w:cs="Arial"/>
          <w:color w:val="000000"/>
          <w:sz w:val="20"/>
        </w:rPr>
        <w:t>Notably, Mr. Cropp does not challenge this aspect of the district court's ruling on appeal. On the contrary, he expressly concedes the district court was correct on this point. Accordingly, we assume without deciding that Mr. Cropp must show intentional discrimination to prevail on what remains of his failure-to-accommodate claims and turn next to the intentional-discrimination inquiry.</w:t>
      </w:r>
      <w:r>
        <w:rPr>
          <w:rFonts w:ascii="Arial" w:eastAsia="Arial" w:hAnsi="Arial" w:cs="Arial"/>
          <w:vertAlign w:val="superscript"/>
        </w:rPr>
        <w:footnoteReference w:customMarkFollows="1" w:id="424"/>
        <w:t>9</w:t>
      </w:r>
      <w:r>
        <w:rPr>
          <w:rFonts w:ascii="Arial" w:eastAsia="Arial" w:hAnsi="Arial" w:cs="Arial"/>
          <w:color w:val="000000"/>
          <w:sz w:val="20"/>
        </w:rPr>
        <w:t xml:space="preserve"> </w:t>
      </w:r>
      <w:r>
        <w:rPr>
          <w:rFonts w:ascii="Arial" w:eastAsia="Arial" w:hAnsi="Arial" w:cs="Arial"/>
          <w:i/>
          <w:color w:val="000000"/>
          <w:sz w:val="20"/>
        </w:rPr>
        <w:t xml:space="preserve">See </w:t>
      </w:r>
      <w:bookmarkStart w:id="8017" w:name="Bookmark_I5XJ3CCX2SF8G40040000400"/>
      <w:bookmarkEnd w:id="8017"/>
      <w:r>
        <w:rPr>
          <w:rFonts w:ascii="Arial" w:eastAsia="Arial" w:hAnsi="Arial" w:cs="Arial"/>
          <w:i/>
          <w:color w:val="000000"/>
          <w:sz w:val="20"/>
        </w:rPr>
        <w:t>Tyler v. City of Manhattan</w:t>
      </w:r>
      <w:r>
        <w:rPr>
          <w:rFonts w:ascii="Arial" w:eastAsia="Arial" w:hAnsi="Arial" w:cs="Arial"/>
          <w:color w:val="000000"/>
          <w:sz w:val="20"/>
        </w:rPr>
        <w:t>, 118 F.3d 1400, 1402-03 (10th Cir. 1997) (assuming that plaintiff was required to plead and prove intentional discrimination to recover compensatory damages where district court ruled that such damages were not "available under the ADA absent intentional discrimination" and plaintiff failed to challenge that ruling on appeal).</w:t>
      </w:r>
    </w:p>
    <w:p w14:paraId="1AFE5FFA" w14:textId="77777777" w:rsidR="002B10A6" w:rsidRDefault="00000000">
      <w:pPr>
        <w:pStyle w:val="Normal44"/>
        <w:widowControl w:val="0"/>
        <w:spacing w:before="200" w:line="260" w:lineRule="atLeast"/>
        <w:jc w:val="both"/>
      </w:pPr>
      <w:bookmarkStart w:id="8018" w:name="Bookmark_para_27_25"/>
      <w:bookmarkStart w:id="8019" w:name="Bookmark_I5XJ3CCY2SF8GC0010000400"/>
      <w:bookmarkEnd w:id="8018"/>
      <w:bookmarkEnd w:id="8019"/>
      <w:r>
        <w:rPr>
          <w:rFonts w:ascii="Arial" w:eastAsia="Arial" w:hAnsi="Arial" w:cs="Arial"/>
          <w:color w:val="000000"/>
          <w:sz w:val="20"/>
        </w:rPr>
        <w:t xml:space="preserve"> [**780]  In this context, </w:t>
      </w:r>
      <w:bookmarkStart w:id="8020" w:name="Bookmark_LNHNREFclscc3_33"/>
      <w:bookmarkEnd w:id="8020"/>
      <w:r>
        <w:rPr>
          <w:rFonts w:ascii="Arial" w:eastAsia="Arial" w:hAnsi="Arial" w:cs="Arial"/>
          <w:color w:val="000000"/>
          <w:sz w:val="20"/>
        </w:rPr>
        <w:t xml:space="preserve">a plaintiff [***17]  can establish intentional discrimination by presenting evidence that (1) the defendant's "conduct [was] fueled by discriminatory animus," </w:t>
      </w:r>
      <w:bookmarkStart w:id="8021" w:name="Bookmark_I5XJ3CCX2N1R5K0050000400"/>
      <w:bookmarkEnd w:id="8021"/>
      <w:r>
        <w:rPr>
          <w:rFonts w:ascii="Arial" w:eastAsia="Arial" w:hAnsi="Arial" w:cs="Arial"/>
          <w:i/>
          <w:color w:val="000000"/>
          <w:sz w:val="20"/>
        </w:rPr>
        <w:t>Powers</w:t>
      </w:r>
      <w:r>
        <w:rPr>
          <w:rFonts w:ascii="Arial" w:eastAsia="Arial" w:hAnsi="Arial" w:cs="Arial"/>
          <w:color w:val="000000"/>
          <w:sz w:val="20"/>
        </w:rPr>
        <w:t xml:space="preserve">, 184 F.3d at 1152-53 (quoting </w:t>
      </w:r>
      <w:bookmarkStart w:id="8022" w:name="Bookmark_I5XJ3CCY2SF8GC0020000400"/>
      <w:bookmarkEnd w:id="8022"/>
      <w:r>
        <w:rPr>
          <w:rFonts w:ascii="Arial" w:eastAsia="Arial" w:hAnsi="Arial" w:cs="Arial"/>
          <w:i/>
          <w:color w:val="000000"/>
          <w:sz w:val="20"/>
        </w:rPr>
        <w:t>Alexander v. Choate</w:t>
      </w:r>
      <w:r>
        <w:rPr>
          <w:rFonts w:ascii="Arial" w:eastAsia="Arial" w:hAnsi="Arial" w:cs="Arial"/>
          <w:color w:val="000000"/>
          <w:sz w:val="20"/>
        </w:rPr>
        <w:t xml:space="preserve">, 469 U.S. 287, 296, 105 S. Ct. 712, 83 L. Ed. 2d 661 (1985)); or (2) the defendant acted with "deliberate indifference to the strong likelihood that pursuit of its questioned policies w[ould] likely result in a violation of federally protected rights," </w:t>
      </w:r>
      <w:r>
        <w:rPr>
          <w:rFonts w:ascii="Arial" w:eastAsia="Arial" w:hAnsi="Arial" w:cs="Arial"/>
          <w:i/>
          <w:color w:val="000000"/>
          <w:sz w:val="20"/>
        </w:rPr>
        <w:t>id.</w:t>
      </w:r>
    </w:p>
    <w:p w14:paraId="2BB4B47E" w14:textId="77777777" w:rsidR="002B10A6" w:rsidRDefault="00000000">
      <w:pPr>
        <w:pStyle w:val="Normal44"/>
        <w:widowControl w:val="0"/>
        <w:spacing w:before="200" w:line="260" w:lineRule="atLeast"/>
        <w:jc w:val="both"/>
      </w:pPr>
      <w:bookmarkStart w:id="8023" w:name="Bookmark_para_28_25"/>
      <w:bookmarkStart w:id="8024" w:name="Bookmark_I5XJ3CCY2SF8GC0050000400"/>
      <w:bookmarkEnd w:id="8023"/>
      <w:bookmarkEnd w:id="8024"/>
      <w:r>
        <w:rPr>
          <w:rFonts w:ascii="Arial" w:eastAsia="Arial" w:hAnsi="Arial" w:cs="Arial"/>
          <w:color w:val="000000"/>
          <w:sz w:val="20"/>
        </w:rPr>
        <w:t xml:space="preserve">Here, the district court ruled that "[n]othing in the record indicate[d]" the County was "motivated by discriminatory animus based on Mr. Cropp's disability." App. vol. 4, 1090. And again, Mr. Cropp does not challenge this aspect of the district court's ruling on appeal. Accordingly, in determining whether Mr. Cropp made a sufficient showing of intentional discrimination, we ask only whether Mr. Cropp presented evidence from which a reasonable jury could conclude that the County acted with deliberate indifference—i.e., that it both knew "a harm to a federally protected right [was] substantially likely" and "fail[ed] to act upon that . . . likelihood." </w:t>
      </w:r>
      <w:bookmarkStart w:id="8025" w:name="Bookmark_I5XJ3CCY2SF8GC0040000400"/>
      <w:bookmarkEnd w:id="8025"/>
      <w:r>
        <w:rPr>
          <w:rFonts w:ascii="Arial" w:eastAsia="Arial" w:hAnsi="Arial" w:cs="Arial"/>
          <w:i/>
          <w:color w:val="000000"/>
          <w:sz w:val="20"/>
        </w:rPr>
        <w:t>J.V.</w:t>
      </w:r>
      <w:r>
        <w:rPr>
          <w:rFonts w:ascii="Arial" w:eastAsia="Arial" w:hAnsi="Arial" w:cs="Arial"/>
          <w:color w:val="000000"/>
          <w:sz w:val="20"/>
        </w:rPr>
        <w:t xml:space="preserve">, 813 F.3d at 1298 (third alternation in original) (quoting </w:t>
      </w:r>
      <w:bookmarkStart w:id="8026" w:name="Bookmark_I5XJ3CCY2D6N6N0010000400"/>
      <w:bookmarkEnd w:id="8026"/>
      <w:r>
        <w:rPr>
          <w:rFonts w:ascii="Arial" w:eastAsia="Arial" w:hAnsi="Arial" w:cs="Arial"/>
          <w:i/>
          <w:color w:val="000000"/>
          <w:sz w:val="20"/>
        </w:rPr>
        <w:t>Duvall v. Cty. of Kitsap</w:t>
      </w:r>
      <w:r>
        <w:rPr>
          <w:rFonts w:ascii="Arial" w:eastAsia="Arial" w:hAnsi="Arial" w:cs="Arial"/>
          <w:color w:val="000000"/>
          <w:sz w:val="20"/>
        </w:rPr>
        <w:t>, 260 F.3d 1124, 1139 (9th Cir. 2001)).</w:t>
      </w:r>
    </w:p>
    <w:p w14:paraId="4E7D01DE" w14:textId="77777777" w:rsidR="002B10A6" w:rsidRDefault="00000000">
      <w:pPr>
        <w:pStyle w:val="Normal44"/>
        <w:widowControl w:val="0"/>
        <w:spacing w:before="200" w:line="260" w:lineRule="atLeast"/>
        <w:jc w:val="both"/>
      </w:pPr>
      <w:bookmarkStart w:id="8027" w:name="Bookmark_para_29_24"/>
      <w:bookmarkEnd w:id="8027"/>
      <w:r>
        <w:rPr>
          <w:rFonts w:ascii="Arial" w:eastAsia="Arial" w:hAnsi="Arial" w:cs="Arial"/>
          <w:color w:val="000000"/>
          <w:sz w:val="20"/>
        </w:rPr>
        <w:t xml:space="preserve">In arguing he made this showing here, Mr. Cropp notes that </w:t>
      </w:r>
      <w:bookmarkStart w:id="8028" w:name="Bookmark_LNHNREFclscc4_33"/>
      <w:bookmarkEnd w:id="8028"/>
      <w:r>
        <w:rPr>
          <w:rFonts w:ascii="Arial" w:eastAsia="Arial" w:hAnsi="Arial" w:cs="Arial"/>
          <w:color w:val="000000"/>
          <w:sz w:val="20"/>
        </w:rPr>
        <w:t xml:space="preserve">a public entity must "furnish appropriate auxiliary aids" where such aids are "necessary to afford [***18]  individuals with disabilities an equal opportunity to participate in, and enjoy the benefits of," the entity's services, programs, and activities. </w:t>
      </w:r>
      <w:bookmarkStart w:id="8029" w:name="Bookmark_I5XJ3CCY2D6N6N0040000400"/>
      <w:bookmarkEnd w:id="8029"/>
      <w:r>
        <w:rPr>
          <w:rFonts w:ascii="Arial" w:eastAsia="Arial" w:hAnsi="Arial" w:cs="Arial"/>
          <w:color w:val="000000"/>
          <w:sz w:val="20"/>
        </w:rPr>
        <w:t xml:space="preserve">Aplt. Br. 29; </w:t>
      </w:r>
      <w:r>
        <w:rPr>
          <w:rFonts w:ascii="Arial" w:eastAsia="Arial" w:hAnsi="Arial" w:cs="Arial"/>
          <w:i/>
          <w:color w:val="000000"/>
          <w:sz w:val="20"/>
        </w:rPr>
        <w:t>see also</w:t>
      </w:r>
      <w:r>
        <w:rPr>
          <w:rFonts w:ascii="Arial" w:eastAsia="Arial" w:hAnsi="Arial" w:cs="Arial"/>
          <w:color w:val="000000"/>
          <w:sz w:val="20"/>
        </w:rPr>
        <w:t xml:space="preserve"> § 35.160(b)(1). And he argues that such an auxiliary aid was "necessary" here because without one, he was unable to internalize and understand the information contained in the appearance-bond form—and was therefore unable to "enjoy the benefits of" the County's "service" of releasing inmates on their own recognizance after they signed that form. Aplt. Br. 29. Further, he asserts, a jury could conclude the County was deliberately indifferent because it "had notice of the potential risk of [its] decision" to deny his request for a physical-contact visit and yet it "clearly refused the accommodation knowingly."</w:t>
      </w:r>
      <w:r>
        <w:rPr>
          <w:rFonts w:ascii="Arial" w:eastAsia="Arial" w:hAnsi="Arial" w:cs="Arial"/>
          <w:vertAlign w:val="superscript"/>
        </w:rPr>
        <w:footnoteReference w:customMarkFollows="1" w:id="425"/>
        <w:t>10</w:t>
      </w:r>
      <w:r>
        <w:rPr>
          <w:rFonts w:ascii="Arial" w:eastAsia="Arial" w:hAnsi="Arial" w:cs="Arial"/>
          <w:color w:val="000000"/>
          <w:sz w:val="20"/>
        </w:rPr>
        <w:t xml:space="preserve"> </w:t>
      </w:r>
      <w:r>
        <w:rPr>
          <w:rFonts w:ascii="Arial" w:eastAsia="Arial" w:hAnsi="Arial" w:cs="Arial"/>
          <w:i/>
          <w:color w:val="000000"/>
          <w:sz w:val="20"/>
        </w:rPr>
        <w:t>Id.</w:t>
      </w:r>
      <w:r>
        <w:rPr>
          <w:rFonts w:ascii="Arial" w:eastAsia="Arial" w:hAnsi="Arial" w:cs="Arial"/>
          <w:color w:val="000000"/>
          <w:sz w:val="20"/>
        </w:rPr>
        <w:t xml:space="preserve"> at 27 (quoting </w:t>
      </w:r>
      <w:bookmarkStart w:id="8038" w:name="Bookmark_I5XJ3CCY2D6N6N0030000400"/>
      <w:bookmarkEnd w:id="8038"/>
      <w:r>
        <w:rPr>
          <w:rFonts w:ascii="Arial" w:eastAsia="Arial" w:hAnsi="Arial" w:cs="Arial"/>
          <w:i/>
          <w:color w:val="000000"/>
          <w:sz w:val="20"/>
        </w:rPr>
        <w:t>Proctor v. Prince George's Hosp. Ctr.</w:t>
      </w:r>
      <w:r>
        <w:rPr>
          <w:rFonts w:ascii="Arial" w:eastAsia="Arial" w:hAnsi="Arial" w:cs="Arial"/>
          <w:color w:val="000000"/>
          <w:sz w:val="20"/>
        </w:rPr>
        <w:t>, 32 F. Supp. 2d 820, 829 (D. Md. 1998)).</w:t>
      </w:r>
    </w:p>
    <w:p w14:paraId="2CBD6F0D" w14:textId="77777777" w:rsidR="002B10A6" w:rsidRDefault="00000000">
      <w:pPr>
        <w:pStyle w:val="Normal44"/>
        <w:widowControl w:val="0"/>
        <w:spacing w:before="200" w:line="260" w:lineRule="atLeast"/>
        <w:jc w:val="both"/>
      </w:pPr>
      <w:bookmarkStart w:id="8039" w:name="Bookmark_para_30_23"/>
      <w:bookmarkStart w:id="8040" w:name="Bookmark_I5XJ3CD02D6N6W0040000400"/>
      <w:bookmarkEnd w:id="8039"/>
      <w:bookmarkEnd w:id="8040"/>
      <w:r>
        <w:rPr>
          <w:rFonts w:ascii="Arial" w:eastAsia="Arial" w:hAnsi="Arial" w:cs="Arial"/>
          <w:color w:val="000000"/>
          <w:sz w:val="20"/>
        </w:rPr>
        <w:t xml:space="preserve">As an initial matter, we reject Mr. Cropp's suggestion that the County's mere failure to provide him with the precise auxiliary aid he requested necessarily amounts to discrimination—let alone to intentional discrimination via deliberate indifference. </w:t>
      </w:r>
      <w:r>
        <w:rPr>
          <w:rFonts w:ascii="Arial" w:eastAsia="Arial" w:hAnsi="Arial" w:cs="Arial"/>
          <w:i/>
          <w:color w:val="000000"/>
          <w:sz w:val="20"/>
        </w:rPr>
        <w:t>See</w:t>
      </w:r>
      <w:r>
        <w:rPr>
          <w:rFonts w:ascii="Arial" w:eastAsia="Arial" w:hAnsi="Arial" w:cs="Arial"/>
          <w:color w:val="000000"/>
          <w:sz w:val="20"/>
        </w:rPr>
        <w:t xml:space="preserve"> 28 C.F.R. pt. 35, app. A, § 35.160 (noting that </w:t>
      </w:r>
      <w:bookmarkStart w:id="8041" w:name="Bookmark_LNHNREFclscc5_32"/>
      <w:bookmarkEnd w:id="8041"/>
      <w:r>
        <w:rPr>
          <w:rFonts w:ascii="Arial" w:eastAsia="Arial" w:hAnsi="Arial" w:cs="Arial"/>
          <w:color w:val="000000"/>
          <w:sz w:val="20"/>
        </w:rPr>
        <w:t xml:space="preserve">although public entities must "give primary consideration to the requests of individuals with disabilities," public [***19]  entities need not provide the precise form of auxiliary aid requested so long as they "can demonstrate that another [**781]  effective means of communication exists" (citations omitted)); </w:t>
      </w:r>
      <w:bookmarkStart w:id="8042" w:name="Bookmark_I5XJ3CD02D6N6W0030000400"/>
      <w:bookmarkEnd w:id="8042"/>
      <w:r>
        <w:rPr>
          <w:rFonts w:ascii="Arial" w:eastAsia="Arial" w:hAnsi="Arial" w:cs="Arial"/>
          <w:i/>
          <w:color w:val="000000"/>
          <w:sz w:val="20"/>
        </w:rPr>
        <w:t>Liese v. Indian River Cty. Hosp. Dist.</w:t>
      </w:r>
      <w:r>
        <w:rPr>
          <w:rFonts w:ascii="Arial" w:eastAsia="Arial" w:hAnsi="Arial" w:cs="Arial"/>
          <w:color w:val="000000"/>
          <w:sz w:val="20"/>
        </w:rPr>
        <w:t xml:space="preserve">, 701 F.3d 334, 343 (11th Cir. 2012) (noting that "failure to provide an interpreter on request is not necessarily deliberately indifferent to an individual's rights"); </w:t>
      </w:r>
      <w:bookmarkStart w:id="8043" w:name="Bookmark_I5XJ3CD02D6N6W0050000400"/>
      <w:bookmarkEnd w:id="8043"/>
      <w:r>
        <w:rPr>
          <w:rFonts w:ascii="Arial" w:eastAsia="Arial" w:hAnsi="Arial" w:cs="Arial"/>
          <w:i/>
          <w:color w:val="000000"/>
          <w:sz w:val="20"/>
        </w:rPr>
        <w:t>Barber</w:t>
      </w:r>
      <w:r>
        <w:rPr>
          <w:rFonts w:ascii="Arial" w:eastAsia="Arial" w:hAnsi="Arial" w:cs="Arial"/>
          <w:color w:val="000000"/>
          <w:sz w:val="20"/>
        </w:rPr>
        <w:t xml:space="preserve">, 562 F.3d at 1232 (declining to hold that rejecting requested accommodation "results per se in deliberate indifference"); </w:t>
      </w:r>
      <w:bookmarkStart w:id="8044" w:name="Bookmark_I5XJ3CD12N1R620020000400"/>
      <w:bookmarkEnd w:id="8044"/>
      <w:r>
        <w:rPr>
          <w:rFonts w:ascii="Arial" w:eastAsia="Arial" w:hAnsi="Arial" w:cs="Arial"/>
          <w:i/>
          <w:color w:val="000000"/>
          <w:sz w:val="20"/>
        </w:rPr>
        <w:t>Tucker v. Tennessee</w:t>
      </w:r>
      <w:r>
        <w:rPr>
          <w:rFonts w:ascii="Arial" w:eastAsia="Arial" w:hAnsi="Arial" w:cs="Arial"/>
          <w:color w:val="000000"/>
          <w:sz w:val="20"/>
        </w:rPr>
        <w:t xml:space="preserve">, 539 F.3d 526, 538 (6th Cir. 2008) (noting that § 35.160 does not "require that every potential auxiliary device be on standby so that whatever request a particular individual makes can be accommodated"), </w:t>
      </w:r>
      <w:r>
        <w:rPr>
          <w:rFonts w:ascii="Arial" w:eastAsia="Arial" w:hAnsi="Arial" w:cs="Arial"/>
          <w:i/>
          <w:color w:val="000000"/>
          <w:sz w:val="20"/>
        </w:rPr>
        <w:t xml:space="preserve">abrogated on other grounds by </w:t>
      </w:r>
      <w:bookmarkStart w:id="8045" w:name="Bookmark_I5XJ3CD12N1R620040000400"/>
      <w:bookmarkEnd w:id="8045"/>
      <w:r>
        <w:rPr>
          <w:rFonts w:ascii="Arial" w:eastAsia="Arial" w:hAnsi="Arial" w:cs="Arial"/>
          <w:i/>
          <w:color w:val="000000"/>
          <w:sz w:val="20"/>
        </w:rPr>
        <w:t>Anderson v. City of Blue Ash</w:t>
      </w:r>
      <w:r>
        <w:rPr>
          <w:rFonts w:ascii="Arial" w:eastAsia="Arial" w:hAnsi="Arial" w:cs="Arial"/>
          <w:color w:val="000000"/>
          <w:sz w:val="20"/>
        </w:rPr>
        <w:t xml:space="preserve">, 798 F.3d 338 (6th Cir. 2015); </w:t>
      </w:r>
      <w:bookmarkStart w:id="8046" w:name="Bookmark_I5XJ3CD12D6N710010000400"/>
      <w:bookmarkEnd w:id="8046"/>
      <w:r>
        <w:rPr>
          <w:rFonts w:ascii="Arial" w:eastAsia="Arial" w:hAnsi="Arial" w:cs="Arial"/>
          <w:i/>
          <w:color w:val="000000"/>
          <w:sz w:val="20"/>
        </w:rPr>
        <w:t>Petersen v. Hastings Pub. Sch.</w:t>
      </w:r>
      <w:r>
        <w:rPr>
          <w:rFonts w:ascii="Arial" w:eastAsia="Arial" w:hAnsi="Arial" w:cs="Arial"/>
          <w:color w:val="000000"/>
          <w:sz w:val="20"/>
        </w:rPr>
        <w:t xml:space="preserve">, 31 F.3d 705, 708-09 (8th Cir. 1994) (rejecting plaintiffs' argument that school district violated Title II by refusing to "utilize the signing system" of plaintiffs' choice); </w:t>
      </w:r>
      <w:r>
        <w:rPr>
          <w:rFonts w:ascii="Arial" w:eastAsia="Arial" w:hAnsi="Arial" w:cs="Arial"/>
          <w:i/>
          <w:color w:val="000000"/>
          <w:sz w:val="20"/>
        </w:rPr>
        <w:t xml:space="preserve">cf. </w:t>
      </w:r>
      <w:bookmarkStart w:id="8047" w:name="Bookmark_I5XJ3CD12D6N710030000400"/>
      <w:bookmarkEnd w:id="8047"/>
      <w:r>
        <w:rPr>
          <w:rFonts w:ascii="Arial" w:eastAsia="Arial" w:hAnsi="Arial" w:cs="Arial"/>
          <w:i/>
          <w:color w:val="000000"/>
          <w:sz w:val="20"/>
        </w:rPr>
        <w:t>Selenke</w:t>
      </w:r>
      <w:r>
        <w:rPr>
          <w:rFonts w:ascii="Arial" w:eastAsia="Arial" w:hAnsi="Arial" w:cs="Arial"/>
          <w:color w:val="000000"/>
          <w:sz w:val="20"/>
        </w:rPr>
        <w:t>, 248 F.3d at 1261 ("[A]n employer is not required to always provide the employee with the best possible accommodations or in the specific manner the employee requested. It has broad discretion in determining which alternative accommodation should be provided." (citation omitted)).</w:t>
      </w:r>
    </w:p>
    <w:p w14:paraId="7A5A118C" w14:textId="77777777" w:rsidR="002B10A6" w:rsidRDefault="00000000">
      <w:pPr>
        <w:pStyle w:val="Normal44"/>
        <w:widowControl w:val="0"/>
        <w:spacing w:before="200" w:line="260" w:lineRule="atLeast"/>
        <w:jc w:val="both"/>
      </w:pPr>
      <w:bookmarkStart w:id="8048" w:name="Bookmark_para_31_23"/>
      <w:bookmarkStart w:id="8049" w:name="Bookmark_I5XJ3CD22D6N740010000400"/>
      <w:bookmarkEnd w:id="8048"/>
      <w:bookmarkEnd w:id="8049"/>
      <w:r>
        <w:rPr>
          <w:rFonts w:ascii="Arial" w:eastAsia="Arial" w:hAnsi="Arial" w:cs="Arial"/>
          <w:color w:val="000000"/>
          <w:sz w:val="20"/>
        </w:rPr>
        <w:t xml:space="preserve">Indeed, to adopt the alternative position would replace § 35.160(b)(1)'s necessary-and-appropriate requirement with a requirement mandating that public entities furnish disabled individuals with [***20]  any and all auxiliary aids they might request. </w:t>
      </w:r>
      <w:r>
        <w:rPr>
          <w:rFonts w:ascii="Arial" w:eastAsia="Arial" w:hAnsi="Arial" w:cs="Arial"/>
          <w:i/>
          <w:color w:val="000000"/>
          <w:sz w:val="20"/>
        </w:rPr>
        <w:t>See</w:t>
      </w:r>
      <w:r>
        <w:rPr>
          <w:rFonts w:ascii="Arial" w:eastAsia="Arial" w:hAnsi="Arial" w:cs="Arial"/>
          <w:color w:val="000000"/>
          <w:sz w:val="20"/>
        </w:rPr>
        <w:t xml:space="preserve"> § 35.160(b)(1) ("A public entity shall furnish </w:t>
      </w:r>
      <w:r>
        <w:rPr>
          <w:rFonts w:ascii="Arial" w:eastAsia="Arial" w:hAnsi="Arial" w:cs="Arial"/>
          <w:i/>
          <w:color w:val="000000"/>
          <w:sz w:val="20"/>
        </w:rPr>
        <w:t>appropriate</w:t>
      </w:r>
      <w:r>
        <w:rPr>
          <w:rFonts w:ascii="Arial" w:eastAsia="Arial" w:hAnsi="Arial" w:cs="Arial"/>
          <w:color w:val="000000"/>
          <w:sz w:val="20"/>
        </w:rPr>
        <w:t xml:space="preserve"> auxiliary aids . . . where </w:t>
      </w:r>
      <w:r>
        <w:rPr>
          <w:rFonts w:ascii="Arial" w:eastAsia="Arial" w:hAnsi="Arial" w:cs="Arial"/>
          <w:i/>
          <w:color w:val="000000"/>
          <w:sz w:val="20"/>
        </w:rPr>
        <w:t>necessary</w:t>
      </w:r>
      <w:r>
        <w:rPr>
          <w:rFonts w:ascii="Arial" w:eastAsia="Arial" w:hAnsi="Arial" w:cs="Arial"/>
          <w:color w:val="000000"/>
          <w:sz w:val="20"/>
        </w:rPr>
        <w:t xml:space="preserve"> to afford individuals with disabilities . . . an equal opportunity to participate in, and enjoy the benefits of, a service, program, or activity of a public entity." (emphases added)); </w:t>
      </w:r>
      <w:bookmarkStart w:id="8050" w:name="Bookmark_I5XJ3CD12D6N710050000400"/>
      <w:bookmarkEnd w:id="8050"/>
      <w:r>
        <w:rPr>
          <w:rFonts w:ascii="Arial" w:eastAsia="Arial" w:hAnsi="Arial" w:cs="Arial"/>
          <w:i/>
          <w:color w:val="000000"/>
          <w:sz w:val="20"/>
        </w:rPr>
        <w:t>McCullum v. Orlando Reg'l Healthcare Sys., Inc.</w:t>
      </w:r>
      <w:r>
        <w:rPr>
          <w:rFonts w:ascii="Arial" w:eastAsia="Arial" w:hAnsi="Arial" w:cs="Arial"/>
          <w:color w:val="000000"/>
          <w:sz w:val="20"/>
        </w:rPr>
        <w:t xml:space="preserve">, 768 F.3d 1135, 1146-47 (11th Cir. 2014) (noting that </w:t>
      </w:r>
      <w:bookmarkStart w:id="8051" w:name="Bookmark_LNHNREFclscc6_30"/>
      <w:bookmarkEnd w:id="8051"/>
      <w:r>
        <w:rPr>
          <w:rFonts w:ascii="Arial" w:eastAsia="Arial" w:hAnsi="Arial" w:cs="Arial"/>
          <w:color w:val="000000"/>
          <w:sz w:val="20"/>
        </w:rPr>
        <w:t>regulations require public entities to furnish auxiliary aids when such aids are "</w:t>
      </w:r>
      <w:r>
        <w:rPr>
          <w:rFonts w:ascii="Arial" w:eastAsia="Arial" w:hAnsi="Arial" w:cs="Arial"/>
          <w:i/>
          <w:color w:val="000000"/>
          <w:sz w:val="20"/>
        </w:rPr>
        <w:t>necessary</w:t>
      </w:r>
      <w:r>
        <w:rPr>
          <w:rFonts w:ascii="Arial" w:eastAsia="Arial" w:hAnsi="Arial" w:cs="Arial"/>
          <w:color w:val="000000"/>
          <w:sz w:val="20"/>
        </w:rPr>
        <w:t>" and "</w:t>
      </w:r>
      <w:r>
        <w:rPr>
          <w:rFonts w:ascii="Arial" w:eastAsia="Arial" w:hAnsi="Arial" w:cs="Arial"/>
          <w:i/>
          <w:color w:val="000000"/>
          <w:sz w:val="20"/>
        </w:rPr>
        <w:t>appropriate</w:t>
      </w:r>
      <w:r>
        <w:rPr>
          <w:rFonts w:ascii="Arial" w:eastAsia="Arial" w:hAnsi="Arial" w:cs="Arial"/>
          <w:color w:val="000000"/>
          <w:sz w:val="20"/>
        </w:rPr>
        <w:t xml:space="preserve">," not when they are "desired" or "demanded" (quoting § 35.160(b)(1)); </w:t>
      </w:r>
      <w:r>
        <w:rPr>
          <w:rFonts w:ascii="Arial" w:eastAsia="Arial" w:hAnsi="Arial" w:cs="Arial"/>
          <w:i/>
          <w:color w:val="000000"/>
          <w:sz w:val="20"/>
        </w:rPr>
        <w:t xml:space="preserve">cf. </w:t>
      </w:r>
      <w:bookmarkStart w:id="8052" w:name="Bookmark_I5XJ3CD22D6N740020000400"/>
      <w:bookmarkEnd w:id="8052"/>
      <w:r>
        <w:rPr>
          <w:rFonts w:ascii="Arial" w:eastAsia="Arial" w:hAnsi="Arial" w:cs="Arial"/>
          <w:i/>
          <w:color w:val="000000"/>
          <w:sz w:val="20"/>
        </w:rPr>
        <w:t>Liese</w:t>
      </w:r>
      <w:r>
        <w:rPr>
          <w:rFonts w:ascii="Arial" w:eastAsia="Arial" w:hAnsi="Arial" w:cs="Arial"/>
          <w:color w:val="000000"/>
          <w:sz w:val="20"/>
        </w:rPr>
        <w:t>, 701 F.3d at 343 (refusing to "substitute 'demanded' auxiliary aid for 'necessary' auxiliary aid" (quoting 45 C.F.R. § 84.52(d)(1)).</w:t>
      </w:r>
    </w:p>
    <w:p w14:paraId="6C60212A" w14:textId="77777777" w:rsidR="002B10A6" w:rsidRDefault="00000000">
      <w:pPr>
        <w:pStyle w:val="Normal44"/>
        <w:widowControl w:val="0"/>
        <w:spacing w:before="200" w:line="260" w:lineRule="atLeast"/>
        <w:jc w:val="both"/>
      </w:pPr>
      <w:bookmarkStart w:id="8053" w:name="Bookmark_para_32_23"/>
      <w:bookmarkStart w:id="8054" w:name="Bookmark_I5XJ3CD22D6N740050000400"/>
      <w:bookmarkStart w:id="8055" w:name="Bookmark_I5XJ3CD22D6N780020000400"/>
      <w:bookmarkEnd w:id="8053"/>
      <w:bookmarkEnd w:id="8054"/>
      <w:bookmarkEnd w:id="8055"/>
      <w:r>
        <w:rPr>
          <w:rFonts w:ascii="Arial" w:eastAsia="Arial" w:hAnsi="Arial" w:cs="Arial"/>
          <w:color w:val="000000"/>
          <w:sz w:val="20"/>
        </w:rPr>
        <w:t xml:space="preserve">We decline to read § 35.160(b)(1) in this manner. </w:t>
      </w:r>
      <w:r>
        <w:rPr>
          <w:rFonts w:ascii="Arial" w:eastAsia="Arial" w:hAnsi="Arial" w:cs="Arial"/>
          <w:i/>
          <w:color w:val="000000"/>
          <w:sz w:val="20"/>
        </w:rPr>
        <w:t xml:space="preserve">Cf. </w:t>
      </w:r>
      <w:bookmarkStart w:id="8056" w:name="Bookmark_I5XJ3CD22D6N740040000400"/>
      <w:bookmarkEnd w:id="8056"/>
      <w:r>
        <w:rPr>
          <w:rFonts w:ascii="Arial" w:eastAsia="Arial" w:hAnsi="Arial" w:cs="Arial"/>
          <w:i/>
          <w:color w:val="000000"/>
          <w:sz w:val="20"/>
        </w:rPr>
        <w:t>United States v. Felt &amp; Tarrant Mfg. Co.</w:t>
      </w:r>
      <w:r>
        <w:rPr>
          <w:rFonts w:ascii="Arial" w:eastAsia="Arial" w:hAnsi="Arial" w:cs="Arial"/>
          <w:color w:val="000000"/>
          <w:sz w:val="20"/>
        </w:rPr>
        <w:t xml:space="preserve">, 283 U.S. 269, 273, 51 S. Ct. 376, 75 L. Ed. 1025, 72 Ct. Cl. 734, 1931-1 C.B. 431 (1931) ("[I]t is not within the judicial province to read out of the statute the requirement of its words."). Instead, refracted through the dual lenses of § 35.160(b)(1)'s necessary-and-appropriate requirement and the test for summary judgment, the deliberate-indifference inquiry in this case turns on whether Mr. Cropp presented evidence from which a reasonable jury could conclude that (1) the County "knew there was a substantial likelihood" it "would be unable to communicate effectively with him" if it denied him access to the requested physical-contact visit, </w:t>
      </w:r>
      <w:bookmarkStart w:id="8057" w:name="Bookmark_I5XJ3CD22D6N780010000400"/>
      <w:bookmarkEnd w:id="8057"/>
      <w:r>
        <w:rPr>
          <w:rFonts w:ascii="Arial" w:eastAsia="Arial" w:hAnsi="Arial" w:cs="Arial"/>
          <w:i/>
          <w:color w:val="000000"/>
          <w:sz w:val="20"/>
        </w:rPr>
        <w:t>McCullum</w:t>
      </w:r>
      <w:r>
        <w:rPr>
          <w:rFonts w:ascii="Arial" w:eastAsia="Arial" w:hAnsi="Arial" w:cs="Arial"/>
          <w:color w:val="000000"/>
          <w:sz w:val="20"/>
        </w:rPr>
        <w:t xml:space="preserve">, 768 F.3d at 1147; and (2) despite [***21]  this knowledge, the County nevertheless "made a 'deliberate choice' not to provide" him with such a visit, </w:t>
      </w:r>
      <w:bookmarkStart w:id="8058" w:name="Bookmark_I5XJ3CD22D6N780030000400"/>
      <w:bookmarkEnd w:id="8058"/>
      <w:r>
        <w:rPr>
          <w:rFonts w:ascii="Arial" w:eastAsia="Arial" w:hAnsi="Arial" w:cs="Arial"/>
          <w:i/>
          <w:color w:val="000000"/>
          <w:sz w:val="20"/>
        </w:rPr>
        <w:t>id.</w:t>
      </w:r>
      <w:r>
        <w:rPr>
          <w:rFonts w:ascii="Arial" w:eastAsia="Arial" w:hAnsi="Arial" w:cs="Arial"/>
          <w:color w:val="000000"/>
          <w:sz w:val="20"/>
        </w:rPr>
        <w:t xml:space="preserve"> at 1147-48 (quoting </w:t>
      </w:r>
      <w:bookmarkStart w:id="8059" w:name="Bookmark_I5XJ3CD22D6N780050000400"/>
      <w:bookmarkEnd w:id="8059"/>
      <w:r>
        <w:rPr>
          <w:rFonts w:ascii="Arial" w:eastAsia="Arial" w:hAnsi="Arial" w:cs="Arial"/>
          <w:i/>
          <w:color w:val="000000"/>
          <w:sz w:val="20"/>
        </w:rPr>
        <w:t>Liese</w:t>
      </w:r>
      <w:r>
        <w:rPr>
          <w:rFonts w:ascii="Arial" w:eastAsia="Arial" w:hAnsi="Arial" w:cs="Arial"/>
          <w:color w:val="000000"/>
          <w:sz w:val="20"/>
        </w:rPr>
        <w:t xml:space="preserve">, 701 F.3d at 344); </w:t>
      </w:r>
      <w:r>
        <w:rPr>
          <w:rFonts w:ascii="Arial" w:eastAsia="Arial" w:hAnsi="Arial" w:cs="Arial"/>
          <w:i/>
          <w:color w:val="000000"/>
          <w:sz w:val="20"/>
        </w:rPr>
        <w:t>see also</w:t>
      </w:r>
      <w:r>
        <w:rPr>
          <w:rFonts w:ascii="Arial" w:eastAsia="Arial" w:hAnsi="Arial" w:cs="Arial"/>
          <w:color w:val="000000"/>
          <w:sz w:val="20"/>
        </w:rPr>
        <w:t xml:space="preserve"> § 35.160(a)(1) ("A public entity shall take appropriate steps to ensure that communications with . . . members of the public . . . with disabilities are as </w:t>
      </w:r>
      <w:r>
        <w:rPr>
          <w:rFonts w:ascii="Arial" w:eastAsia="Arial" w:hAnsi="Arial" w:cs="Arial"/>
          <w:i/>
          <w:color w:val="000000"/>
          <w:sz w:val="20"/>
        </w:rPr>
        <w:t>effective</w:t>
      </w:r>
      <w:r>
        <w:rPr>
          <w:rFonts w:ascii="Arial" w:eastAsia="Arial" w:hAnsi="Arial" w:cs="Arial"/>
          <w:color w:val="000000"/>
          <w:sz w:val="20"/>
        </w:rPr>
        <w:t xml:space="preserve"> as communications with others." (emphasis added)); § 35.160(b)(2) (listing criteria for determining what "type of auxiliary aid [is] necessary to ensure </w:t>
      </w:r>
      <w:r>
        <w:rPr>
          <w:rFonts w:ascii="Arial" w:eastAsia="Arial" w:hAnsi="Arial" w:cs="Arial"/>
          <w:i/>
          <w:color w:val="000000"/>
          <w:sz w:val="20"/>
        </w:rPr>
        <w:t>effective</w:t>
      </w:r>
      <w:r>
        <w:rPr>
          <w:rFonts w:ascii="Arial" w:eastAsia="Arial" w:hAnsi="Arial" w:cs="Arial"/>
          <w:color w:val="000000"/>
          <w:sz w:val="20"/>
        </w:rPr>
        <w:t xml:space="preserve"> communication" (emphasis added)).</w:t>
      </w:r>
    </w:p>
    <w:p w14:paraId="3EE54B75" w14:textId="77777777" w:rsidR="002B10A6" w:rsidRDefault="00000000">
      <w:pPr>
        <w:pStyle w:val="Normal44"/>
        <w:widowControl w:val="0"/>
        <w:spacing w:before="200" w:line="260" w:lineRule="atLeast"/>
        <w:jc w:val="both"/>
      </w:pPr>
      <w:bookmarkStart w:id="8060" w:name="Bookmark_para_33_22"/>
      <w:bookmarkEnd w:id="8060"/>
      <w:r>
        <w:rPr>
          <w:rFonts w:ascii="Arial" w:eastAsia="Arial" w:hAnsi="Arial" w:cs="Arial"/>
          <w:color w:val="000000"/>
          <w:sz w:val="20"/>
        </w:rPr>
        <w:t>Here, the County does not dispute that it deliberately chose to decline Mrs. Cropp's request for a physical-contact visit with Mr. Cropp. But it points out that it offered the Cropps a similar alternative: the opportunity for Mrs. Cropp to discuss the appearance-bond form with Mr. Cropp using the visitation booth. And it argues the visitation booth provided the Cropps  [**782]  with an "effective means of communication." 28 C.F.R. pt. 35, app. A, § 35.160 (citation omitted).</w:t>
      </w:r>
    </w:p>
    <w:p w14:paraId="7D8CA370" w14:textId="77777777" w:rsidR="002B10A6" w:rsidRDefault="00000000">
      <w:pPr>
        <w:pStyle w:val="Normal44"/>
        <w:widowControl w:val="0"/>
        <w:spacing w:before="200" w:line="260" w:lineRule="atLeast"/>
        <w:jc w:val="both"/>
      </w:pPr>
      <w:bookmarkStart w:id="8061" w:name="Bookmark_para_34_20"/>
      <w:bookmarkEnd w:id="8061"/>
      <w:r>
        <w:rPr>
          <w:rFonts w:ascii="Arial" w:eastAsia="Arial" w:hAnsi="Arial" w:cs="Arial"/>
          <w:color w:val="000000"/>
          <w:sz w:val="20"/>
        </w:rPr>
        <w:t>In addressing this argument, the dissent insists that the visitation booth cannot be considered an accommodation because the County offers the visitation booth to "</w:t>
      </w:r>
      <w:r>
        <w:rPr>
          <w:rFonts w:ascii="Arial" w:eastAsia="Arial" w:hAnsi="Arial" w:cs="Arial"/>
          <w:i/>
          <w:color w:val="000000"/>
          <w:sz w:val="20"/>
        </w:rPr>
        <w:t>all</w:t>
      </w:r>
      <w:r>
        <w:rPr>
          <w:rFonts w:ascii="Arial" w:eastAsia="Arial" w:hAnsi="Arial" w:cs="Arial"/>
          <w:color w:val="000000"/>
          <w:sz w:val="20"/>
        </w:rPr>
        <w:t xml:space="preserve"> inmates wishing to communicate with their families"—not just to those with disabilities. Dissent 12 (emphasis added). And the Cropps echo [***22]  this sentiment. But neither the Cropps nor the dissent cite any authority indicating that when a particular service is available to the general public, that service cannot qualify as an accommodation. And we know of none. On the contrary: </w:t>
      </w:r>
      <w:bookmarkStart w:id="8062" w:name="Bookmark_LNHNREFclscc7_28"/>
      <w:bookmarkEnd w:id="8062"/>
      <w:r>
        <w:rPr>
          <w:rFonts w:ascii="Arial" w:eastAsia="Arial" w:hAnsi="Arial" w:cs="Arial"/>
          <w:color w:val="000000"/>
          <w:sz w:val="20"/>
        </w:rPr>
        <w:t>Section 35.160 requires public entities to furnish auxiliary aids that provide individuals with disabilities "</w:t>
      </w:r>
      <w:r>
        <w:rPr>
          <w:rFonts w:ascii="Arial" w:eastAsia="Arial" w:hAnsi="Arial" w:cs="Arial"/>
          <w:i/>
          <w:color w:val="000000"/>
          <w:sz w:val="20"/>
        </w:rPr>
        <w:t>equal</w:t>
      </w:r>
      <w:r>
        <w:rPr>
          <w:rFonts w:ascii="Arial" w:eastAsia="Arial" w:hAnsi="Arial" w:cs="Arial"/>
          <w:color w:val="000000"/>
          <w:sz w:val="20"/>
        </w:rPr>
        <w:t xml:space="preserve"> opportunit[ies]" to avail themselves of the entity's services—not extra ones. § 35.160(b)(1) (emphasis added).</w:t>
      </w:r>
      <w:r>
        <w:rPr>
          <w:rFonts w:ascii="Arial" w:eastAsia="Arial" w:hAnsi="Arial" w:cs="Arial"/>
          <w:vertAlign w:val="superscript"/>
        </w:rPr>
        <w:footnoteReference w:customMarkFollows="1" w:id="426"/>
        <w:t>11</w:t>
      </w:r>
      <w:r>
        <w:rPr>
          <w:rFonts w:ascii="Arial" w:eastAsia="Arial" w:hAnsi="Arial" w:cs="Arial"/>
          <w:color w:val="000000"/>
          <w:sz w:val="20"/>
        </w:rPr>
        <w:t xml:space="preserve"> Thus, in the absence of any evidence that allowing the general public to use the visitation booth somehow rendered the visitation booth less effective to individuals with disabilities like Mr. Cropp's, we fail to see how the fact that the County offers the visitation booth to "all inmates wishing to communicate with their families" is relevant to our inquiry. Dissent 12.</w:t>
      </w:r>
    </w:p>
    <w:p w14:paraId="1766FB06" w14:textId="77777777" w:rsidR="002B10A6" w:rsidRDefault="00000000">
      <w:pPr>
        <w:pStyle w:val="Normal44"/>
        <w:widowControl w:val="0"/>
        <w:spacing w:before="200" w:line="260" w:lineRule="atLeast"/>
        <w:jc w:val="both"/>
      </w:pPr>
      <w:bookmarkStart w:id="8064" w:name="Bookmark_para_35_20"/>
      <w:bookmarkStart w:id="8065" w:name="Bookmark_I5XJ3CD228T4JN0030000400"/>
      <w:bookmarkEnd w:id="8064"/>
      <w:bookmarkEnd w:id="8065"/>
      <w:r>
        <w:rPr>
          <w:rFonts w:ascii="Arial" w:eastAsia="Arial" w:hAnsi="Arial" w:cs="Arial"/>
          <w:color w:val="000000"/>
          <w:sz w:val="20"/>
        </w:rPr>
        <w:t xml:space="preserve">Further, for purposes of resolving this appeal, we need not decide whether the visitation booth was actually an "effective means of communication." 28 C.F.R. pt. 35, app. A, § 35.160 (citation omitted). This is so because even if we assume a reasonable jury could conclude the visitation booth was </w:t>
      </w:r>
      <w:r>
        <w:rPr>
          <w:rFonts w:ascii="Arial" w:eastAsia="Arial" w:hAnsi="Arial" w:cs="Arial"/>
          <w:i/>
          <w:color w:val="000000"/>
          <w:sz w:val="20"/>
        </w:rPr>
        <w:t>not</w:t>
      </w:r>
      <w:r>
        <w:rPr>
          <w:rFonts w:ascii="Arial" w:eastAsia="Arial" w:hAnsi="Arial" w:cs="Arial"/>
          <w:color w:val="000000"/>
          <w:sz w:val="20"/>
        </w:rPr>
        <w:t xml:space="preserve"> effective—i.e., even if we assume the County discriminated against Mr. Cropp by failing to provide him with an auxiliary [***23]  aid that afforded him "an equal opportunity to benefit from" the County's practice of releasing inmates on their own recognizance after they signed the Jail's appearance-bond form, </w:t>
      </w:r>
      <w:bookmarkStart w:id="8066" w:name="Bookmark_I5XJ3CD228T4JN0020000400"/>
      <w:bookmarkEnd w:id="8066"/>
      <w:r>
        <w:rPr>
          <w:rFonts w:ascii="Arial" w:eastAsia="Arial" w:hAnsi="Arial" w:cs="Arial"/>
          <w:i/>
          <w:color w:val="000000"/>
          <w:sz w:val="20"/>
        </w:rPr>
        <w:t>Liese</w:t>
      </w:r>
      <w:r>
        <w:rPr>
          <w:rFonts w:ascii="Arial" w:eastAsia="Arial" w:hAnsi="Arial" w:cs="Arial"/>
          <w:color w:val="000000"/>
          <w:sz w:val="20"/>
        </w:rPr>
        <w:t xml:space="preserve">, 701 F.3d at 343; </w:t>
      </w:r>
      <w:r>
        <w:rPr>
          <w:rFonts w:ascii="Arial" w:eastAsia="Arial" w:hAnsi="Arial" w:cs="Arial"/>
          <w:i/>
          <w:color w:val="000000"/>
          <w:sz w:val="20"/>
        </w:rPr>
        <w:t>see also</w:t>
      </w:r>
      <w:r>
        <w:rPr>
          <w:rFonts w:ascii="Arial" w:eastAsia="Arial" w:hAnsi="Arial" w:cs="Arial"/>
          <w:color w:val="000000"/>
          <w:sz w:val="20"/>
        </w:rPr>
        <w:t xml:space="preserve"> § 35.160(a)(1)—Mr. Cropp is not entitled to reversal unless he presented evidence from which a reasonable jury could conclude </w:t>
      </w:r>
      <w:r>
        <w:rPr>
          <w:rFonts w:ascii="Arial" w:eastAsia="Arial" w:hAnsi="Arial" w:cs="Arial"/>
          <w:i/>
          <w:color w:val="000000"/>
          <w:sz w:val="20"/>
        </w:rPr>
        <w:t>the County knew</w:t>
      </w:r>
      <w:r>
        <w:rPr>
          <w:rFonts w:ascii="Arial" w:eastAsia="Arial" w:hAnsi="Arial" w:cs="Arial"/>
          <w:color w:val="000000"/>
          <w:sz w:val="20"/>
        </w:rPr>
        <w:t xml:space="preserve"> there was a substantial likelihood that access to the visitation booth would not suffice.</w:t>
      </w:r>
      <w:r>
        <w:rPr>
          <w:rFonts w:ascii="Arial" w:eastAsia="Arial" w:hAnsi="Arial" w:cs="Arial"/>
          <w:vertAlign w:val="superscript"/>
        </w:rPr>
        <w:footnoteReference w:customMarkFollows="1" w:id="427"/>
        <w:t>12</w:t>
      </w:r>
      <w:r>
        <w:rPr>
          <w:rFonts w:ascii="Arial" w:eastAsia="Arial" w:hAnsi="Arial" w:cs="Arial"/>
          <w:color w:val="000000"/>
          <w:sz w:val="20"/>
        </w:rPr>
        <w:t xml:space="preserve"> </w:t>
      </w:r>
      <w:r>
        <w:rPr>
          <w:rFonts w:ascii="Arial" w:eastAsia="Arial" w:hAnsi="Arial" w:cs="Arial"/>
          <w:i/>
          <w:color w:val="000000"/>
          <w:sz w:val="20"/>
        </w:rPr>
        <w:t xml:space="preserve">See </w:t>
      </w:r>
      <w:bookmarkStart w:id="8068" w:name="Bookmark_I5XJ3CD228T4JN0040000400"/>
      <w:bookmarkEnd w:id="8068"/>
      <w:r>
        <w:rPr>
          <w:rFonts w:ascii="Arial" w:eastAsia="Arial" w:hAnsi="Arial" w:cs="Arial"/>
          <w:color w:val="000000"/>
          <w:sz w:val="20"/>
        </w:rPr>
        <w:t xml:space="preserve"> [**783]  </w:t>
      </w:r>
      <w:r>
        <w:rPr>
          <w:rFonts w:ascii="Arial" w:eastAsia="Arial" w:hAnsi="Arial" w:cs="Arial"/>
          <w:i/>
          <w:color w:val="000000"/>
          <w:sz w:val="20"/>
        </w:rPr>
        <w:t>McCullum</w:t>
      </w:r>
      <w:r>
        <w:rPr>
          <w:rFonts w:ascii="Arial" w:eastAsia="Arial" w:hAnsi="Arial" w:cs="Arial"/>
          <w:color w:val="000000"/>
          <w:sz w:val="20"/>
        </w:rPr>
        <w:t>, 768 F.3d at 1147. And we see no such evidence here.</w:t>
      </w:r>
    </w:p>
    <w:p w14:paraId="64B8C80E" w14:textId="77777777" w:rsidR="002B10A6" w:rsidRDefault="00000000">
      <w:pPr>
        <w:pStyle w:val="Normal44"/>
        <w:widowControl w:val="0"/>
        <w:spacing w:before="200" w:line="260" w:lineRule="atLeast"/>
        <w:jc w:val="both"/>
      </w:pPr>
      <w:bookmarkStart w:id="8069" w:name="Bookmark_para_36_20"/>
      <w:bookmarkEnd w:id="8069"/>
      <w:r>
        <w:rPr>
          <w:rFonts w:ascii="Arial" w:eastAsia="Arial" w:hAnsi="Arial" w:cs="Arial"/>
          <w:color w:val="000000"/>
          <w:sz w:val="20"/>
        </w:rPr>
        <w:t xml:space="preserve">Mrs. Cropp did inform jail officials that she felt she could not "show" Mr. Cropp the appearance-bond form "and go over it so he would have true understanding and sign a document that he understood" with a glass partition between them. App. vol. 1, 255-56. Specifically, she told them, "I cannot do that as well: [']Do you see this here; this is what it's saying to you.['] I can't do that." </w:t>
      </w:r>
      <w:r>
        <w:rPr>
          <w:rFonts w:ascii="Arial" w:eastAsia="Arial" w:hAnsi="Arial" w:cs="Arial"/>
          <w:i/>
          <w:color w:val="000000"/>
          <w:sz w:val="20"/>
        </w:rPr>
        <w:t>Id.</w:t>
      </w:r>
      <w:r>
        <w:rPr>
          <w:rFonts w:ascii="Arial" w:eastAsia="Arial" w:hAnsi="Arial" w:cs="Arial"/>
          <w:color w:val="000000"/>
          <w:sz w:val="20"/>
        </w:rPr>
        <w:t xml:space="preserve"> at 256. Nevertheless, the fact remains that the auxiliary aid the County provided (i.e., a chance for Mr. Cropp to speak with Mrs. Cropp about the appearance-bond form through a glass partition in the visitation booth) is nearly identical to the auxiliary aid Mr. Cropp concedes would have been effective (i.e., the opportunity [***24]  to speak to Mrs. Cropp about the appearance-bond form without such a physical obstruction). In particular, both options would have provided the Cropps with an opportunity to communicate verbally while simultaneously viewing both each other </w:t>
      </w:r>
      <w:r>
        <w:rPr>
          <w:rFonts w:ascii="Arial" w:eastAsia="Arial" w:hAnsi="Arial" w:cs="Arial"/>
          <w:i/>
          <w:color w:val="000000"/>
          <w:sz w:val="20"/>
        </w:rPr>
        <w:t>and</w:t>
      </w:r>
      <w:r>
        <w:rPr>
          <w:rFonts w:ascii="Arial" w:eastAsia="Arial" w:hAnsi="Arial" w:cs="Arial"/>
          <w:color w:val="000000"/>
          <w:sz w:val="20"/>
        </w:rPr>
        <w:t xml:space="preserve"> the appearance-bond form, thus enabling Mrs. Cropp to do precisely what she said she needed to do in order to help Mr. Cropp understand the appearance-bond form: "go over" that form with Mr. Cropp and say, "[T]his is what this says." </w:t>
      </w:r>
      <w:r>
        <w:rPr>
          <w:rFonts w:ascii="Arial" w:eastAsia="Arial" w:hAnsi="Arial" w:cs="Arial"/>
          <w:i/>
          <w:color w:val="000000"/>
          <w:sz w:val="20"/>
        </w:rPr>
        <w:t>Id.</w:t>
      </w:r>
      <w:r>
        <w:rPr>
          <w:rFonts w:ascii="Arial" w:eastAsia="Arial" w:hAnsi="Arial" w:cs="Arial"/>
          <w:color w:val="000000"/>
          <w:sz w:val="20"/>
        </w:rPr>
        <w:t xml:space="preserve"> at 186.</w:t>
      </w:r>
    </w:p>
    <w:p w14:paraId="1FDFA7BD" w14:textId="77777777" w:rsidR="002B10A6" w:rsidRDefault="00000000">
      <w:pPr>
        <w:pStyle w:val="Normal44"/>
        <w:widowControl w:val="0"/>
        <w:spacing w:before="200" w:line="260" w:lineRule="atLeast"/>
        <w:jc w:val="both"/>
      </w:pPr>
      <w:bookmarkStart w:id="8070" w:name="Bookmark_para_37_19"/>
      <w:bookmarkStart w:id="8071" w:name="Bookmark_I5XJ3CD22SF8H20020000400"/>
      <w:bookmarkStart w:id="8072" w:name="Bookmark_I5XJ3CD22SF8H20040000400"/>
      <w:bookmarkEnd w:id="8070"/>
      <w:bookmarkEnd w:id="8071"/>
      <w:bookmarkEnd w:id="8072"/>
      <w:r>
        <w:rPr>
          <w:rFonts w:ascii="Arial" w:eastAsia="Arial" w:hAnsi="Arial" w:cs="Arial"/>
          <w:color w:val="000000"/>
          <w:sz w:val="20"/>
        </w:rPr>
        <w:t>Given the material similarities between the auxiliary aid the County provided and the auxiliary aid Mrs. Cropp requested, no reasonable jury could conclude the County was aware of a substantial risk that providing the former rather than the latter would render its communication with Mr. Cropp less effective than its communication with other inmates. Indeed, Mr. Cropp fails—even on appeal—to explain why or how a physical-contact visit would have provided him with a feature critical to his understanding of the form that the visitation booth "c[ould ]not" have provided.</w:t>
      </w:r>
      <w:r>
        <w:rPr>
          <w:rFonts w:ascii="Arial" w:eastAsia="Arial" w:hAnsi="Arial" w:cs="Arial"/>
          <w:vertAlign w:val="superscript"/>
        </w:rPr>
        <w:footnoteReference w:customMarkFollows="1" w:id="428"/>
        <w:t>13</w:t>
      </w:r>
      <w:r>
        <w:rPr>
          <w:rFonts w:ascii="Arial" w:eastAsia="Arial" w:hAnsi="Arial" w:cs="Arial"/>
          <w:color w:val="000000"/>
          <w:sz w:val="20"/>
        </w:rPr>
        <w:t xml:space="preserve"> </w:t>
      </w:r>
      <w:bookmarkStart w:id="8076" w:name="Bookmark_I5XJ3CD22SF8H20010000400"/>
      <w:bookmarkEnd w:id="8076"/>
      <w:r>
        <w:rPr>
          <w:rFonts w:ascii="Arial" w:eastAsia="Arial" w:hAnsi="Arial" w:cs="Arial"/>
          <w:i/>
          <w:color w:val="000000"/>
          <w:sz w:val="20"/>
        </w:rPr>
        <w:t>Mason v. Corr. Med. Servs., Inc.</w:t>
      </w:r>
      <w:r>
        <w:rPr>
          <w:rFonts w:ascii="Arial" w:eastAsia="Arial" w:hAnsi="Arial" w:cs="Arial"/>
          <w:color w:val="000000"/>
          <w:sz w:val="20"/>
        </w:rPr>
        <w:t xml:space="preserve">, 559 F.3d 880, 883, 888 (8th Cir. 2009) ("As [plaintiff] does not explain what [the requested accommodation] could teach him  [**784]  . . . that [the provided accommodation] cannot, we see no basis [***25]  on this record to overturn the district court's decision [granting defendant's motion for summary judgment]."). And in light of Mr. Cropp's apparent inability to identify such a feature, we fail to see how a reasonable jury might conclude the County was able to do so—especially because the Cropps refused to </w:t>
      </w:r>
      <w:r>
        <w:rPr>
          <w:rFonts w:ascii="Arial" w:eastAsia="Arial" w:hAnsi="Arial" w:cs="Arial"/>
          <w:i/>
          <w:color w:val="000000"/>
          <w:sz w:val="20"/>
        </w:rPr>
        <w:t>even attempt</w:t>
      </w:r>
      <w:r>
        <w:rPr>
          <w:rFonts w:ascii="Arial" w:eastAsia="Arial" w:hAnsi="Arial" w:cs="Arial"/>
          <w:color w:val="000000"/>
          <w:sz w:val="20"/>
        </w:rPr>
        <w:t xml:space="preserve"> to use the visitation booth.</w:t>
      </w:r>
      <w:r>
        <w:rPr>
          <w:rFonts w:ascii="Arial" w:eastAsia="Arial" w:hAnsi="Arial" w:cs="Arial"/>
          <w:vertAlign w:val="superscript"/>
        </w:rPr>
        <w:footnoteReference w:customMarkFollows="1" w:id="429"/>
        <w:t>14</w:t>
      </w:r>
      <w:r>
        <w:rPr>
          <w:rFonts w:ascii="Arial" w:eastAsia="Arial" w:hAnsi="Arial" w:cs="Arial"/>
          <w:color w:val="000000"/>
          <w:sz w:val="20"/>
        </w:rPr>
        <w:t xml:space="preserve"> </w:t>
      </w:r>
      <w:r>
        <w:rPr>
          <w:rFonts w:ascii="Arial" w:eastAsia="Arial" w:hAnsi="Arial" w:cs="Arial"/>
          <w:i/>
          <w:color w:val="000000"/>
          <w:sz w:val="20"/>
        </w:rPr>
        <w:t xml:space="preserve">Cf. </w:t>
      </w:r>
      <w:bookmarkStart w:id="8078" w:name="Bookmark_I5XJ3CD22SF8H20030000400"/>
      <w:bookmarkEnd w:id="8078"/>
      <w:r>
        <w:rPr>
          <w:rFonts w:ascii="Arial" w:eastAsia="Arial" w:hAnsi="Arial" w:cs="Arial"/>
          <w:i/>
          <w:color w:val="000000"/>
          <w:sz w:val="20"/>
        </w:rPr>
        <w:t>McCullum</w:t>
      </w:r>
      <w:r>
        <w:rPr>
          <w:rFonts w:ascii="Arial" w:eastAsia="Arial" w:hAnsi="Arial" w:cs="Arial"/>
          <w:color w:val="000000"/>
          <w:sz w:val="20"/>
        </w:rPr>
        <w:t>, 768 F.3d at 1148 (holding that defendant was entitled to summary judgment on plaintiff's failure-to-accommodate claim where "there [was] no evidence suggesting" auxiliary aids that defendant provided to plaintiff "were ineffective . . . or, assuming that they were, that [defendant] knew that fact").</w:t>
      </w:r>
    </w:p>
    <w:p w14:paraId="6232D1A7" w14:textId="77777777" w:rsidR="002B10A6" w:rsidRDefault="00000000">
      <w:pPr>
        <w:pStyle w:val="Normal44"/>
        <w:widowControl w:val="0"/>
        <w:spacing w:before="200" w:line="260" w:lineRule="atLeast"/>
        <w:jc w:val="both"/>
      </w:pPr>
      <w:bookmarkStart w:id="8079" w:name="Bookmark_para_38_16"/>
      <w:bookmarkStart w:id="8080" w:name="Bookmark_I5XJ3CD22N1R6C0030000400"/>
      <w:bookmarkEnd w:id="8079"/>
      <w:bookmarkEnd w:id="8080"/>
      <w:r>
        <w:rPr>
          <w:rFonts w:ascii="Arial" w:eastAsia="Arial" w:hAnsi="Arial" w:cs="Arial"/>
          <w:color w:val="000000"/>
          <w:sz w:val="20"/>
        </w:rPr>
        <w:t xml:space="preserve">Instead, we conclude a reasonable jury could determine, at most, that Mrs. Cropp's statements put the County on notice of the risk that using the visitation booth might prevent Mr. Cropp from understanding Mrs. Cropp's explanation of the appearance-bond form "as well" as he would have understood it with the benefit of a physical-contact visit. </w:t>
      </w:r>
      <w:bookmarkStart w:id="8081" w:name="Bookmark_I5XJ3CD32D6N7C0020000400"/>
      <w:bookmarkEnd w:id="8081"/>
      <w:r>
        <w:rPr>
          <w:rFonts w:ascii="Arial" w:eastAsia="Arial" w:hAnsi="Arial" w:cs="Arial"/>
          <w:color w:val="000000"/>
          <w:sz w:val="20"/>
        </w:rPr>
        <w:t xml:space="preserve">App. vol. 1, 256. But Mr. Cropp fails to demonstrate this means a reasonable jury could conclude the County was aware of a "strong likelihood" that providing Mr. Cropp with access to the visitation [***26]  booth in lieu of the requested physical-contact visit would violate his "federally protected rights." </w:t>
      </w:r>
      <w:bookmarkStart w:id="8082" w:name="Bookmark_I5XJ3CD22N1R6C0020000400"/>
      <w:bookmarkEnd w:id="8082"/>
      <w:r>
        <w:rPr>
          <w:rFonts w:ascii="Arial" w:eastAsia="Arial" w:hAnsi="Arial" w:cs="Arial"/>
          <w:i/>
          <w:color w:val="000000"/>
          <w:sz w:val="20"/>
        </w:rPr>
        <w:t>Powers</w:t>
      </w:r>
      <w:r>
        <w:rPr>
          <w:rFonts w:ascii="Arial" w:eastAsia="Arial" w:hAnsi="Arial" w:cs="Arial"/>
          <w:color w:val="000000"/>
          <w:sz w:val="20"/>
        </w:rPr>
        <w:t xml:space="preserve">, 184 F.3d at 1152-53 (quoting </w:t>
      </w:r>
      <w:bookmarkStart w:id="8083" w:name="Bookmark_I5XJ3CD22N1R6C0040000400"/>
      <w:bookmarkEnd w:id="8083"/>
      <w:r>
        <w:rPr>
          <w:rFonts w:ascii="Arial" w:eastAsia="Arial" w:hAnsi="Arial" w:cs="Arial"/>
          <w:i/>
          <w:color w:val="000000"/>
          <w:sz w:val="20"/>
        </w:rPr>
        <w:t>Alexander</w:t>
      </w:r>
      <w:r>
        <w:rPr>
          <w:rFonts w:ascii="Arial" w:eastAsia="Arial" w:hAnsi="Arial" w:cs="Arial"/>
          <w:color w:val="000000"/>
          <w:sz w:val="20"/>
        </w:rPr>
        <w:t xml:space="preserve">, 469 U.S. at 296). </w:t>
      </w:r>
      <w:bookmarkStart w:id="8084" w:name="Bookmark_I5XJ3CD32D6N7C0020000400_2"/>
      <w:bookmarkEnd w:id="8084"/>
      <w:r>
        <w:rPr>
          <w:rFonts w:ascii="Arial" w:eastAsia="Arial" w:hAnsi="Arial" w:cs="Arial"/>
          <w:color w:val="000000"/>
          <w:sz w:val="20"/>
        </w:rPr>
        <w:t xml:space="preserve">In particular, Mr. Cropp fails to cite any authority indicating he had a right to an auxiliary aid that was as effective </w:t>
      </w:r>
      <w:r>
        <w:rPr>
          <w:rFonts w:ascii="Arial" w:eastAsia="Arial" w:hAnsi="Arial" w:cs="Arial"/>
          <w:i/>
          <w:color w:val="000000"/>
          <w:sz w:val="20"/>
        </w:rPr>
        <w:t>as the one he requested</w:t>
      </w:r>
      <w:r>
        <w:rPr>
          <w:rFonts w:ascii="Arial" w:eastAsia="Arial" w:hAnsi="Arial" w:cs="Arial"/>
          <w:color w:val="000000"/>
          <w:sz w:val="20"/>
        </w:rPr>
        <w:t xml:space="preserve">, as opposed to an auxiliary aid that rendered the County's communication with him "as effective </w:t>
      </w:r>
      <w:r>
        <w:rPr>
          <w:rFonts w:ascii="Arial" w:eastAsia="Arial" w:hAnsi="Arial" w:cs="Arial"/>
          <w:i/>
          <w:color w:val="000000"/>
          <w:sz w:val="20"/>
        </w:rPr>
        <w:t>as</w:t>
      </w:r>
      <w:r>
        <w:rPr>
          <w:rFonts w:ascii="Arial" w:eastAsia="Arial" w:hAnsi="Arial" w:cs="Arial"/>
          <w:color w:val="000000"/>
          <w:sz w:val="20"/>
        </w:rPr>
        <w:t xml:space="preserve"> [</w:t>
      </w:r>
      <w:r>
        <w:rPr>
          <w:rFonts w:ascii="Arial" w:eastAsia="Arial" w:hAnsi="Arial" w:cs="Arial"/>
          <w:i/>
          <w:color w:val="000000"/>
          <w:sz w:val="20"/>
        </w:rPr>
        <w:t>its</w:t>
      </w:r>
      <w:r>
        <w:rPr>
          <w:rFonts w:ascii="Arial" w:eastAsia="Arial" w:hAnsi="Arial" w:cs="Arial"/>
          <w:color w:val="000000"/>
          <w:sz w:val="20"/>
        </w:rPr>
        <w:t xml:space="preserve">] </w:t>
      </w:r>
      <w:r>
        <w:rPr>
          <w:rFonts w:ascii="Arial" w:eastAsia="Arial" w:hAnsi="Arial" w:cs="Arial"/>
          <w:i/>
          <w:color w:val="000000"/>
          <w:sz w:val="20"/>
        </w:rPr>
        <w:t>communications with others</w:t>
      </w:r>
      <w:r>
        <w:rPr>
          <w:rFonts w:ascii="Arial" w:eastAsia="Arial" w:hAnsi="Arial" w:cs="Arial"/>
          <w:color w:val="000000"/>
          <w:sz w:val="20"/>
        </w:rPr>
        <w:t>."</w:t>
      </w:r>
      <w:r>
        <w:rPr>
          <w:rFonts w:ascii="Arial" w:eastAsia="Arial" w:hAnsi="Arial" w:cs="Arial"/>
          <w:vertAlign w:val="superscript"/>
        </w:rPr>
        <w:footnoteReference w:customMarkFollows="1" w:id="430"/>
        <w:t>15</w:t>
      </w:r>
      <w:r>
        <w:rPr>
          <w:rFonts w:ascii="Arial" w:eastAsia="Arial" w:hAnsi="Arial" w:cs="Arial"/>
          <w:color w:val="000000"/>
          <w:sz w:val="20"/>
        </w:rPr>
        <w:t xml:space="preserve"> § 35.160(a)(1) (emphasis added); </w:t>
      </w:r>
      <w:r>
        <w:rPr>
          <w:rFonts w:ascii="Arial" w:eastAsia="Arial" w:hAnsi="Arial" w:cs="Arial"/>
          <w:i/>
          <w:color w:val="000000"/>
          <w:sz w:val="20"/>
        </w:rPr>
        <w:t xml:space="preserve">see also </w:t>
      </w:r>
      <w:bookmarkStart w:id="8086" w:name="Bookmark_I5XJ3CD32D6N7C0010000400"/>
      <w:bookmarkEnd w:id="8086"/>
      <w:r>
        <w:rPr>
          <w:rFonts w:ascii="Arial" w:eastAsia="Arial" w:hAnsi="Arial" w:cs="Arial"/>
          <w:i/>
          <w:color w:val="000000"/>
          <w:sz w:val="20"/>
        </w:rPr>
        <w:t>Silva</w:t>
      </w:r>
      <w:r>
        <w:rPr>
          <w:rFonts w:ascii="Arial" w:eastAsia="Arial" w:hAnsi="Arial" w:cs="Arial"/>
          <w:color w:val="000000"/>
          <w:sz w:val="20"/>
        </w:rPr>
        <w:t>, 856 F.3d at 834, 835 n.7 (noting that ADA does not require "perfect communication"; explaining that defendant was only required to provide plaintiff with auxiliary aid that was "sufficient to ensure a level of communication . . . substantially equal to that afforded to non-disabled" individuals (emphasis omitted)).</w:t>
      </w:r>
    </w:p>
    <w:p w14:paraId="52A1E542" w14:textId="77777777" w:rsidR="002B10A6" w:rsidRDefault="00000000">
      <w:pPr>
        <w:pStyle w:val="Normal44"/>
        <w:widowControl w:val="0"/>
        <w:spacing w:before="200" w:line="260" w:lineRule="atLeast"/>
        <w:jc w:val="both"/>
      </w:pPr>
      <w:bookmarkStart w:id="8087" w:name="Bookmark_para_39_16"/>
      <w:bookmarkStart w:id="8088" w:name="Bookmark_I5XJ3CD32D6N7C0040000400"/>
      <w:bookmarkEnd w:id="8087"/>
      <w:bookmarkEnd w:id="8088"/>
      <w:r>
        <w:rPr>
          <w:rFonts w:ascii="Arial" w:eastAsia="Arial" w:hAnsi="Arial" w:cs="Arial"/>
          <w:color w:val="000000"/>
          <w:sz w:val="20"/>
        </w:rPr>
        <w:t xml:space="preserve">In other words, even assuming a reasonable jury could conclude that Mrs. Cropp's statements were sufficient to put the  [**785]  County on notice of a substantial risk that the visitation booth would be </w:t>
      </w:r>
      <w:r>
        <w:rPr>
          <w:rFonts w:ascii="Arial" w:eastAsia="Arial" w:hAnsi="Arial" w:cs="Arial"/>
          <w:i/>
          <w:color w:val="000000"/>
          <w:sz w:val="20"/>
        </w:rPr>
        <w:t>less effective</w:t>
      </w:r>
      <w:r>
        <w:rPr>
          <w:rFonts w:ascii="Arial" w:eastAsia="Arial" w:hAnsi="Arial" w:cs="Arial"/>
          <w:color w:val="000000"/>
          <w:sz w:val="20"/>
        </w:rPr>
        <w:t xml:space="preserve">, in layman's terms, than a physical-contact visit, Mr. Cropp nevertheless fails to demonstrate a reasonable jury could conclude those statements were sufficient to put the County on notice of a substantial risk that the visitation booth would be </w:t>
      </w:r>
      <w:r>
        <w:rPr>
          <w:rFonts w:ascii="Arial" w:eastAsia="Arial" w:hAnsi="Arial" w:cs="Arial"/>
          <w:i/>
          <w:color w:val="000000"/>
          <w:sz w:val="20"/>
        </w:rPr>
        <w:t>wholly [***27]  ineffective</w:t>
      </w:r>
      <w:r>
        <w:rPr>
          <w:rFonts w:ascii="Arial" w:eastAsia="Arial" w:hAnsi="Arial" w:cs="Arial"/>
          <w:color w:val="000000"/>
          <w:sz w:val="20"/>
        </w:rPr>
        <w:t xml:space="preserve"> for purposes of the ADA. </w:t>
      </w:r>
      <w:r>
        <w:rPr>
          <w:rFonts w:ascii="Arial" w:eastAsia="Arial" w:hAnsi="Arial" w:cs="Arial"/>
          <w:i/>
          <w:color w:val="000000"/>
          <w:sz w:val="20"/>
        </w:rPr>
        <w:t>See</w:t>
      </w:r>
      <w:r>
        <w:rPr>
          <w:rFonts w:ascii="Arial" w:eastAsia="Arial" w:hAnsi="Arial" w:cs="Arial"/>
          <w:color w:val="000000"/>
          <w:sz w:val="20"/>
        </w:rPr>
        <w:t xml:space="preserve"> § 35.160(a)(1), (b)(1); </w:t>
      </w:r>
      <w:r>
        <w:rPr>
          <w:rFonts w:ascii="Arial" w:eastAsia="Arial" w:hAnsi="Arial" w:cs="Arial"/>
          <w:i/>
          <w:color w:val="000000"/>
          <w:sz w:val="20"/>
        </w:rPr>
        <w:t xml:space="preserve">cf. </w:t>
      </w:r>
      <w:bookmarkStart w:id="8089" w:name="Bookmark_I5XJ3CD32D6N7C0030000400"/>
      <w:bookmarkEnd w:id="8089"/>
      <w:r>
        <w:rPr>
          <w:rFonts w:ascii="Arial" w:eastAsia="Arial" w:hAnsi="Arial" w:cs="Arial"/>
          <w:i/>
          <w:color w:val="000000"/>
          <w:sz w:val="20"/>
        </w:rPr>
        <w:t>Barber</w:t>
      </w:r>
      <w:r>
        <w:rPr>
          <w:rFonts w:ascii="Arial" w:eastAsia="Arial" w:hAnsi="Arial" w:cs="Arial"/>
          <w:color w:val="000000"/>
          <w:sz w:val="20"/>
        </w:rPr>
        <w:t>, 562 F.3d at 1230-31 (holding that defendant did not act with deliberate indifference when it refused to provide plaintiff with requested accommodation, in part because defendant offered plaintiff "another objectively reasonable alternative"). Accordingly, we conclude that Mrs. Cropp's statements were insufficient to create a question of material fact sufficient to defeat the County's motion for summary judgment.</w:t>
      </w:r>
    </w:p>
    <w:p w14:paraId="27E4FCE7" w14:textId="77777777" w:rsidR="002B10A6" w:rsidRDefault="00000000">
      <w:pPr>
        <w:pStyle w:val="Normal44"/>
        <w:widowControl w:val="0"/>
        <w:spacing w:before="200" w:line="260" w:lineRule="atLeast"/>
        <w:jc w:val="both"/>
      </w:pPr>
      <w:bookmarkStart w:id="8090" w:name="Bookmark_para_40_16"/>
      <w:bookmarkEnd w:id="8090"/>
      <w:r>
        <w:rPr>
          <w:rFonts w:ascii="Arial" w:eastAsia="Arial" w:hAnsi="Arial" w:cs="Arial"/>
          <w:color w:val="000000"/>
          <w:sz w:val="20"/>
        </w:rPr>
        <w:t xml:space="preserve">But that does not end the matter. </w:t>
      </w:r>
      <w:bookmarkStart w:id="8091" w:name="Bookmark_I5XJ3CD32SF8H60010000400"/>
      <w:bookmarkEnd w:id="8091"/>
      <w:r>
        <w:rPr>
          <w:rFonts w:ascii="Arial" w:eastAsia="Arial" w:hAnsi="Arial" w:cs="Arial"/>
          <w:color w:val="000000"/>
          <w:sz w:val="20"/>
        </w:rPr>
        <w:t xml:space="preserve">Mr. Cropp also asserts a reasonable jury could conclude the County was deliberately indifferent because it failed to adequately train the Jail's staff. In support, he repeatedly asserts that the County failed to provide adequate ADA and Rehabilitation Act training to its employees. Yet such </w:t>
      </w:r>
      <w:bookmarkStart w:id="8092" w:name="Bookmark_LNHNREFclscc8_27"/>
      <w:bookmarkEnd w:id="8092"/>
      <w:r>
        <w:rPr>
          <w:rFonts w:ascii="Arial" w:eastAsia="Arial" w:hAnsi="Arial" w:cs="Arial"/>
          <w:color w:val="000000"/>
          <w:sz w:val="20"/>
        </w:rPr>
        <w:t xml:space="preserve">"bare allegation[s] of [a defendant's] failure to train" are not "nearly enough to show deliberate indifference." </w:t>
      </w:r>
      <w:bookmarkStart w:id="8093" w:name="Bookmark_I5XJ3CD32D6N7C0050000400"/>
      <w:bookmarkEnd w:id="8093"/>
      <w:r>
        <w:rPr>
          <w:rFonts w:ascii="Arial" w:eastAsia="Arial" w:hAnsi="Arial" w:cs="Arial"/>
          <w:i/>
          <w:color w:val="000000"/>
          <w:sz w:val="20"/>
        </w:rPr>
        <w:t>J.V.</w:t>
      </w:r>
      <w:r>
        <w:rPr>
          <w:rFonts w:ascii="Arial" w:eastAsia="Arial" w:hAnsi="Arial" w:cs="Arial"/>
          <w:color w:val="000000"/>
          <w:sz w:val="20"/>
        </w:rPr>
        <w:t xml:space="preserve">, 813 F.3d at 1298. Instead, as a threshold matter, Mr. Cropp must demonstrate that the County "was on notice of the need for more or better training." </w:t>
      </w:r>
      <w:r>
        <w:rPr>
          <w:rFonts w:ascii="Arial" w:eastAsia="Arial" w:hAnsi="Arial" w:cs="Arial"/>
          <w:i/>
          <w:color w:val="000000"/>
          <w:sz w:val="20"/>
        </w:rPr>
        <w:t>Id.</w:t>
      </w:r>
      <w:r>
        <w:rPr>
          <w:rFonts w:ascii="Arial" w:eastAsia="Arial" w:hAnsi="Arial" w:cs="Arial"/>
          <w:color w:val="000000"/>
          <w:sz w:val="20"/>
        </w:rPr>
        <w:t xml:space="preserve"> And according to the district court, Mr. Cropp failed to make this showing below.</w:t>
      </w:r>
    </w:p>
    <w:p w14:paraId="16C7014A" w14:textId="77777777" w:rsidR="002B10A6" w:rsidRDefault="00000000">
      <w:pPr>
        <w:pStyle w:val="Normal44"/>
        <w:widowControl w:val="0"/>
        <w:spacing w:before="200" w:line="260" w:lineRule="atLeast"/>
        <w:jc w:val="both"/>
      </w:pPr>
      <w:bookmarkStart w:id="8094" w:name="Bookmark_para_41_16"/>
      <w:bookmarkEnd w:id="8094"/>
      <w:r>
        <w:rPr>
          <w:rFonts w:ascii="Arial" w:eastAsia="Arial" w:hAnsi="Arial" w:cs="Arial"/>
          <w:color w:val="000000"/>
          <w:sz w:val="20"/>
        </w:rPr>
        <w:t xml:space="preserve">In what we construe as an effort to challenge this portion of the district court's ruling, Mr. Cropp [***28]  asserts on appeal that "the [Department of Justice] recently investigated [the County] for failing to provide appropriate auxiliary aids . . . to . . . deaf inmates." Aplt. Br. 54. </w:t>
      </w:r>
      <w:bookmarkStart w:id="8095" w:name="Bookmark_I5XJ3CD32SF8H60030000400"/>
      <w:bookmarkEnd w:id="8095"/>
      <w:r>
        <w:rPr>
          <w:rFonts w:ascii="Arial" w:eastAsia="Arial" w:hAnsi="Arial" w:cs="Arial"/>
          <w:color w:val="000000"/>
          <w:sz w:val="20"/>
        </w:rPr>
        <w:t xml:space="preserve">Presumably, Mr. Cropp means to suggest either that the investigation put the County on notice of the need for additional training or that the need for an investigation indicates the need for training was obvious. Yet the portion of the record Mr. Cropp cites does not provide any information about when this investigation began, when the County learned of it, or the events that prompted it. </w:t>
      </w:r>
      <w:r>
        <w:rPr>
          <w:rFonts w:ascii="Arial" w:eastAsia="Arial" w:hAnsi="Arial" w:cs="Arial"/>
          <w:i/>
          <w:color w:val="000000"/>
          <w:sz w:val="20"/>
        </w:rPr>
        <w:t>Cf.</w:t>
      </w:r>
      <w:r>
        <w:rPr>
          <w:rFonts w:ascii="Arial" w:eastAsia="Arial" w:hAnsi="Arial" w:cs="Arial"/>
          <w:color w:val="000000"/>
          <w:sz w:val="20"/>
        </w:rPr>
        <w:t xml:space="preserve"> Fed. R. App. P. 28(a)(8)(A) (requiring appellant's brief to contain "appellant's contentions and the reasons for them, with citations to the . . . parts of the record on which the appellant relies"). </w:t>
      </w:r>
      <w:bookmarkStart w:id="8096" w:name="Bookmark_I5XJ3CD32SF8H60050000400"/>
      <w:bookmarkEnd w:id="8096"/>
      <w:r>
        <w:rPr>
          <w:rFonts w:ascii="Arial" w:eastAsia="Arial" w:hAnsi="Arial" w:cs="Arial"/>
          <w:color w:val="000000"/>
          <w:sz w:val="20"/>
        </w:rPr>
        <w:t>And in the absence of any information about when the investigation began and when the County learned of it, the mere fact of the investigation does not demonstrate that the County was "on notice"—when the events that gave rise to this litigation transpired—"of the need for more or better training."</w:t>
      </w:r>
      <w:r>
        <w:rPr>
          <w:rFonts w:ascii="Arial" w:eastAsia="Arial" w:hAnsi="Arial" w:cs="Arial"/>
          <w:vertAlign w:val="superscript"/>
        </w:rPr>
        <w:footnoteReference w:customMarkFollows="1" w:id="431"/>
        <w:t>16</w:t>
      </w:r>
      <w:r>
        <w:rPr>
          <w:rFonts w:ascii="Arial" w:eastAsia="Arial" w:hAnsi="Arial" w:cs="Arial"/>
          <w:color w:val="000000"/>
          <w:sz w:val="20"/>
        </w:rPr>
        <w:t xml:space="preserve"> </w:t>
      </w:r>
      <w:bookmarkStart w:id="8098" w:name="Bookmark_I5XJ3CD32SF8H60020000400"/>
      <w:bookmarkEnd w:id="8098"/>
      <w:r>
        <w:rPr>
          <w:rFonts w:ascii="Arial" w:eastAsia="Arial" w:hAnsi="Arial" w:cs="Arial"/>
          <w:i/>
          <w:color w:val="000000"/>
          <w:sz w:val="20"/>
        </w:rPr>
        <w:t>J.V.</w:t>
      </w:r>
      <w:r>
        <w:rPr>
          <w:rFonts w:ascii="Arial" w:eastAsia="Arial" w:hAnsi="Arial" w:cs="Arial"/>
          <w:color w:val="000000"/>
          <w:sz w:val="20"/>
        </w:rPr>
        <w:t xml:space="preserve">, 813 F.3d at 1298. </w:t>
      </w:r>
      <w:bookmarkStart w:id="8099" w:name="Bookmark_I5XJ3CD32SF8H60050000400_2"/>
      <w:bookmarkEnd w:id="8099"/>
      <w:r>
        <w:rPr>
          <w:rFonts w:ascii="Arial" w:eastAsia="Arial" w:hAnsi="Arial" w:cs="Arial"/>
          <w:color w:val="000000"/>
          <w:sz w:val="20"/>
        </w:rPr>
        <w:t xml:space="preserve">Likewise, in the absence of any information about the specific events that precipitated the investigation, the mere fact of the investigation does not [***29]  establish that "the need for more or different training [was] so obvious, and the inadequacy so likely to result in the violation of" Title II or § 504, that the County "can reasonably be said to have been deliberately indifferent to the need" for such training. </w:t>
      </w:r>
      <w:r>
        <w:rPr>
          <w:rFonts w:ascii="Arial" w:eastAsia="Arial" w:hAnsi="Arial" w:cs="Arial"/>
          <w:i/>
          <w:color w:val="000000"/>
          <w:sz w:val="20"/>
        </w:rPr>
        <w:t>Id.</w:t>
      </w:r>
      <w:r>
        <w:rPr>
          <w:rFonts w:ascii="Arial" w:eastAsia="Arial" w:hAnsi="Arial" w:cs="Arial"/>
          <w:color w:val="000000"/>
          <w:sz w:val="20"/>
        </w:rPr>
        <w:t xml:space="preserve"> (quoting </w:t>
      </w:r>
      <w:bookmarkStart w:id="8100" w:name="Bookmark_I5XJ3CD32SF8H60040000400"/>
      <w:bookmarkEnd w:id="8100"/>
      <w:r>
        <w:rPr>
          <w:rFonts w:ascii="Arial" w:eastAsia="Arial" w:hAnsi="Arial" w:cs="Arial"/>
          <w:i/>
          <w:color w:val="000000"/>
          <w:sz w:val="20"/>
        </w:rPr>
        <w:t>City of Canton v. Harris</w:t>
      </w:r>
      <w:r>
        <w:rPr>
          <w:rFonts w:ascii="Arial" w:eastAsia="Arial" w:hAnsi="Arial" w:cs="Arial"/>
          <w:color w:val="000000"/>
          <w:sz w:val="20"/>
        </w:rPr>
        <w:t>, 489 U.S. 378, 390, 109 S. Ct. 1197, 103 L. Ed. 2d 412 (1989)).</w:t>
      </w:r>
    </w:p>
    <w:p w14:paraId="6B891F6A" w14:textId="77777777" w:rsidR="002B10A6" w:rsidRDefault="00000000">
      <w:pPr>
        <w:pStyle w:val="Normal44"/>
        <w:widowControl w:val="0"/>
        <w:spacing w:before="200" w:line="260" w:lineRule="atLeast"/>
        <w:jc w:val="both"/>
      </w:pPr>
      <w:bookmarkStart w:id="8101" w:name="Bookmark_para_42_15"/>
      <w:bookmarkEnd w:id="8101"/>
      <w:r>
        <w:rPr>
          <w:rFonts w:ascii="Arial" w:eastAsia="Arial" w:hAnsi="Arial" w:cs="Arial"/>
          <w:color w:val="000000"/>
          <w:sz w:val="20"/>
        </w:rPr>
        <w:t xml:space="preserve">Accordingly, we agree with the district court: "Mr. Cropp fail[ed] to establish deliberate indifference based on a failure-to-train theory." App. vol. 4, 1091. And because that means Mr. Cropp also failed to establish the County </w:t>
      </w:r>
      <w:r>
        <w:rPr>
          <w:rFonts w:ascii="Arial" w:eastAsia="Arial" w:hAnsi="Arial" w:cs="Arial"/>
          <w:i/>
          <w:color w:val="000000"/>
          <w:sz w:val="20"/>
        </w:rPr>
        <w:t>intentionally</w:t>
      </w:r>
      <w:r>
        <w:rPr>
          <w:rFonts w:ascii="Arial" w:eastAsia="Arial" w:hAnsi="Arial" w:cs="Arial"/>
          <w:color w:val="000000"/>
          <w:sz w:val="20"/>
        </w:rPr>
        <w:t xml:space="preserve"> discriminated against him, the County is entitled to summary judgment on what remains of Mr. Cropp's failure-to-accommodate claims  [**786]  (i.e., his claims for compensatory damages)—even assuming the County discriminated against him in violation of Title II and § 504 by failing to provide him with a necessary and appropriate auxiliary aid. We therefore affirm the district court's order granting summary judgment to the County on these claims.</w:t>
      </w:r>
    </w:p>
    <w:p w14:paraId="068713CE" w14:textId="77777777" w:rsidR="002B10A6" w:rsidRDefault="00000000">
      <w:pPr>
        <w:pStyle w:val="Normal44"/>
        <w:widowControl w:val="0"/>
        <w:spacing w:before="240" w:line="260" w:lineRule="atLeast"/>
      </w:pPr>
      <w:r>
        <w:br/>
      </w:r>
      <w:r>
        <w:rPr>
          <w:rFonts w:ascii="Arial" w:eastAsia="Arial" w:hAnsi="Arial" w:cs="Arial"/>
          <w:b/>
          <w:color w:val="000000"/>
          <w:sz w:val="20"/>
        </w:rPr>
        <w:t>II. Mrs. Cropp's Associational-Discrimination and Retaliation Claims</w:t>
      </w:r>
    </w:p>
    <w:p w14:paraId="070F87B4" w14:textId="77777777" w:rsidR="002B10A6" w:rsidRDefault="00000000">
      <w:pPr>
        <w:pStyle w:val="Normal44"/>
        <w:widowControl w:val="0"/>
        <w:spacing w:before="200" w:line="260" w:lineRule="atLeast"/>
        <w:jc w:val="both"/>
      </w:pPr>
      <w:bookmarkStart w:id="8102" w:name="Bookmark_para_43_14"/>
      <w:bookmarkEnd w:id="8102"/>
      <w:r>
        <w:rPr>
          <w:rFonts w:ascii="Arial" w:eastAsia="Arial" w:hAnsi="Arial" w:cs="Arial"/>
          <w:color w:val="000000"/>
          <w:sz w:val="20"/>
        </w:rPr>
        <w:t xml:space="preserve">Having concluded that the district court properly granted summary judgment to the County on Mr. Cropp's Title II and § 504 claims for compensatory damages, we turn next to Mrs. Cropp's argument [***30]  that the district court erred in likewise granting summary judgment to the County on her related claims for associational discrimination and retaliation. </w:t>
      </w:r>
      <w:r>
        <w:rPr>
          <w:rFonts w:ascii="Arial" w:eastAsia="Arial" w:hAnsi="Arial" w:cs="Arial"/>
          <w:i/>
          <w:color w:val="000000"/>
          <w:sz w:val="20"/>
        </w:rPr>
        <w:t>See</w:t>
      </w:r>
      <w:r>
        <w:rPr>
          <w:rFonts w:ascii="Arial" w:eastAsia="Arial" w:hAnsi="Arial" w:cs="Arial"/>
          <w:color w:val="000000"/>
          <w:sz w:val="20"/>
        </w:rPr>
        <w:t xml:space="preserve"> </w:t>
      </w:r>
      <w:bookmarkStart w:id="8103" w:name="Bookmark_LNHNREFclscc9_26"/>
      <w:bookmarkEnd w:id="8103"/>
      <w:r>
        <w:rPr>
          <w:rFonts w:ascii="Arial" w:eastAsia="Arial" w:hAnsi="Arial" w:cs="Arial"/>
          <w:color w:val="000000"/>
          <w:sz w:val="20"/>
        </w:rPr>
        <w:t>42 U.S.C. § 12133 (extending Title II's "remedies . . . and rights . . . to any person alleging discrimination on the basis of disability"); 42 U.S.C. § 12203(a) (prohibiting discrimination based on individual's opposition to "any act or practice" that is "unlawful" under Title II); § 35.130(g) (prohibiting public entities from "exclud[ing] or otherwise deny[ing] equal services, programs, or activities to an individual or entity because of the known disability of an individual with whom the individual or entity is known to have a relationship or association").</w:t>
      </w:r>
    </w:p>
    <w:p w14:paraId="79D5AAE7" w14:textId="77777777" w:rsidR="002B10A6" w:rsidRDefault="00000000">
      <w:pPr>
        <w:pStyle w:val="Normal44"/>
        <w:widowControl w:val="0"/>
        <w:spacing w:before="200" w:line="260" w:lineRule="atLeast"/>
        <w:jc w:val="both"/>
      </w:pPr>
      <w:bookmarkStart w:id="8104" w:name="Bookmark_para_44_14"/>
      <w:bookmarkEnd w:id="8104"/>
      <w:r>
        <w:rPr>
          <w:rFonts w:ascii="Arial" w:eastAsia="Arial" w:hAnsi="Arial" w:cs="Arial"/>
          <w:color w:val="000000"/>
          <w:sz w:val="20"/>
        </w:rPr>
        <w:t>In granting summary judgment to the County on Mrs. Cropp's claims, the district court concluded that because Mr. Cropp's claims failed as a matter of law, Mrs. Cropp's related claims necessarily failed as well. Notably, in challenging this ruling, Mrs. Cropp does not dispute that her claims rise and fall with Mr. Cropp's. Instead, she merely (1) argues that the district court erred in granting summary judgment to the County on Mr. Cropp's claims and (2) asserts that to the extent his claims remain viable, so too do hers. [***31]  But for the reasons discussed above, we conclude that the district court properly granted summary judgment to the County on Mr. Cropp's claims. And because Mrs. Cropp does not identify any other basis for disturbing the district court's ruling granting summary judgment to the County on her claims, we affirm that ruling as well.</w:t>
      </w:r>
      <w:r>
        <w:rPr>
          <w:rFonts w:ascii="Arial" w:eastAsia="Arial" w:hAnsi="Arial" w:cs="Arial"/>
          <w:vertAlign w:val="superscript"/>
        </w:rPr>
        <w:footnoteReference w:customMarkFollows="1" w:id="432"/>
        <w:t>17</w:t>
      </w:r>
    </w:p>
    <w:p w14:paraId="150A47B2" w14:textId="77777777" w:rsidR="002B10A6" w:rsidRDefault="00000000">
      <w:pPr>
        <w:pStyle w:val="Normal44"/>
        <w:widowControl w:val="0"/>
        <w:spacing w:before="240" w:line="260" w:lineRule="atLeast"/>
      </w:pPr>
      <w:r>
        <w:br/>
      </w:r>
      <w:r>
        <w:rPr>
          <w:rFonts w:ascii="Arial" w:eastAsia="Arial" w:hAnsi="Arial" w:cs="Arial"/>
          <w:b/>
          <w:color w:val="000000"/>
          <w:sz w:val="20"/>
        </w:rPr>
        <w:t>Conclusion</w:t>
      </w:r>
    </w:p>
    <w:p w14:paraId="466D412B" w14:textId="77777777" w:rsidR="002B10A6" w:rsidRDefault="00000000">
      <w:pPr>
        <w:pStyle w:val="Normal44"/>
        <w:widowControl w:val="0"/>
        <w:spacing w:before="200" w:line="260" w:lineRule="atLeast"/>
        <w:jc w:val="both"/>
      </w:pPr>
      <w:bookmarkStart w:id="8108" w:name="Bookmark_para_45_14"/>
      <w:bookmarkEnd w:id="8108"/>
      <w:r>
        <w:rPr>
          <w:rFonts w:ascii="Arial" w:eastAsia="Arial" w:hAnsi="Arial" w:cs="Arial"/>
          <w:color w:val="000000"/>
          <w:sz w:val="20"/>
        </w:rPr>
        <w:t xml:space="preserve">Because no reasonable jury could find the County intentionally discriminated against Mr. Cropp in violation of Title II or § 504 by denying him access to a physical-contact visit, the district court correctly granted summary judgment to the County on Mr. Cropp's Title II and § 504 claims for compensatory damages. </w:t>
      </w:r>
      <w:bookmarkStart w:id="8109" w:name="Bookmark_I65KBMS02N1RVV0010000400"/>
      <w:bookmarkEnd w:id="8109"/>
      <w:r>
        <w:rPr>
          <w:rFonts w:ascii="Arial" w:eastAsia="Arial" w:hAnsi="Arial" w:cs="Arial"/>
          <w:color w:val="000000"/>
          <w:sz w:val="20"/>
        </w:rPr>
        <w:t xml:space="preserve">And Mrs. Cropp does not dispute that if Mr. Cropp's claims fail as a matter of law, then the County is also entitled to summary judgment on her associational-discrimination and retaliation claims. Accordingly, we affirm the district court's order granting summary judgment to the County on the Cropps' claims for compensatory damages. But to the extent the district court implicitly ruled on the Cropps' claims for injunctive relief, we reverse and remand to the district court with directions to dismiss that aspect of the Cropps' claims without prejudice. [***32]  </w:t>
      </w:r>
      <w:r>
        <w:rPr>
          <w:rFonts w:ascii="Arial" w:eastAsia="Arial" w:hAnsi="Arial" w:cs="Arial"/>
          <w:i/>
          <w:color w:val="000000"/>
          <w:sz w:val="20"/>
        </w:rPr>
        <w:t>See supra</w:t>
      </w:r>
      <w:r>
        <w:rPr>
          <w:rFonts w:ascii="Arial" w:eastAsia="Arial" w:hAnsi="Arial" w:cs="Arial"/>
          <w:color w:val="000000"/>
          <w:sz w:val="20"/>
        </w:rPr>
        <w:t xml:space="preserve"> pp. 5-7.</w:t>
      </w:r>
    </w:p>
    <w:p w14:paraId="6869EFBA" w14:textId="77777777" w:rsidR="002B10A6" w:rsidRDefault="00000000">
      <w:pPr>
        <w:pStyle w:val="Normal44"/>
        <w:widowControl w:val="0"/>
        <w:spacing w:before="200" w:line="260" w:lineRule="atLeast"/>
        <w:jc w:val="both"/>
      </w:pPr>
      <w:bookmarkStart w:id="8110" w:name="Bookmark_para_46_13"/>
      <w:bookmarkEnd w:id="8110"/>
      <w:r>
        <w:rPr>
          <w:rFonts w:ascii="Arial" w:eastAsia="Arial" w:hAnsi="Arial" w:cs="Arial"/>
          <w:color w:val="000000"/>
          <w:sz w:val="20"/>
        </w:rPr>
        <w:t>Entered for the Court</w:t>
      </w:r>
    </w:p>
    <w:p w14:paraId="431E9BFF" w14:textId="77777777" w:rsidR="002B10A6" w:rsidRDefault="00000000">
      <w:pPr>
        <w:pStyle w:val="Normal44"/>
        <w:widowControl w:val="0"/>
        <w:spacing w:before="200" w:line="260" w:lineRule="atLeast"/>
        <w:jc w:val="both"/>
      </w:pPr>
      <w:bookmarkStart w:id="8111" w:name="Bookmark_para_47_13"/>
      <w:bookmarkEnd w:id="8111"/>
      <w:r>
        <w:rPr>
          <w:rFonts w:ascii="Arial" w:eastAsia="Arial" w:hAnsi="Arial" w:cs="Arial"/>
          <w:color w:val="000000"/>
          <w:sz w:val="20"/>
        </w:rPr>
        <w:t>Nancy L. Moritz</w:t>
      </w:r>
    </w:p>
    <w:p w14:paraId="08534EEC" w14:textId="77777777" w:rsidR="002B10A6" w:rsidRDefault="00000000">
      <w:pPr>
        <w:pStyle w:val="Normal44"/>
        <w:widowControl w:val="0"/>
        <w:spacing w:before="200" w:line="260" w:lineRule="atLeast"/>
        <w:jc w:val="both"/>
      </w:pPr>
      <w:bookmarkStart w:id="8112" w:name="Bookmark_para_48_13"/>
      <w:bookmarkEnd w:id="8112"/>
      <w:r>
        <w:rPr>
          <w:rFonts w:ascii="Arial" w:eastAsia="Arial" w:hAnsi="Arial" w:cs="Arial"/>
          <w:color w:val="000000"/>
          <w:sz w:val="20"/>
        </w:rPr>
        <w:t>Circuit Judge</w:t>
      </w:r>
    </w:p>
    <w:p w14:paraId="7F075992" w14:textId="77777777" w:rsidR="002B10A6" w:rsidRDefault="00000000">
      <w:pPr>
        <w:pStyle w:val="Normal44"/>
        <w:widowControl w:val="0"/>
        <w:spacing w:before="240" w:line="260" w:lineRule="atLeast"/>
      </w:pPr>
      <w:bookmarkStart w:id="8113" w:name="Concur_by_0"/>
      <w:bookmarkEnd w:id="8113"/>
      <w:r>
        <w:rPr>
          <w:rFonts w:ascii="Arial" w:eastAsia="Arial" w:hAnsi="Arial" w:cs="Arial"/>
          <w:b/>
          <w:color w:val="000000"/>
          <w:sz w:val="20"/>
        </w:rPr>
        <w:t>Concur by:</w:t>
      </w:r>
      <w:r>
        <w:rPr>
          <w:rFonts w:ascii="Arial" w:eastAsia="Arial" w:hAnsi="Arial" w:cs="Arial"/>
          <w:color w:val="000000"/>
          <w:sz w:val="20"/>
        </w:rPr>
        <w:t> LUCERO (In Part)</w:t>
      </w:r>
    </w:p>
    <w:p w14:paraId="58042BD3" w14:textId="77777777" w:rsidR="002B10A6" w:rsidRDefault="00000000">
      <w:pPr>
        <w:pStyle w:val="Normal44"/>
        <w:widowControl w:val="0"/>
        <w:spacing w:before="240" w:line="260" w:lineRule="atLeast"/>
      </w:pPr>
      <w:bookmarkStart w:id="8114" w:name="Dissent_by_4"/>
      <w:bookmarkEnd w:id="8114"/>
      <w:r>
        <w:rPr>
          <w:rFonts w:ascii="Arial" w:eastAsia="Arial" w:hAnsi="Arial" w:cs="Arial"/>
          <w:b/>
          <w:color w:val="000000"/>
          <w:sz w:val="20"/>
        </w:rPr>
        <w:t>Dissent by:</w:t>
      </w:r>
      <w:r>
        <w:rPr>
          <w:rFonts w:ascii="Arial" w:eastAsia="Arial" w:hAnsi="Arial" w:cs="Arial"/>
          <w:color w:val="000000"/>
          <w:sz w:val="20"/>
        </w:rPr>
        <w:t> LUCERO (In Part)</w:t>
      </w:r>
    </w:p>
    <w:p w14:paraId="33122C2C" w14:textId="77777777" w:rsidR="002B10A6" w:rsidRDefault="00000000">
      <w:pPr>
        <w:pStyle w:val="Normal44"/>
        <w:keepNext/>
        <w:widowControl w:val="0"/>
        <w:spacing w:before="240" w:line="340" w:lineRule="atLeast"/>
      </w:pPr>
      <w:bookmarkStart w:id="8115" w:name="Dissent_4"/>
      <w:bookmarkEnd w:id="8115"/>
      <w:r>
        <w:rPr>
          <w:rFonts w:ascii="Arial" w:eastAsia="Arial" w:hAnsi="Arial" w:cs="Arial"/>
          <w:b/>
          <w:color w:val="000000"/>
          <w:sz w:val="28"/>
        </w:rPr>
        <w:t>Dissent</w:t>
      </w:r>
    </w:p>
    <w:p w14:paraId="5B356AC0" w14:textId="176FAC8A" w:rsidR="002B10A6" w:rsidRDefault="002D6974">
      <w:pPr>
        <w:pStyle w:val="Normal44"/>
        <w:spacing w:line="60" w:lineRule="exact"/>
      </w:pPr>
      <w:r>
        <w:rPr>
          <w:noProof/>
        </w:rPr>
        <mc:AlternateContent>
          <mc:Choice Requires="wps">
            <w:drawing>
              <wp:anchor distT="0" distB="0" distL="114300" distR="114300" simplePos="0" relativeHeight="251755520" behindDoc="0" locked="0" layoutInCell="1" allowOverlap="1" wp14:anchorId="123DF2DF" wp14:editId="401597DC">
                <wp:simplePos x="0" y="0"/>
                <wp:positionH relativeFrom="column">
                  <wp:posOffset>0</wp:posOffset>
                </wp:positionH>
                <wp:positionV relativeFrom="paragraph">
                  <wp:posOffset>25400</wp:posOffset>
                </wp:positionV>
                <wp:extent cx="3187700" cy="0"/>
                <wp:effectExtent l="19050" t="15875" r="12700" b="12700"/>
                <wp:wrapTopAndBottom/>
                <wp:docPr id="1229471435"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74E61" id="Line 96"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2B4D2EA1" w14:textId="77777777" w:rsidR="002B10A6" w:rsidRDefault="002B10A6">
      <w:pPr>
        <w:pStyle w:val="Normal44"/>
        <w:spacing w:line="120" w:lineRule="exact"/>
      </w:pPr>
    </w:p>
    <w:p w14:paraId="4B029906" w14:textId="77777777" w:rsidR="002B10A6" w:rsidRDefault="00000000">
      <w:pPr>
        <w:pStyle w:val="Normal44"/>
        <w:widowControl w:val="0"/>
        <w:spacing w:before="240" w:line="260" w:lineRule="atLeast"/>
      </w:pPr>
      <w:r>
        <w:br/>
      </w:r>
      <w:r>
        <w:rPr>
          <w:rFonts w:ascii="Arial" w:eastAsia="Arial" w:hAnsi="Arial" w:cs="Arial"/>
          <w:color w:val="000000"/>
          <w:sz w:val="20"/>
        </w:rPr>
        <w:t xml:space="preserve"> [*1237]  </w:t>
      </w:r>
      <w:r>
        <w:rPr>
          <w:rFonts w:ascii="Arial" w:eastAsia="Arial" w:hAnsi="Arial" w:cs="Arial"/>
          <w:b/>
          <w:color w:val="000000"/>
          <w:sz w:val="20"/>
        </w:rPr>
        <w:t>PUBLISHED CONCURRENCE AND DISSENT</w:t>
      </w:r>
    </w:p>
    <w:p w14:paraId="3DB56069" w14:textId="77777777" w:rsidR="002B10A6" w:rsidRDefault="00000000">
      <w:pPr>
        <w:pStyle w:val="Normal44"/>
        <w:widowControl w:val="0"/>
        <w:spacing w:before="200" w:line="260" w:lineRule="atLeast"/>
        <w:jc w:val="both"/>
      </w:pPr>
      <w:bookmarkStart w:id="8116" w:name="Bookmark_para_49_11"/>
      <w:bookmarkEnd w:id="8116"/>
      <w:r>
        <w:rPr>
          <w:rFonts w:ascii="Arial" w:eastAsia="Arial" w:hAnsi="Arial" w:cs="Arial"/>
          <w:b/>
          <w:color w:val="000000"/>
          <w:sz w:val="20"/>
        </w:rPr>
        <w:t>LUCERO</w:t>
      </w:r>
      <w:r>
        <w:rPr>
          <w:rFonts w:ascii="Arial" w:eastAsia="Arial" w:hAnsi="Arial" w:cs="Arial"/>
          <w:color w:val="000000"/>
          <w:sz w:val="20"/>
        </w:rPr>
        <w:t>, J., concurring in part and dissenting in part:</w:t>
      </w:r>
    </w:p>
    <w:p w14:paraId="72405ED4" w14:textId="77777777" w:rsidR="002B10A6" w:rsidRDefault="00000000">
      <w:pPr>
        <w:pStyle w:val="Normal44"/>
        <w:widowControl w:val="0"/>
        <w:spacing w:before="200" w:line="260" w:lineRule="atLeast"/>
        <w:jc w:val="both"/>
      </w:pPr>
      <w:bookmarkStart w:id="8117" w:name="Bookmark_para_50_10"/>
      <w:bookmarkEnd w:id="8117"/>
      <w:r>
        <w:rPr>
          <w:rFonts w:ascii="Arial" w:eastAsia="Arial" w:hAnsi="Arial" w:cs="Arial"/>
          <w:color w:val="000000"/>
          <w:sz w:val="20"/>
        </w:rPr>
        <w:t xml:space="preserve">Few in our country have been untouched by Alzheimer's disease. With increased longevity, "dementia has emerged as the central public health epidemic of the industrialized world." Marshall B. Kapp, </w:t>
      </w:r>
      <w:r>
        <w:rPr>
          <w:rFonts w:ascii="Arial" w:eastAsia="Arial" w:hAnsi="Arial" w:cs="Arial"/>
          <w:color w:val="000000"/>
          <w:sz w:val="20"/>
          <w:u w:val="single"/>
        </w:rPr>
        <w:t>Legal Standards for the Medical Diagnosis &amp; Treatment of Dementia</w:t>
      </w:r>
      <w:r>
        <w:rPr>
          <w:rFonts w:ascii="Arial" w:eastAsia="Arial" w:hAnsi="Arial" w:cs="Arial"/>
          <w:color w:val="000000"/>
          <w:sz w:val="20"/>
        </w:rPr>
        <w:t xml:space="preserve">, 23 J. Legal Med. 359, 363 (2002) (quoting David Shenk, </w:t>
      </w:r>
      <w:r>
        <w:rPr>
          <w:rFonts w:ascii="Arial" w:eastAsia="Arial" w:hAnsi="Arial" w:cs="Arial"/>
          <w:color w:val="000000"/>
          <w:sz w:val="20"/>
          <w:u w:val="single"/>
        </w:rPr>
        <w:t>The Forgetting—Alzheimer's: Portrait of an Epidemic</w:t>
      </w:r>
      <w:r>
        <w:rPr>
          <w:rFonts w:ascii="Arial" w:eastAsia="Arial" w:hAnsi="Arial" w:cs="Arial"/>
          <w:color w:val="000000"/>
          <w:sz w:val="20"/>
        </w:rPr>
        <w:t xml:space="preserve"> 163 (2001)) (emphasis omitted). As dementia rates have risen in the general population, so too has dementia become more common in prisons and jails. </w:t>
      </w:r>
      <w:r>
        <w:rPr>
          <w:rFonts w:ascii="Arial" w:eastAsia="Arial" w:hAnsi="Arial" w:cs="Arial"/>
          <w:color w:val="000000"/>
          <w:sz w:val="20"/>
          <w:u w:val="single"/>
        </w:rPr>
        <w:t>See</w:t>
      </w:r>
      <w:r>
        <w:rPr>
          <w:rFonts w:ascii="Arial" w:eastAsia="Arial" w:hAnsi="Arial" w:cs="Arial"/>
          <w:color w:val="000000"/>
          <w:sz w:val="20"/>
        </w:rPr>
        <w:t xml:space="preserve"> Yelena Yukhvid, Note, </w:t>
      </w:r>
      <w:r>
        <w:rPr>
          <w:rFonts w:ascii="Arial" w:eastAsia="Arial" w:hAnsi="Arial" w:cs="Arial"/>
          <w:color w:val="000000"/>
          <w:sz w:val="20"/>
          <w:u w:val="single"/>
        </w:rPr>
        <w:t>Should Elderly Criminals Be Punished for Being Prisoners of the Mind? An Analysis of Criminals with Alzheimer's Disease</w:t>
      </w:r>
      <w:r>
        <w:rPr>
          <w:rFonts w:ascii="Arial" w:eastAsia="Arial" w:hAnsi="Arial" w:cs="Arial"/>
          <w:color w:val="000000"/>
          <w:sz w:val="20"/>
        </w:rPr>
        <w:t xml:space="preserve">, 50 Gonz. L. Rev. 43, 54 (2015). Confronted with law enforcement issues, Alzheimer's patients are frequently frightened and confused, and caring for them presents unique challenges. </w:t>
      </w:r>
      <w:r>
        <w:rPr>
          <w:rFonts w:ascii="Arial" w:eastAsia="Arial" w:hAnsi="Arial" w:cs="Arial"/>
          <w:color w:val="000000"/>
          <w:sz w:val="20"/>
          <w:u w:val="single"/>
        </w:rPr>
        <w:t>See id.</w:t>
      </w:r>
      <w:r>
        <w:rPr>
          <w:rFonts w:ascii="Arial" w:eastAsia="Arial" w:hAnsi="Arial" w:cs="Arial"/>
          <w:color w:val="000000"/>
          <w:sz w:val="20"/>
        </w:rPr>
        <w:t xml:space="preserve"> Failure on the part of law enforcement to consider these special concerns risks harming some of the most vulnerable members of our society.</w:t>
      </w:r>
    </w:p>
    <w:p w14:paraId="2A82DE2F" w14:textId="77777777" w:rsidR="002B10A6" w:rsidRDefault="00000000">
      <w:pPr>
        <w:pStyle w:val="Normal44"/>
        <w:widowControl w:val="0"/>
        <w:spacing w:before="200" w:line="260" w:lineRule="atLeast"/>
        <w:jc w:val="both"/>
      </w:pPr>
      <w:bookmarkStart w:id="8118" w:name="Bookmark_para_51_10"/>
      <w:bookmarkEnd w:id="8118"/>
      <w:r>
        <w:rPr>
          <w:rFonts w:ascii="Arial" w:eastAsia="Arial" w:hAnsi="Arial" w:cs="Arial"/>
          <w:color w:val="000000"/>
          <w:sz w:val="20"/>
        </w:rPr>
        <w:t>This case presents precisely such a failing. Stanley Cropp suffers from Alzheimer's disease. On [***33]  the evening in question he left his home for a nightly walk. He failed to return, as he had been stopped by Fort Collins police officers and taken to the Larimer County Jail. When Catherine Cropp, Mr. Cropp's wife, was advised of his confinement, she rushed to the Jail, where she told officers that her husband suffered from Alzheimer's disease and would need loving and attentive care and direction. To help him complete forms he was required to sign, she asked to sit with her husband and explain the forms to him. Jail staff declined her request. This left Mr. Cropp in jail for the night.</w:t>
      </w:r>
    </w:p>
    <w:p w14:paraId="79926B97" w14:textId="77777777" w:rsidR="002B10A6" w:rsidRDefault="00000000">
      <w:pPr>
        <w:pStyle w:val="Normal44"/>
        <w:widowControl w:val="0"/>
        <w:spacing w:before="200" w:line="260" w:lineRule="atLeast"/>
        <w:jc w:val="both"/>
      </w:pPr>
      <w:bookmarkStart w:id="8119" w:name="Bookmark_para_52_9"/>
      <w:bookmarkStart w:id="8120" w:name="Bookmark_I3V5RXS0TW20000BWW60000B"/>
      <w:bookmarkStart w:id="8121" w:name="Bookmark_I5XJ3CD32N1R6H0040000400"/>
      <w:bookmarkEnd w:id="8119"/>
      <w:bookmarkEnd w:id="8120"/>
      <w:bookmarkEnd w:id="8121"/>
      <w:r>
        <w:rPr>
          <w:rFonts w:ascii="Arial" w:eastAsia="Arial" w:hAnsi="Arial" w:cs="Arial"/>
          <w:color w:val="000000"/>
          <w:sz w:val="20"/>
        </w:rPr>
        <w:t>My respected colleagues in the majority affirm the district court's grant of summary judgment in favor of the defendants, concluding that the Cropps failed to demonstrate the County acted with deliberate indifference.</w:t>
      </w:r>
      <w:r>
        <w:rPr>
          <w:rFonts w:ascii="Arial" w:eastAsia="Arial" w:hAnsi="Arial" w:cs="Arial"/>
          <w:vertAlign w:val="superscript"/>
        </w:rPr>
        <w:footnoteReference w:customMarkFollows="1" w:id="433"/>
        <w:t>1</w:t>
      </w:r>
      <w:r>
        <w:rPr>
          <w:rFonts w:ascii="Arial" w:eastAsia="Arial" w:hAnsi="Arial" w:cs="Arial"/>
          <w:color w:val="000000"/>
          <w:sz w:val="20"/>
        </w:rPr>
        <w:t xml:space="preserve"> (Majority Order &amp; J. 25-26.) I respectfully disagree. I concur with the majority's conclusion regarding Mr. Cropp's claim for injunctive relief, and although I am concerned about the merits of his claim regarding the County's failure to train, on review of the record, I am ultimately persuaded that the record was not adequately developed to the degree necessary  [*1238]  to create a material evidentiary [***34]  dispute on that issue. Therefore, I agree with the majority's conclusion regarding the County's failure to train. Nonetheless, I respectfully dissent from the majority's analysis regarding Mr. Cropp's failure-to-accommodate claim.</w:t>
      </w:r>
    </w:p>
    <w:p w14:paraId="01367ABE" w14:textId="77777777" w:rsidR="002B10A6" w:rsidRDefault="00000000">
      <w:pPr>
        <w:pStyle w:val="Normal44"/>
        <w:widowControl w:val="0"/>
        <w:spacing w:before="200" w:line="260" w:lineRule="atLeast"/>
        <w:jc w:val="both"/>
      </w:pPr>
      <w:bookmarkStart w:id="8124" w:name="Bookmark_para_53_9"/>
      <w:bookmarkEnd w:id="8124"/>
      <w:r>
        <w:rPr>
          <w:rFonts w:ascii="Arial" w:eastAsia="Arial" w:hAnsi="Arial" w:cs="Arial"/>
          <w:color w:val="000000"/>
          <w:sz w:val="20"/>
        </w:rPr>
        <w:t>In my view, the Cropps have provided sufficient evidence for a reasonable jury to find the County deliberately indifferent. For eleven hours, Jail staff ignored the Cropps' repeated pleas that Mr. Cropp needed an accommodation. They continued to offer the Cropps the same services available to all inmates regardless of disability—this despite Mrs. Cropp's repeated explanation that those services would not be effective. This refusal to consider a variation from the Jail's standard practices violates the Americans with Disabilities Act ("ADA") and the Rehabilitation Act.</w:t>
      </w:r>
    </w:p>
    <w:p w14:paraId="220F7A4E" w14:textId="77777777" w:rsidR="002B10A6" w:rsidRDefault="00000000">
      <w:pPr>
        <w:pStyle w:val="Normal44"/>
        <w:widowControl w:val="0"/>
        <w:spacing w:before="240" w:line="260" w:lineRule="atLeast"/>
      </w:pPr>
      <w:r>
        <w:br/>
      </w:r>
      <w:r>
        <w:rPr>
          <w:rFonts w:ascii="Arial" w:eastAsia="Arial" w:hAnsi="Arial" w:cs="Arial"/>
          <w:b/>
          <w:color w:val="000000"/>
          <w:sz w:val="20"/>
        </w:rPr>
        <w:t>I</w:t>
      </w:r>
    </w:p>
    <w:p w14:paraId="46D3CD6A" w14:textId="77777777" w:rsidR="002B10A6" w:rsidRDefault="00000000">
      <w:pPr>
        <w:pStyle w:val="Normal44"/>
        <w:widowControl w:val="0"/>
        <w:spacing w:before="200" w:line="260" w:lineRule="atLeast"/>
        <w:jc w:val="both"/>
      </w:pPr>
      <w:bookmarkStart w:id="8125" w:name="Bookmark_para_54_9"/>
      <w:bookmarkEnd w:id="8125"/>
      <w:r>
        <w:rPr>
          <w:rFonts w:ascii="Arial" w:eastAsia="Arial" w:hAnsi="Arial" w:cs="Arial"/>
          <w:color w:val="000000"/>
          <w:sz w:val="20"/>
        </w:rPr>
        <w:t>When he was wrongfully arrested and detained in late December 2013, Mr. Cropp was 61 years old and experienced confusion, disorientation, and memory issues caused by Alzheimer's disease. These symptoms made social interactions and communication particularly challenging for him. Nights were especially hard because he would get tense and could not sleep. To calm himself, [***35]  he often walked four blocks around his apartment building where he lived with his wife, proceeding in a circle so as not to get lost.</w:t>
      </w:r>
    </w:p>
    <w:p w14:paraId="467C4100" w14:textId="77777777" w:rsidR="002B10A6" w:rsidRDefault="00000000">
      <w:pPr>
        <w:pStyle w:val="Normal44"/>
        <w:widowControl w:val="0"/>
        <w:spacing w:before="200" w:line="260" w:lineRule="atLeast"/>
        <w:jc w:val="both"/>
      </w:pPr>
      <w:bookmarkStart w:id="8126" w:name="Bookmark_para_55_7"/>
      <w:bookmarkEnd w:id="8126"/>
      <w:r>
        <w:rPr>
          <w:rFonts w:ascii="Arial" w:eastAsia="Arial" w:hAnsi="Arial" w:cs="Arial"/>
          <w:color w:val="000000"/>
          <w:sz w:val="20"/>
        </w:rPr>
        <w:t>On the evening in question, Mr. Cropp went on his nightly walk around 10:00 p.m. He was stopped by a Fort Collins police officer. After several other officers arrived at the scene, he was arrested, dragged into a patrol car, and booked into the Larimer County Jail. By that time, he was frightened and battered. He had not taken his nightly prescribed medications, necessary for him to communicate effectively with others and to stabilize his condition. Booked into the Jail, he was confused after the trauma inflicted by the police officers. All of this exacerbated the disorientation Mr. Cropp experiences, which worsens at night, due to Alzheimer's disease.</w:t>
      </w:r>
    </w:p>
    <w:p w14:paraId="27D664EF" w14:textId="77777777" w:rsidR="002B10A6" w:rsidRDefault="00000000">
      <w:pPr>
        <w:pStyle w:val="Normal44"/>
        <w:widowControl w:val="0"/>
        <w:spacing w:before="200" w:line="260" w:lineRule="atLeast"/>
        <w:jc w:val="both"/>
      </w:pPr>
      <w:bookmarkStart w:id="8127" w:name="Bookmark_para_56_7"/>
      <w:bookmarkEnd w:id="8127"/>
      <w:r>
        <w:rPr>
          <w:rFonts w:ascii="Arial" w:eastAsia="Arial" w:hAnsi="Arial" w:cs="Arial"/>
          <w:color w:val="000000"/>
          <w:sz w:val="20"/>
        </w:rPr>
        <w:t>Notwithstanding his obvious mental state, Mr. Cropp was placed through routine intake. A member of the Jail's pretrial services staff attempted to explain certain paperwork to him but, because of his Alzheimer's condition, he did not understand the forms and declined to sign them. The forms included an appearance-bond form that would have allowed the Jail to release Mr. Cropp on his own recognizance. Because [***36]  he did not sign the forms, Mr. Cropp was locked into a cold cell, unable to sleep because of frigid air blowing from a vent.</w:t>
      </w:r>
    </w:p>
    <w:p w14:paraId="66EAE6AF" w14:textId="77777777" w:rsidR="002B10A6" w:rsidRDefault="00000000">
      <w:pPr>
        <w:pStyle w:val="Normal44"/>
        <w:widowControl w:val="0"/>
        <w:spacing w:before="200" w:line="260" w:lineRule="atLeast"/>
        <w:jc w:val="both"/>
      </w:pPr>
      <w:bookmarkStart w:id="8128" w:name="Bookmark_para_57_6"/>
      <w:bookmarkEnd w:id="8128"/>
      <w:r>
        <w:rPr>
          <w:rFonts w:ascii="Arial" w:eastAsia="Arial" w:hAnsi="Arial" w:cs="Arial"/>
          <w:color w:val="000000"/>
          <w:sz w:val="20"/>
        </w:rPr>
        <w:t>Meanwhile, Mrs. Cropp, having become worried when Mr. Cropp did not return from his walk, proceeded to look for him in case he had become disoriented. In the intervening years, her husband had become dependent on her to complete many routine tasks, such as taking his medications or preparing food. She was especially concerned because she knew how disoriented he could become at night. Just before 11 p.m., she received a call from the Larimer County Sheriff's Department informing her that her husband was in jail. She immediately rushed to provide assistance.</w:t>
      </w:r>
    </w:p>
    <w:p w14:paraId="5CA0BAD0" w14:textId="77777777" w:rsidR="002B10A6" w:rsidRDefault="00000000">
      <w:pPr>
        <w:pStyle w:val="Normal44"/>
        <w:widowControl w:val="0"/>
        <w:spacing w:before="200" w:line="260" w:lineRule="atLeast"/>
        <w:jc w:val="both"/>
      </w:pPr>
      <w:bookmarkStart w:id="8129" w:name="Bookmark_para_58_6"/>
      <w:bookmarkEnd w:id="8129"/>
      <w:r>
        <w:rPr>
          <w:rFonts w:ascii="Arial" w:eastAsia="Arial" w:hAnsi="Arial" w:cs="Arial"/>
          <w:color w:val="000000"/>
          <w:sz w:val="20"/>
        </w:rPr>
        <w:t>As soon as she arrived, Mrs. Cropp told Jail staff, including Kandi Wulfert, the supervisor on duty, about Mr. Cropp's Alzheimer's disease. Mrs. Cropp spoke with Mr. Cropp by phone, and he told her he was frightened and confused about why he was in jail. When she learned that her husband needed to sign paperwork, she explained his disability to Wulfert. She emphasized that although Mr. Cropp could not understand the forms by reading them,  [*1239]  "if you sit down and go over it and say this is what this says, he can [***37]  understand that." She implored Wulfert to "let [her] sit down next to him so [she] could show him the documents and go over it so he would have true understanding and sign a document that he understood." Mrs. Cropp explained that she "needed to sit down next to him" because she had been working with him since his Alzheimer's symptoms started and knew she could help him understand documents in this manner.</w:t>
      </w:r>
    </w:p>
    <w:p w14:paraId="1D2BA557" w14:textId="77777777" w:rsidR="002B10A6" w:rsidRDefault="00000000">
      <w:pPr>
        <w:pStyle w:val="Normal44"/>
        <w:widowControl w:val="0"/>
        <w:spacing w:before="200" w:line="260" w:lineRule="atLeast"/>
        <w:jc w:val="both"/>
      </w:pPr>
      <w:bookmarkStart w:id="8130" w:name="Bookmark_para_59_6"/>
      <w:bookmarkEnd w:id="8130"/>
      <w:r>
        <w:rPr>
          <w:rFonts w:ascii="Arial" w:eastAsia="Arial" w:hAnsi="Arial" w:cs="Arial"/>
          <w:color w:val="000000"/>
          <w:sz w:val="20"/>
        </w:rPr>
        <w:t xml:space="preserve">She was told that such in-person communication would violate Jail policy prohibiting contact visits between inmates and family members. </w:t>
      </w:r>
      <w:r>
        <w:rPr>
          <w:rFonts w:ascii="Arial" w:eastAsia="Arial" w:hAnsi="Arial" w:cs="Arial"/>
          <w:color w:val="000000"/>
          <w:sz w:val="20"/>
          <w:u w:val="single"/>
        </w:rPr>
        <w:t>In other words, she was told there would be no such accommodation</w:t>
      </w:r>
      <w:r>
        <w:rPr>
          <w:rFonts w:ascii="Arial" w:eastAsia="Arial" w:hAnsi="Arial" w:cs="Arial"/>
          <w:color w:val="000000"/>
          <w:sz w:val="20"/>
        </w:rPr>
        <w:t>. Although inmates are permitted to meet face-to-face with attorneys in the booking lobby, Wulfert refused to allow the Cropps to meet in person.</w:t>
      </w:r>
      <w:r>
        <w:rPr>
          <w:rFonts w:ascii="Arial" w:eastAsia="Arial" w:hAnsi="Arial" w:cs="Arial"/>
          <w:vertAlign w:val="superscript"/>
        </w:rPr>
        <w:footnoteReference w:customMarkFollows="1" w:id="434"/>
        <w:t>2</w:t>
      </w:r>
      <w:r>
        <w:rPr>
          <w:rFonts w:ascii="Arial" w:eastAsia="Arial" w:hAnsi="Arial" w:cs="Arial"/>
          <w:color w:val="000000"/>
          <w:sz w:val="20"/>
        </w:rPr>
        <w:t xml:space="preserve"> There was no staffing shortage at the Jail that night. No one claimed Mr. or Mrs. Cropp were dangerous. Instead of seriously considering the Cropps' request, Wulfert simply explained that for inmates with cognitive disabilities who are booked overnight, the Jail's practice is to hold the inmate until morning, when counseling staff arrive. Wulfert later admitted that in denying the Cropps' request, she did not consider whether her denial would [***38]  impose any particular burden on the Jail other than violating the Jail's policies, and she could not think of any burden that an in-person visit would have imposed.</w:t>
      </w:r>
    </w:p>
    <w:p w14:paraId="2E72C409" w14:textId="77777777" w:rsidR="002B10A6" w:rsidRDefault="00000000">
      <w:pPr>
        <w:pStyle w:val="Normal44"/>
        <w:widowControl w:val="0"/>
        <w:spacing w:before="200" w:line="260" w:lineRule="atLeast"/>
        <w:jc w:val="both"/>
      </w:pPr>
      <w:bookmarkStart w:id="8132" w:name="Bookmark_para_60_6"/>
      <w:bookmarkEnd w:id="8132"/>
      <w:r>
        <w:rPr>
          <w:rFonts w:ascii="Arial" w:eastAsia="Arial" w:hAnsi="Arial" w:cs="Arial"/>
          <w:color w:val="000000"/>
          <w:sz w:val="20"/>
        </w:rPr>
        <w:t>Wulfert did not offer the Cropps any alternative other than that provided to any non-disabled person: use the Jail's visitation booth, where they could see each other through a thick glass wall and communicate using telephones. The County offers the visitation booth to all inmates and family members. Mrs. Cropp declined to use the visitation booth and explained to Wulfert that based on her years of helping her husband, she knew the visitation booth would not allow them to communicate effectively because it "would not be a reasonable way to explain to a man with Alzheimer's a complicated legal document." She later testified that she could not "have explained a legal document to a man with Alzheimer's through a glass with a phone at my ear and him listening with a phone, no. I needed to sit down next to him."</w:t>
      </w:r>
    </w:p>
    <w:p w14:paraId="03D7676A" w14:textId="77777777" w:rsidR="002B10A6" w:rsidRDefault="00000000">
      <w:pPr>
        <w:pStyle w:val="Normal44"/>
        <w:widowControl w:val="0"/>
        <w:spacing w:before="200" w:line="260" w:lineRule="atLeast"/>
        <w:jc w:val="both"/>
      </w:pPr>
      <w:bookmarkStart w:id="8133" w:name="Bookmark_para_61_5"/>
      <w:bookmarkEnd w:id="8133"/>
      <w:r>
        <w:rPr>
          <w:rFonts w:ascii="Arial" w:eastAsia="Arial" w:hAnsi="Arial" w:cs="Arial"/>
          <w:color w:val="000000"/>
          <w:sz w:val="20"/>
        </w:rPr>
        <w:t>After Wulfert refused to permit the Cropps a contact visit, she allowed Mrs. Cropp to speak with her supervisor, a lieutenant, by phone. By this time, it was approximately 3 a.m. The lieutenant had the authority to permit [***39]  an exception to the policy banning in-person visits, but Wulfert never asked the lieutenant to consider doing so. The lieutenant told Mrs. Cropp that because Mr. Cropp would not sign the appearance-bond form, the Jail would not release him that night and he would remain in custody until a hearing the following afternoon at 1:30 p.m.</w:t>
      </w:r>
    </w:p>
    <w:p w14:paraId="79A6EE53" w14:textId="77777777" w:rsidR="002B10A6" w:rsidRDefault="00000000">
      <w:pPr>
        <w:pStyle w:val="Normal44"/>
        <w:widowControl w:val="0"/>
        <w:spacing w:before="200" w:line="260" w:lineRule="atLeast"/>
        <w:jc w:val="both"/>
      </w:pPr>
      <w:bookmarkStart w:id="8134" w:name="Bookmark_para_62_5"/>
      <w:bookmarkEnd w:id="8134"/>
      <w:r>
        <w:rPr>
          <w:rFonts w:ascii="Arial" w:eastAsia="Arial" w:hAnsi="Arial" w:cs="Arial"/>
          <w:color w:val="000000"/>
          <w:sz w:val="20"/>
        </w:rPr>
        <w:t>The next morning, resigned to not comprehending the forms, Mr. Cropp signed them. He had been detained for approximately eleven hours. Had he been able to understand the forms, he would have been released after an hour or two.</w:t>
      </w:r>
    </w:p>
    <w:p w14:paraId="1411D56D" w14:textId="77777777" w:rsidR="002B10A6" w:rsidRDefault="00000000">
      <w:pPr>
        <w:pStyle w:val="Normal44"/>
        <w:widowControl w:val="0"/>
        <w:spacing w:before="240" w:line="260" w:lineRule="atLeast"/>
      </w:pPr>
      <w:r>
        <w:br/>
      </w:r>
      <w:r>
        <w:rPr>
          <w:rFonts w:ascii="Arial" w:eastAsia="Arial" w:hAnsi="Arial" w:cs="Arial"/>
          <w:b/>
          <w:color w:val="000000"/>
          <w:sz w:val="20"/>
        </w:rPr>
        <w:t>II</w:t>
      </w:r>
    </w:p>
    <w:p w14:paraId="0B356009" w14:textId="77777777" w:rsidR="002B10A6" w:rsidRDefault="00000000">
      <w:pPr>
        <w:pStyle w:val="Normal44"/>
        <w:widowControl w:val="0"/>
        <w:spacing w:before="200" w:line="260" w:lineRule="atLeast"/>
        <w:jc w:val="both"/>
      </w:pPr>
      <w:bookmarkStart w:id="8135" w:name="Bookmark_para_63_5"/>
      <w:bookmarkEnd w:id="8135"/>
      <w:r>
        <w:rPr>
          <w:rFonts w:ascii="Arial" w:eastAsia="Arial" w:hAnsi="Arial" w:cs="Arial"/>
          <w:color w:val="000000"/>
          <w:sz w:val="20"/>
        </w:rPr>
        <w:t>I concur in my colleagues' conclusion that the Cropps lack standing to pursue  [*1240]  injunctive relief. (Majority Order &amp; J. 6-7.) The majority correctly details the general standards applicable to the ADA and Rehabilitation Act claims before us. And my colleagues appropriately reject the district court's characterization of the service at issue as access to a physical contact visit. (</w:t>
      </w:r>
      <w:r>
        <w:rPr>
          <w:rFonts w:ascii="Arial" w:eastAsia="Arial" w:hAnsi="Arial" w:cs="Arial"/>
          <w:color w:val="000000"/>
          <w:sz w:val="20"/>
          <w:u w:val="single"/>
        </w:rPr>
        <w:t>Id.</w:t>
      </w:r>
      <w:r>
        <w:rPr>
          <w:rFonts w:ascii="Arial" w:eastAsia="Arial" w:hAnsi="Arial" w:cs="Arial"/>
          <w:color w:val="000000"/>
          <w:sz w:val="20"/>
        </w:rPr>
        <w:t xml:space="preserve"> at 10.) However, I would squarely hold that the Cropps created material disputes of fact on the questions of meaningful access and deliberate indifference.</w:t>
      </w:r>
    </w:p>
    <w:p w14:paraId="19B1FDE8" w14:textId="77777777" w:rsidR="002B10A6" w:rsidRDefault="00000000">
      <w:pPr>
        <w:pStyle w:val="Normal44"/>
        <w:widowControl w:val="0"/>
        <w:spacing w:before="240" w:line="260" w:lineRule="atLeast"/>
      </w:pPr>
      <w:r>
        <w:br/>
      </w:r>
      <w:r>
        <w:rPr>
          <w:rFonts w:ascii="Arial" w:eastAsia="Arial" w:hAnsi="Arial" w:cs="Arial"/>
          <w:b/>
          <w:color w:val="000000"/>
          <w:sz w:val="20"/>
        </w:rPr>
        <w:t>A</w:t>
      </w:r>
    </w:p>
    <w:p w14:paraId="5C666F71" w14:textId="77777777" w:rsidR="002B10A6" w:rsidRDefault="00000000">
      <w:pPr>
        <w:pStyle w:val="Normal44"/>
        <w:widowControl w:val="0"/>
        <w:spacing w:before="200" w:line="260" w:lineRule="atLeast"/>
        <w:jc w:val="both"/>
      </w:pPr>
      <w:bookmarkStart w:id="8136" w:name="Bookmark_para_64_5"/>
      <w:bookmarkStart w:id="8137" w:name="Bookmark_I3V5RXRY68C0000BWW600001"/>
      <w:bookmarkStart w:id="8138" w:name="Bookmark_I5XJ3CD628T4K70010000400"/>
      <w:bookmarkEnd w:id="8136"/>
      <w:bookmarkEnd w:id="8137"/>
      <w:bookmarkEnd w:id="8138"/>
      <w:r>
        <w:rPr>
          <w:rFonts w:ascii="Arial" w:eastAsia="Arial" w:hAnsi="Arial" w:cs="Arial"/>
          <w:color w:val="000000"/>
          <w:sz w:val="20"/>
        </w:rPr>
        <w:t xml:space="preserve">The ADA and Rehabilitation Act require more than mere "physical access to public entities"; rather, they require [***40]  "public entities to provide </w:t>
      </w:r>
      <w:r>
        <w:rPr>
          <w:rFonts w:ascii="Arial" w:eastAsia="Arial" w:hAnsi="Arial" w:cs="Arial"/>
          <w:color w:val="000000"/>
          <w:sz w:val="20"/>
          <w:u w:val="single"/>
        </w:rPr>
        <w:t>meaningful</w:t>
      </w:r>
      <w:r>
        <w:rPr>
          <w:rFonts w:ascii="Arial" w:eastAsia="Arial" w:hAnsi="Arial" w:cs="Arial"/>
          <w:color w:val="000000"/>
          <w:sz w:val="20"/>
        </w:rPr>
        <w:t xml:space="preserve"> access to their programs and services." </w:t>
      </w:r>
      <w:bookmarkStart w:id="8139" w:name="Bookmark_I5XJ3CD32N1R6H0050000400"/>
      <w:bookmarkEnd w:id="8139"/>
      <w:r>
        <w:rPr>
          <w:rFonts w:ascii="Arial" w:eastAsia="Arial" w:hAnsi="Arial" w:cs="Arial"/>
          <w:color w:val="000000"/>
          <w:sz w:val="20"/>
          <w:u w:val="single"/>
        </w:rPr>
        <w:t>Robertson v. Las Animas Cty. Sheriff's Dep't</w:t>
      </w:r>
      <w:r>
        <w:rPr>
          <w:rFonts w:ascii="Arial" w:eastAsia="Arial" w:hAnsi="Arial" w:cs="Arial"/>
          <w:color w:val="000000"/>
          <w:sz w:val="20"/>
        </w:rPr>
        <w:t>, 500 F.3d 1185, 1195 (10th Cir. 2007) (quotation omitted). Department of Justice regulations further mandate "reasonable modifications in policies, practices, or procedures when the modifications are necessary to avoid discrimination on the basis of disability." 28 C.F.R. § 35.130(b)(7). For inmates with disabilities that affect communication, this means taking "appropriate steps to ensure that communications with applicants, participants, members of the public, and companions with disabilities are as effective as communications with others." § 35.160(a)(1).</w:t>
      </w:r>
    </w:p>
    <w:p w14:paraId="60CE2ACD" w14:textId="77777777" w:rsidR="002B10A6" w:rsidRDefault="00000000">
      <w:pPr>
        <w:pStyle w:val="Normal44"/>
        <w:widowControl w:val="0"/>
        <w:spacing w:before="200" w:line="260" w:lineRule="atLeast"/>
        <w:jc w:val="both"/>
      </w:pPr>
      <w:bookmarkStart w:id="8140" w:name="Bookmark_para_65_5"/>
      <w:bookmarkEnd w:id="8140"/>
      <w:r>
        <w:rPr>
          <w:rFonts w:ascii="Arial" w:eastAsia="Arial" w:hAnsi="Arial" w:cs="Arial"/>
          <w:color w:val="000000"/>
          <w:sz w:val="20"/>
        </w:rPr>
        <w:t>As the majority notes, public facilities are not obligated to provide the exact accommodation requested by a disabled individual if they can demonstrate that "another effective means of communication exists." (Majority Order &amp; J. 16 (quoting 28 C.F.R. pt. 35, app. A, § 35.160.)) However, a public facility "shall give primary consideration to the requests of individuals with disabilities." § 35.160(b)(2). The importance of deference to the individual's requested accommodation is echoed in the appendix to the Department of Justice's implementing regulations: "The public entity shall honor the choice of the individual with a disability unless it can demonstrate that another [***41]  effective means of communication exists or that use of the means chosen would not be required under § 35.164." 28 C.F.R. pt. 35, app. A (quotation and alteration omitted).</w:t>
      </w:r>
      <w:r>
        <w:rPr>
          <w:rFonts w:ascii="Arial" w:eastAsia="Arial" w:hAnsi="Arial" w:cs="Arial"/>
          <w:vertAlign w:val="superscript"/>
        </w:rPr>
        <w:footnoteReference w:customMarkFollows="1" w:id="435"/>
        <w:t>3</w:t>
      </w:r>
    </w:p>
    <w:p w14:paraId="604CD1C3" w14:textId="77777777" w:rsidR="002B10A6" w:rsidRDefault="00000000">
      <w:pPr>
        <w:pStyle w:val="Normal44"/>
        <w:widowControl w:val="0"/>
        <w:spacing w:before="200" w:line="260" w:lineRule="atLeast"/>
        <w:jc w:val="both"/>
      </w:pPr>
      <w:bookmarkStart w:id="8142" w:name="Bookmark_para_66_5"/>
      <w:bookmarkEnd w:id="8142"/>
      <w:r>
        <w:rPr>
          <w:rFonts w:ascii="Arial" w:eastAsia="Arial" w:hAnsi="Arial" w:cs="Arial"/>
          <w:color w:val="000000"/>
          <w:sz w:val="20"/>
        </w:rPr>
        <w:t xml:space="preserve">The record demonstrates the County failed to afford primary consideration to the Cropps' request for an accommodation. When Mrs. Cropp asked Jail personnel to permit her to sit with Mr. Cropp to explain the documents, Wulfert immediately shut down any prospect of an in-person visit because it violated Jail policy. Wulfert did not investigate whether it would be possible to allow an exception. When on the phone with her supervising lieutenant, who had the authority to permit an exception, she did not ask the lieutenant to consider one. Wulfert did not take any action whatsoever to consider the Cropps' request. And the County has not produced other evidence showing that the lieutenant or any other employee considered it. At a minimum, the primary consideration owed by a public facility under § 35.160(b)(2) must require </w:t>
      </w:r>
      <w:r>
        <w:rPr>
          <w:rFonts w:ascii="Arial" w:eastAsia="Arial" w:hAnsi="Arial" w:cs="Arial"/>
          <w:color w:val="000000"/>
          <w:sz w:val="20"/>
          <w:u w:val="single"/>
        </w:rPr>
        <w:t>some</w:t>
      </w:r>
      <w:r>
        <w:rPr>
          <w:rFonts w:ascii="Arial" w:eastAsia="Arial" w:hAnsi="Arial" w:cs="Arial"/>
          <w:color w:val="000000"/>
          <w:sz w:val="20"/>
        </w:rPr>
        <w:t xml:space="preserve"> examination of the facility's ability to grant the request.</w:t>
      </w:r>
    </w:p>
    <w:p w14:paraId="7E181721" w14:textId="77777777" w:rsidR="002B10A6" w:rsidRDefault="00000000">
      <w:pPr>
        <w:pStyle w:val="Normal44"/>
        <w:widowControl w:val="0"/>
        <w:spacing w:before="200" w:line="260" w:lineRule="atLeast"/>
        <w:jc w:val="both"/>
      </w:pPr>
      <w:bookmarkStart w:id="8143" w:name="Bookmark_para_67_5"/>
      <w:bookmarkEnd w:id="8143"/>
      <w:r>
        <w:rPr>
          <w:rFonts w:ascii="Arial" w:eastAsia="Arial" w:hAnsi="Arial" w:cs="Arial"/>
          <w:color w:val="000000"/>
          <w:sz w:val="20"/>
        </w:rPr>
        <w:t xml:space="preserve">The County has also failed to carry its burden of demonstrating that the Cropps' requested accommodation "would result in a fundamental alteration in the nature of a service, program, [***42]  or activity or in undue financial and administrative burdens." § 35.164. Such a decision "must be made by the head of the public entity or his or her designee after considering all resources  [*1241]  available for use in the funding and operation of the service, program, or activity and must be accompanied by a written statement of the reasons for reaching that conclusion." Id. The County has not produced a written statement of reasons. </w:t>
      </w:r>
      <w:bookmarkStart w:id="8144" w:name="Bookmark_I3V5RXRYMP30000BWW600002"/>
      <w:bookmarkStart w:id="8145" w:name="Bookmark_I5XJ3CD628T4K70030000400"/>
      <w:bookmarkEnd w:id="8144"/>
      <w:bookmarkEnd w:id="8145"/>
      <w:r>
        <w:rPr>
          <w:rFonts w:ascii="Arial" w:eastAsia="Arial" w:hAnsi="Arial" w:cs="Arial"/>
          <w:color w:val="000000"/>
          <w:sz w:val="20"/>
        </w:rPr>
        <w:t xml:space="preserve">Instead, the County relies on the deposition testimony of its representative that security concerns prevent it from altering its policy for any reason, including disability. When asked whether she could think of an undue burden that an in-person visit would have imposed in this case, Wulfert said she could not think of one. This unbending rigidity is unacceptable under § 35.160. </w:t>
      </w:r>
      <w:r>
        <w:rPr>
          <w:rFonts w:ascii="Arial" w:eastAsia="Arial" w:hAnsi="Arial" w:cs="Arial"/>
          <w:color w:val="000000"/>
          <w:sz w:val="20"/>
          <w:u w:val="single"/>
        </w:rPr>
        <w:t xml:space="preserve">See </w:t>
      </w:r>
      <w:bookmarkStart w:id="8146" w:name="Bookmark_I5XJ3CD628T4K70020000400"/>
      <w:bookmarkEnd w:id="8146"/>
      <w:r>
        <w:rPr>
          <w:rFonts w:ascii="Arial" w:eastAsia="Arial" w:hAnsi="Arial" w:cs="Arial"/>
          <w:color w:val="000000"/>
          <w:sz w:val="20"/>
          <w:u w:val="single"/>
        </w:rPr>
        <w:t>Chisolm v. McManimon</w:t>
      </w:r>
      <w:r>
        <w:rPr>
          <w:rFonts w:ascii="Arial" w:eastAsia="Arial" w:hAnsi="Arial" w:cs="Arial"/>
          <w:color w:val="000000"/>
          <w:sz w:val="20"/>
        </w:rPr>
        <w:t>, 275 F.3d 315, 327 (3d Cir. 2001) (noting that "general references to 'security' issues . . . not supported by any showing that 'security' in fact is implicated in making available to an inmate at appropriate times the services and aids . . . requested" is insufficient).</w:t>
      </w:r>
    </w:p>
    <w:p w14:paraId="7D3C3F66" w14:textId="77777777" w:rsidR="002B10A6" w:rsidRDefault="00000000">
      <w:pPr>
        <w:pStyle w:val="Normal44"/>
        <w:widowControl w:val="0"/>
        <w:spacing w:before="200" w:line="260" w:lineRule="atLeast"/>
        <w:jc w:val="both"/>
      </w:pPr>
      <w:bookmarkStart w:id="8147" w:name="Bookmark_para_68_5"/>
      <w:bookmarkEnd w:id="8147"/>
      <w:r>
        <w:rPr>
          <w:rFonts w:ascii="Arial" w:eastAsia="Arial" w:hAnsi="Arial" w:cs="Arial"/>
          <w:color w:val="000000"/>
          <w:sz w:val="20"/>
        </w:rPr>
        <w:t>Moreover, the Cropps have identified evidence indicating that it would not have been an undue burden for the County to accommodate their request. The County permits [***43]  attorneys to meet in-person with their clients in the booking lobby adjacent to the area in which Mr. Cropp was being held.</w:t>
      </w:r>
      <w:r>
        <w:rPr>
          <w:rFonts w:ascii="Arial" w:eastAsia="Arial" w:hAnsi="Arial" w:cs="Arial"/>
          <w:vertAlign w:val="superscript"/>
        </w:rPr>
        <w:footnoteReference w:customMarkFollows="1" w:id="436"/>
        <w:t>4</w:t>
      </w:r>
      <w:r>
        <w:rPr>
          <w:rFonts w:ascii="Arial" w:eastAsia="Arial" w:hAnsi="Arial" w:cs="Arial"/>
          <w:color w:val="000000"/>
          <w:sz w:val="20"/>
        </w:rPr>
        <w:t xml:space="preserve"> And because the Jail was fully staffed that evening, the County could have assigned officers to watch or restrain Mr. Cropp, thereby adding an additional layer of security.</w:t>
      </w:r>
    </w:p>
    <w:p w14:paraId="0B593A59" w14:textId="77777777" w:rsidR="002B10A6" w:rsidRDefault="00000000">
      <w:pPr>
        <w:pStyle w:val="Normal44"/>
        <w:widowControl w:val="0"/>
        <w:spacing w:before="200" w:line="260" w:lineRule="atLeast"/>
        <w:jc w:val="both"/>
      </w:pPr>
      <w:bookmarkStart w:id="8152" w:name="Bookmark_para_69_4"/>
      <w:bookmarkEnd w:id="8152"/>
      <w:r>
        <w:rPr>
          <w:rFonts w:ascii="Arial" w:eastAsia="Arial" w:hAnsi="Arial" w:cs="Arial"/>
          <w:color w:val="000000"/>
          <w:sz w:val="20"/>
        </w:rPr>
        <w:t>Although the majority notes that it does not need to determine whether the visitation booth would have been effective, it nonetheless points to the visitation booth as "nearly identical" to the in-person visit requested by the Cropps. (Majority Order &amp; J. 20.) But the majority fails to address the key difference between a glass-enclosed visitation booth and an in-person visit: the thick glass wall physically separating the Cropps prevented Mrs. Cropp from sitting next to her husband and assisting him with the form. Given Mrs. Cropp's adamant statements that the visitation booth would not permit her to communicate effectively with Mr. Cropp, this difference cannot be overlooked.</w:t>
      </w:r>
    </w:p>
    <w:p w14:paraId="79201968" w14:textId="77777777" w:rsidR="002B10A6" w:rsidRDefault="00000000">
      <w:pPr>
        <w:pStyle w:val="Normal44"/>
        <w:widowControl w:val="0"/>
        <w:spacing w:before="200" w:line="260" w:lineRule="atLeast"/>
        <w:jc w:val="both"/>
      </w:pPr>
      <w:bookmarkStart w:id="8153" w:name="Bookmark_para_70_4"/>
      <w:bookmarkEnd w:id="8153"/>
      <w:r>
        <w:rPr>
          <w:rFonts w:ascii="Arial" w:eastAsia="Arial" w:hAnsi="Arial" w:cs="Arial"/>
          <w:color w:val="000000"/>
          <w:sz w:val="20"/>
        </w:rPr>
        <w:t xml:space="preserve">The majority ignores Mrs. Cropp's repeated statements in absolute terms that the visitation booth would not allow her to explain the forms to her husband. She testified: "I don't think I could have explained a legal document [***44]  to a man with Alzheimer's through a glass with a phone at my ear and him listening with a phone, no. I needed to sit down next to him." She stated that she told Jail staff the visitation booth "would not be a reasonable way to explain to a man with Alzheimer's a complicated legal document." She further testified: "I can't do that between—with that glass between us. I cannot do that as well: Do you see this here; this is what it's saying to you. I can't do that." The majority places great weight on Mrs. Cropp's use of "as well", concluding that her repeated, forceful statements that the visitation booth would not have provided effective communication meant only that she understood it not to be </w:t>
      </w:r>
      <w:r>
        <w:rPr>
          <w:rFonts w:ascii="Arial" w:eastAsia="Arial" w:hAnsi="Arial" w:cs="Arial"/>
          <w:color w:val="000000"/>
          <w:sz w:val="20"/>
          <w:u w:val="single"/>
        </w:rPr>
        <w:t>as</w:t>
      </w:r>
      <w:r>
        <w:rPr>
          <w:rFonts w:ascii="Arial" w:eastAsia="Arial" w:hAnsi="Arial" w:cs="Arial"/>
          <w:color w:val="000000"/>
          <w:sz w:val="20"/>
        </w:rPr>
        <w:t xml:space="preserve"> effective as the requested in-person visit. (Majority Order &amp; J. 21-22, n.13.) This characterization ignores her testimony that the visitation booth would not allow Mr. Cropp to understand the form, and therefore, to access a level of communication substantially equal  [*1242]  to the communication afforded to other inmates at the Jail.</w:t>
      </w:r>
    </w:p>
    <w:p w14:paraId="5F7BAA02" w14:textId="77777777" w:rsidR="002B10A6" w:rsidRDefault="00000000">
      <w:pPr>
        <w:pStyle w:val="Normal44"/>
        <w:widowControl w:val="0"/>
        <w:spacing w:before="200" w:line="260" w:lineRule="atLeast"/>
        <w:jc w:val="both"/>
      </w:pPr>
      <w:bookmarkStart w:id="8154" w:name="Bookmark_para_71_4"/>
      <w:bookmarkEnd w:id="8154"/>
      <w:r>
        <w:rPr>
          <w:rFonts w:ascii="Arial" w:eastAsia="Arial" w:hAnsi="Arial" w:cs="Arial"/>
          <w:color w:val="000000"/>
          <w:sz w:val="20"/>
        </w:rPr>
        <w:t>Rather than offering any affirmative evidence to carry its burden of showing that the visitation booth would have effectively provided access to communication for Mr. [***45]  Cropp, the County blames Mrs. Cropp for its utter lack of evidence. It asserts that her refusal to use the visitation booth makes it impossible to ascertain whether the booth would have been effective. This argument mistakes Mrs. Cropp's burden. Although a public entity may rely on a person accompanying the individual with disabilities to help with communication, "[t]he public entity may not coerce or attempt to persuade another adult to provide effective communication for the individual with a disability." 28 C.F.R. pt. 35, app. A. The County could not force Mrs. Cropp to use the booth, thus her refusal to so participate eliminated the booth as a potential accommodation. Moreover, her refusal does not extinguish the County's burden to show that it offered Mr. Cropp an accommodation that would have been effective.</w:t>
      </w:r>
    </w:p>
    <w:p w14:paraId="2635F90D" w14:textId="77777777" w:rsidR="002B10A6" w:rsidRDefault="00000000">
      <w:pPr>
        <w:pStyle w:val="Normal44"/>
        <w:widowControl w:val="0"/>
        <w:spacing w:before="200" w:line="260" w:lineRule="atLeast"/>
        <w:jc w:val="both"/>
      </w:pPr>
      <w:bookmarkStart w:id="8155" w:name="Bookmark_para_72_4"/>
      <w:bookmarkEnd w:id="8155"/>
      <w:r>
        <w:rPr>
          <w:rFonts w:ascii="Arial" w:eastAsia="Arial" w:hAnsi="Arial" w:cs="Arial"/>
          <w:color w:val="000000"/>
          <w:sz w:val="20"/>
        </w:rPr>
        <w:t>Forcing inmates with disabilities to use existing services, when their disabilities make "meaningful access" to those services impossible, is exactly the type of discrimination that the ADA and the Rehabilitation Act are designed to prevent. As Congress observed in passing the ADA, "individuals with disabilities continually encounter various forms of discrimination, including . . . failure to make [***46]  modifications to existing facilities and practices." 42 U.S.C.S. § 12101(a)(5). This is precisely the type of discrimination Mr. Cropp encountered at the Larimer County Jail. I underscore the fact that the County never provided Mr. Cropp with an accommodation. The required means of communication for all inmates wishing to communicate with their families, the thick glass wall and telephone, was not a service or an accommodation. In what amounts to nothing less than a legerdemain, the majority proposes to call the visitation booth an accommodation when it is not an accommodation at all for anyone. It is simply the required means of communication for all inmates. Calling the visitation booth an accommodation is akin to calling the Jail itself an accommodation, open to all, the abled and disabled alike.</w:t>
      </w:r>
    </w:p>
    <w:p w14:paraId="7FA037E4" w14:textId="77777777" w:rsidR="002B10A6" w:rsidRDefault="00000000">
      <w:pPr>
        <w:pStyle w:val="Normal44"/>
        <w:widowControl w:val="0"/>
        <w:spacing w:before="200" w:line="260" w:lineRule="atLeast"/>
        <w:jc w:val="both"/>
      </w:pPr>
      <w:bookmarkStart w:id="8156" w:name="Bookmark_para_73_3"/>
      <w:bookmarkEnd w:id="8156"/>
      <w:r>
        <w:rPr>
          <w:rFonts w:ascii="Arial" w:eastAsia="Arial" w:hAnsi="Arial" w:cs="Arial"/>
          <w:color w:val="000000"/>
          <w:sz w:val="20"/>
        </w:rPr>
        <w:t xml:space="preserve">Instead of providing an accommodation, the County's standard practice for inmates with cognitive disabilities who cannot understand forms is to hold them overnight until counseling staff arrive in the morning. Under this practice, non-disabled inmates can avail themselves of immediate release upon signing paperwork, but inmates with disabilities are forced to remain incarcerated. </w:t>
      </w:r>
      <w:bookmarkStart w:id="8157" w:name="Bookmark_I3V5RXS00CN0000BWW600004"/>
      <w:bookmarkStart w:id="8158" w:name="Bookmark_I5XJ3CD728T4KF0020000400"/>
      <w:bookmarkEnd w:id="8157"/>
      <w:bookmarkEnd w:id="8158"/>
      <w:r>
        <w:rPr>
          <w:rFonts w:ascii="Arial" w:eastAsia="Arial" w:hAnsi="Arial" w:cs="Arial"/>
          <w:color w:val="000000"/>
          <w:sz w:val="20"/>
        </w:rPr>
        <w:t xml:space="preserve">This is no way to treat patients [***47]  with Alzheimer's. Leaving Mr. Cropp to freeze in a cell overnight because the Jail refused to provide an accommodation, modify its policies, or call in a staff member trained to provide such accommodations is the epitome of the "thoughtlessness and indifference" and "benign neglect" that undergirds discrimination against people with disabilities. </w:t>
      </w:r>
      <w:bookmarkStart w:id="8159" w:name="Bookmark_I5XJ3CD728T4KF0010000400"/>
      <w:bookmarkEnd w:id="8159"/>
      <w:r>
        <w:rPr>
          <w:rFonts w:ascii="Arial" w:eastAsia="Arial" w:hAnsi="Arial" w:cs="Arial"/>
          <w:color w:val="000000"/>
          <w:sz w:val="20"/>
          <w:u w:val="single"/>
        </w:rPr>
        <w:t>Alexander v. Choate</w:t>
      </w:r>
      <w:r>
        <w:rPr>
          <w:rFonts w:ascii="Arial" w:eastAsia="Arial" w:hAnsi="Arial" w:cs="Arial"/>
          <w:color w:val="000000"/>
          <w:sz w:val="20"/>
        </w:rPr>
        <w:t>, 469 U.S. 287, 295, 105 S. Ct. 712, 83 L. Ed. 2d 661 (1985). I would hold that factual disputes preclude summary judgment on whether the County discharged its obligation to provide Mr. Cropp meaningful access to its services.</w:t>
      </w:r>
    </w:p>
    <w:p w14:paraId="408D33AB" w14:textId="77777777" w:rsidR="002B10A6" w:rsidRDefault="00000000">
      <w:pPr>
        <w:pStyle w:val="Normal44"/>
        <w:widowControl w:val="0"/>
        <w:spacing w:before="240" w:line="260" w:lineRule="atLeast"/>
      </w:pPr>
      <w:r>
        <w:br/>
      </w:r>
      <w:r>
        <w:rPr>
          <w:rFonts w:ascii="Arial" w:eastAsia="Arial" w:hAnsi="Arial" w:cs="Arial"/>
          <w:b/>
          <w:color w:val="000000"/>
          <w:sz w:val="20"/>
        </w:rPr>
        <w:t>B</w:t>
      </w:r>
    </w:p>
    <w:p w14:paraId="0403FB1F" w14:textId="77777777" w:rsidR="002B10A6" w:rsidRDefault="00000000">
      <w:pPr>
        <w:pStyle w:val="Normal44"/>
        <w:widowControl w:val="0"/>
        <w:spacing w:before="200" w:line="260" w:lineRule="atLeast"/>
        <w:jc w:val="both"/>
      </w:pPr>
      <w:bookmarkStart w:id="8160" w:name="Bookmark_para_74_3"/>
      <w:bookmarkStart w:id="8161" w:name="Bookmark_I3V5RXS04FS0000BWW600005"/>
      <w:bookmarkStart w:id="8162" w:name="Bookmark_I5XJ3CD728T4KF0040000400"/>
      <w:bookmarkEnd w:id="8160"/>
      <w:bookmarkEnd w:id="8161"/>
      <w:bookmarkEnd w:id="8162"/>
      <w:r>
        <w:rPr>
          <w:rFonts w:ascii="Arial" w:eastAsia="Arial" w:hAnsi="Arial" w:cs="Arial"/>
          <w:color w:val="000000"/>
          <w:sz w:val="20"/>
        </w:rPr>
        <w:t xml:space="preserve">Declining to address meaningful access, the majority holds that no reasonable jury could find the County acted with deliberate indifference. (Majority Order &amp; J. 13.) </w:t>
      </w:r>
      <w:bookmarkStart w:id="8163" w:name="Bookmark_I3V5RXS08GS0000BWW600006"/>
      <w:bookmarkStart w:id="8164" w:name="Bookmark_I5XJ3CD72SF8HX0010000400"/>
      <w:bookmarkEnd w:id="8163"/>
      <w:bookmarkEnd w:id="8164"/>
      <w:r>
        <w:rPr>
          <w:rFonts w:ascii="Arial" w:eastAsia="Arial" w:hAnsi="Arial" w:cs="Arial"/>
          <w:color w:val="000000"/>
          <w:sz w:val="20"/>
        </w:rPr>
        <w:t xml:space="preserve">To demonstrate deliberate indifference, a plaintiff must prove "(1) knowledge that a harm to a federally protected right is substantially likely, and (2) a failure to act upon that likelihood." </w:t>
      </w:r>
      <w:bookmarkStart w:id="8165" w:name="Bookmark_I5XJ3CD728T4KF0030000400"/>
      <w:bookmarkEnd w:id="8165"/>
      <w:r>
        <w:rPr>
          <w:rFonts w:ascii="Arial" w:eastAsia="Arial" w:hAnsi="Arial" w:cs="Arial"/>
          <w:color w:val="000000"/>
          <w:sz w:val="20"/>
          <w:u w:val="single"/>
        </w:rPr>
        <w:t>Barber ex rel. Barber  [*1243]  v. Colo. Dep't of Revenue</w:t>
      </w:r>
      <w:r>
        <w:rPr>
          <w:rFonts w:ascii="Arial" w:eastAsia="Arial" w:hAnsi="Arial" w:cs="Arial"/>
          <w:color w:val="000000"/>
          <w:sz w:val="20"/>
        </w:rPr>
        <w:t xml:space="preserve">, 562 F.3d 1222, 1229 (10th Cir. 2009) (quotation and alteration omitted). </w:t>
      </w:r>
      <w:bookmarkStart w:id="8166" w:name="Bookmark_I5XJ3CD72SF8HX0010000400_2"/>
      <w:bookmarkEnd w:id="8166"/>
      <w:r>
        <w:rPr>
          <w:rFonts w:ascii="Arial" w:eastAsia="Arial" w:hAnsi="Arial" w:cs="Arial"/>
          <w:color w:val="000000"/>
          <w:sz w:val="20"/>
        </w:rPr>
        <w:t xml:space="preserve">Deliberate indifference is a higher standard than negligence and requires proof of deliberate action. </w:t>
      </w:r>
      <w:bookmarkStart w:id="8167" w:name="Bookmark_I5XJ3CD728T4KF0050000400"/>
      <w:bookmarkEnd w:id="8167"/>
      <w:r>
        <w:rPr>
          <w:rFonts w:ascii="Arial" w:eastAsia="Arial" w:hAnsi="Arial" w:cs="Arial"/>
          <w:color w:val="000000"/>
          <w:sz w:val="20"/>
          <w:u w:val="single"/>
        </w:rPr>
        <w:t>J.V. ex rel. C.V. v. Albuquerque Pub. Sch.</w:t>
      </w:r>
      <w:r>
        <w:rPr>
          <w:rFonts w:ascii="Arial" w:eastAsia="Arial" w:hAnsi="Arial" w:cs="Arial"/>
          <w:color w:val="000000"/>
          <w:sz w:val="20"/>
        </w:rPr>
        <w:t>, 813 F.3d 1289, 1298 (10th Cir. 2016). The Cropps present two theories to demonstrate deliberate indifference: the County failed to accommodate Mr. Cropp's disability, and the County failed to train its personnel.</w:t>
      </w:r>
    </w:p>
    <w:p w14:paraId="27C57921" w14:textId="77777777" w:rsidR="002B10A6" w:rsidRDefault="00000000">
      <w:pPr>
        <w:pStyle w:val="Normal44"/>
        <w:widowControl w:val="0"/>
        <w:spacing w:before="240" w:line="260" w:lineRule="atLeast"/>
      </w:pPr>
      <w:r>
        <w:br/>
      </w:r>
      <w:r>
        <w:rPr>
          <w:rFonts w:ascii="Arial" w:eastAsia="Arial" w:hAnsi="Arial" w:cs="Arial"/>
          <w:b/>
          <w:color w:val="000000"/>
          <w:sz w:val="20"/>
        </w:rPr>
        <w:t>i</w:t>
      </w:r>
    </w:p>
    <w:p w14:paraId="5DC4A88D" w14:textId="77777777" w:rsidR="002B10A6" w:rsidRDefault="00000000">
      <w:pPr>
        <w:pStyle w:val="Normal44"/>
        <w:widowControl w:val="0"/>
        <w:spacing w:before="200" w:line="260" w:lineRule="atLeast"/>
        <w:jc w:val="both"/>
      </w:pPr>
      <w:bookmarkStart w:id="8168" w:name="Bookmark_para_75_3"/>
      <w:bookmarkEnd w:id="8168"/>
      <w:r>
        <w:rPr>
          <w:rFonts w:ascii="Arial" w:eastAsia="Arial" w:hAnsi="Arial" w:cs="Arial"/>
          <w:color w:val="000000"/>
          <w:sz w:val="20"/>
        </w:rPr>
        <w:t>I agree [***48]  with the majority that it is not per se deliberate indifference for a public facility to refuse to provide a requested accommodation. (Majority Order &amp; J. 16-18.) That rule, however, does not excuse the County's inaction in this case. When the County denied the Cropps an in-person visit, it was on notice that: (1) Mr. Cropp had Alzheimer's disease, which made it impossible for him to comprehend the form on his own; (2) his wife and caretaker believed he could comprehend the form if she was able to sit with him to explain it; and (3) she could not explain the form to him through the visitation booth's glass window, and would not attempt to do so. Based on the information about Mr. Cropp's disability that Mrs. Cropp provided, harm to Mr. Cropp's ADA and Rehabilitation Act rights without accommodation was not just "substantially likely," it was virtually certain.</w:t>
      </w:r>
    </w:p>
    <w:p w14:paraId="5C830096" w14:textId="77777777" w:rsidR="002B10A6" w:rsidRDefault="00000000">
      <w:pPr>
        <w:pStyle w:val="Normal44"/>
        <w:widowControl w:val="0"/>
        <w:spacing w:before="200" w:line="260" w:lineRule="atLeast"/>
        <w:jc w:val="both"/>
      </w:pPr>
      <w:bookmarkStart w:id="8169" w:name="Bookmark_para_76_2"/>
      <w:bookmarkEnd w:id="8169"/>
      <w:r>
        <w:rPr>
          <w:rFonts w:ascii="Arial" w:eastAsia="Arial" w:hAnsi="Arial" w:cs="Arial"/>
          <w:color w:val="000000"/>
          <w:sz w:val="20"/>
        </w:rPr>
        <w:t>Armed with this knowledge, the County did essentially nothing. The majority concludes that the County could not have known that it was substantially likely that the booth would be ineffective because it considers in-person visits and the visitation booth to be physically similar. (Majority Order &amp; J. 20-22.) It also discounts [***49]  Mrs. Cropp's repeated insistence that the visitation booth would not be an effective accommodation. (</w:t>
      </w:r>
      <w:r>
        <w:rPr>
          <w:rFonts w:ascii="Arial" w:eastAsia="Arial" w:hAnsi="Arial" w:cs="Arial"/>
          <w:color w:val="000000"/>
          <w:sz w:val="20"/>
          <w:u w:val="single"/>
        </w:rPr>
        <w:t>Id.</w:t>
      </w:r>
      <w:r>
        <w:rPr>
          <w:rFonts w:ascii="Arial" w:eastAsia="Arial" w:hAnsi="Arial" w:cs="Arial"/>
          <w:color w:val="000000"/>
          <w:sz w:val="20"/>
        </w:rPr>
        <w:t>) Although it is correct that Mrs. Cropp may have initially offered to explain the forms to Mr. Cropp utilizing the thick glass separation available, upon realizing that this was something she could not do, she told Jail officials so. Their response was effectively take it or leave it. The County should have offered an effective means of communication. It did not do so.</w:t>
      </w:r>
    </w:p>
    <w:p w14:paraId="28BA72C1" w14:textId="77777777" w:rsidR="002B10A6" w:rsidRDefault="00000000">
      <w:pPr>
        <w:pStyle w:val="Normal44"/>
        <w:widowControl w:val="0"/>
        <w:spacing w:before="200" w:line="260" w:lineRule="atLeast"/>
        <w:jc w:val="both"/>
      </w:pPr>
      <w:bookmarkStart w:id="8170" w:name="Bookmark_para_77_2"/>
      <w:bookmarkStart w:id="8171" w:name="Bookmark_I3V5RXS0J8H0000BWW600008"/>
      <w:bookmarkStart w:id="8172" w:name="Bookmark_I5XJ3CD72SF8HX0030000400"/>
      <w:bookmarkEnd w:id="8170"/>
      <w:bookmarkEnd w:id="8171"/>
      <w:bookmarkEnd w:id="8172"/>
      <w:r>
        <w:rPr>
          <w:rFonts w:ascii="Arial" w:eastAsia="Arial" w:hAnsi="Arial" w:cs="Arial"/>
          <w:color w:val="000000"/>
          <w:sz w:val="20"/>
        </w:rPr>
        <w:t xml:space="preserve">The County took no further action to accommodate Mr. Cropp. It did not modify or consider modifying any of its existing services to accommodate him. Wulfert's lieutenant had the authority to order an exception to the Jail's policy on in-person visitation or to provide another modification or accommodation to allow Mr. Cropp access to the form, but took no action. </w:t>
      </w:r>
      <w:r>
        <w:rPr>
          <w:rFonts w:ascii="Arial" w:eastAsia="Arial" w:hAnsi="Arial" w:cs="Arial"/>
          <w:color w:val="000000"/>
          <w:sz w:val="20"/>
          <w:u w:val="single"/>
        </w:rPr>
        <w:t xml:space="preserve">See </w:t>
      </w:r>
      <w:bookmarkStart w:id="8173" w:name="Bookmark_I5XJ3CD72SF8HX0020000400"/>
      <w:bookmarkEnd w:id="8173"/>
      <w:r>
        <w:rPr>
          <w:rFonts w:ascii="Arial" w:eastAsia="Arial" w:hAnsi="Arial" w:cs="Arial"/>
          <w:color w:val="000000"/>
          <w:sz w:val="20"/>
          <w:u w:val="single"/>
        </w:rPr>
        <w:t>Updike v. Multnomah Cty.</w:t>
      </w:r>
      <w:r>
        <w:rPr>
          <w:rFonts w:ascii="Arial" w:eastAsia="Arial" w:hAnsi="Arial" w:cs="Arial"/>
          <w:color w:val="000000"/>
          <w:sz w:val="20"/>
        </w:rPr>
        <w:t>, 870 F.3d 939, 954 (9th Cir. 2017) ("A denial of a request without investigation is sufficient to survive summary judgment on the question of deliberate indifference.").</w:t>
      </w:r>
      <w:r>
        <w:rPr>
          <w:rFonts w:ascii="Arial" w:eastAsia="Arial" w:hAnsi="Arial" w:cs="Arial"/>
          <w:vertAlign w:val="superscript"/>
        </w:rPr>
        <w:footnoteReference w:customMarkFollows="1" w:id="437"/>
        <w:t>5</w:t>
      </w:r>
      <w:r>
        <w:rPr>
          <w:rFonts w:ascii="Arial" w:eastAsia="Arial" w:hAnsi="Arial" w:cs="Arial"/>
          <w:color w:val="000000"/>
          <w:sz w:val="20"/>
        </w:rPr>
        <w:t xml:space="preserve"> From intake to release, the Jail applied the same policies to Mr. Cropp that it applies to non-disabled inmates, without considering whether they would effectively accommodate Mr. Cropp's disability. This is a profound [***50]  failure to act. I would conclude that the Cropps have provided adequate evidence of deliberate indifference for a reasonable jury to rule in their favor.</w:t>
      </w:r>
      <w:r>
        <w:rPr>
          <w:rFonts w:ascii="Arial" w:eastAsia="Arial" w:hAnsi="Arial" w:cs="Arial"/>
          <w:vertAlign w:val="superscript"/>
        </w:rPr>
        <w:footnoteReference w:customMarkFollows="1" w:id="438"/>
        <w:t>6</w:t>
      </w:r>
    </w:p>
    <w:p w14:paraId="13D11E0C" w14:textId="77777777" w:rsidR="002B10A6" w:rsidRDefault="00000000">
      <w:pPr>
        <w:pStyle w:val="Normal44"/>
        <w:widowControl w:val="0"/>
        <w:spacing w:before="240" w:line="260" w:lineRule="atLeast"/>
      </w:pPr>
      <w:r>
        <w:br/>
      </w:r>
      <w:r>
        <w:rPr>
          <w:rFonts w:ascii="Arial" w:eastAsia="Arial" w:hAnsi="Arial" w:cs="Arial"/>
          <w:color w:val="000000"/>
          <w:sz w:val="20"/>
        </w:rPr>
        <w:t xml:space="preserve"> [*1244]  </w:t>
      </w:r>
      <w:r>
        <w:rPr>
          <w:rFonts w:ascii="Arial" w:eastAsia="Arial" w:hAnsi="Arial" w:cs="Arial"/>
          <w:b/>
          <w:color w:val="000000"/>
          <w:sz w:val="20"/>
        </w:rPr>
        <w:t>ii</w:t>
      </w:r>
    </w:p>
    <w:p w14:paraId="587A7438" w14:textId="77777777" w:rsidR="002B10A6" w:rsidRDefault="00000000">
      <w:pPr>
        <w:pStyle w:val="Normal44"/>
        <w:widowControl w:val="0"/>
        <w:spacing w:before="200" w:line="260" w:lineRule="atLeast"/>
        <w:jc w:val="both"/>
      </w:pPr>
      <w:bookmarkStart w:id="8176" w:name="Bookmark_para_78_2"/>
      <w:bookmarkStart w:id="8177" w:name="Bookmark_I3V5RXS0P3J0000BWW600009"/>
      <w:bookmarkStart w:id="8178" w:name="Bookmark_I5XJ3CD72SF8HX0050000400"/>
      <w:bookmarkEnd w:id="8176"/>
      <w:bookmarkEnd w:id="8177"/>
      <w:bookmarkEnd w:id="8178"/>
      <w:r>
        <w:rPr>
          <w:rFonts w:ascii="Arial" w:eastAsia="Arial" w:hAnsi="Arial" w:cs="Arial"/>
          <w:color w:val="000000"/>
          <w:sz w:val="20"/>
        </w:rPr>
        <w:t xml:space="preserve">On the Cropps' failure-to-train claim, the majority concludes that the Cropps did not provide adequate evidence to show the County "was on notice of the need for more or better training." (Majority Order &amp; J. 24 (citing </w:t>
      </w:r>
      <w:bookmarkStart w:id="8179" w:name="Bookmark_I5XJ3CD72SF8HX0040000400"/>
      <w:bookmarkEnd w:id="8179"/>
      <w:r>
        <w:rPr>
          <w:rFonts w:ascii="Arial" w:eastAsia="Arial" w:hAnsi="Arial" w:cs="Arial"/>
          <w:color w:val="000000"/>
          <w:sz w:val="20"/>
          <w:u w:val="single"/>
        </w:rPr>
        <w:t>J.V.</w:t>
      </w:r>
      <w:r>
        <w:rPr>
          <w:rFonts w:ascii="Arial" w:eastAsia="Arial" w:hAnsi="Arial" w:cs="Arial"/>
          <w:color w:val="000000"/>
          <w:sz w:val="20"/>
        </w:rPr>
        <w:t>, 813 F.3d at 1298).) I agree with my colleagues that the Cropps' evidence that the Department of Justice was investigating the County for failing to accommodate deaf individuals was ultimately insufficient to put the County on notice absent further information connecting the investigation to Mr. Cropp's experience. However, there is substantial evidence in the record showing that Jail personnel's failure to accommodate Mr. Cropp by rigidly adhering to policy perfectly accorded with the County's training. Moreover, none of the County's employees were able to identify any training they received regarding accommodating inmates with Alzheimer's disease. This is disturbing. Although the majority allows the County to escape liability today, its personnel desperately need training on how to accommodate this vulnerable population.</w:t>
      </w:r>
    </w:p>
    <w:p w14:paraId="6CC97B95" w14:textId="77777777" w:rsidR="002B10A6" w:rsidRDefault="00000000">
      <w:pPr>
        <w:pStyle w:val="Normal44"/>
        <w:widowControl w:val="0"/>
        <w:spacing w:before="240" w:line="260" w:lineRule="atLeast"/>
      </w:pPr>
      <w:r>
        <w:br/>
      </w:r>
      <w:r>
        <w:rPr>
          <w:rFonts w:ascii="Arial" w:eastAsia="Arial" w:hAnsi="Arial" w:cs="Arial"/>
          <w:b/>
          <w:color w:val="000000"/>
          <w:sz w:val="20"/>
        </w:rPr>
        <w:t>III</w:t>
      </w:r>
    </w:p>
    <w:p w14:paraId="0896EAE9" w14:textId="77777777" w:rsidR="002B10A6" w:rsidRDefault="00000000">
      <w:pPr>
        <w:pStyle w:val="Normal44"/>
        <w:widowControl w:val="0"/>
        <w:spacing w:before="200" w:line="260" w:lineRule="atLeast"/>
        <w:jc w:val="both"/>
      </w:pPr>
      <w:bookmarkStart w:id="8180" w:name="Bookmark_para_79_2"/>
      <w:bookmarkEnd w:id="8180"/>
      <w:r>
        <w:rPr>
          <w:rFonts w:ascii="Arial" w:eastAsia="Arial" w:hAnsi="Arial" w:cs="Arial"/>
          <w:color w:val="000000"/>
          <w:sz w:val="20"/>
        </w:rPr>
        <w:t>A reasonable [***51]  jury could conclude that the County deprived Mr. Cropp of meaningful access to its services and, in doing so, acted with deliberate indifference to the strong likelihood that his federally protected rights were violated. Accordingly, I would reverse that part of the district court's grant of summary judgment and remand for further proceedings. As things stand, tonight another Alzheimer's patient somewhere in the six states of our circuit may be similarly treated. We should not allow this kind of indifference to those suffering from Alzheimer's to persist. If law enforcement officers propose to arrest Alzheimer's patients for the simple act of walking around the block, then jail personnel had best be prepared to accommodate the disabilities of those patients when clearly advised of the patients' condition. I respectfully dissent.</w:t>
      </w:r>
    </w:p>
    <w:p w14:paraId="20BE8FCA" w14:textId="77777777" w:rsidR="002B10A6" w:rsidRDefault="002B10A6">
      <w:pPr>
        <w:pStyle w:val="Normal44"/>
      </w:pPr>
    </w:p>
    <w:p w14:paraId="499EF320" w14:textId="63FC27B5" w:rsidR="002B10A6" w:rsidRDefault="00000000">
      <w:pPr>
        <w:pStyle w:val="Normal44"/>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56544" behindDoc="0" locked="0" layoutInCell="1" allowOverlap="1" wp14:anchorId="6D9AFFB8" wp14:editId="326B933C">
                <wp:simplePos x="0" y="0"/>
                <wp:positionH relativeFrom="column">
                  <wp:posOffset>0</wp:posOffset>
                </wp:positionH>
                <wp:positionV relativeFrom="paragraph">
                  <wp:posOffset>127000</wp:posOffset>
                </wp:positionV>
                <wp:extent cx="6502400" cy="0"/>
                <wp:effectExtent l="9525" t="12700" r="12700" b="6350"/>
                <wp:wrapNone/>
                <wp:docPr id="1365900175"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FCC27" id="Line 97"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1E1FC0C" w14:textId="77777777" w:rsidR="002B10A6" w:rsidRDefault="002B10A6">
      <w:pPr>
        <w:pStyle w:val="Normal45"/>
        <w:sectPr w:rsidR="002B10A6">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gutter="0"/>
          <w:cols w:space="720"/>
          <w:titlePg/>
        </w:sectPr>
      </w:pPr>
    </w:p>
    <w:p w14:paraId="058F4802" w14:textId="77777777" w:rsidR="002B10A6" w:rsidRDefault="002B10A6">
      <w:pPr>
        <w:pStyle w:val="Normal45"/>
      </w:pPr>
    </w:p>
    <w:p w14:paraId="64CA1AB7" w14:textId="77777777" w:rsidR="002B10A6" w:rsidRDefault="00000000">
      <w:pPr>
        <w:pStyle w:val="Heading144"/>
        <w:keepNext w:val="0"/>
        <w:widowControl w:val="0"/>
        <w:spacing w:after="200" w:line="340" w:lineRule="atLeast"/>
        <w:jc w:val="center"/>
      </w:pPr>
      <w:r>
        <w:rPr>
          <w:rFonts w:eastAsia="Arial"/>
          <w:color w:val="000000"/>
          <w:sz w:val="28"/>
        </w:rPr>
        <w:t>Mosley v. Kohl's Dep't Stores, Inc.</w:t>
      </w:r>
    </w:p>
    <w:p w14:paraId="386FBBD8" w14:textId="77777777" w:rsidR="002B10A6" w:rsidRDefault="00000000">
      <w:pPr>
        <w:pStyle w:val="Normal45"/>
        <w:widowControl w:val="0"/>
        <w:spacing w:before="120" w:line="260" w:lineRule="atLeast"/>
        <w:jc w:val="center"/>
      </w:pPr>
      <w:r>
        <w:rPr>
          <w:rFonts w:ascii="Arial" w:eastAsia="Arial" w:hAnsi="Arial" w:cs="Arial"/>
          <w:color w:val="000000"/>
          <w:sz w:val="20"/>
        </w:rPr>
        <w:t>United States Court of Appeals for the Sixth Circuit</w:t>
      </w:r>
    </w:p>
    <w:p w14:paraId="31860D62" w14:textId="77777777" w:rsidR="002B10A6" w:rsidRDefault="00000000">
      <w:pPr>
        <w:pStyle w:val="Normal45"/>
        <w:widowControl w:val="0"/>
        <w:spacing w:before="120" w:line="260" w:lineRule="atLeast"/>
        <w:jc w:val="center"/>
      </w:pPr>
      <w:r>
        <w:rPr>
          <w:rFonts w:ascii="Arial" w:eastAsia="Arial" w:hAnsi="Arial" w:cs="Arial"/>
          <w:color w:val="000000"/>
          <w:sz w:val="20"/>
        </w:rPr>
        <w:t>November 8, 2019, Decided; November 8, 2019, Filed</w:t>
      </w:r>
    </w:p>
    <w:p w14:paraId="7EBC401D" w14:textId="77777777" w:rsidR="002B10A6" w:rsidRDefault="00000000">
      <w:pPr>
        <w:pStyle w:val="Normal45"/>
        <w:widowControl w:val="0"/>
        <w:spacing w:before="120" w:line="260" w:lineRule="atLeast"/>
        <w:jc w:val="center"/>
      </w:pPr>
      <w:r>
        <w:rPr>
          <w:rFonts w:ascii="Arial" w:eastAsia="Arial" w:hAnsi="Arial" w:cs="Arial"/>
          <w:color w:val="000000"/>
          <w:sz w:val="20"/>
        </w:rPr>
        <w:t>File Name: 19a0280p.06</w:t>
      </w:r>
    </w:p>
    <w:p w14:paraId="16F49EBC" w14:textId="77777777" w:rsidR="002B10A6" w:rsidRDefault="00000000">
      <w:pPr>
        <w:pStyle w:val="Normal45"/>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19-1106</w:t>
      </w:r>
    </w:p>
    <w:p w14:paraId="417A5210" w14:textId="77777777" w:rsidR="002B10A6" w:rsidRDefault="002B10A6">
      <w:pPr>
        <w:pStyle w:val="Normal45"/>
        <w:widowControl w:val="0"/>
        <w:spacing w:line="240" w:lineRule="atLeast"/>
        <w:jc w:val="both"/>
      </w:pPr>
      <w:bookmarkStart w:id="8181" w:name="Bookmark_46"/>
      <w:bookmarkEnd w:id="8181"/>
    </w:p>
    <w:p w14:paraId="0CAAF965" w14:textId="77777777" w:rsidR="002B10A6" w:rsidRDefault="00000000">
      <w:pPr>
        <w:pStyle w:val="Normal45"/>
        <w:widowControl w:val="0"/>
        <w:spacing w:before="200" w:line="240" w:lineRule="atLeast"/>
      </w:pPr>
      <w:bookmarkStart w:id="8182" w:name="Reporter_44"/>
      <w:bookmarkEnd w:id="8182"/>
      <w:r>
        <w:rPr>
          <w:rFonts w:ascii="Arial" w:eastAsia="Arial" w:hAnsi="Arial" w:cs="Arial"/>
          <w:b/>
          <w:color w:val="000000"/>
          <w:sz w:val="18"/>
        </w:rPr>
        <w:t>Reporter</w:t>
      </w:r>
    </w:p>
    <w:p w14:paraId="162E5968" w14:textId="77777777" w:rsidR="002B10A6" w:rsidRDefault="00000000">
      <w:pPr>
        <w:pStyle w:val="Normal45"/>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942 F.3d 752 *; 2019 U.S. App. LEXIS 33462 **; 2019 FED App. 0280P (6th Cir.); 2019 WL 5850463</w:t>
      </w:r>
    </w:p>
    <w:p w14:paraId="0B28A9B9" w14:textId="77777777" w:rsidR="002B10A6" w:rsidRDefault="00000000">
      <w:pPr>
        <w:pStyle w:val="Normal45"/>
        <w:widowControl w:val="0"/>
        <w:spacing w:before="120" w:line="260" w:lineRule="atLeast"/>
      </w:pPr>
      <w:r>
        <w:rPr>
          <w:rFonts w:ascii="Arial" w:eastAsia="Arial" w:hAnsi="Arial" w:cs="Arial"/>
          <w:color w:val="000000"/>
          <w:sz w:val="20"/>
        </w:rPr>
        <w:t>DAIMEON MOSLEY, Plaintiff-Appellant, v. KOHL'S DEPARTMENT STORES, INC., Defendant-Appellee.</w:t>
      </w:r>
    </w:p>
    <w:p w14:paraId="3203E7DD" w14:textId="77777777" w:rsidR="002B10A6" w:rsidRDefault="00000000">
      <w:pPr>
        <w:pStyle w:val="Normal45"/>
        <w:widowControl w:val="0"/>
        <w:spacing w:before="240" w:line="260" w:lineRule="atLeast"/>
      </w:pPr>
      <w:bookmarkStart w:id="8183" w:name="Subsequent_History_15"/>
      <w:bookmarkEnd w:id="8183"/>
      <w:r>
        <w:rPr>
          <w:rFonts w:ascii="Arial" w:eastAsia="Arial" w:hAnsi="Arial" w:cs="Arial"/>
          <w:b/>
          <w:color w:val="000000"/>
          <w:sz w:val="20"/>
        </w:rPr>
        <w:t>Subsequent History:</w:t>
      </w:r>
      <w:r>
        <w:rPr>
          <w:rFonts w:ascii="Arial" w:eastAsia="Arial" w:hAnsi="Arial" w:cs="Arial"/>
          <w:color w:val="000000"/>
          <w:sz w:val="20"/>
        </w:rPr>
        <w:t> Rehearing denied by, En banc Mosley v. Kohl's Dep't Stores, 2019 U.S. App. LEXIS 36597 (6th Cir., Dec. 10, 2019)</w:t>
      </w:r>
    </w:p>
    <w:p w14:paraId="5AE2D1F7" w14:textId="77777777" w:rsidR="002B10A6" w:rsidRDefault="00000000">
      <w:pPr>
        <w:pStyle w:val="Normal45"/>
        <w:widowControl w:val="0"/>
        <w:spacing w:before="240" w:line="260" w:lineRule="atLeast"/>
        <w:jc w:val="both"/>
      </w:pPr>
      <w:bookmarkStart w:id="8184" w:name="Prior_History_44"/>
      <w:bookmarkEnd w:id="8184"/>
      <w:r>
        <w:rPr>
          <w:rFonts w:ascii="Arial" w:eastAsia="Arial" w:hAnsi="Arial" w:cs="Arial"/>
          <w:b/>
          <w:color w:val="000000"/>
          <w:sz w:val="20"/>
        </w:rPr>
        <w:t>Prior History:</w:t>
      </w:r>
      <w:r>
        <w:rPr>
          <w:rFonts w:ascii="Arial" w:eastAsia="Arial" w:hAnsi="Arial" w:cs="Arial"/>
          <w:color w:val="000000"/>
          <w:sz w:val="20"/>
        </w:rPr>
        <w:t> </w:t>
      </w:r>
      <w:bookmarkStart w:id="8185" w:name="Bookmark_para_1_44"/>
      <w:bookmarkEnd w:id="8185"/>
      <w:r>
        <w:rPr>
          <w:rFonts w:ascii="Arial" w:eastAsia="Arial" w:hAnsi="Arial" w:cs="Arial"/>
          <w:color w:val="000000"/>
          <w:sz w:val="20"/>
        </w:rPr>
        <w:t> [**1] Appeal from the United States District Court for the Eastern District of Michigan at Detroit. No. 2:18-cv-11642—Avern Cohn, District Judge.</w:t>
      </w:r>
    </w:p>
    <w:p w14:paraId="4A9DD1EA" w14:textId="77777777" w:rsidR="002B10A6" w:rsidRDefault="00000000">
      <w:pPr>
        <w:pStyle w:val="Normal45"/>
        <w:widowControl w:val="0"/>
        <w:spacing w:before="120" w:line="260" w:lineRule="atLeast"/>
      </w:pPr>
      <w:r>
        <w:rPr>
          <w:rFonts w:ascii="Arial" w:eastAsia="Arial" w:hAnsi="Arial" w:cs="Arial"/>
          <w:color w:val="000000"/>
          <w:sz w:val="20"/>
        </w:rPr>
        <w:t>Mosley v. Kohl's Dep't Stores, Inc., 2019 U.S. Dist. LEXIS 611 ( E.D. Mich., Jan. 3, 2019)</w:t>
      </w:r>
    </w:p>
    <w:p w14:paraId="238AC80A" w14:textId="77777777" w:rsidR="002B10A6" w:rsidRDefault="00000000">
      <w:pPr>
        <w:pStyle w:val="Normal45"/>
        <w:widowControl w:val="0"/>
        <w:spacing w:before="240" w:line="260" w:lineRule="atLeast"/>
      </w:pPr>
      <w:bookmarkStart w:id="8186" w:name="Counsel_43"/>
      <w:bookmarkEnd w:id="8186"/>
      <w:r>
        <w:rPr>
          <w:rFonts w:ascii="Arial" w:eastAsia="Arial" w:hAnsi="Arial" w:cs="Arial"/>
          <w:b/>
          <w:color w:val="000000"/>
          <w:sz w:val="20"/>
        </w:rPr>
        <w:t>Counsel:</w:t>
      </w:r>
      <w:r>
        <w:rPr>
          <w:rFonts w:ascii="Arial" w:eastAsia="Arial" w:hAnsi="Arial" w:cs="Arial"/>
          <w:color w:val="000000"/>
          <w:sz w:val="20"/>
        </w:rPr>
        <w:t> ON BRIEF: George T. Blackmore, BLACKMORE LAW PLC, Southfield, Michigan, for Appellant.</w:t>
      </w:r>
    </w:p>
    <w:p w14:paraId="1E28ECCB" w14:textId="77777777" w:rsidR="002B10A6" w:rsidRDefault="00000000">
      <w:pPr>
        <w:pStyle w:val="Normal45"/>
        <w:widowControl w:val="0"/>
        <w:spacing w:before="120" w:line="260" w:lineRule="atLeast"/>
      </w:pPr>
      <w:r>
        <w:rPr>
          <w:rFonts w:ascii="Arial" w:eastAsia="Arial" w:hAnsi="Arial" w:cs="Arial"/>
          <w:color w:val="000000"/>
          <w:sz w:val="20"/>
        </w:rPr>
        <w:t>Bonnie Keane DelGobbo, BAKER &amp; HOSTETLER LLP, Chicago, Illinois, for Appellee.</w:t>
      </w:r>
    </w:p>
    <w:p w14:paraId="2310F453" w14:textId="77777777" w:rsidR="002B10A6" w:rsidRDefault="00000000">
      <w:pPr>
        <w:pStyle w:val="Normal45"/>
        <w:widowControl w:val="0"/>
        <w:spacing w:before="240" w:line="260" w:lineRule="atLeast"/>
      </w:pPr>
      <w:bookmarkStart w:id="8187" w:name="Judges_44"/>
      <w:bookmarkEnd w:id="8187"/>
      <w:r>
        <w:rPr>
          <w:rFonts w:ascii="Arial" w:eastAsia="Arial" w:hAnsi="Arial" w:cs="Arial"/>
          <w:b/>
          <w:color w:val="000000"/>
          <w:sz w:val="20"/>
        </w:rPr>
        <w:t>Judges:</w:t>
      </w:r>
      <w:r>
        <w:rPr>
          <w:rFonts w:ascii="Arial" w:eastAsia="Arial" w:hAnsi="Arial" w:cs="Arial"/>
          <w:color w:val="000000"/>
          <w:sz w:val="20"/>
        </w:rPr>
        <w:t> Before: MOORE, McKEAGUE, and GRIFFIN, Circuit Judges. MOORE, J., delivered the opinion of the court in which GRIFFIN, J., joined. McKEAGUE, J. (pp. 11-19), delivered a separate dissenting opinion.</w:t>
      </w:r>
    </w:p>
    <w:p w14:paraId="5C79E00E" w14:textId="77777777" w:rsidR="002B10A6" w:rsidRDefault="00000000">
      <w:pPr>
        <w:pStyle w:val="Normal45"/>
        <w:widowControl w:val="0"/>
        <w:spacing w:before="240" w:line="260" w:lineRule="atLeast"/>
      </w:pPr>
      <w:bookmarkStart w:id="8188" w:name="Opinion_by_31"/>
      <w:bookmarkEnd w:id="8188"/>
      <w:r>
        <w:rPr>
          <w:rFonts w:ascii="Arial" w:eastAsia="Arial" w:hAnsi="Arial" w:cs="Arial"/>
          <w:b/>
          <w:color w:val="000000"/>
          <w:sz w:val="20"/>
        </w:rPr>
        <w:t>Opinion by:</w:t>
      </w:r>
      <w:r>
        <w:rPr>
          <w:rFonts w:ascii="Arial" w:eastAsia="Arial" w:hAnsi="Arial" w:cs="Arial"/>
          <w:color w:val="000000"/>
          <w:sz w:val="20"/>
        </w:rPr>
        <w:t> KAREN NELSON MOORE</w:t>
      </w:r>
    </w:p>
    <w:p w14:paraId="4A955300" w14:textId="77777777" w:rsidR="002B10A6" w:rsidRDefault="00000000">
      <w:pPr>
        <w:pStyle w:val="Normal45"/>
        <w:keepNext/>
        <w:widowControl w:val="0"/>
        <w:spacing w:before="240" w:line="340" w:lineRule="atLeast"/>
      </w:pPr>
      <w:bookmarkStart w:id="8189" w:name="Opinion_44"/>
      <w:bookmarkEnd w:id="8189"/>
      <w:r>
        <w:rPr>
          <w:rFonts w:ascii="Arial" w:eastAsia="Arial" w:hAnsi="Arial" w:cs="Arial"/>
          <w:b/>
          <w:color w:val="000000"/>
          <w:sz w:val="28"/>
        </w:rPr>
        <w:t>Opinion</w:t>
      </w:r>
    </w:p>
    <w:p w14:paraId="5D9DFFA4" w14:textId="61012E88" w:rsidR="002B10A6" w:rsidRDefault="002D6974">
      <w:pPr>
        <w:pStyle w:val="Normal45"/>
        <w:spacing w:line="60" w:lineRule="exact"/>
      </w:pPr>
      <w:r>
        <w:rPr>
          <w:noProof/>
        </w:rPr>
        <mc:AlternateContent>
          <mc:Choice Requires="wps">
            <w:drawing>
              <wp:anchor distT="0" distB="0" distL="114300" distR="114300" simplePos="0" relativeHeight="251757568" behindDoc="0" locked="0" layoutInCell="1" allowOverlap="1" wp14:anchorId="6E512436" wp14:editId="64AD2213">
                <wp:simplePos x="0" y="0"/>
                <wp:positionH relativeFrom="column">
                  <wp:posOffset>0</wp:posOffset>
                </wp:positionH>
                <wp:positionV relativeFrom="paragraph">
                  <wp:posOffset>25400</wp:posOffset>
                </wp:positionV>
                <wp:extent cx="3187700" cy="0"/>
                <wp:effectExtent l="19050" t="15875" r="12700" b="12700"/>
                <wp:wrapTopAndBottom/>
                <wp:docPr id="1140846805"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E2226" id="Line 98"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11650BDA" w14:textId="77777777" w:rsidR="002B10A6" w:rsidRDefault="002B10A6">
      <w:pPr>
        <w:pStyle w:val="Normal45"/>
      </w:pPr>
    </w:p>
    <w:p w14:paraId="6C84526E" w14:textId="77777777" w:rsidR="002B10A6" w:rsidRDefault="00000000">
      <w:pPr>
        <w:pStyle w:val="Normal45"/>
        <w:widowControl w:val="0"/>
        <w:spacing w:before="200" w:line="260" w:lineRule="atLeast"/>
        <w:jc w:val="both"/>
      </w:pPr>
      <w:bookmarkStart w:id="8190" w:name="Bookmark_para_2_44"/>
      <w:bookmarkEnd w:id="8190"/>
      <w:r>
        <w:rPr>
          <w:rFonts w:ascii="Arial" w:eastAsia="Arial" w:hAnsi="Arial" w:cs="Arial"/>
          <w:color w:val="000000"/>
          <w:sz w:val="20"/>
        </w:rPr>
        <w:t xml:space="preserve"> [*755]  KAREN NELSON MOORE, Circuit Judge. Daimeon Mosley appeals the dismissal of his suit against Kohl's Department Stores, Inc. ("Kohl's") alleging its restrooms at two Michigan locations are inaccessible for persons who use wheelchairs. He brought this action under Title III of the Americans with Disabilities Act ("Title III") requesting declaratory and injunctive relief requiring Kohl's to bring its facilities into compliance. 42 U.S.C. §§ 12181 et seq. ("ADA"); 28 C.F.R. Part 36. Kohl's moved to dismiss on the grounds that Mosley lacked standing for prospective injunctive relief because he lives in Arizona, has visited the Michigan stores only once, and has not sufficiently alleged a plan to return to the stores [**2]  or to use their restrooms. </w:t>
      </w:r>
      <w:bookmarkStart w:id="8191" w:name="Bookmark_I5XR09X42D6N1F0010000400"/>
      <w:bookmarkStart w:id="8192" w:name="Bookmark_05CTY0CMY6000BXVMF00001"/>
      <w:bookmarkEnd w:id="8191"/>
      <w:bookmarkEnd w:id="8192"/>
      <w:r>
        <w:rPr>
          <w:rFonts w:ascii="Arial" w:eastAsia="Arial" w:hAnsi="Arial" w:cs="Arial"/>
          <w:color w:val="000000"/>
          <w:sz w:val="20"/>
        </w:rPr>
        <w:t xml:space="preserve">The district court agreed and dismissed the case for lack of jurisdiction. Mosley argues on appeal that the district court applied too stringent standards at the pleadings stage, and that requiring him to return to the noncompliant facilities at each store would impermissibly compel him to make a futile gesture. For the reasons that follow, we </w:t>
      </w:r>
      <w:r>
        <w:rPr>
          <w:rFonts w:ascii="Arial" w:eastAsia="Arial" w:hAnsi="Arial" w:cs="Arial"/>
          <w:b/>
          <w:color w:val="000000"/>
          <w:sz w:val="20"/>
        </w:rPr>
        <w:t>REVERSE</w:t>
      </w:r>
      <w:r>
        <w:rPr>
          <w:rFonts w:ascii="Arial" w:eastAsia="Arial" w:hAnsi="Arial" w:cs="Arial"/>
          <w:color w:val="000000"/>
          <w:sz w:val="20"/>
        </w:rPr>
        <w:t xml:space="preserve"> the district court's judgment of dismissal and </w:t>
      </w:r>
      <w:r>
        <w:rPr>
          <w:rFonts w:ascii="Arial" w:eastAsia="Arial" w:hAnsi="Arial" w:cs="Arial"/>
          <w:b/>
          <w:color w:val="000000"/>
          <w:sz w:val="20"/>
        </w:rPr>
        <w:t>REMAND</w:t>
      </w:r>
      <w:r>
        <w:rPr>
          <w:rFonts w:ascii="Arial" w:eastAsia="Arial" w:hAnsi="Arial" w:cs="Arial"/>
          <w:color w:val="000000"/>
          <w:sz w:val="20"/>
        </w:rPr>
        <w:t xml:space="preserve"> for further proceedings.</w:t>
      </w:r>
    </w:p>
    <w:p w14:paraId="2B5B348F" w14:textId="77777777" w:rsidR="002B10A6" w:rsidRDefault="00000000">
      <w:pPr>
        <w:pStyle w:val="Normal45"/>
        <w:widowControl w:val="0"/>
        <w:spacing w:before="240" w:line="260" w:lineRule="atLeast"/>
      </w:pPr>
      <w:r>
        <w:br/>
      </w:r>
      <w:r>
        <w:rPr>
          <w:rFonts w:ascii="Arial" w:eastAsia="Arial" w:hAnsi="Arial" w:cs="Arial"/>
          <w:b/>
          <w:color w:val="000000"/>
          <w:sz w:val="20"/>
        </w:rPr>
        <w:t>I. BACKGROUND</w:t>
      </w:r>
    </w:p>
    <w:p w14:paraId="64FC0952" w14:textId="77777777" w:rsidR="002B10A6" w:rsidRDefault="00000000">
      <w:pPr>
        <w:pStyle w:val="Normal45"/>
        <w:widowControl w:val="0"/>
        <w:spacing w:before="200" w:line="260" w:lineRule="atLeast"/>
        <w:jc w:val="both"/>
      </w:pPr>
      <w:bookmarkStart w:id="8193" w:name="Bookmark_para_3_44"/>
      <w:bookmarkEnd w:id="8193"/>
      <w:r>
        <w:rPr>
          <w:rFonts w:ascii="Arial" w:eastAsia="Arial" w:hAnsi="Arial" w:cs="Arial"/>
          <w:color w:val="000000"/>
          <w:sz w:val="20"/>
        </w:rPr>
        <w:t>Mosley requests declaratory and injunctive relief to require Kohl's to make its men's restroom facilities accessible and ADA-compliant.</w:t>
      </w:r>
      <w:r>
        <w:rPr>
          <w:rFonts w:ascii="Arial" w:eastAsia="Arial" w:hAnsi="Arial" w:cs="Arial"/>
          <w:vertAlign w:val="superscript"/>
        </w:rPr>
        <w:footnoteReference w:customMarkFollows="1" w:id="439"/>
        <w:t>1</w:t>
      </w:r>
      <w:r>
        <w:rPr>
          <w:rFonts w:ascii="Arial" w:eastAsia="Arial" w:hAnsi="Arial" w:cs="Arial"/>
          <w:color w:val="000000"/>
          <w:sz w:val="20"/>
        </w:rPr>
        <w:t xml:space="preserve"> In April 2018, Mosley visited the Kohl's stores in Northville and Novi, Michigan and encountered architectural barriers to access in each of their restrooms, such as inaccessible doors; improperly spaced grab bars; and sinks, mirrors, and toilet-paper dispensers that are too high. R. 7 (Am. Compl. at 4-9, ¶ 21) (Page ID #44-49). </w:t>
      </w:r>
      <w:bookmarkStart w:id="8195" w:name="Bookmark_I5XGKM042D6N4K0020000400"/>
      <w:bookmarkEnd w:id="8195"/>
      <w:r>
        <w:rPr>
          <w:rFonts w:ascii="Arial" w:eastAsia="Arial" w:hAnsi="Arial" w:cs="Arial"/>
          <w:color w:val="000000"/>
          <w:sz w:val="20"/>
        </w:rPr>
        <w:t>He then brought this lawsuit under Title III of the ADA governing public accommodations,</w:t>
      </w:r>
      <w:r>
        <w:rPr>
          <w:rFonts w:ascii="Arial" w:eastAsia="Arial" w:hAnsi="Arial" w:cs="Arial"/>
          <w:vertAlign w:val="superscript"/>
        </w:rPr>
        <w:footnoteReference w:customMarkFollows="1" w:id="440"/>
        <w:t>2</w:t>
      </w:r>
      <w:r>
        <w:rPr>
          <w:rFonts w:ascii="Arial" w:eastAsia="Arial" w:hAnsi="Arial" w:cs="Arial"/>
          <w:color w:val="000000"/>
          <w:sz w:val="20"/>
        </w:rPr>
        <w:t xml:space="preserve"> claiming that Kohl's denied him "full and equal access and enjoyment of the services, goods and amenities due to barriers present at each Facility and a failure . . . to make [**3]  reasonable accommodations." R. 7 (Am. Compl. at 3, ¶ 11) (Page ID #43); </w:t>
      </w:r>
      <w:r>
        <w:rPr>
          <w:rFonts w:ascii="Arial" w:eastAsia="Arial" w:hAnsi="Arial" w:cs="Arial"/>
          <w:i/>
          <w:color w:val="000000"/>
          <w:sz w:val="20"/>
        </w:rPr>
        <w:t>see also</w:t>
      </w:r>
      <w:r>
        <w:rPr>
          <w:rFonts w:ascii="Arial" w:eastAsia="Arial" w:hAnsi="Arial" w:cs="Arial"/>
          <w:color w:val="000000"/>
          <w:sz w:val="20"/>
        </w:rPr>
        <w:t xml:space="preserve"> 42 U.S.C. §§ 12182(a); 12182(b)(2)(A); 12183(a). According to the district court, Mosley has filed similar lawsuits throughout the country. </w:t>
      </w:r>
      <w:bookmarkStart w:id="8197" w:name="Bookmark_I5XGKM042D6N4K0010000400"/>
      <w:bookmarkEnd w:id="8197"/>
      <w:r>
        <w:rPr>
          <w:rFonts w:ascii="Arial" w:eastAsia="Arial" w:hAnsi="Arial" w:cs="Arial"/>
          <w:i/>
          <w:color w:val="000000"/>
          <w:sz w:val="20"/>
        </w:rPr>
        <w:t>Mosley v. Kohl's Dep't Stores, Inc.</w:t>
      </w:r>
      <w:r>
        <w:rPr>
          <w:rFonts w:ascii="Arial" w:eastAsia="Arial" w:hAnsi="Arial" w:cs="Arial"/>
          <w:color w:val="000000"/>
          <w:sz w:val="20"/>
        </w:rPr>
        <w:t>, No. 18-11642, 2019 U.S. Dist. LEXIS 611, 2019 WL 95448, at *1 (E.D. Mich. 2019).</w:t>
      </w:r>
    </w:p>
    <w:p w14:paraId="33FE718C" w14:textId="77777777" w:rsidR="002B10A6" w:rsidRDefault="00000000">
      <w:pPr>
        <w:pStyle w:val="Normal45"/>
        <w:widowControl w:val="0"/>
        <w:spacing w:before="200" w:line="260" w:lineRule="atLeast"/>
        <w:jc w:val="both"/>
      </w:pPr>
      <w:bookmarkStart w:id="8198" w:name="Bookmark_para_4_44"/>
      <w:bookmarkEnd w:id="8198"/>
      <w:r>
        <w:rPr>
          <w:rFonts w:ascii="Arial" w:eastAsia="Arial" w:hAnsi="Arial" w:cs="Arial"/>
          <w:color w:val="000000"/>
          <w:sz w:val="20"/>
        </w:rPr>
        <w:t xml:space="preserve">A resident of Arizona, Mosley "has family and friends that reside in the Detroit area whom he tries to visit at least annually in the summers." R. 7 (Am. Compl. at 3, ¶ 9) (Page ID #43). At the time of filing his amended complaint, Mosley, a career musician, had scheduled upcoming visits to "Flint, Detroit, and other areas in southeast Michigan" in September and October 2018 to perform and attend shows at Chene Park, the "BooPac Tour," and the  [*756]  "Grind it Out Tour," among others. R. 7 (Am. Compl. at 2-3, ¶¶ 8, 12) (Page ID #42-43). He was also planning to visit his family in Detroit on November 11, 2018. R. 7 (Am. Compl. at 3, ¶ 13) (Page ID #43). He stated that he would return to the two stores if they were modified to be ADA-compliant. </w:t>
      </w:r>
      <w:r>
        <w:rPr>
          <w:rFonts w:ascii="Arial" w:eastAsia="Arial" w:hAnsi="Arial" w:cs="Arial"/>
          <w:i/>
          <w:color w:val="000000"/>
          <w:sz w:val="20"/>
        </w:rPr>
        <w:t>Id.</w:t>
      </w:r>
    </w:p>
    <w:p w14:paraId="4356CAC5" w14:textId="77777777" w:rsidR="002B10A6" w:rsidRDefault="00000000">
      <w:pPr>
        <w:pStyle w:val="Normal45"/>
        <w:widowControl w:val="0"/>
        <w:spacing w:before="200" w:line="260" w:lineRule="atLeast"/>
        <w:jc w:val="both"/>
      </w:pPr>
      <w:bookmarkStart w:id="8199" w:name="Bookmark_para_5_44"/>
      <w:bookmarkEnd w:id="8199"/>
      <w:r>
        <w:rPr>
          <w:rFonts w:ascii="Arial" w:eastAsia="Arial" w:hAnsi="Arial" w:cs="Arial"/>
          <w:color w:val="000000"/>
          <w:sz w:val="20"/>
        </w:rPr>
        <w:t xml:space="preserve">Kohl's filed a motion to dismiss for lack of subject matter jurisdiction, arguing that Mosley lacks standing because he cannot demonstrate a plausible intent to return to the Northville and Novi stores or to use their restrooms. </w:t>
      </w:r>
      <w:bookmarkStart w:id="8200" w:name="Bookmark_I5XGKM042D6N4K0040000400"/>
      <w:bookmarkEnd w:id="8200"/>
      <w:r>
        <w:rPr>
          <w:rFonts w:ascii="Arial" w:eastAsia="Arial" w:hAnsi="Arial" w:cs="Arial"/>
          <w:color w:val="000000"/>
          <w:sz w:val="20"/>
        </w:rPr>
        <w:t xml:space="preserve">R. 11 (Mot. to Dismiss) [**4]  (Page ID #74). The district court dismissed the suit for lack of standing, finding that Mosley failed to demonstrate a real and immediate threat of future injury because he lives far away, has visited the Northville and Novi stores only once, and did not provide "a definitive plan to return" to the stores. </w:t>
      </w:r>
      <w:bookmarkStart w:id="8201" w:name="Bookmark_I5XGKM042D6N4K0030000400"/>
      <w:bookmarkEnd w:id="8201"/>
      <w:r>
        <w:rPr>
          <w:rFonts w:ascii="Arial" w:eastAsia="Arial" w:hAnsi="Arial" w:cs="Arial"/>
          <w:i/>
          <w:color w:val="000000"/>
          <w:sz w:val="20"/>
        </w:rPr>
        <w:t>Mosley</w:t>
      </w:r>
      <w:r>
        <w:rPr>
          <w:rFonts w:ascii="Arial" w:eastAsia="Arial" w:hAnsi="Arial" w:cs="Arial"/>
          <w:color w:val="000000"/>
          <w:sz w:val="20"/>
        </w:rPr>
        <w:t>, 2019 U.S. Dist. LEXIS 611, 2019 WL 95448, at *3.</w:t>
      </w:r>
    </w:p>
    <w:p w14:paraId="73ADC945" w14:textId="77777777" w:rsidR="002B10A6" w:rsidRDefault="00000000">
      <w:pPr>
        <w:pStyle w:val="Normal45"/>
        <w:widowControl w:val="0"/>
        <w:spacing w:before="200" w:line="260" w:lineRule="atLeast"/>
        <w:jc w:val="both"/>
      </w:pPr>
      <w:bookmarkStart w:id="8202" w:name="Bookmark_para_6_44"/>
      <w:bookmarkEnd w:id="8202"/>
      <w:r>
        <w:rPr>
          <w:rFonts w:ascii="Arial" w:eastAsia="Arial" w:hAnsi="Arial" w:cs="Arial"/>
          <w:color w:val="000000"/>
          <w:sz w:val="20"/>
        </w:rPr>
        <w:t>Mosley filed a timely appeal. We have jurisdiction to review the final judgment of the district court pursuant to 28 U.S.C. § 1291.</w:t>
      </w:r>
    </w:p>
    <w:p w14:paraId="6D0F56DF" w14:textId="77777777" w:rsidR="002B10A6" w:rsidRDefault="00000000">
      <w:pPr>
        <w:pStyle w:val="Normal45"/>
        <w:widowControl w:val="0"/>
        <w:spacing w:before="240" w:line="260" w:lineRule="atLeast"/>
      </w:pPr>
      <w:r>
        <w:br/>
      </w:r>
      <w:r>
        <w:rPr>
          <w:rFonts w:ascii="Arial" w:eastAsia="Arial" w:hAnsi="Arial" w:cs="Arial"/>
          <w:b/>
          <w:color w:val="000000"/>
          <w:sz w:val="20"/>
        </w:rPr>
        <w:t>II. DISCUSSION</w:t>
      </w:r>
    </w:p>
    <w:p w14:paraId="00849E21" w14:textId="77777777" w:rsidR="002B10A6" w:rsidRDefault="00000000">
      <w:pPr>
        <w:pStyle w:val="Normal45"/>
        <w:widowControl w:val="0"/>
        <w:spacing w:before="200" w:line="260" w:lineRule="atLeast"/>
        <w:jc w:val="both"/>
      </w:pPr>
      <w:bookmarkStart w:id="8203" w:name="Bookmark_para_7_43"/>
      <w:bookmarkStart w:id="8204" w:name="Bookmark_I5XGKM0528T4G30010000400"/>
      <w:bookmarkStart w:id="8205" w:name="Bookmark_I5XGKM0528T4G30030000400"/>
      <w:bookmarkEnd w:id="8203"/>
      <w:bookmarkEnd w:id="8204"/>
      <w:bookmarkEnd w:id="8205"/>
      <w:r>
        <w:rPr>
          <w:rFonts w:ascii="Arial" w:eastAsia="Arial" w:hAnsi="Arial" w:cs="Arial"/>
          <w:color w:val="000000"/>
          <w:sz w:val="20"/>
        </w:rPr>
        <w:t xml:space="preserve">Mosley appeals the district court's dismissal of his Title III suit for lack of standing. </w:t>
      </w:r>
      <w:bookmarkStart w:id="8206" w:name="Bookmark_I5XGKM0528T4G30050000400"/>
      <w:bookmarkStart w:id="8207" w:name="Bookmark_LNHNREFclscc1_35"/>
      <w:bookmarkEnd w:id="8206"/>
      <w:bookmarkEnd w:id="8207"/>
      <w:r>
        <w:rPr>
          <w:rFonts w:ascii="Arial" w:eastAsia="Arial" w:hAnsi="Arial" w:cs="Arial"/>
          <w:color w:val="000000"/>
          <w:sz w:val="20"/>
        </w:rPr>
        <w:t xml:space="preserve">We review the district court's dismissal for lack of standing de novo. </w:t>
      </w:r>
      <w:r>
        <w:rPr>
          <w:rFonts w:ascii="Arial" w:eastAsia="Arial" w:hAnsi="Arial" w:cs="Arial"/>
          <w:i/>
          <w:color w:val="000000"/>
          <w:sz w:val="20"/>
        </w:rPr>
        <w:t xml:space="preserve">See </w:t>
      </w:r>
      <w:bookmarkStart w:id="8208" w:name="Bookmark_I5XGKM042D6N4K0050000400"/>
      <w:bookmarkEnd w:id="8208"/>
      <w:r>
        <w:rPr>
          <w:rFonts w:ascii="Arial" w:eastAsia="Arial" w:hAnsi="Arial" w:cs="Arial"/>
          <w:i/>
          <w:color w:val="000000"/>
          <w:sz w:val="20"/>
        </w:rPr>
        <w:t>Gaylor v. Hamilton Crossing CMBS</w:t>
      </w:r>
      <w:r>
        <w:rPr>
          <w:rFonts w:ascii="Arial" w:eastAsia="Arial" w:hAnsi="Arial" w:cs="Arial"/>
          <w:color w:val="000000"/>
          <w:sz w:val="20"/>
        </w:rPr>
        <w:t xml:space="preserve">, 582 F. App'x 576, 579 (6th Cir. 2014). Where there is a facial attack on the pleadings for lack of standing, as there is here, "we must accept the allegations set forth in the complaint as true, drawing all inferences in favor of the plaintiff." </w:t>
      </w:r>
      <w:r>
        <w:rPr>
          <w:rFonts w:ascii="Arial" w:eastAsia="Arial" w:hAnsi="Arial" w:cs="Arial"/>
          <w:i/>
          <w:color w:val="000000"/>
          <w:sz w:val="20"/>
        </w:rPr>
        <w:t>See id.</w:t>
      </w:r>
      <w:r>
        <w:rPr>
          <w:rFonts w:ascii="Arial" w:eastAsia="Arial" w:hAnsi="Arial" w:cs="Arial"/>
          <w:color w:val="000000"/>
          <w:sz w:val="20"/>
        </w:rPr>
        <w:t xml:space="preserve">; </w:t>
      </w:r>
      <w:bookmarkStart w:id="8209" w:name="Bookmark_I5XGKM0528T4G30020000400"/>
      <w:bookmarkEnd w:id="8209"/>
      <w:r>
        <w:rPr>
          <w:rFonts w:ascii="Arial" w:eastAsia="Arial" w:hAnsi="Arial" w:cs="Arial"/>
          <w:i/>
          <w:color w:val="000000"/>
          <w:sz w:val="20"/>
        </w:rPr>
        <w:t>Gentek Bldg. Prods., Inc. v. Sherwin-Williams Co.</w:t>
      </w:r>
      <w:r>
        <w:rPr>
          <w:rFonts w:ascii="Arial" w:eastAsia="Arial" w:hAnsi="Arial" w:cs="Arial"/>
          <w:color w:val="000000"/>
          <w:sz w:val="20"/>
        </w:rPr>
        <w:t xml:space="preserve">, 491 F.3d 320, 330 (6th Cir. 2007) ("When reviewing a facial attack, a district court takes the allegations in the complaint as true."). </w:t>
      </w:r>
      <w:bookmarkStart w:id="8210" w:name="Bookmark_I5XGKM0528T4G30050000400_2"/>
      <w:bookmarkEnd w:id="8210"/>
      <w:r>
        <w:rPr>
          <w:rFonts w:ascii="Arial" w:eastAsia="Arial" w:hAnsi="Arial" w:cs="Arial"/>
          <w:color w:val="000000"/>
          <w:sz w:val="20"/>
        </w:rPr>
        <w:t xml:space="preserve">Additionally, "'general factual allegations of injury resulting from the defendant's conduct may suffice' because in considering a motion to dismiss, 'we presume that general allegations embrace those specific facts that are necessary to support the claim.'" </w:t>
      </w:r>
      <w:bookmarkStart w:id="8211" w:name="Bookmark_I5XGKM0528T4G30040000400"/>
      <w:bookmarkEnd w:id="8211"/>
      <w:r>
        <w:rPr>
          <w:rFonts w:ascii="Arial" w:eastAsia="Arial" w:hAnsi="Arial" w:cs="Arial"/>
          <w:i/>
          <w:color w:val="000000"/>
          <w:sz w:val="20"/>
        </w:rPr>
        <w:t>Gaylor</w:t>
      </w:r>
      <w:r>
        <w:rPr>
          <w:rFonts w:ascii="Arial" w:eastAsia="Arial" w:hAnsi="Arial" w:cs="Arial"/>
          <w:color w:val="000000"/>
          <w:sz w:val="20"/>
        </w:rPr>
        <w:t xml:space="preserve">, 582 F. App'x at 579 (quoting </w:t>
      </w:r>
      <w:bookmarkStart w:id="8212" w:name="Bookmark_I5XGKM052SF8J80010000400"/>
      <w:bookmarkEnd w:id="8212"/>
      <w:r>
        <w:rPr>
          <w:rFonts w:ascii="Arial" w:eastAsia="Arial" w:hAnsi="Arial" w:cs="Arial"/>
          <w:i/>
          <w:color w:val="000000"/>
          <w:sz w:val="20"/>
        </w:rPr>
        <w:t>Lujan v. Defenders of Wildlife</w:t>
      </w:r>
      <w:r>
        <w:rPr>
          <w:rFonts w:ascii="Arial" w:eastAsia="Arial" w:hAnsi="Arial" w:cs="Arial"/>
          <w:color w:val="000000"/>
          <w:sz w:val="20"/>
        </w:rPr>
        <w:t>, 504 U.S. 555, 561, 112 S. Ct. 2130, 119 L. Ed. 2d 351 (1992)).</w:t>
      </w:r>
    </w:p>
    <w:p w14:paraId="7AB307DD" w14:textId="77777777" w:rsidR="002B10A6" w:rsidRDefault="00000000">
      <w:pPr>
        <w:pStyle w:val="Normal45"/>
        <w:widowControl w:val="0"/>
        <w:spacing w:before="200" w:line="260" w:lineRule="atLeast"/>
        <w:jc w:val="both"/>
      </w:pPr>
      <w:bookmarkStart w:id="8213" w:name="Bookmark_para_8_43"/>
      <w:bookmarkStart w:id="8214" w:name="Bookmark_I5XGKM052SF8J80040000400"/>
      <w:bookmarkStart w:id="8215" w:name="Bookmark_I5XGKM062D6N4S0010000400"/>
      <w:bookmarkStart w:id="8216" w:name="Bookmark_LNHNREFclscc2_35"/>
      <w:bookmarkEnd w:id="8213"/>
      <w:bookmarkEnd w:id="8214"/>
      <w:bookmarkEnd w:id="8215"/>
      <w:bookmarkEnd w:id="8216"/>
      <w:r>
        <w:rPr>
          <w:rFonts w:ascii="Arial" w:eastAsia="Arial" w:hAnsi="Arial" w:cs="Arial"/>
          <w:color w:val="000000"/>
          <w:sz w:val="20"/>
        </w:rPr>
        <w:t xml:space="preserve">To satisfy [**5]  Article III standing, the plaintiff must demonstrate that (1) he or she "suffered an 'injury in fact' that is 'concrete and particularized' and 'actual or imminent, not conjectural or hypothetical'"; (2) the injury is "'fairly traceable to the challenged action of the defendant'"; and (3) it is likely "'that the injury will be redressed by a favorable decision.'" </w:t>
      </w:r>
      <w:r>
        <w:rPr>
          <w:rFonts w:ascii="Arial" w:eastAsia="Arial" w:hAnsi="Arial" w:cs="Arial"/>
          <w:i/>
          <w:color w:val="000000"/>
          <w:sz w:val="20"/>
        </w:rPr>
        <w:t>Id.</w:t>
      </w:r>
      <w:r>
        <w:rPr>
          <w:rFonts w:ascii="Arial" w:eastAsia="Arial" w:hAnsi="Arial" w:cs="Arial"/>
          <w:color w:val="000000"/>
          <w:sz w:val="20"/>
        </w:rPr>
        <w:t xml:space="preserve"> (quoting </w:t>
      </w:r>
      <w:bookmarkStart w:id="8217" w:name="Bookmark_I5XGKM052SF8J80030000400"/>
      <w:bookmarkEnd w:id="8217"/>
      <w:r>
        <w:rPr>
          <w:rFonts w:ascii="Arial" w:eastAsia="Arial" w:hAnsi="Arial" w:cs="Arial"/>
          <w:i/>
          <w:color w:val="000000"/>
          <w:sz w:val="20"/>
        </w:rPr>
        <w:t>Lujan</w:t>
      </w:r>
      <w:r>
        <w:rPr>
          <w:rFonts w:ascii="Arial" w:eastAsia="Arial" w:hAnsi="Arial" w:cs="Arial"/>
          <w:color w:val="000000"/>
          <w:sz w:val="20"/>
        </w:rPr>
        <w:t xml:space="preserve">, 504 U.S. at 560-61). </w:t>
      </w:r>
      <w:bookmarkStart w:id="8218" w:name="Bookmark_I5XGKM062N1R3Y0020000400"/>
      <w:bookmarkEnd w:id="8218"/>
      <w:r>
        <w:rPr>
          <w:rFonts w:ascii="Arial" w:eastAsia="Arial" w:hAnsi="Arial" w:cs="Arial"/>
          <w:color w:val="000000"/>
          <w:sz w:val="20"/>
        </w:rPr>
        <w:t xml:space="preserve">The injury inquiry is thus twofold where a plaintiff requests injunctive relief, as it requires plaintiff to show both "past injury and a real and immediate threat of future injury." </w:t>
      </w:r>
      <w:bookmarkStart w:id="8219" w:name="Bookmark_I5XGKM052SF8J80050000400"/>
      <w:bookmarkEnd w:id="8219"/>
      <w:r>
        <w:rPr>
          <w:rFonts w:ascii="Arial" w:eastAsia="Arial" w:hAnsi="Arial" w:cs="Arial"/>
          <w:i/>
          <w:color w:val="000000"/>
          <w:sz w:val="20"/>
        </w:rPr>
        <w:t>Houston v. Marod Supermarkets, Inc.</w:t>
      </w:r>
      <w:r>
        <w:rPr>
          <w:rFonts w:ascii="Arial" w:eastAsia="Arial" w:hAnsi="Arial" w:cs="Arial"/>
          <w:color w:val="000000"/>
          <w:sz w:val="20"/>
        </w:rPr>
        <w:t xml:space="preserve">, 733 F.3d 1323, 1329 (11th Cir. 2013); </w:t>
      </w:r>
      <w:r>
        <w:rPr>
          <w:rFonts w:ascii="Arial" w:eastAsia="Arial" w:hAnsi="Arial" w:cs="Arial"/>
          <w:i/>
          <w:color w:val="000000"/>
          <w:sz w:val="20"/>
        </w:rPr>
        <w:t xml:space="preserve">see also </w:t>
      </w:r>
      <w:bookmarkStart w:id="8220" w:name="Bookmark_I5XGKM062D6N4S0020000400"/>
      <w:bookmarkEnd w:id="8220"/>
      <w:r>
        <w:rPr>
          <w:rFonts w:ascii="Arial" w:eastAsia="Arial" w:hAnsi="Arial" w:cs="Arial"/>
          <w:i/>
          <w:color w:val="000000"/>
          <w:sz w:val="20"/>
        </w:rPr>
        <w:t>Gaylor</w:t>
      </w:r>
      <w:r>
        <w:rPr>
          <w:rFonts w:ascii="Arial" w:eastAsia="Arial" w:hAnsi="Arial" w:cs="Arial"/>
          <w:color w:val="000000"/>
          <w:sz w:val="20"/>
        </w:rPr>
        <w:t xml:space="preserve">, 582 F. App'x at 579 (citing </w:t>
      </w:r>
      <w:bookmarkStart w:id="8221" w:name="Bookmark_I5XGKM062D6N4S0040000400"/>
      <w:bookmarkEnd w:id="8221"/>
      <w:r>
        <w:rPr>
          <w:rFonts w:ascii="Arial" w:eastAsia="Arial" w:hAnsi="Arial" w:cs="Arial"/>
          <w:i/>
          <w:color w:val="000000"/>
          <w:sz w:val="20"/>
        </w:rPr>
        <w:t>City of Los Angeles v. Lyons</w:t>
      </w:r>
      <w:r>
        <w:rPr>
          <w:rFonts w:ascii="Arial" w:eastAsia="Arial" w:hAnsi="Arial" w:cs="Arial"/>
          <w:color w:val="000000"/>
          <w:sz w:val="20"/>
        </w:rPr>
        <w:t xml:space="preserve">, 461 U.S. 95, 102-03, 103 S. Ct. 1660, 75 L. Ed. 2d 675 (1983)) ("The 'threat' of a prospective injury must be real and immediate and not premised upon the existence of past injuries alone."). In this case, the district court held that Mosley lacked standing because he could not prove a real and immediate threat of future injury. </w:t>
      </w:r>
      <w:bookmarkStart w:id="8222" w:name="Bookmark_I5XGKM062N1R3Y0020000400_2"/>
      <w:bookmarkStart w:id="8223" w:name="Bookmark_I5XGKM062N1R3Y0010000400"/>
      <w:bookmarkEnd w:id="8222"/>
      <w:bookmarkEnd w:id="8223"/>
      <w:r>
        <w:rPr>
          <w:rFonts w:ascii="Arial" w:eastAsia="Arial" w:hAnsi="Arial" w:cs="Arial"/>
          <w:i/>
          <w:color w:val="000000"/>
          <w:sz w:val="20"/>
        </w:rPr>
        <w:t>Mosley</w:t>
      </w:r>
      <w:r>
        <w:rPr>
          <w:rFonts w:ascii="Arial" w:eastAsia="Arial" w:hAnsi="Arial" w:cs="Arial"/>
          <w:color w:val="000000"/>
          <w:sz w:val="20"/>
        </w:rPr>
        <w:t>, 2019 U.S. Dist. LEXIS 611, 2019 WL 95448, at *3. Whether Mosley has established injury-in-fact for prospective injunctive relief is the only issue we must decide.</w:t>
      </w:r>
      <w:r>
        <w:rPr>
          <w:rFonts w:ascii="Arial" w:eastAsia="Arial" w:hAnsi="Arial" w:cs="Arial"/>
          <w:vertAlign w:val="superscript"/>
        </w:rPr>
        <w:footnoteReference w:customMarkFollows="1" w:id="441"/>
        <w:t>3</w:t>
      </w:r>
    </w:p>
    <w:p w14:paraId="4141AC1D" w14:textId="77777777" w:rsidR="002B10A6" w:rsidRDefault="00000000">
      <w:pPr>
        <w:pStyle w:val="Normal45"/>
        <w:widowControl w:val="0"/>
        <w:spacing w:before="200" w:line="260" w:lineRule="atLeast"/>
        <w:jc w:val="both"/>
      </w:pPr>
      <w:bookmarkStart w:id="8225" w:name="Bookmark_para_9_43"/>
      <w:bookmarkEnd w:id="8225"/>
      <w:r>
        <w:rPr>
          <w:rFonts w:ascii="Arial" w:eastAsia="Arial" w:hAnsi="Arial" w:cs="Arial"/>
          <w:color w:val="000000"/>
          <w:sz w:val="20"/>
        </w:rPr>
        <w:t xml:space="preserve"> [*757]  </w:t>
      </w:r>
      <w:bookmarkStart w:id="8226" w:name="Bookmark_I5XGKM062N1R3Y0040000400"/>
      <w:bookmarkStart w:id="8227" w:name="Bookmark_I11TTCNTFB30000739200057"/>
      <w:bookmarkStart w:id="8228" w:name="Bookmark_I5XGKM062N1R400030000400"/>
      <w:bookmarkEnd w:id="8226"/>
      <w:bookmarkEnd w:id="8227"/>
      <w:bookmarkEnd w:id="8228"/>
      <w:r>
        <w:rPr>
          <w:rFonts w:ascii="Arial" w:eastAsia="Arial" w:hAnsi="Arial" w:cs="Arial"/>
          <w:color w:val="000000"/>
          <w:sz w:val="20"/>
        </w:rPr>
        <w:t>First, we determine whether Mosley alleges an injury that is concrete and particularized.</w:t>
      </w:r>
      <w:bookmarkStart w:id="8229" w:name="Bookmark_LNHNREFclscc3_34"/>
      <w:bookmarkEnd w:id="8229"/>
      <w:r>
        <w:rPr>
          <w:rFonts w:ascii="Arial" w:eastAsia="Arial" w:hAnsi="Arial" w:cs="Arial"/>
          <w:color w:val="000000"/>
          <w:sz w:val="20"/>
        </w:rPr>
        <w:t xml:space="preserve"> An injury is "particularized" if it "affect[s] the plaintiff in a personal and individual way." </w:t>
      </w:r>
      <w:bookmarkStart w:id="8230" w:name="Bookmark_I5XGKM062N1R3Y0030000400"/>
      <w:bookmarkEnd w:id="8230"/>
      <w:r>
        <w:rPr>
          <w:rFonts w:ascii="Arial" w:eastAsia="Arial" w:hAnsi="Arial" w:cs="Arial"/>
          <w:i/>
          <w:color w:val="000000"/>
          <w:sz w:val="20"/>
        </w:rPr>
        <w:t>Lujan</w:t>
      </w:r>
      <w:r>
        <w:rPr>
          <w:rFonts w:ascii="Arial" w:eastAsia="Arial" w:hAnsi="Arial" w:cs="Arial"/>
          <w:color w:val="000000"/>
          <w:sz w:val="20"/>
        </w:rPr>
        <w:t xml:space="preserve">, 504 U.S. at 560 n.1; </w:t>
      </w:r>
      <w:bookmarkStart w:id="8231" w:name="Bookmark_I5XGKM062N1R3Y0050000400"/>
      <w:bookmarkEnd w:id="8231"/>
      <w:r>
        <w:rPr>
          <w:rFonts w:ascii="Arial" w:eastAsia="Arial" w:hAnsi="Arial" w:cs="Arial"/>
          <w:i/>
          <w:color w:val="000000"/>
          <w:sz w:val="20"/>
        </w:rPr>
        <w:t>Gaylor</w:t>
      </w:r>
      <w:r>
        <w:rPr>
          <w:rFonts w:ascii="Arial" w:eastAsia="Arial" w:hAnsi="Arial" w:cs="Arial"/>
          <w:color w:val="000000"/>
          <w:sz w:val="20"/>
        </w:rPr>
        <w:t xml:space="preserve">, 582 F. App'x at 579. </w:t>
      </w:r>
      <w:bookmarkStart w:id="8232" w:name="Bookmark_I5XGKM062D6N4V0020000400"/>
      <w:bookmarkEnd w:id="8232"/>
      <w:r>
        <w:rPr>
          <w:rFonts w:ascii="Arial" w:eastAsia="Arial" w:hAnsi="Arial" w:cs="Arial"/>
          <w:color w:val="000000"/>
          <w:sz w:val="20"/>
        </w:rPr>
        <w:t xml:space="preserve">In </w:t>
      </w:r>
      <w:bookmarkStart w:id="8233" w:name="Bookmark_I5XGKM062D6N4V0020000400_2"/>
      <w:bookmarkStart w:id="8234" w:name="Bookmark_I5XGKM062N1R400030000400_2"/>
      <w:bookmarkStart w:id="8235" w:name="Bookmark_I5XGKM062N1R3Y0040000400_2"/>
      <w:bookmarkStart w:id="8236" w:name="Bookmark_I5XGKM062N1R400020000400"/>
      <w:bookmarkEnd w:id="8233"/>
      <w:bookmarkEnd w:id="8234"/>
      <w:bookmarkEnd w:id="8235"/>
      <w:bookmarkEnd w:id="8236"/>
      <w:r>
        <w:rPr>
          <w:rFonts w:ascii="Arial" w:eastAsia="Arial" w:hAnsi="Arial" w:cs="Arial"/>
          <w:i/>
          <w:color w:val="000000"/>
          <w:sz w:val="20"/>
        </w:rPr>
        <w:t>Gaylor</w:t>
      </w:r>
      <w:r>
        <w:rPr>
          <w:rFonts w:ascii="Arial" w:eastAsia="Arial" w:hAnsi="Arial" w:cs="Arial"/>
          <w:color w:val="000000"/>
          <w:sz w:val="20"/>
        </w:rPr>
        <w:t xml:space="preserve">, we found that the alleged Title [**6]  III injury was concrete and particularized where the plaintiff "alleged that he personally observed and encountered an architectural barrier to access in [the defendant's] parking lot in the form of excessive slopes, causing him to experience serious difficulty and depriving him of equal access when parking his vehicle and navigating the property." </w:t>
      </w:r>
      <w:bookmarkStart w:id="8237" w:name="Bookmark_I5XGKM062N1R400040000400"/>
      <w:bookmarkEnd w:id="8237"/>
      <w:r>
        <w:rPr>
          <w:rFonts w:ascii="Arial" w:eastAsia="Arial" w:hAnsi="Arial" w:cs="Arial"/>
          <w:color w:val="000000"/>
          <w:sz w:val="20"/>
        </w:rPr>
        <w:t xml:space="preserve">582 F. App'x at 579-80. We additionally found, based on this allegation, that it was reasonable to infer at this stage that "the barriers to accessibility Gaylor encountered would interfere with a mobility-impaired individual's full and equal enjoyment of TRU's property." </w:t>
      </w:r>
      <w:bookmarkStart w:id="8238" w:name="Bookmark_I5XGKM062D6N4V0010000400"/>
      <w:bookmarkEnd w:id="8238"/>
      <w:r>
        <w:rPr>
          <w:rFonts w:ascii="Arial" w:eastAsia="Arial" w:hAnsi="Arial" w:cs="Arial"/>
          <w:i/>
          <w:color w:val="000000"/>
          <w:sz w:val="20"/>
        </w:rPr>
        <w:t>Id.</w:t>
      </w:r>
      <w:r>
        <w:rPr>
          <w:rFonts w:ascii="Arial" w:eastAsia="Arial" w:hAnsi="Arial" w:cs="Arial"/>
          <w:color w:val="000000"/>
          <w:sz w:val="20"/>
        </w:rPr>
        <w:t xml:space="preserve"> at 580. Here, Mosley, who is required to use a wheelchair, has alleged that he "personally encountered architectural barriers" in the men's restroom at the Northville and Novi locations. R. 7 (Am. Compl. at 4-9, ¶ 21) (Page ID #44-49). He details, among other things, that the sinks, mirrors, and toilet paper dispensers were too high to be in compliance with ADA regulations. </w:t>
      </w:r>
      <w:r>
        <w:rPr>
          <w:rFonts w:ascii="Arial" w:eastAsia="Arial" w:hAnsi="Arial" w:cs="Arial"/>
          <w:i/>
          <w:color w:val="000000"/>
          <w:sz w:val="20"/>
        </w:rPr>
        <w:t>Id.</w:t>
      </w:r>
      <w:r>
        <w:rPr>
          <w:rFonts w:ascii="Arial" w:eastAsia="Arial" w:hAnsi="Arial" w:cs="Arial"/>
          <w:color w:val="000000"/>
          <w:sz w:val="20"/>
        </w:rPr>
        <w:t xml:space="preserve"> Kohl's therefore denied him "full and equal enjoyment" of the restrooms "due to the barriers and violations" at each facility. R. 7 (Am. Compl. at 9, ¶¶ 23-24) (Page ID #49). Taking his allegations as true, as we must at this [**7]  stage, we find that Mosley has sufficiently alleged a concrete and particularized past injury.</w:t>
      </w:r>
    </w:p>
    <w:p w14:paraId="0F749919" w14:textId="77777777" w:rsidR="002B10A6" w:rsidRDefault="00000000">
      <w:pPr>
        <w:pStyle w:val="Normal45"/>
        <w:widowControl w:val="0"/>
        <w:spacing w:before="200" w:line="260" w:lineRule="atLeast"/>
        <w:jc w:val="both"/>
      </w:pPr>
      <w:bookmarkStart w:id="8239" w:name="Bookmark_para_10_42"/>
      <w:bookmarkEnd w:id="8239"/>
      <w:r>
        <w:rPr>
          <w:rFonts w:ascii="Arial" w:eastAsia="Arial" w:hAnsi="Arial" w:cs="Arial"/>
          <w:color w:val="000000"/>
          <w:sz w:val="20"/>
        </w:rPr>
        <w:t>We next decide whether Mosley has sufficiently alleged a real and immediate threat of future injury. We hold that he has. Because Mosley states that he would return to the stores if the restrooms were modified, R. 7 (Am. Compl. at 3, ¶ 13) (Page ID #43), the question here is whether it is plausible that Mosley would return to the Northville and Novi Kohl's stores if not for their alleged noncompliance.</w:t>
      </w:r>
    </w:p>
    <w:p w14:paraId="07220F47" w14:textId="77777777" w:rsidR="002B10A6" w:rsidRDefault="00000000">
      <w:pPr>
        <w:pStyle w:val="Normal45"/>
        <w:widowControl w:val="0"/>
        <w:spacing w:before="200" w:line="260" w:lineRule="atLeast"/>
        <w:jc w:val="both"/>
      </w:pPr>
      <w:bookmarkStart w:id="8240" w:name="Bookmark_para_11_37"/>
      <w:bookmarkStart w:id="8241" w:name="Bookmark_I5XGKM062D6N4V0040000400"/>
      <w:bookmarkEnd w:id="8240"/>
      <w:bookmarkEnd w:id="8241"/>
      <w:r>
        <w:rPr>
          <w:rFonts w:ascii="Arial" w:eastAsia="Arial" w:hAnsi="Arial" w:cs="Arial"/>
          <w:color w:val="000000"/>
          <w:sz w:val="20"/>
        </w:rPr>
        <w:t xml:space="preserve">We addressed for the first time in </w:t>
      </w:r>
      <w:r>
        <w:rPr>
          <w:rFonts w:ascii="Arial" w:eastAsia="Arial" w:hAnsi="Arial" w:cs="Arial"/>
          <w:i/>
          <w:color w:val="000000"/>
          <w:sz w:val="20"/>
        </w:rPr>
        <w:t>Gaylor</w:t>
      </w:r>
      <w:r>
        <w:rPr>
          <w:rFonts w:ascii="Arial" w:eastAsia="Arial" w:hAnsi="Arial" w:cs="Arial"/>
          <w:color w:val="000000"/>
          <w:sz w:val="20"/>
        </w:rPr>
        <w:t xml:space="preserve"> the pleading requirements to demonstrate the requisite threat of future injury for a Title III claim for prospective injunctive relief. </w:t>
      </w:r>
      <w:bookmarkStart w:id="8242" w:name="Bookmark_I5XGKM062D6N4V0030000400"/>
      <w:bookmarkEnd w:id="8242"/>
      <w:r>
        <w:rPr>
          <w:rFonts w:ascii="Arial" w:eastAsia="Arial" w:hAnsi="Arial" w:cs="Arial"/>
          <w:color w:val="000000"/>
          <w:sz w:val="20"/>
        </w:rPr>
        <w:t xml:space="preserve">582 F. App'x at 580. </w:t>
      </w:r>
      <w:bookmarkStart w:id="8243" w:name="Bookmark_I5XGKM062HM6DW0010000400"/>
      <w:bookmarkEnd w:id="8243"/>
      <w:r>
        <w:rPr>
          <w:rFonts w:ascii="Arial" w:eastAsia="Arial" w:hAnsi="Arial" w:cs="Arial"/>
          <w:color w:val="000000"/>
          <w:sz w:val="20"/>
        </w:rPr>
        <w:t xml:space="preserve">In devising the test for plausibly pleading a Title III claim, we looked to the decisions of other circuits that had considered the issue and adopted their analysis. </w:t>
      </w:r>
      <w:r>
        <w:rPr>
          <w:rFonts w:ascii="Arial" w:eastAsia="Arial" w:hAnsi="Arial" w:cs="Arial"/>
          <w:i/>
          <w:color w:val="000000"/>
          <w:sz w:val="20"/>
        </w:rPr>
        <w:t>See id.</w:t>
      </w:r>
      <w:r>
        <w:rPr>
          <w:rFonts w:ascii="Arial" w:eastAsia="Arial" w:hAnsi="Arial" w:cs="Arial"/>
          <w:color w:val="000000"/>
          <w:sz w:val="20"/>
        </w:rPr>
        <w:t xml:space="preserve"> (collecting cases). </w:t>
      </w:r>
      <w:bookmarkStart w:id="8244" w:name="Bookmark_I5XGKM062HM6DW0010000400_2"/>
      <w:bookmarkEnd w:id="8244"/>
      <w:r>
        <w:rPr>
          <w:rFonts w:ascii="Arial" w:eastAsia="Arial" w:hAnsi="Arial" w:cs="Arial"/>
          <w:color w:val="000000"/>
          <w:sz w:val="20"/>
        </w:rPr>
        <w:t xml:space="preserve">We accordingly stated that </w:t>
      </w:r>
      <w:bookmarkStart w:id="8245" w:name="Bookmark_LNHNREFclscc4_34"/>
      <w:bookmarkEnd w:id="8245"/>
      <w:r>
        <w:rPr>
          <w:rFonts w:ascii="Arial" w:eastAsia="Arial" w:hAnsi="Arial" w:cs="Arial"/>
          <w:color w:val="000000"/>
          <w:sz w:val="20"/>
        </w:rPr>
        <w:t xml:space="preserve">a plaintiff "demonstrates the requisite threat of future injury where he establishes (1) a plausible intent to return to the noncompliant accommodation or (2) that he would return, but is deterred from visiting the noncompliant accommodation because of the alleged accessibility barriers." </w:t>
      </w:r>
      <w:r>
        <w:rPr>
          <w:rFonts w:ascii="Arial" w:eastAsia="Arial" w:hAnsi="Arial" w:cs="Arial"/>
          <w:i/>
          <w:color w:val="000000"/>
          <w:sz w:val="20"/>
        </w:rPr>
        <w:t>Id.</w:t>
      </w:r>
      <w:r>
        <w:rPr>
          <w:rFonts w:ascii="Arial" w:eastAsia="Arial" w:hAnsi="Arial" w:cs="Arial"/>
          <w:color w:val="000000"/>
          <w:sz w:val="20"/>
        </w:rPr>
        <w:t xml:space="preserve"> (citing [**8]  </w:t>
      </w:r>
      <w:bookmarkStart w:id="8246" w:name="Bookmark_I5XGKM062D6N4V0050000400"/>
      <w:bookmarkEnd w:id="8246"/>
      <w:r>
        <w:rPr>
          <w:rFonts w:ascii="Arial" w:eastAsia="Arial" w:hAnsi="Arial" w:cs="Arial"/>
          <w:i/>
          <w:color w:val="000000"/>
          <w:sz w:val="20"/>
        </w:rPr>
        <w:t>Kreisler v. Second Ave. Diner Corp.</w:t>
      </w:r>
      <w:r>
        <w:rPr>
          <w:rFonts w:ascii="Arial" w:eastAsia="Arial" w:hAnsi="Arial" w:cs="Arial"/>
          <w:color w:val="000000"/>
          <w:sz w:val="20"/>
        </w:rPr>
        <w:t xml:space="preserve">, 731 F.3d 184, 188 (2d Cir. 2013); </w:t>
      </w:r>
      <w:bookmarkStart w:id="8247" w:name="Bookmark_I5XGKM062HM6DW0020000400"/>
      <w:bookmarkEnd w:id="8247"/>
      <w:r>
        <w:rPr>
          <w:rFonts w:ascii="Arial" w:eastAsia="Arial" w:hAnsi="Arial" w:cs="Arial"/>
          <w:i/>
          <w:color w:val="000000"/>
          <w:sz w:val="20"/>
        </w:rPr>
        <w:t>Scherr v. Marriott Int'l, Inc.</w:t>
      </w:r>
      <w:r>
        <w:rPr>
          <w:rFonts w:ascii="Arial" w:eastAsia="Arial" w:hAnsi="Arial" w:cs="Arial"/>
          <w:color w:val="000000"/>
          <w:sz w:val="20"/>
        </w:rPr>
        <w:t xml:space="preserve">, 703 F.3d 1069, 1074 (7th Cir. 2013); </w:t>
      </w:r>
      <w:bookmarkStart w:id="8248" w:name="Bookmark_I5XGKM062HM6DW0040000400"/>
      <w:bookmarkEnd w:id="8248"/>
      <w:r>
        <w:rPr>
          <w:rFonts w:ascii="Arial" w:eastAsia="Arial" w:hAnsi="Arial" w:cs="Arial"/>
          <w:i/>
          <w:color w:val="000000"/>
          <w:sz w:val="20"/>
        </w:rPr>
        <w:t>Daniels v. Arcade, L.P.</w:t>
      </w:r>
      <w:r>
        <w:rPr>
          <w:rFonts w:ascii="Arial" w:eastAsia="Arial" w:hAnsi="Arial" w:cs="Arial"/>
          <w:color w:val="000000"/>
          <w:sz w:val="20"/>
        </w:rPr>
        <w:t xml:space="preserve">, 477 F. App'x 125, 130 (4th Cir. 2012); </w:t>
      </w:r>
      <w:bookmarkStart w:id="8249" w:name="Bookmark_I5XGKM082SF8JG0010000400"/>
      <w:bookmarkEnd w:id="8249"/>
      <w:r>
        <w:rPr>
          <w:rFonts w:ascii="Arial" w:eastAsia="Arial" w:hAnsi="Arial" w:cs="Arial"/>
          <w:i/>
          <w:color w:val="000000"/>
          <w:sz w:val="20"/>
        </w:rPr>
        <w:t>Camarillo v. Carrols Corp.</w:t>
      </w:r>
      <w:r>
        <w:rPr>
          <w:rFonts w:ascii="Arial" w:eastAsia="Arial" w:hAnsi="Arial" w:cs="Arial"/>
          <w:color w:val="000000"/>
          <w:sz w:val="20"/>
        </w:rPr>
        <w:t xml:space="preserve">, 518 F.3d 153, 157-58 (2d Cir. 2008); </w:t>
      </w:r>
      <w:bookmarkStart w:id="8250" w:name="Bookmark_I5XGKM082SF8JG0030000400"/>
      <w:bookmarkEnd w:id="8250"/>
      <w:r>
        <w:rPr>
          <w:rFonts w:ascii="Arial" w:eastAsia="Arial" w:hAnsi="Arial" w:cs="Arial"/>
          <w:i/>
          <w:color w:val="000000"/>
          <w:sz w:val="20"/>
        </w:rPr>
        <w:t>D'Lil v. Best Western Encina Lodge &amp; Suites</w:t>
      </w:r>
      <w:r>
        <w:rPr>
          <w:rFonts w:ascii="Arial" w:eastAsia="Arial" w:hAnsi="Arial" w:cs="Arial"/>
          <w:color w:val="000000"/>
          <w:sz w:val="20"/>
        </w:rPr>
        <w:t xml:space="preserve">, 538 F.3d 1031, 1037 (9th Cir. 2008); </w:t>
      </w:r>
      <w:bookmarkStart w:id="8251" w:name="Bookmark_I5XGKM082SF8JG0050000400"/>
      <w:bookmarkEnd w:id="8251"/>
      <w:r>
        <w:rPr>
          <w:rFonts w:ascii="Arial" w:eastAsia="Arial" w:hAnsi="Arial" w:cs="Arial"/>
          <w:i/>
          <w:color w:val="000000"/>
          <w:sz w:val="20"/>
        </w:rPr>
        <w:t>Tandy v. City of Wichita</w:t>
      </w:r>
      <w:r>
        <w:rPr>
          <w:rFonts w:ascii="Arial" w:eastAsia="Arial" w:hAnsi="Arial" w:cs="Arial"/>
          <w:color w:val="000000"/>
          <w:sz w:val="20"/>
        </w:rPr>
        <w:t xml:space="preserve">, 380 F.3d 1277, 1284 (10th Cir. 2004); </w:t>
      </w:r>
      <w:bookmarkStart w:id="8252" w:name="Bookmark_I5XGKM082SF8JJ0020000400"/>
      <w:bookmarkEnd w:id="8252"/>
      <w:r>
        <w:rPr>
          <w:rFonts w:ascii="Arial" w:eastAsia="Arial" w:hAnsi="Arial" w:cs="Arial"/>
          <w:i/>
          <w:color w:val="000000"/>
          <w:sz w:val="20"/>
        </w:rPr>
        <w:t>Steger v. Franco, Inc.</w:t>
      </w:r>
      <w:r>
        <w:rPr>
          <w:rFonts w:ascii="Arial" w:eastAsia="Arial" w:hAnsi="Arial" w:cs="Arial"/>
          <w:color w:val="000000"/>
          <w:sz w:val="20"/>
        </w:rPr>
        <w:t>, 228 F.3d 889, 892 (8th Cir. 2000)). Applying this test, we found that Gaylor, a resident of Georgia, sufficiently alleged a plausible intent to return to the defendant's shopping center and the TRU store in Chattanooga, Tennessee in light of:</w:t>
      </w:r>
    </w:p>
    <w:p w14:paraId="40B0DD4D" w14:textId="77777777" w:rsidR="002B10A6" w:rsidRDefault="00000000">
      <w:pPr>
        <w:pStyle w:val="Normal45"/>
        <w:widowControl w:val="0"/>
        <w:spacing w:line="260" w:lineRule="atLeast"/>
        <w:ind w:left="400"/>
        <w:jc w:val="both"/>
      </w:pPr>
      <w:bookmarkStart w:id="8253" w:name="Bookmark_para_12_36"/>
      <w:bookmarkEnd w:id="8253"/>
      <w:r>
        <w:rPr>
          <w:rFonts w:ascii="Arial" w:eastAsia="Arial" w:hAnsi="Arial" w:cs="Arial"/>
          <w:color w:val="000000"/>
          <w:sz w:val="20"/>
        </w:rPr>
        <w:t>(1) his alleged history of visiting the Chattanooga, Tennessee area;</w:t>
      </w:r>
    </w:p>
    <w:p w14:paraId="5C26A9E3" w14:textId="77777777" w:rsidR="002B10A6" w:rsidRDefault="00000000">
      <w:pPr>
        <w:pStyle w:val="Normal45"/>
        <w:widowControl w:val="0"/>
        <w:spacing w:line="260" w:lineRule="atLeast"/>
        <w:ind w:left="400"/>
        <w:jc w:val="both"/>
      </w:pPr>
      <w:bookmarkStart w:id="8254" w:name="Bookmark_para_13_36"/>
      <w:bookmarkEnd w:id="8254"/>
      <w:r>
        <w:rPr>
          <w:rFonts w:ascii="Arial" w:eastAsia="Arial" w:hAnsi="Arial" w:cs="Arial"/>
          <w:color w:val="000000"/>
          <w:sz w:val="20"/>
        </w:rPr>
        <w:t>(2) his allegations that he has visited and attempted to patronize TRU's store 'numerous times,' . . . ;</w:t>
      </w:r>
    </w:p>
    <w:p w14:paraId="52505E47" w14:textId="77777777" w:rsidR="002B10A6" w:rsidRDefault="00000000">
      <w:pPr>
        <w:pStyle w:val="Normal45"/>
        <w:widowControl w:val="0"/>
        <w:spacing w:line="260" w:lineRule="atLeast"/>
        <w:ind w:left="400"/>
        <w:jc w:val="both"/>
      </w:pPr>
      <w:bookmarkStart w:id="8255" w:name="Bookmark_para_14_36"/>
      <w:bookmarkEnd w:id="8255"/>
      <w:r>
        <w:rPr>
          <w:rFonts w:ascii="Arial" w:eastAsia="Arial" w:hAnsi="Arial" w:cs="Arial"/>
          <w:color w:val="000000"/>
          <w:sz w:val="20"/>
        </w:rPr>
        <w:t>(3) his allegations of past injury in TRU's parking lot;</w:t>
      </w:r>
    </w:p>
    <w:p w14:paraId="703DAA73" w14:textId="77777777" w:rsidR="002B10A6" w:rsidRDefault="00000000">
      <w:pPr>
        <w:pStyle w:val="Normal45"/>
        <w:widowControl w:val="0"/>
        <w:spacing w:before="200" w:line="260" w:lineRule="atLeast"/>
        <w:ind w:left="400"/>
        <w:jc w:val="both"/>
      </w:pPr>
      <w:bookmarkStart w:id="8256" w:name="Bookmark_para_15_36"/>
      <w:bookmarkEnd w:id="8256"/>
      <w:r>
        <w:rPr>
          <w:rFonts w:ascii="Arial" w:eastAsia="Arial" w:hAnsi="Arial" w:cs="Arial"/>
          <w:color w:val="000000"/>
          <w:sz w:val="20"/>
        </w:rPr>
        <w:t xml:space="preserve"> [*758]  </w:t>
      </w:r>
      <w:bookmarkStart w:id="8257" w:name="Bookmark_I5XGKM082SF8JJ0050000400"/>
      <w:bookmarkEnd w:id="8257"/>
      <w:r>
        <w:rPr>
          <w:rFonts w:ascii="Arial" w:eastAsia="Arial" w:hAnsi="Arial" w:cs="Arial"/>
          <w:color w:val="000000"/>
          <w:sz w:val="20"/>
        </w:rPr>
        <w:t>(4) his allegations setting forth reasons why he makes regular trips to Chattanooga, Tennessee, and why he particularly enjoys visiting the shopping center in which TRU is located; and</w:t>
      </w:r>
    </w:p>
    <w:p w14:paraId="08C0E3C2" w14:textId="77777777" w:rsidR="002B10A6" w:rsidRDefault="00000000">
      <w:pPr>
        <w:pStyle w:val="Normal45"/>
        <w:widowControl w:val="0"/>
        <w:spacing w:line="260" w:lineRule="atLeast"/>
        <w:ind w:left="400"/>
        <w:jc w:val="both"/>
      </w:pPr>
      <w:bookmarkStart w:id="8258" w:name="Bookmark_para_16_33"/>
      <w:bookmarkStart w:id="8259" w:name="Bookmark_I5XGKM082SF8JJ0050000400_2"/>
      <w:bookmarkEnd w:id="8258"/>
      <w:bookmarkEnd w:id="8259"/>
      <w:r>
        <w:rPr>
          <w:rFonts w:ascii="Arial" w:eastAsia="Arial" w:hAnsi="Arial" w:cs="Arial"/>
          <w:color w:val="000000"/>
          <w:sz w:val="20"/>
        </w:rPr>
        <w:t>(5) his alleged plan to return to the property at the end of the month in connection with a trip to visit his sister-in-law.</w:t>
      </w:r>
    </w:p>
    <w:p w14:paraId="6AEE4531" w14:textId="77777777" w:rsidR="002B10A6" w:rsidRDefault="00000000">
      <w:pPr>
        <w:pStyle w:val="Normal45"/>
        <w:widowControl w:val="0"/>
        <w:spacing w:before="200" w:line="260" w:lineRule="atLeast"/>
        <w:jc w:val="both"/>
      </w:pPr>
      <w:bookmarkStart w:id="8260" w:name="Bookmark_I5XGKM082SF8JJ0050000400_3"/>
      <w:bookmarkStart w:id="8261" w:name="Bookmark_I5XGKM0928T4GJ0020000400"/>
      <w:bookmarkStart w:id="8262" w:name="Bookmark_I5XGKM082SF8JJ0040000400"/>
      <w:bookmarkEnd w:id="8260"/>
      <w:bookmarkEnd w:id="8261"/>
      <w:bookmarkEnd w:id="8262"/>
      <w:r>
        <w:rPr>
          <w:rFonts w:ascii="Arial" w:eastAsia="Arial" w:hAnsi="Arial" w:cs="Arial"/>
          <w:i/>
          <w:color w:val="000000"/>
          <w:sz w:val="20"/>
        </w:rPr>
        <w:t>Gaylor</w:t>
      </w:r>
      <w:r>
        <w:rPr>
          <w:rFonts w:ascii="Arial" w:eastAsia="Arial" w:hAnsi="Arial" w:cs="Arial"/>
          <w:color w:val="000000"/>
          <w:sz w:val="20"/>
        </w:rPr>
        <w:t xml:space="preserve">, 582 F. App'x at 580-81. </w:t>
      </w:r>
      <w:bookmarkStart w:id="8263" w:name="Bookmark_I5XGKM0928T4GJ0020000400_2"/>
      <w:bookmarkEnd w:id="8263"/>
      <w:r>
        <w:rPr>
          <w:rFonts w:ascii="Arial" w:eastAsia="Arial" w:hAnsi="Arial" w:cs="Arial"/>
          <w:color w:val="000000"/>
          <w:sz w:val="20"/>
        </w:rPr>
        <w:t xml:space="preserve">Accepting Gaylor's allegations as true for purposes of pleading, we found that he sufficiently alleged a real and immediate threat of future injury. </w:t>
      </w:r>
      <w:bookmarkStart w:id="8264" w:name="Bookmark_I5XGKM0928T4GJ0010000400"/>
      <w:bookmarkEnd w:id="8264"/>
      <w:r>
        <w:rPr>
          <w:rFonts w:ascii="Arial" w:eastAsia="Arial" w:hAnsi="Arial" w:cs="Arial"/>
          <w:i/>
          <w:color w:val="000000"/>
          <w:sz w:val="20"/>
        </w:rPr>
        <w:t>Id.</w:t>
      </w:r>
      <w:r>
        <w:rPr>
          <w:rFonts w:ascii="Arial" w:eastAsia="Arial" w:hAnsi="Arial" w:cs="Arial"/>
          <w:color w:val="000000"/>
          <w:sz w:val="20"/>
        </w:rPr>
        <w:t xml:space="preserve"> at 581.</w:t>
      </w:r>
    </w:p>
    <w:p w14:paraId="51E16016" w14:textId="77777777" w:rsidR="002B10A6" w:rsidRDefault="00000000">
      <w:pPr>
        <w:pStyle w:val="Normal45"/>
        <w:widowControl w:val="0"/>
        <w:spacing w:before="200" w:line="260" w:lineRule="atLeast"/>
        <w:jc w:val="both"/>
      </w:pPr>
      <w:bookmarkStart w:id="8265" w:name="Bookmark_para_17_33"/>
      <w:bookmarkStart w:id="8266" w:name="Bookmark_I5XGKM0928T4GJ0040000400"/>
      <w:bookmarkStart w:id="8267" w:name="Bookmark_I5XGKM092SF8JM0010000400"/>
      <w:bookmarkEnd w:id="8265"/>
      <w:bookmarkEnd w:id="8266"/>
      <w:bookmarkEnd w:id="8267"/>
      <w:r>
        <w:rPr>
          <w:rFonts w:ascii="Arial" w:eastAsia="Arial" w:hAnsi="Arial" w:cs="Arial"/>
          <w:color w:val="000000"/>
          <w:sz w:val="20"/>
        </w:rPr>
        <w:t xml:space="preserve">In this case, the district court found that Mosley lacked standing because, unlike Gaylor, "Mosley has not shown that he (1) frequently visits Northville or Novi, (2) has visited these store locations numerous times, (3) has reasons for making regular trips to Kohls' [sic] Novi or Northville [**9]  locations, or (4) has a credible plan to return to either property." </w:t>
      </w:r>
      <w:bookmarkStart w:id="8268" w:name="Bookmark_I5XGKM0928T4GJ0030000400"/>
      <w:bookmarkEnd w:id="8268"/>
      <w:r>
        <w:rPr>
          <w:rFonts w:ascii="Arial" w:eastAsia="Arial" w:hAnsi="Arial" w:cs="Arial"/>
          <w:i/>
          <w:color w:val="000000"/>
          <w:sz w:val="20"/>
        </w:rPr>
        <w:t>Mosley</w:t>
      </w:r>
      <w:r>
        <w:rPr>
          <w:rFonts w:ascii="Arial" w:eastAsia="Arial" w:hAnsi="Arial" w:cs="Arial"/>
          <w:color w:val="000000"/>
          <w:sz w:val="20"/>
        </w:rPr>
        <w:t xml:space="preserve">, 2019 U.S. Dist. LEXIS 611, 2019 WL 95448, at *3. </w:t>
      </w:r>
      <w:bookmarkStart w:id="8269" w:name="Bookmark_I5XGKM092SF8JM0030000400"/>
      <w:bookmarkEnd w:id="8269"/>
      <w:r>
        <w:rPr>
          <w:rFonts w:ascii="Arial" w:eastAsia="Arial" w:hAnsi="Arial" w:cs="Arial"/>
          <w:color w:val="000000"/>
          <w:sz w:val="20"/>
        </w:rPr>
        <w:t xml:space="preserve">In the first place, the district court held Mosley to a higher burden of proof than is required at the pleadings stage by demanding a "credible," rather than a "plausible," plan to return to the stores. </w:t>
      </w:r>
      <w:r>
        <w:rPr>
          <w:rFonts w:ascii="Arial" w:eastAsia="Arial" w:hAnsi="Arial" w:cs="Arial"/>
          <w:i/>
          <w:color w:val="000000"/>
          <w:sz w:val="20"/>
        </w:rPr>
        <w:t xml:space="preserve">See </w:t>
      </w:r>
      <w:bookmarkStart w:id="8270" w:name="Bookmark_I5XGKM0928T4GJ0050000400"/>
      <w:bookmarkEnd w:id="8270"/>
      <w:r>
        <w:rPr>
          <w:rFonts w:ascii="Arial" w:eastAsia="Arial" w:hAnsi="Arial" w:cs="Arial"/>
          <w:i/>
          <w:color w:val="000000"/>
          <w:sz w:val="20"/>
        </w:rPr>
        <w:t>Ashcroft v. Iqbal</w:t>
      </w:r>
      <w:r>
        <w:rPr>
          <w:rFonts w:ascii="Arial" w:eastAsia="Arial" w:hAnsi="Arial" w:cs="Arial"/>
          <w:color w:val="000000"/>
          <w:sz w:val="20"/>
        </w:rPr>
        <w:t xml:space="preserve">, 556 U.S. 662, 678, 129 S. Ct. 1937, 173 L. Ed. 2d 868 (2009). </w:t>
      </w:r>
      <w:bookmarkStart w:id="8271" w:name="Bookmark_I5XGKM092SF8JM0030000400_2"/>
      <w:bookmarkEnd w:id="8271"/>
      <w:r>
        <w:rPr>
          <w:rFonts w:ascii="Arial" w:eastAsia="Arial" w:hAnsi="Arial" w:cs="Arial"/>
          <w:color w:val="000000"/>
          <w:sz w:val="20"/>
        </w:rPr>
        <w:t xml:space="preserve">At the motion to dismiss stage, the court was required to accept all of Mosley's allegations as true and to make reasonable inferences based upon them. </w:t>
      </w:r>
      <w:bookmarkStart w:id="8272" w:name="Bookmark_I5XGKM092SF8JM0020000400"/>
      <w:bookmarkEnd w:id="8272"/>
      <w:r>
        <w:rPr>
          <w:rFonts w:ascii="Arial" w:eastAsia="Arial" w:hAnsi="Arial" w:cs="Arial"/>
          <w:i/>
          <w:color w:val="000000"/>
          <w:sz w:val="20"/>
        </w:rPr>
        <w:t>Gaylor</w:t>
      </w:r>
      <w:r>
        <w:rPr>
          <w:rFonts w:ascii="Arial" w:eastAsia="Arial" w:hAnsi="Arial" w:cs="Arial"/>
          <w:color w:val="000000"/>
          <w:sz w:val="20"/>
        </w:rPr>
        <w:t>, 582 F. App'x at 579-80. The proper question then is whether Mosley's allegations, taken as true, establish a plausible intent to return to the Northville and Novi stores.</w:t>
      </w:r>
    </w:p>
    <w:p w14:paraId="4E300C6D" w14:textId="77777777" w:rsidR="002B10A6" w:rsidRDefault="00000000">
      <w:pPr>
        <w:pStyle w:val="Normal45"/>
        <w:widowControl w:val="0"/>
        <w:spacing w:before="200" w:line="260" w:lineRule="atLeast"/>
        <w:jc w:val="both"/>
      </w:pPr>
      <w:bookmarkStart w:id="8273" w:name="Bookmark_para_18_32"/>
      <w:bookmarkStart w:id="8274" w:name="Bookmark_I5XGKM092SF8JM0050000400"/>
      <w:bookmarkEnd w:id="8273"/>
      <w:bookmarkEnd w:id="8274"/>
      <w:r>
        <w:rPr>
          <w:rFonts w:ascii="Arial" w:eastAsia="Arial" w:hAnsi="Arial" w:cs="Arial"/>
          <w:color w:val="000000"/>
          <w:sz w:val="20"/>
        </w:rPr>
        <w:t xml:space="preserve">The decisions of other circuits are again helpful in our analysis. </w:t>
      </w:r>
      <w:bookmarkStart w:id="8275" w:name="Bookmark_I5XGKM092N1R490040000400"/>
      <w:bookmarkEnd w:id="8275"/>
      <w:r>
        <w:rPr>
          <w:rFonts w:ascii="Arial" w:eastAsia="Arial" w:hAnsi="Arial" w:cs="Arial"/>
          <w:color w:val="000000"/>
          <w:sz w:val="20"/>
        </w:rPr>
        <w:t xml:space="preserve">At the outset, even assuming that Mosley is an "ADA tester," his status as such does not deprive him of standing. </w:t>
      </w:r>
      <w:r>
        <w:rPr>
          <w:rFonts w:ascii="Arial" w:eastAsia="Arial" w:hAnsi="Arial" w:cs="Arial"/>
          <w:i/>
          <w:color w:val="000000"/>
          <w:sz w:val="20"/>
        </w:rPr>
        <w:t xml:space="preserve">See </w:t>
      </w:r>
      <w:bookmarkStart w:id="8276" w:name="Bookmark_I5XGKM092SF8JM0040000400"/>
      <w:bookmarkEnd w:id="8276"/>
      <w:r>
        <w:rPr>
          <w:rFonts w:ascii="Arial" w:eastAsia="Arial" w:hAnsi="Arial" w:cs="Arial"/>
          <w:i/>
          <w:color w:val="000000"/>
          <w:sz w:val="20"/>
        </w:rPr>
        <w:t>Mosley</w:t>
      </w:r>
      <w:r>
        <w:rPr>
          <w:rFonts w:ascii="Arial" w:eastAsia="Arial" w:hAnsi="Arial" w:cs="Arial"/>
          <w:color w:val="000000"/>
          <w:sz w:val="20"/>
        </w:rPr>
        <w:t xml:space="preserve">, 2019 U.S. Dist. LEXIS 611, 2019 WL 95448, at *1; </w:t>
      </w:r>
      <w:bookmarkStart w:id="8277" w:name="Bookmark_I5XGKM092N1R490010000400"/>
      <w:bookmarkEnd w:id="8277"/>
      <w:r>
        <w:rPr>
          <w:rFonts w:ascii="Arial" w:eastAsia="Arial" w:hAnsi="Arial" w:cs="Arial"/>
          <w:i/>
          <w:color w:val="000000"/>
          <w:sz w:val="20"/>
        </w:rPr>
        <w:t>Houston</w:t>
      </w:r>
      <w:r>
        <w:rPr>
          <w:rFonts w:ascii="Arial" w:eastAsia="Arial" w:hAnsi="Arial" w:cs="Arial"/>
          <w:color w:val="000000"/>
          <w:sz w:val="20"/>
        </w:rPr>
        <w:t xml:space="preserve">, 733 F.3d at 1332. </w:t>
      </w:r>
      <w:bookmarkStart w:id="8278" w:name="Bookmark_I5XGKM092N1R490040000400_2"/>
      <w:bookmarkEnd w:id="8278"/>
      <w:r>
        <w:rPr>
          <w:rFonts w:ascii="Arial" w:eastAsia="Arial" w:hAnsi="Arial" w:cs="Arial"/>
          <w:color w:val="000000"/>
          <w:sz w:val="20"/>
        </w:rPr>
        <w:t xml:space="preserve">As the Eleventh Circuit stated in </w:t>
      </w:r>
      <w:r>
        <w:rPr>
          <w:rFonts w:ascii="Arial" w:eastAsia="Arial" w:hAnsi="Arial" w:cs="Arial"/>
          <w:i/>
          <w:color w:val="000000"/>
          <w:sz w:val="20"/>
        </w:rPr>
        <w:t>Houston</w:t>
      </w:r>
      <w:r>
        <w:rPr>
          <w:rFonts w:ascii="Arial" w:eastAsia="Arial" w:hAnsi="Arial" w:cs="Arial"/>
          <w:color w:val="000000"/>
          <w:sz w:val="20"/>
        </w:rPr>
        <w:t xml:space="preserve">, </w:t>
      </w:r>
      <w:bookmarkStart w:id="8279" w:name="Bookmark_LNHNREFclscc5_33"/>
      <w:bookmarkEnd w:id="8279"/>
      <w:r>
        <w:rPr>
          <w:rFonts w:ascii="Arial" w:eastAsia="Arial" w:hAnsi="Arial" w:cs="Arial"/>
          <w:color w:val="000000"/>
          <w:sz w:val="20"/>
        </w:rPr>
        <w:t xml:space="preserve">Title III guarantees the right to be free from "disability discrimination in the enjoyment of the facility, regardless of [the plaintiff's] motive for visiting the facility." </w:t>
      </w:r>
      <w:bookmarkStart w:id="8280" w:name="Bookmark_I5XGKM092N1R490030000400"/>
      <w:bookmarkEnd w:id="8280"/>
      <w:r>
        <w:rPr>
          <w:rFonts w:ascii="Arial" w:eastAsia="Arial" w:hAnsi="Arial" w:cs="Arial"/>
          <w:color w:val="000000"/>
          <w:sz w:val="20"/>
        </w:rPr>
        <w:t xml:space="preserve">733 F.3d at 1332. </w:t>
      </w:r>
      <w:bookmarkStart w:id="8281" w:name="Bookmark_I5XGKM092HM6F50010000400"/>
      <w:bookmarkEnd w:id="8281"/>
      <w:r>
        <w:rPr>
          <w:rFonts w:ascii="Arial" w:eastAsia="Arial" w:hAnsi="Arial" w:cs="Arial"/>
          <w:color w:val="000000"/>
          <w:sz w:val="20"/>
        </w:rPr>
        <w:t xml:space="preserve">Injury will lie where the plaintiff "allegedly encountered architectural barriers at the [accommodation]—notwithstanding that he did so while testing for ADA compliance." </w:t>
      </w:r>
      <w:r>
        <w:rPr>
          <w:rFonts w:ascii="Arial" w:eastAsia="Arial" w:hAnsi="Arial" w:cs="Arial"/>
          <w:i/>
          <w:color w:val="000000"/>
          <w:sz w:val="20"/>
        </w:rPr>
        <w:t>Id.</w:t>
      </w:r>
      <w:r>
        <w:rPr>
          <w:rFonts w:ascii="Arial" w:eastAsia="Arial" w:hAnsi="Arial" w:cs="Arial"/>
          <w:color w:val="000000"/>
          <w:sz w:val="20"/>
        </w:rPr>
        <w:t xml:space="preserve"> Congress did not intend for ADA tester [**10]  plaintiffs to be deprived of standing in actions alleging the presence of architectural barriers. If it had, it would have limited the statute's protections to "clients or customers," as it did in other provisions of Title III, or it would have imposed a "bona fide" usage requirement, like that of the "bona fide" offer requirement for housing discrimination suits. </w:t>
      </w:r>
      <w:bookmarkStart w:id="8282" w:name="Bookmark_I5XGKM092HM6F50030000400"/>
      <w:bookmarkEnd w:id="8282"/>
      <w:r>
        <w:rPr>
          <w:rFonts w:ascii="Arial" w:eastAsia="Arial" w:hAnsi="Arial" w:cs="Arial"/>
          <w:i/>
          <w:color w:val="000000"/>
          <w:sz w:val="20"/>
        </w:rPr>
        <w:t xml:space="preserve">See </w:t>
      </w:r>
      <w:bookmarkStart w:id="8283" w:name="Bookmark_I5XGKM092N1R490050000400"/>
      <w:bookmarkEnd w:id="8283"/>
      <w:r>
        <w:rPr>
          <w:rFonts w:ascii="Arial" w:eastAsia="Arial" w:hAnsi="Arial" w:cs="Arial"/>
          <w:i/>
          <w:color w:val="000000"/>
          <w:sz w:val="20"/>
        </w:rPr>
        <w:t>id.</w:t>
      </w:r>
      <w:r>
        <w:rPr>
          <w:rFonts w:ascii="Arial" w:eastAsia="Arial" w:hAnsi="Arial" w:cs="Arial"/>
          <w:color w:val="000000"/>
          <w:sz w:val="20"/>
        </w:rPr>
        <w:t xml:space="preserve"> at 1332-34 (citing 42 U.S.C. § 3604(a); 42 U.S.C. § 12182(b)(1)(A)(iv)). </w:t>
      </w:r>
      <w:bookmarkStart w:id="8284" w:name="Bookmark_I5XGKM092HM6F50030000400_2"/>
      <w:bookmarkEnd w:id="8284"/>
      <w:r>
        <w:rPr>
          <w:rFonts w:ascii="Arial" w:eastAsia="Arial" w:hAnsi="Arial" w:cs="Arial"/>
          <w:color w:val="000000"/>
          <w:sz w:val="20"/>
        </w:rPr>
        <w:t xml:space="preserve">Courts may not find that a plaintiff's status as an ADA tester undermines the plausibility of future injury. </w:t>
      </w:r>
      <w:r>
        <w:rPr>
          <w:rFonts w:ascii="Arial" w:eastAsia="Arial" w:hAnsi="Arial" w:cs="Arial"/>
          <w:i/>
          <w:color w:val="000000"/>
          <w:sz w:val="20"/>
        </w:rPr>
        <w:t xml:space="preserve">See </w:t>
      </w:r>
      <w:bookmarkStart w:id="8285" w:name="Bookmark_I5XGKM092HM6F50020000400"/>
      <w:bookmarkEnd w:id="8285"/>
      <w:r>
        <w:rPr>
          <w:rFonts w:ascii="Arial" w:eastAsia="Arial" w:hAnsi="Arial" w:cs="Arial"/>
          <w:i/>
          <w:color w:val="000000"/>
          <w:sz w:val="20"/>
        </w:rPr>
        <w:t>Nanni v. Aberdeen Marketplace, Inc.</w:t>
      </w:r>
      <w:r>
        <w:rPr>
          <w:rFonts w:ascii="Arial" w:eastAsia="Arial" w:hAnsi="Arial" w:cs="Arial"/>
          <w:color w:val="000000"/>
          <w:sz w:val="20"/>
        </w:rPr>
        <w:t>, 878 F.3d 447, 457 (4th Cir. 2017). Therefore, Mosley's status as an ADA tester does not deprive him of standing here. Separately, we will not consider his ADA tester status in evaluating the plausibility of his intent to return to the stores because he has not alleged that he will visit the Kohl's stores as an ADA tester.</w:t>
      </w:r>
    </w:p>
    <w:p w14:paraId="245982AC" w14:textId="77777777" w:rsidR="002B10A6" w:rsidRDefault="00000000">
      <w:pPr>
        <w:pStyle w:val="Normal45"/>
        <w:widowControl w:val="0"/>
        <w:spacing w:before="200" w:line="260" w:lineRule="atLeast"/>
        <w:jc w:val="both"/>
      </w:pPr>
      <w:bookmarkStart w:id="8286" w:name="Bookmark_para_19_31"/>
      <w:bookmarkStart w:id="8287" w:name="Bookmark_I5XGKM092HM6F50050000400"/>
      <w:bookmarkStart w:id="8288" w:name="Bookmark_I11TTCNTJ2S0000739200059"/>
      <w:bookmarkStart w:id="8289" w:name="Bookmark_I5XGKM0B2SF8JP0010000400"/>
      <w:bookmarkEnd w:id="8286"/>
      <w:bookmarkEnd w:id="8287"/>
      <w:bookmarkEnd w:id="8288"/>
      <w:bookmarkEnd w:id="8289"/>
      <w:r>
        <w:rPr>
          <w:rFonts w:ascii="Arial" w:eastAsia="Arial" w:hAnsi="Arial" w:cs="Arial"/>
          <w:color w:val="000000"/>
          <w:sz w:val="20"/>
        </w:rPr>
        <w:t xml:space="preserve">Turning to the merits, when a plaintiff in a Title III action does not live near the accommodation at issue, other circuits consider whether the plaintiff has demonstrated "an intent to return to the geographic area where the accommodation is located and a desire to visit the accommodation if it were made accessible." </w:t>
      </w:r>
      <w:bookmarkStart w:id="8290" w:name="Bookmark_I5XGKM092HM6F50040000400"/>
      <w:bookmarkEnd w:id="8290"/>
      <w:r>
        <w:rPr>
          <w:rFonts w:ascii="Arial" w:eastAsia="Arial" w:hAnsi="Arial" w:cs="Arial"/>
          <w:i/>
          <w:color w:val="000000"/>
          <w:sz w:val="20"/>
        </w:rPr>
        <w:t>D'Lil</w:t>
      </w:r>
      <w:r>
        <w:rPr>
          <w:rFonts w:ascii="Arial" w:eastAsia="Arial" w:hAnsi="Arial" w:cs="Arial"/>
          <w:color w:val="000000"/>
          <w:sz w:val="20"/>
        </w:rPr>
        <w:t xml:space="preserve">, 538 F.3d at 1037; </w:t>
      </w:r>
      <w:r>
        <w:rPr>
          <w:rFonts w:ascii="Arial" w:eastAsia="Arial" w:hAnsi="Arial" w:cs="Arial"/>
          <w:i/>
          <w:color w:val="000000"/>
          <w:sz w:val="20"/>
        </w:rPr>
        <w:t xml:space="preserve">see also </w:t>
      </w:r>
      <w:bookmarkStart w:id="8291" w:name="Bookmark_I5XGKM0B2D6N560010000400"/>
      <w:bookmarkEnd w:id="8291"/>
      <w:r>
        <w:rPr>
          <w:rFonts w:ascii="Arial" w:eastAsia="Arial" w:hAnsi="Arial" w:cs="Arial"/>
          <w:i/>
          <w:color w:val="000000"/>
          <w:sz w:val="20"/>
        </w:rPr>
        <w:t>Scherr</w:t>
      </w:r>
      <w:r>
        <w:rPr>
          <w:rFonts w:ascii="Arial" w:eastAsia="Arial" w:hAnsi="Arial" w:cs="Arial"/>
          <w:color w:val="000000"/>
          <w:sz w:val="20"/>
        </w:rPr>
        <w:t xml:space="preserve">, 703 F.3d at 1074-75; </w:t>
      </w:r>
      <w:bookmarkStart w:id="8292" w:name="Bookmark_I5XGKM0B2D6N560030000400"/>
      <w:bookmarkEnd w:id="8292"/>
      <w:r>
        <w:rPr>
          <w:rFonts w:ascii="Arial" w:eastAsia="Arial" w:hAnsi="Arial" w:cs="Arial"/>
          <w:i/>
          <w:color w:val="000000"/>
          <w:sz w:val="20"/>
        </w:rPr>
        <w:t>Nanni</w:t>
      </w:r>
      <w:r>
        <w:rPr>
          <w:rFonts w:ascii="Arial" w:eastAsia="Arial" w:hAnsi="Arial" w:cs="Arial"/>
          <w:color w:val="000000"/>
          <w:sz w:val="20"/>
        </w:rPr>
        <w:t xml:space="preserve">, 878 F.3d at 456-57. For example, in </w:t>
      </w:r>
      <w:bookmarkStart w:id="8293" w:name="Bookmark_I5XGKM0B2D6N560050000400"/>
      <w:bookmarkEnd w:id="8293"/>
      <w:r>
        <w:rPr>
          <w:rFonts w:ascii="Arial" w:eastAsia="Arial" w:hAnsi="Arial" w:cs="Arial"/>
          <w:i/>
          <w:color w:val="000000"/>
          <w:sz w:val="20"/>
        </w:rPr>
        <w:t>D'Lil</w:t>
      </w:r>
      <w:bookmarkStart w:id="8294" w:name="Bookmark_I5XGKM0B2SF8JP0050000400"/>
      <w:bookmarkEnd w:id="8294"/>
      <w:r>
        <w:rPr>
          <w:rFonts w:ascii="Arial" w:eastAsia="Arial" w:hAnsi="Arial" w:cs="Arial"/>
          <w:color w:val="000000"/>
          <w:sz w:val="20"/>
        </w:rPr>
        <w:t xml:space="preserve">, the Ninth Circuit found that the plaintiff established [**11]  an intent to return to the area near the Best Western hotel where she was injured. </w:t>
      </w:r>
      <w:bookmarkStart w:id="8295" w:name="Bookmark_I5XGKM0B2SF8JP0020000400"/>
      <w:bookmarkEnd w:id="8295"/>
      <w:r>
        <w:rPr>
          <w:rFonts w:ascii="Arial" w:eastAsia="Arial" w:hAnsi="Arial" w:cs="Arial"/>
          <w:color w:val="000000"/>
          <w:sz w:val="20"/>
        </w:rPr>
        <w:t xml:space="preserve">538 F.3d at 1037.  [*759]  </w:t>
      </w:r>
      <w:bookmarkStart w:id="8296" w:name="Bookmark_I5XGKM0B2SF8JP0050000400_2"/>
      <w:bookmarkEnd w:id="8296"/>
      <w:r>
        <w:rPr>
          <w:rFonts w:ascii="Arial" w:eastAsia="Arial" w:hAnsi="Arial" w:cs="Arial"/>
          <w:color w:val="000000"/>
          <w:sz w:val="20"/>
        </w:rPr>
        <w:t xml:space="preserve">The plaintiff had been regularly visiting the area near the hotel for years for both business and pleasure, and was planning three upcoming trips to the area, during which she would have preferred to stay at the Best Western hotel. </w:t>
      </w:r>
      <w:bookmarkStart w:id="8297" w:name="Bookmark_I5XGKM0B28T4GM0020000400"/>
      <w:bookmarkStart w:id="8298" w:name="Bookmark_I5XGKM0B2SF8JP0040000400"/>
      <w:bookmarkEnd w:id="8297"/>
      <w:bookmarkEnd w:id="8298"/>
      <w:r>
        <w:rPr>
          <w:rFonts w:ascii="Arial" w:eastAsia="Arial" w:hAnsi="Arial" w:cs="Arial"/>
          <w:i/>
          <w:color w:val="000000"/>
          <w:sz w:val="20"/>
        </w:rPr>
        <w:t>Id.</w:t>
      </w:r>
      <w:r>
        <w:rPr>
          <w:rFonts w:ascii="Arial" w:eastAsia="Arial" w:hAnsi="Arial" w:cs="Arial"/>
          <w:color w:val="000000"/>
          <w:sz w:val="20"/>
        </w:rPr>
        <w:t xml:space="preserve"> at 1037-38. </w:t>
      </w:r>
      <w:bookmarkStart w:id="8299" w:name="Bookmark_I5XGKM0B28T4GM0020000400_2"/>
      <w:bookmarkEnd w:id="8299"/>
      <w:r>
        <w:rPr>
          <w:rFonts w:ascii="Arial" w:eastAsia="Arial" w:hAnsi="Arial" w:cs="Arial"/>
          <w:color w:val="000000"/>
          <w:sz w:val="20"/>
        </w:rPr>
        <w:t xml:space="preserve">The court also found that her expressed preference for the Best Western based on amenities, price, and other factors supported her intent to return to the hotel. </w:t>
      </w:r>
      <w:bookmarkStart w:id="8300" w:name="Bookmark_I5XGKM0B28T4GM0010000400"/>
      <w:bookmarkEnd w:id="8300"/>
      <w:r>
        <w:rPr>
          <w:rFonts w:ascii="Arial" w:eastAsia="Arial" w:hAnsi="Arial" w:cs="Arial"/>
          <w:i/>
          <w:color w:val="000000"/>
          <w:sz w:val="20"/>
        </w:rPr>
        <w:t>Id.</w:t>
      </w:r>
      <w:r>
        <w:rPr>
          <w:rFonts w:ascii="Arial" w:eastAsia="Arial" w:hAnsi="Arial" w:cs="Arial"/>
          <w:color w:val="000000"/>
          <w:sz w:val="20"/>
        </w:rPr>
        <w:t xml:space="preserve"> at 1038.</w:t>
      </w:r>
    </w:p>
    <w:p w14:paraId="18F6C87E" w14:textId="77777777" w:rsidR="002B10A6" w:rsidRDefault="00000000">
      <w:pPr>
        <w:pStyle w:val="Normal45"/>
        <w:widowControl w:val="0"/>
        <w:spacing w:before="200" w:line="260" w:lineRule="atLeast"/>
        <w:jc w:val="both"/>
      </w:pPr>
      <w:bookmarkStart w:id="8301" w:name="Bookmark_para_20_31"/>
      <w:bookmarkStart w:id="8302" w:name="Bookmark_I11TTCNTKKX000073920005B"/>
      <w:bookmarkStart w:id="8303" w:name="Bookmark_I5XGKM0B28T4GM0040000400"/>
      <w:bookmarkStart w:id="8304" w:name="Bookmark_I5XGKM0B2N1R4B0030000400"/>
      <w:bookmarkEnd w:id="8301"/>
      <w:bookmarkEnd w:id="8302"/>
      <w:bookmarkEnd w:id="8303"/>
      <w:bookmarkEnd w:id="8304"/>
      <w:r>
        <w:rPr>
          <w:rFonts w:ascii="Arial" w:eastAsia="Arial" w:hAnsi="Arial" w:cs="Arial"/>
          <w:color w:val="000000"/>
          <w:sz w:val="20"/>
        </w:rPr>
        <w:t xml:space="preserve">The Seventh Circuit similarly considered in </w:t>
      </w:r>
      <w:bookmarkStart w:id="8305" w:name="Bookmark_I5XGKM0B28T4GM0030000400"/>
      <w:bookmarkEnd w:id="8305"/>
      <w:r>
        <w:rPr>
          <w:rFonts w:ascii="Arial" w:eastAsia="Arial" w:hAnsi="Arial" w:cs="Arial"/>
          <w:i/>
          <w:color w:val="000000"/>
          <w:sz w:val="20"/>
        </w:rPr>
        <w:t>Scherr</w:t>
      </w:r>
      <w:r>
        <w:rPr>
          <w:rFonts w:ascii="Arial" w:eastAsia="Arial" w:hAnsi="Arial" w:cs="Arial"/>
          <w:color w:val="000000"/>
          <w:sz w:val="20"/>
        </w:rPr>
        <w:t xml:space="preserve"> whether the plaintiff had established a plausible intent to return to the Marriott hotel where she was injured. </w:t>
      </w:r>
      <w:bookmarkStart w:id="8306" w:name="Bookmark_I5XGKM0B28T4GM0050000400"/>
      <w:bookmarkEnd w:id="8306"/>
      <w:r>
        <w:rPr>
          <w:rFonts w:ascii="Arial" w:eastAsia="Arial" w:hAnsi="Arial" w:cs="Arial"/>
          <w:color w:val="000000"/>
          <w:sz w:val="20"/>
        </w:rPr>
        <w:t xml:space="preserve">703 F.3d at 1074-75. </w:t>
      </w:r>
      <w:bookmarkStart w:id="8307" w:name="Bookmark_I5XGKM0B2N1R4B0050000400"/>
      <w:bookmarkEnd w:id="8307"/>
      <w:r>
        <w:rPr>
          <w:rFonts w:ascii="Arial" w:eastAsia="Arial" w:hAnsi="Arial" w:cs="Arial"/>
          <w:color w:val="000000"/>
          <w:sz w:val="20"/>
        </w:rPr>
        <w:t xml:space="preserve">The court found that she had. </w:t>
      </w:r>
      <w:bookmarkStart w:id="8308" w:name="Bookmark_I5XGKM0B2N1R4B0020000400"/>
      <w:bookmarkEnd w:id="8308"/>
      <w:r>
        <w:rPr>
          <w:rFonts w:ascii="Arial" w:eastAsia="Arial" w:hAnsi="Arial" w:cs="Arial"/>
          <w:i/>
          <w:color w:val="000000"/>
          <w:sz w:val="20"/>
        </w:rPr>
        <w:t>Id.</w:t>
      </w:r>
      <w:r>
        <w:rPr>
          <w:rFonts w:ascii="Arial" w:eastAsia="Arial" w:hAnsi="Arial" w:cs="Arial"/>
          <w:color w:val="000000"/>
          <w:sz w:val="20"/>
        </w:rPr>
        <w:t xml:space="preserve"> at 1075. </w:t>
      </w:r>
      <w:bookmarkStart w:id="8309" w:name="Bookmark_I5XGKM0B2N1R4B0050000400_2"/>
      <w:bookmarkEnd w:id="8309"/>
      <w:r>
        <w:rPr>
          <w:rFonts w:ascii="Arial" w:eastAsia="Arial" w:hAnsi="Arial" w:cs="Arial"/>
          <w:color w:val="000000"/>
          <w:sz w:val="20"/>
        </w:rPr>
        <w:t xml:space="preserve">The plaintiff had relatives living in the area near the hotel and frequently traveled to see them both before and after her visit to the hotel. </w:t>
      </w:r>
      <w:bookmarkStart w:id="8310" w:name="Bookmark_I5XGKM0B2SF8JR0020000400"/>
      <w:bookmarkStart w:id="8311" w:name="Bookmark_I5XGKM0B2N1R4B0040000400"/>
      <w:bookmarkEnd w:id="8310"/>
      <w:bookmarkEnd w:id="8311"/>
      <w:r>
        <w:rPr>
          <w:rFonts w:ascii="Arial" w:eastAsia="Arial" w:hAnsi="Arial" w:cs="Arial"/>
          <w:i/>
          <w:color w:val="000000"/>
          <w:sz w:val="20"/>
        </w:rPr>
        <w:t>Id.</w:t>
      </w:r>
      <w:r>
        <w:rPr>
          <w:rFonts w:ascii="Arial" w:eastAsia="Arial" w:hAnsi="Arial" w:cs="Arial"/>
          <w:color w:val="000000"/>
          <w:sz w:val="20"/>
        </w:rPr>
        <w:t xml:space="preserve"> at 1072, 1074. </w:t>
      </w:r>
      <w:bookmarkStart w:id="8312" w:name="Bookmark_I5XGKM0B2SF8JR0020000400_2"/>
      <w:bookmarkStart w:id="8313" w:name="Bookmark_I5XGKM0B2SF8JR0040000400"/>
      <w:bookmarkEnd w:id="8312"/>
      <w:bookmarkEnd w:id="8313"/>
      <w:r>
        <w:rPr>
          <w:rFonts w:ascii="Arial" w:eastAsia="Arial" w:hAnsi="Arial" w:cs="Arial"/>
          <w:color w:val="000000"/>
          <w:sz w:val="20"/>
        </w:rPr>
        <w:t xml:space="preserve">Additionally, her cousin was going to be married in the city in May, and the plaintiff was planning to attend the wedding and would have liked to stay at the Marriott hotel because it is nearby. </w:t>
      </w:r>
      <w:bookmarkStart w:id="8314" w:name="Bookmark_I5XGKM0B2SF8JR0010000400"/>
      <w:bookmarkEnd w:id="8314"/>
      <w:r>
        <w:rPr>
          <w:rFonts w:ascii="Arial" w:eastAsia="Arial" w:hAnsi="Arial" w:cs="Arial"/>
          <w:i/>
          <w:color w:val="000000"/>
          <w:sz w:val="20"/>
        </w:rPr>
        <w:t>Id.</w:t>
      </w:r>
      <w:r>
        <w:rPr>
          <w:rFonts w:ascii="Arial" w:eastAsia="Arial" w:hAnsi="Arial" w:cs="Arial"/>
          <w:color w:val="000000"/>
          <w:sz w:val="20"/>
        </w:rPr>
        <w:t xml:space="preserve"> at 1074. </w:t>
      </w:r>
      <w:bookmarkStart w:id="8315" w:name="Bookmark_I5XGKM0B2SF8JR0040000400_2"/>
      <w:bookmarkEnd w:id="8315"/>
      <w:r>
        <w:rPr>
          <w:rFonts w:ascii="Arial" w:eastAsia="Arial" w:hAnsi="Arial" w:cs="Arial"/>
          <w:color w:val="000000"/>
          <w:sz w:val="20"/>
        </w:rPr>
        <w:t xml:space="preserve">Thus, "[g]iven Scherr's past travel history and her affirmative desire to stay at the hotel but for the alleged violations, on these facts, Scherr ha[d] standing to sue." </w:t>
      </w:r>
      <w:bookmarkStart w:id="8316" w:name="Bookmark_I5XGKM0B2SF8JR0030000400"/>
      <w:bookmarkEnd w:id="8316"/>
      <w:r>
        <w:rPr>
          <w:rFonts w:ascii="Arial" w:eastAsia="Arial" w:hAnsi="Arial" w:cs="Arial"/>
          <w:i/>
          <w:color w:val="000000"/>
          <w:sz w:val="20"/>
        </w:rPr>
        <w:t>Id.</w:t>
      </w:r>
      <w:r>
        <w:rPr>
          <w:rFonts w:ascii="Arial" w:eastAsia="Arial" w:hAnsi="Arial" w:cs="Arial"/>
          <w:color w:val="000000"/>
          <w:sz w:val="20"/>
        </w:rPr>
        <w:t xml:space="preserve"> at 1074-75.</w:t>
      </w:r>
    </w:p>
    <w:p w14:paraId="4E76529A" w14:textId="77777777" w:rsidR="002B10A6" w:rsidRDefault="00000000">
      <w:pPr>
        <w:pStyle w:val="Normal45"/>
        <w:widowControl w:val="0"/>
        <w:spacing w:before="200" w:line="260" w:lineRule="atLeast"/>
        <w:jc w:val="both"/>
      </w:pPr>
      <w:bookmarkStart w:id="8317" w:name="Bookmark_para_21_31"/>
      <w:bookmarkStart w:id="8318" w:name="Bookmark_I5XGKM0B2D6N570010000400"/>
      <w:bookmarkStart w:id="8319" w:name="Bookmark_I5XGKM0B2N1R4C0020000400"/>
      <w:bookmarkStart w:id="8320" w:name="Bookmark_LNHNREFclscc6_31"/>
      <w:bookmarkEnd w:id="8317"/>
      <w:bookmarkEnd w:id="8318"/>
      <w:bookmarkEnd w:id="8319"/>
      <w:bookmarkEnd w:id="8320"/>
      <w:r>
        <w:rPr>
          <w:rFonts w:ascii="Arial" w:eastAsia="Arial" w:hAnsi="Arial" w:cs="Arial"/>
          <w:color w:val="000000"/>
          <w:sz w:val="20"/>
        </w:rPr>
        <w:t xml:space="preserve">Once a [**12]  plaintiff has established more than a "some day" intent to return to the geographic area and an interest in the accommodation, we can infer an intent to return to the accommodation. </w:t>
      </w:r>
      <w:r>
        <w:rPr>
          <w:rFonts w:ascii="Arial" w:eastAsia="Arial" w:hAnsi="Arial" w:cs="Arial"/>
          <w:i/>
          <w:color w:val="000000"/>
          <w:sz w:val="20"/>
        </w:rPr>
        <w:t xml:space="preserve">See </w:t>
      </w:r>
      <w:bookmarkStart w:id="8321" w:name="Bookmark_I5XGKM0B2SF8JR0050000400"/>
      <w:bookmarkEnd w:id="8321"/>
      <w:r>
        <w:rPr>
          <w:rFonts w:ascii="Arial" w:eastAsia="Arial" w:hAnsi="Arial" w:cs="Arial"/>
          <w:i/>
          <w:color w:val="000000"/>
          <w:sz w:val="20"/>
        </w:rPr>
        <w:t>D'Lil</w:t>
      </w:r>
      <w:r>
        <w:rPr>
          <w:rFonts w:ascii="Arial" w:eastAsia="Arial" w:hAnsi="Arial" w:cs="Arial"/>
          <w:color w:val="000000"/>
          <w:sz w:val="20"/>
        </w:rPr>
        <w:t xml:space="preserve">, 538 F.3d at 1037; </w:t>
      </w:r>
      <w:bookmarkStart w:id="8322" w:name="Bookmark_I5XGKM0B2D6N570020000400"/>
      <w:bookmarkEnd w:id="8322"/>
      <w:r>
        <w:rPr>
          <w:rFonts w:ascii="Arial" w:eastAsia="Arial" w:hAnsi="Arial" w:cs="Arial"/>
          <w:i/>
          <w:color w:val="000000"/>
          <w:sz w:val="20"/>
        </w:rPr>
        <w:t>Scherr</w:t>
      </w:r>
      <w:r>
        <w:rPr>
          <w:rFonts w:ascii="Arial" w:eastAsia="Arial" w:hAnsi="Arial" w:cs="Arial"/>
          <w:color w:val="000000"/>
          <w:sz w:val="20"/>
        </w:rPr>
        <w:t xml:space="preserve">, 703 F.3d at 1074-75; </w:t>
      </w:r>
      <w:bookmarkStart w:id="8323" w:name="Bookmark_I5XGKM0B2D6N570040000400"/>
      <w:bookmarkEnd w:id="8323"/>
      <w:r>
        <w:rPr>
          <w:rFonts w:ascii="Arial" w:eastAsia="Arial" w:hAnsi="Arial" w:cs="Arial"/>
          <w:i/>
          <w:color w:val="000000"/>
          <w:sz w:val="20"/>
        </w:rPr>
        <w:t>Nanni</w:t>
      </w:r>
      <w:r>
        <w:rPr>
          <w:rFonts w:ascii="Arial" w:eastAsia="Arial" w:hAnsi="Arial" w:cs="Arial"/>
          <w:color w:val="000000"/>
          <w:sz w:val="20"/>
        </w:rPr>
        <w:t xml:space="preserve">, 878 F.3d at 456-57. This is evident in </w:t>
      </w:r>
      <w:r>
        <w:rPr>
          <w:rFonts w:ascii="Arial" w:eastAsia="Arial" w:hAnsi="Arial" w:cs="Arial"/>
          <w:i/>
          <w:color w:val="000000"/>
          <w:sz w:val="20"/>
        </w:rPr>
        <w:t>Gaylor</w:t>
      </w:r>
      <w:r>
        <w:rPr>
          <w:rFonts w:ascii="Arial" w:eastAsia="Arial" w:hAnsi="Arial" w:cs="Arial"/>
          <w:color w:val="000000"/>
          <w:sz w:val="20"/>
        </w:rPr>
        <w:t xml:space="preserve">, where we noted both that the plaintiff desired to return to the shopping center and that he frequently traveled to that geographic area. </w:t>
      </w:r>
      <w:bookmarkStart w:id="8324" w:name="Bookmark_I5XGKM0B2N1R4C0010000400"/>
      <w:bookmarkEnd w:id="8324"/>
      <w:r>
        <w:rPr>
          <w:rFonts w:ascii="Arial" w:eastAsia="Arial" w:hAnsi="Arial" w:cs="Arial"/>
          <w:color w:val="000000"/>
          <w:sz w:val="20"/>
        </w:rPr>
        <w:t xml:space="preserve">582 F. App'x at 580-81. In </w:t>
      </w:r>
      <w:r>
        <w:rPr>
          <w:rFonts w:ascii="Arial" w:eastAsia="Arial" w:hAnsi="Arial" w:cs="Arial"/>
          <w:i/>
          <w:color w:val="000000"/>
          <w:sz w:val="20"/>
        </w:rPr>
        <w:t>Gaylor</w:t>
      </w:r>
      <w:r>
        <w:rPr>
          <w:rFonts w:ascii="Arial" w:eastAsia="Arial" w:hAnsi="Arial" w:cs="Arial"/>
          <w:color w:val="000000"/>
          <w:sz w:val="20"/>
        </w:rPr>
        <w:t xml:space="preserve">, we also noted the frequency of the plaintiff's past visits, the reasons why he enjoys shopping at the center, and his specific plans to return to the shopping center. </w:t>
      </w:r>
      <w:bookmarkStart w:id="8325" w:name="Bookmark_I5XGKM0B2N1R4C0040000400"/>
      <w:bookmarkEnd w:id="8325"/>
      <w:r>
        <w:rPr>
          <w:rFonts w:ascii="Arial" w:eastAsia="Arial" w:hAnsi="Arial" w:cs="Arial"/>
          <w:i/>
          <w:color w:val="000000"/>
          <w:sz w:val="20"/>
        </w:rPr>
        <w:t>Id.</w:t>
      </w:r>
      <w:r>
        <w:rPr>
          <w:rFonts w:ascii="Arial" w:eastAsia="Arial" w:hAnsi="Arial" w:cs="Arial"/>
          <w:color w:val="000000"/>
          <w:sz w:val="20"/>
        </w:rPr>
        <w:t xml:space="preserve"> But we did not hold in that case that every plaintiff must satisfy each of the factors that weighed in Gaylor's favor. Instead, we described the test as a question of plausible intent to return to the accommodation based on all the allegations and any inferences that follow. </w:t>
      </w:r>
      <w:bookmarkStart w:id="8326" w:name="Bookmark_I5XGKM0B2N1R4C0030000400"/>
      <w:bookmarkEnd w:id="8326"/>
      <w:r>
        <w:rPr>
          <w:rFonts w:ascii="Arial" w:eastAsia="Arial" w:hAnsi="Arial" w:cs="Arial"/>
          <w:i/>
          <w:color w:val="000000"/>
          <w:sz w:val="20"/>
        </w:rPr>
        <w:t>Id.</w:t>
      </w:r>
      <w:r>
        <w:rPr>
          <w:rFonts w:ascii="Arial" w:eastAsia="Arial" w:hAnsi="Arial" w:cs="Arial"/>
          <w:color w:val="000000"/>
          <w:sz w:val="20"/>
        </w:rPr>
        <w:t xml:space="preserve"> at 580.</w:t>
      </w:r>
    </w:p>
    <w:p w14:paraId="2C4BCD11" w14:textId="77777777" w:rsidR="002B10A6" w:rsidRDefault="00000000">
      <w:pPr>
        <w:pStyle w:val="Normal45"/>
        <w:widowControl w:val="0"/>
        <w:spacing w:before="200" w:line="260" w:lineRule="atLeast"/>
        <w:jc w:val="both"/>
      </w:pPr>
      <w:bookmarkStart w:id="8327" w:name="Bookmark_para_22_30"/>
      <w:bookmarkStart w:id="8328" w:name="Bookmark_I5XGKM0B2SF8JT0010000400"/>
      <w:bookmarkStart w:id="8329" w:name="Bookmark_I5XGKM0B2SF8JT0030000400"/>
      <w:bookmarkEnd w:id="8327"/>
      <w:bookmarkEnd w:id="8328"/>
      <w:bookmarkEnd w:id="8329"/>
      <w:r>
        <w:rPr>
          <w:rFonts w:ascii="Arial" w:eastAsia="Arial" w:hAnsi="Arial" w:cs="Arial"/>
          <w:color w:val="000000"/>
          <w:sz w:val="20"/>
        </w:rPr>
        <w:t xml:space="preserve">Moreover, </w:t>
      </w:r>
      <w:bookmarkStart w:id="8330" w:name="Bookmark_LNHNREFclscc7_29"/>
      <w:bookmarkEnd w:id="8330"/>
      <w:r>
        <w:rPr>
          <w:rFonts w:ascii="Arial" w:eastAsia="Arial" w:hAnsi="Arial" w:cs="Arial"/>
          <w:color w:val="000000"/>
          <w:sz w:val="20"/>
        </w:rPr>
        <w:t xml:space="preserve">requiring plaintiffs to provide a definitive plan for returning to the accommodation itself would frustrate the ADA's aim to "integrate [individuals with disabilities] into the economic and social mainstream of American life.'" </w:t>
      </w:r>
      <w:r>
        <w:rPr>
          <w:rFonts w:ascii="Arial" w:eastAsia="Arial" w:hAnsi="Arial" w:cs="Arial"/>
          <w:i/>
          <w:color w:val="000000"/>
          <w:sz w:val="20"/>
        </w:rPr>
        <w:t xml:space="preserve">See </w:t>
      </w:r>
      <w:bookmarkStart w:id="8331" w:name="Bookmark_I5XGKM0B2N1R4C0050000400"/>
      <w:bookmarkEnd w:id="8331"/>
      <w:r>
        <w:rPr>
          <w:rFonts w:ascii="Arial" w:eastAsia="Arial" w:hAnsi="Arial" w:cs="Arial"/>
          <w:i/>
          <w:color w:val="000000"/>
          <w:sz w:val="20"/>
        </w:rPr>
        <w:t>PGA Tour, Inc. v. Martin</w:t>
      </w:r>
      <w:r>
        <w:rPr>
          <w:rFonts w:ascii="Arial" w:eastAsia="Arial" w:hAnsi="Arial" w:cs="Arial"/>
          <w:color w:val="000000"/>
          <w:sz w:val="20"/>
        </w:rPr>
        <w:t xml:space="preserve">, 532 U.S. 661, 675, 121 S. Ct. 1879, 149 L. Ed. 2d 904 (2001) (quotation omitted). If that were the rule, plaintiffs would have more success bringing Title III actions against accommodations that are booked [**13]  for travel, such as hotels, than accommodations they spontaneously choose to enjoy, such as markets and stores. Persons with disabilities are entitled to full and equal access to all public accommodations, wherever they may be and at any point in time. Although the Constitution requires plaintiffs to show a real and immediate threat of future injury, it does not require plaintiffs "to allege such specifics as the precise dates and arrangements for [their] return to the [accommodation]" and their "reasons for returning," </w:t>
      </w:r>
      <w:bookmarkStart w:id="8332" w:name="Bookmark_I5XGKM0B2SF8JT0020000400"/>
      <w:bookmarkEnd w:id="8332"/>
      <w:r>
        <w:rPr>
          <w:rFonts w:ascii="Arial" w:eastAsia="Arial" w:hAnsi="Arial" w:cs="Arial"/>
          <w:i/>
          <w:color w:val="000000"/>
          <w:sz w:val="20"/>
        </w:rPr>
        <w:t>Nanni</w:t>
      </w:r>
      <w:r>
        <w:rPr>
          <w:rFonts w:ascii="Arial" w:eastAsia="Arial" w:hAnsi="Arial" w:cs="Arial"/>
          <w:color w:val="000000"/>
          <w:sz w:val="20"/>
        </w:rPr>
        <w:t xml:space="preserve">, 878 F.3d at 456—let alone why they might need to use the restroom. </w:t>
      </w:r>
      <w:r>
        <w:rPr>
          <w:rFonts w:ascii="Arial" w:eastAsia="Arial" w:hAnsi="Arial" w:cs="Arial"/>
          <w:i/>
          <w:color w:val="000000"/>
          <w:sz w:val="20"/>
        </w:rPr>
        <w:t>See</w:t>
      </w:r>
      <w:r>
        <w:rPr>
          <w:rFonts w:ascii="Arial" w:eastAsia="Arial" w:hAnsi="Arial" w:cs="Arial"/>
          <w:color w:val="000000"/>
          <w:sz w:val="20"/>
        </w:rPr>
        <w:t xml:space="preserve"> Appellee Br. at 15 ("[T]he Amended Complaint in fact makes . . . </w:t>
      </w:r>
      <w:r>
        <w:rPr>
          <w:rFonts w:ascii="Arial" w:eastAsia="Arial" w:hAnsi="Arial" w:cs="Arial"/>
          <w:i/>
          <w:color w:val="000000"/>
          <w:sz w:val="20"/>
        </w:rPr>
        <w:t>no</w:t>
      </w:r>
      <w:r>
        <w:rPr>
          <w:rFonts w:ascii="Arial" w:eastAsia="Arial" w:hAnsi="Arial" w:cs="Arial"/>
          <w:color w:val="000000"/>
          <w:sz w:val="20"/>
        </w:rPr>
        <w:t xml:space="preserve"> allegations regarding his intention to use the men's restroom in either store."). </w:t>
      </w:r>
      <w:bookmarkStart w:id="8333" w:name="Bookmark_I5XGKM0B2SF8JT0050000400"/>
      <w:bookmarkEnd w:id="8333"/>
      <w:r>
        <w:rPr>
          <w:rFonts w:ascii="Arial" w:eastAsia="Arial" w:hAnsi="Arial" w:cs="Arial"/>
          <w:color w:val="000000"/>
          <w:sz w:val="20"/>
        </w:rPr>
        <w:t xml:space="preserve">It is enough to allege an intent to return to the area and an interest in visiting the accommodation in the future when it becomes ADA-compliant. While the plaintiff must show more than a "some day" intent to return to the accommodation, frequent visits and concrete plans to return to the geographic area support a plausible inference of intent to return to the accommodation.  [*760]  </w:t>
      </w:r>
      <w:r>
        <w:rPr>
          <w:rFonts w:ascii="Arial" w:eastAsia="Arial" w:hAnsi="Arial" w:cs="Arial"/>
          <w:i/>
          <w:color w:val="000000"/>
          <w:sz w:val="20"/>
        </w:rPr>
        <w:t xml:space="preserve">See </w:t>
      </w:r>
      <w:bookmarkStart w:id="8334" w:name="Bookmark_I5XGKM0B2SF8JT0040000400"/>
      <w:bookmarkEnd w:id="8334"/>
      <w:r>
        <w:rPr>
          <w:rFonts w:ascii="Arial" w:eastAsia="Arial" w:hAnsi="Arial" w:cs="Arial"/>
          <w:i/>
          <w:color w:val="000000"/>
          <w:sz w:val="20"/>
        </w:rPr>
        <w:t>Lujan</w:t>
      </w:r>
      <w:r>
        <w:rPr>
          <w:rFonts w:ascii="Arial" w:eastAsia="Arial" w:hAnsi="Arial" w:cs="Arial"/>
          <w:color w:val="000000"/>
          <w:sz w:val="20"/>
        </w:rPr>
        <w:t xml:space="preserve">, 504 U.S. at 564; </w:t>
      </w:r>
      <w:bookmarkStart w:id="8335" w:name="Bookmark_I5XGKM0B2D6N590010000400"/>
      <w:bookmarkEnd w:id="8335"/>
      <w:r>
        <w:rPr>
          <w:rFonts w:ascii="Arial" w:eastAsia="Arial" w:hAnsi="Arial" w:cs="Arial"/>
          <w:i/>
          <w:color w:val="000000"/>
          <w:sz w:val="20"/>
        </w:rPr>
        <w:t>Scherr</w:t>
      </w:r>
      <w:r>
        <w:rPr>
          <w:rFonts w:ascii="Arial" w:eastAsia="Arial" w:hAnsi="Arial" w:cs="Arial"/>
          <w:color w:val="000000"/>
          <w:sz w:val="20"/>
        </w:rPr>
        <w:t xml:space="preserve">, 703 F.3d at 1074 (finding more than a "some day" intent to return to the accommodation where plaintiff [**14]  planned to visit family in the area for an upcoming wedding); </w:t>
      </w:r>
      <w:bookmarkStart w:id="8336" w:name="Bookmark_I5XGKM0B2D6N590030000400"/>
      <w:bookmarkEnd w:id="8336"/>
      <w:r>
        <w:rPr>
          <w:rFonts w:ascii="Arial" w:eastAsia="Arial" w:hAnsi="Arial" w:cs="Arial"/>
          <w:i/>
          <w:color w:val="000000"/>
          <w:sz w:val="20"/>
        </w:rPr>
        <w:t>Houston</w:t>
      </w:r>
      <w:r>
        <w:rPr>
          <w:rFonts w:ascii="Arial" w:eastAsia="Arial" w:hAnsi="Arial" w:cs="Arial"/>
          <w:color w:val="000000"/>
          <w:sz w:val="20"/>
        </w:rPr>
        <w:t>, 733 F.3d at 1340 (finding a "concrete and realistic plan" to return to the accommodation where plaintiff stated that he would regularly return to the area and intended to visit the store during some of those trips). We therefore do not require plaintiffs to provide a definitive plan for returning to the accommodation itself to establish a threat of future injury.</w:t>
      </w:r>
    </w:p>
    <w:p w14:paraId="7306C6F6" w14:textId="77777777" w:rsidR="002B10A6" w:rsidRDefault="00000000">
      <w:pPr>
        <w:pStyle w:val="Normal45"/>
        <w:widowControl w:val="0"/>
        <w:spacing w:before="200" w:line="260" w:lineRule="atLeast"/>
        <w:jc w:val="both"/>
      </w:pPr>
      <w:bookmarkStart w:id="8337" w:name="Bookmark_para_23_27"/>
      <w:bookmarkStart w:id="8338" w:name="Bookmark_I5XGKM0B28T4GR0010000400"/>
      <w:bookmarkStart w:id="8339" w:name="Bookmark_I5XGKM0B28T4GR0030000400"/>
      <w:bookmarkStart w:id="8340" w:name="Bookmark_LNHNREFclscc8_28"/>
      <w:bookmarkEnd w:id="8337"/>
      <w:bookmarkEnd w:id="8338"/>
      <w:bookmarkEnd w:id="8339"/>
      <w:bookmarkEnd w:id="8340"/>
      <w:r>
        <w:rPr>
          <w:rFonts w:ascii="Arial" w:eastAsia="Arial" w:hAnsi="Arial" w:cs="Arial"/>
          <w:color w:val="000000"/>
          <w:sz w:val="20"/>
        </w:rPr>
        <w:t xml:space="preserve">Nor do we require plaintiffs to have visited the accommodation more than once. That would flout Title III's requirement that plaintiffs not be asked "to engage in a futile gesture" once they have actual notice of the barriers to access. 42 U.S.C. §§ 12188(a)(1); 12183(a); </w:t>
      </w:r>
      <w:bookmarkStart w:id="8341" w:name="Bookmark_I5XGKM0B2D6N590050000400"/>
      <w:bookmarkEnd w:id="8341"/>
      <w:r>
        <w:rPr>
          <w:rFonts w:ascii="Arial" w:eastAsia="Arial" w:hAnsi="Arial" w:cs="Arial"/>
          <w:i/>
          <w:color w:val="000000"/>
          <w:sz w:val="20"/>
        </w:rPr>
        <w:t>D'Lil</w:t>
      </w:r>
      <w:r>
        <w:rPr>
          <w:rFonts w:ascii="Arial" w:eastAsia="Arial" w:hAnsi="Arial" w:cs="Arial"/>
          <w:color w:val="000000"/>
          <w:sz w:val="20"/>
        </w:rPr>
        <w:t xml:space="preserve">, 538 F.3d at 1037 ("We have explicitly </w:t>
      </w:r>
      <w:r>
        <w:rPr>
          <w:rFonts w:ascii="Arial" w:eastAsia="Arial" w:hAnsi="Arial" w:cs="Arial"/>
          <w:i/>
          <w:color w:val="000000"/>
          <w:sz w:val="20"/>
        </w:rPr>
        <w:t>not</w:t>
      </w:r>
      <w:r>
        <w:rPr>
          <w:rFonts w:ascii="Arial" w:eastAsia="Arial" w:hAnsi="Arial" w:cs="Arial"/>
          <w:color w:val="000000"/>
          <w:sz w:val="20"/>
        </w:rPr>
        <w:t xml:space="preserve"> required ADA plaintiffs to engage in the 'futile gesture' of visiting or returning to an inaccessible place of public accommodation in order to satisfy the standing requirement."). Title III does not require persons with disabilities to "subject [themselves] to repeated instances of discrimination in order to invoke [its] remedial framework." </w:t>
      </w:r>
      <w:bookmarkStart w:id="8342" w:name="Bookmark_I5XGKM0B28T4GR0020000400"/>
      <w:bookmarkEnd w:id="8342"/>
      <w:r>
        <w:rPr>
          <w:rFonts w:ascii="Arial" w:eastAsia="Arial" w:hAnsi="Arial" w:cs="Arial"/>
          <w:i/>
          <w:color w:val="000000"/>
          <w:sz w:val="20"/>
        </w:rPr>
        <w:t>Dudley v. Hannaford Bros. Co.</w:t>
      </w:r>
      <w:r>
        <w:rPr>
          <w:rFonts w:ascii="Arial" w:eastAsia="Arial" w:hAnsi="Arial" w:cs="Arial"/>
          <w:color w:val="000000"/>
          <w:sz w:val="20"/>
        </w:rPr>
        <w:t xml:space="preserve">, 333 F.3d 299, 305 (1st Cir. 2003); </w:t>
      </w:r>
      <w:bookmarkStart w:id="8343" w:name="Bookmark_I5XGKM0B28T4GR0040000400"/>
      <w:bookmarkEnd w:id="8343"/>
      <w:r>
        <w:rPr>
          <w:rFonts w:ascii="Arial" w:eastAsia="Arial" w:hAnsi="Arial" w:cs="Arial"/>
          <w:i/>
          <w:color w:val="000000"/>
          <w:sz w:val="20"/>
        </w:rPr>
        <w:t>Pickern v. Holiday Quality Foods Inc.</w:t>
      </w:r>
      <w:r>
        <w:rPr>
          <w:rFonts w:ascii="Arial" w:eastAsia="Arial" w:hAnsi="Arial" w:cs="Arial"/>
          <w:color w:val="000000"/>
          <w:sz w:val="20"/>
        </w:rPr>
        <w:t xml:space="preserve">, 293 F.3d 1133, 1136-37 (9th Cir. 2002) ("[O]nce a plaintiff has actually become aware of discriminatory conditions existing at a public accommodation, and is thereby deterred from visiting or patronizing that [**15]  accommodation, the plaintiff has suffered an injury."); </w:t>
      </w:r>
      <w:bookmarkStart w:id="8344" w:name="Bookmark_I5XGKM0B2HM6FF0010000400"/>
      <w:bookmarkEnd w:id="8344"/>
      <w:r>
        <w:rPr>
          <w:rFonts w:ascii="Arial" w:eastAsia="Arial" w:hAnsi="Arial" w:cs="Arial"/>
          <w:i/>
          <w:color w:val="000000"/>
          <w:sz w:val="20"/>
        </w:rPr>
        <w:t>Steger</w:t>
      </w:r>
      <w:r>
        <w:rPr>
          <w:rFonts w:ascii="Arial" w:eastAsia="Arial" w:hAnsi="Arial" w:cs="Arial"/>
          <w:color w:val="000000"/>
          <w:sz w:val="20"/>
        </w:rPr>
        <w:t>, 228 F.3d at 892 ("[P]laintiffs need not engage in the 'futile gesture' of visiting a building containing known barriers that the owner has no intention of remedying."). One visit is enough.</w:t>
      </w:r>
      <w:r>
        <w:rPr>
          <w:rFonts w:ascii="Arial" w:eastAsia="Arial" w:hAnsi="Arial" w:cs="Arial"/>
          <w:vertAlign w:val="superscript"/>
        </w:rPr>
        <w:footnoteReference w:customMarkFollows="1" w:id="442"/>
        <w:t>4</w:t>
      </w:r>
    </w:p>
    <w:p w14:paraId="660BB7A3" w14:textId="77777777" w:rsidR="002B10A6" w:rsidRDefault="00000000">
      <w:pPr>
        <w:pStyle w:val="Normal45"/>
        <w:widowControl w:val="0"/>
        <w:spacing w:before="200" w:line="260" w:lineRule="atLeast"/>
        <w:jc w:val="both"/>
      </w:pPr>
      <w:bookmarkStart w:id="8358" w:name="Bookmark_para_24_26"/>
      <w:bookmarkEnd w:id="8358"/>
      <w:r>
        <w:rPr>
          <w:rFonts w:ascii="Arial" w:eastAsia="Arial" w:hAnsi="Arial" w:cs="Arial"/>
          <w:color w:val="000000"/>
          <w:sz w:val="20"/>
        </w:rPr>
        <w:t>Mosley has sufficiently alleged a plausible intent to return to the stores in Northville and Novi, Michigan. Although he is a resident of Arizona, he "has family and friends that reside in the Detroit area whom he tries to visit at least annually in the summers." R. 7 (Am. Compl. at 3, ¶ 9) (Page ID #43). At the time of filing his amended complaint, he had also scheduled upcoming visits as a traveling musician to "Flint, Detroit, and other areas in southeast Michigan" in September and October 2018 to perform and attend shows at various venues. R. 7 (Am. Compl. at 2-3, ¶¶ 8, 12) (Page ID #42-43). Mosley has alleged that he would visit the Northville and Novi stores again on his trips to Michigan if they were modified to be ADA-compliant. R. 7 (Am. Compl. at 3, ¶ 13) (Page ID #43).</w:t>
      </w:r>
      <w:r>
        <w:rPr>
          <w:rFonts w:ascii="Arial" w:eastAsia="Arial" w:hAnsi="Arial" w:cs="Arial"/>
          <w:vertAlign w:val="superscript"/>
        </w:rPr>
        <w:footnoteReference w:customMarkFollows="1" w:id="443"/>
        <w:t>5</w:t>
      </w:r>
      <w:r>
        <w:rPr>
          <w:rFonts w:ascii="Arial" w:eastAsia="Arial" w:hAnsi="Arial" w:cs="Arial"/>
          <w:color w:val="000000"/>
          <w:sz w:val="20"/>
        </w:rPr>
        <w:t xml:space="preserve"> Specifically, he was planning to visit  [*761]  his family in the Detroit area on November [**16]  11, 2018, and would have liked to visit the stores at that time. </w:t>
      </w:r>
      <w:r>
        <w:rPr>
          <w:rFonts w:ascii="Arial" w:eastAsia="Arial" w:hAnsi="Arial" w:cs="Arial"/>
          <w:i/>
          <w:color w:val="000000"/>
          <w:sz w:val="20"/>
        </w:rPr>
        <w:t>Id.</w:t>
      </w:r>
      <w:r>
        <w:rPr>
          <w:rFonts w:ascii="Arial" w:eastAsia="Arial" w:hAnsi="Arial" w:cs="Arial"/>
          <w:color w:val="000000"/>
          <w:sz w:val="20"/>
        </w:rPr>
        <w:t xml:space="preserve"> Taking Mosley's allegations as true, we can infer a plausible intent to return to the Northville and Novi stores based on his regular travel to the Detroit area, his concrete plans to visit again to see family and perform, and his interest in visiting the Kohl's stores during his travel. Accordingly, Mosley has established injury-in-fact for purposes of pleading and has standing to proceed with his claims.</w:t>
      </w:r>
    </w:p>
    <w:p w14:paraId="6A90D42F" w14:textId="77777777" w:rsidR="002B10A6" w:rsidRDefault="00000000">
      <w:pPr>
        <w:pStyle w:val="Normal45"/>
        <w:widowControl w:val="0"/>
        <w:spacing w:before="240" w:line="260" w:lineRule="atLeast"/>
      </w:pPr>
      <w:r>
        <w:br/>
      </w:r>
      <w:r>
        <w:rPr>
          <w:rFonts w:ascii="Arial" w:eastAsia="Arial" w:hAnsi="Arial" w:cs="Arial"/>
          <w:b/>
          <w:color w:val="000000"/>
          <w:sz w:val="20"/>
        </w:rPr>
        <w:t>III. CONCLUSION</w:t>
      </w:r>
    </w:p>
    <w:p w14:paraId="51290576" w14:textId="77777777" w:rsidR="002B10A6" w:rsidRDefault="00000000">
      <w:pPr>
        <w:pStyle w:val="Normal45"/>
        <w:widowControl w:val="0"/>
        <w:spacing w:before="200" w:line="260" w:lineRule="atLeast"/>
        <w:jc w:val="both"/>
      </w:pPr>
      <w:bookmarkStart w:id="8364" w:name="Bookmark_para_25_26"/>
      <w:bookmarkEnd w:id="8364"/>
      <w:r>
        <w:rPr>
          <w:rFonts w:ascii="Arial" w:eastAsia="Arial" w:hAnsi="Arial" w:cs="Arial"/>
          <w:color w:val="000000"/>
          <w:sz w:val="20"/>
        </w:rPr>
        <w:t xml:space="preserve">Mosley has established an injury-in-fact that is traceable to Kohl's and redressable by declaratory judgment or an injunction. We therefore conclude that he has standing to pursue his claims against Kohl's, and we accordingly </w:t>
      </w:r>
      <w:r>
        <w:rPr>
          <w:rFonts w:ascii="Arial" w:eastAsia="Arial" w:hAnsi="Arial" w:cs="Arial"/>
          <w:b/>
          <w:color w:val="000000"/>
          <w:sz w:val="20"/>
        </w:rPr>
        <w:t>REVERSE</w:t>
      </w:r>
      <w:r>
        <w:rPr>
          <w:rFonts w:ascii="Arial" w:eastAsia="Arial" w:hAnsi="Arial" w:cs="Arial"/>
          <w:color w:val="000000"/>
          <w:sz w:val="20"/>
        </w:rPr>
        <w:t xml:space="preserve"> the district court's judgment dismissing this action and </w:t>
      </w:r>
      <w:r>
        <w:rPr>
          <w:rFonts w:ascii="Arial" w:eastAsia="Arial" w:hAnsi="Arial" w:cs="Arial"/>
          <w:b/>
          <w:color w:val="000000"/>
          <w:sz w:val="20"/>
        </w:rPr>
        <w:t>REMAND</w:t>
      </w:r>
      <w:r>
        <w:rPr>
          <w:rFonts w:ascii="Arial" w:eastAsia="Arial" w:hAnsi="Arial" w:cs="Arial"/>
          <w:color w:val="000000"/>
          <w:sz w:val="20"/>
        </w:rPr>
        <w:t xml:space="preserve"> for further proceedings.</w:t>
      </w:r>
    </w:p>
    <w:p w14:paraId="2DC35968" w14:textId="77777777" w:rsidR="002B10A6" w:rsidRDefault="00000000">
      <w:pPr>
        <w:pStyle w:val="Normal45"/>
        <w:widowControl w:val="0"/>
        <w:spacing w:before="240" w:line="260" w:lineRule="atLeast"/>
      </w:pPr>
      <w:bookmarkStart w:id="8365" w:name="Dissent_by_5"/>
      <w:bookmarkEnd w:id="8365"/>
      <w:r>
        <w:rPr>
          <w:rFonts w:ascii="Arial" w:eastAsia="Arial" w:hAnsi="Arial" w:cs="Arial"/>
          <w:b/>
          <w:color w:val="000000"/>
          <w:sz w:val="20"/>
        </w:rPr>
        <w:t>Dissent by:</w:t>
      </w:r>
      <w:r>
        <w:rPr>
          <w:rFonts w:ascii="Arial" w:eastAsia="Arial" w:hAnsi="Arial" w:cs="Arial"/>
          <w:color w:val="000000"/>
          <w:sz w:val="20"/>
        </w:rPr>
        <w:t> McKEAGUE</w:t>
      </w:r>
    </w:p>
    <w:p w14:paraId="3A49C6F2" w14:textId="77777777" w:rsidR="002B10A6" w:rsidRDefault="00000000">
      <w:pPr>
        <w:pStyle w:val="Normal45"/>
        <w:keepNext/>
        <w:widowControl w:val="0"/>
        <w:spacing w:before="240" w:line="340" w:lineRule="atLeast"/>
      </w:pPr>
      <w:bookmarkStart w:id="8366" w:name="Dissent_5"/>
      <w:bookmarkEnd w:id="8366"/>
      <w:r>
        <w:rPr>
          <w:rFonts w:ascii="Arial" w:eastAsia="Arial" w:hAnsi="Arial" w:cs="Arial"/>
          <w:b/>
          <w:color w:val="000000"/>
          <w:sz w:val="28"/>
        </w:rPr>
        <w:t>Dissent</w:t>
      </w:r>
    </w:p>
    <w:p w14:paraId="3B61F56D" w14:textId="7A3DC186" w:rsidR="002B10A6" w:rsidRDefault="002D6974">
      <w:pPr>
        <w:pStyle w:val="Normal45"/>
        <w:spacing w:line="60" w:lineRule="exact"/>
      </w:pPr>
      <w:r>
        <w:rPr>
          <w:noProof/>
        </w:rPr>
        <mc:AlternateContent>
          <mc:Choice Requires="wps">
            <w:drawing>
              <wp:anchor distT="0" distB="0" distL="114300" distR="114300" simplePos="0" relativeHeight="251758592" behindDoc="0" locked="0" layoutInCell="1" allowOverlap="1" wp14:anchorId="39E71AE3" wp14:editId="31E00572">
                <wp:simplePos x="0" y="0"/>
                <wp:positionH relativeFrom="column">
                  <wp:posOffset>0</wp:posOffset>
                </wp:positionH>
                <wp:positionV relativeFrom="paragraph">
                  <wp:posOffset>25400</wp:posOffset>
                </wp:positionV>
                <wp:extent cx="3187700" cy="0"/>
                <wp:effectExtent l="19050" t="15875" r="12700" b="12700"/>
                <wp:wrapTopAndBottom/>
                <wp:docPr id="243761420"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D7E86" id="Line 99"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8112353" w14:textId="77777777" w:rsidR="002B10A6" w:rsidRDefault="002B10A6">
      <w:pPr>
        <w:pStyle w:val="Normal45"/>
        <w:spacing w:line="120" w:lineRule="exact"/>
      </w:pPr>
    </w:p>
    <w:p w14:paraId="048500FF" w14:textId="77777777" w:rsidR="002B10A6" w:rsidRDefault="00000000">
      <w:pPr>
        <w:pStyle w:val="Normal45"/>
        <w:widowControl w:val="0"/>
        <w:spacing w:before="240" w:line="260" w:lineRule="atLeast"/>
      </w:pPr>
      <w:r>
        <w:br/>
      </w:r>
      <w:r>
        <w:rPr>
          <w:rFonts w:ascii="Arial" w:eastAsia="Arial" w:hAnsi="Arial" w:cs="Arial"/>
          <w:b/>
          <w:color w:val="000000"/>
          <w:sz w:val="20"/>
        </w:rPr>
        <w:t>DISSENT</w:t>
      </w:r>
    </w:p>
    <w:p w14:paraId="7D83E1F1" w14:textId="77777777" w:rsidR="002B10A6" w:rsidRDefault="00000000">
      <w:pPr>
        <w:pStyle w:val="Normal45"/>
        <w:widowControl w:val="0"/>
        <w:spacing w:before="200" w:line="260" w:lineRule="atLeast"/>
        <w:jc w:val="both"/>
      </w:pPr>
      <w:bookmarkStart w:id="8367" w:name="Bookmark_para_26_26"/>
      <w:bookmarkEnd w:id="8367"/>
      <w:r>
        <w:rPr>
          <w:rFonts w:ascii="Arial" w:eastAsia="Arial" w:hAnsi="Arial" w:cs="Arial"/>
          <w:color w:val="000000"/>
          <w:sz w:val="20"/>
        </w:rPr>
        <w:t>McKEAGUE, Circuit Judge, dissenting. You're in Detroit. You've just flown two thousand miles from your home in Arizona over deserts, mountains, and plains, trading them for all the Motor City has to offer. Maybe you're here to visit family, or maybe you're doing business. Either way, shopping is on the itinerary. The only question is, where do you stop? A store you [**17]  don't have at home? A gift shop, for a souvenir?</w:t>
      </w:r>
    </w:p>
    <w:p w14:paraId="477FDA4E" w14:textId="77777777" w:rsidR="002B10A6" w:rsidRDefault="00000000">
      <w:pPr>
        <w:pStyle w:val="Normal45"/>
        <w:widowControl w:val="0"/>
        <w:spacing w:before="200" w:line="260" w:lineRule="atLeast"/>
        <w:jc w:val="both"/>
      </w:pPr>
      <w:bookmarkStart w:id="8368" w:name="Bookmark_para_27_26"/>
      <w:bookmarkEnd w:id="8368"/>
      <w:r>
        <w:rPr>
          <w:rFonts w:ascii="Arial" w:eastAsia="Arial" w:hAnsi="Arial" w:cs="Arial"/>
          <w:color w:val="000000"/>
          <w:sz w:val="20"/>
        </w:rPr>
        <w:t>I doubt a Kohl's store in a Detroit suburb was your answer. Nothing against Kohl's, of course—Southeast Michigan is the place to be for sensibly-priced clothing, footwear, jewelry, home décor, and other department store classics thanks to Kohl's, the nationwide retail chain. There are over twenty stores within fifty miles of Detroit. Check for yourself at kohls.com/stores.</w:t>
      </w:r>
    </w:p>
    <w:p w14:paraId="0EE6B0A4" w14:textId="77777777" w:rsidR="002B10A6" w:rsidRDefault="00000000">
      <w:pPr>
        <w:pStyle w:val="Normal45"/>
        <w:widowControl w:val="0"/>
        <w:spacing w:before="200" w:line="260" w:lineRule="atLeast"/>
        <w:jc w:val="both"/>
      </w:pPr>
      <w:bookmarkStart w:id="8369" w:name="Bookmark_para_28_26"/>
      <w:bookmarkEnd w:id="8369"/>
      <w:r>
        <w:rPr>
          <w:rFonts w:ascii="Arial" w:eastAsia="Arial" w:hAnsi="Arial" w:cs="Arial"/>
          <w:color w:val="000000"/>
          <w:sz w:val="20"/>
        </w:rPr>
        <w:t>But who plans on going to a suburban Kohl's on a trip to Detroit? Daimeon Mosley, apparently. Mosley says he plans to make the trek from his home in Maricopa County, Arizona, to two Kohl's stores thousands of miles away in Novi and Northville, Michigan. (Forget about the eighteen Kohl's locations in Maricopa County.) Mosley did visit the Novi and Northville stores once in the past. We don't know why. But we do know that Mosley, who is disabled, alleges the stores' bathrooms don't comply with the Americans with Disabilities Act (ADA).</w:t>
      </w:r>
    </w:p>
    <w:p w14:paraId="43132FF0" w14:textId="77777777" w:rsidR="002B10A6" w:rsidRDefault="00000000">
      <w:pPr>
        <w:pStyle w:val="Normal45"/>
        <w:widowControl w:val="0"/>
        <w:spacing w:before="200" w:line="260" w:lineRule="atLeast"/>
        <w:jc w:val="both"/>
      </w:pPr>
      <w:bookmarkStart w:id="8370" w:name="Bookmark_para_29_25"/>
      <w:bookmarkEnd w:id="8370"/>
      <w:r>
        <w:rPr>
          <w:rFonts w:ascii="Arial" w:eastAsia="Arial" w:hAnsi="Arial" w:cs="Arial"/>
          <w:color w:val="000000"/>
          <w:sz w:val="20"/>
        </w:rPr>
        <w:t>So Mosley sued Kohl's for prospective relief—that is, forward-looking relief to protect against future injury, rather than backward-looking relief like money damages to make good on past injury. Specifically, Mosley asked the district court [**18]  for an injunction forcing the two Michigan stores to update their bathrooms. The district court, however, dismissed Mosley's suit on the stores' motion, finding it implausible that Mosley would return to these stores and thus suffer any future injury that an injunction could protect him from. In other words, the district court held Mosley lacked standing—the constitutional lock on all federal courthouse doors.</w:t>
      </w:r>
    </w:p>
    <w:p w14:paraId="5222D20B" w14:textId="77777777" w:rsidR="002B10A6" w:rsidRDefault="00000000">
      <w:pPr>
        <w:pStyle w:val="Normal45"/>
        <w:widowControl w:val="0"/>
        <w:spacing w:before="200" w:line="260" w:lineRule="atLeast"/>
        <w:jc w:val="both"/>
      </w:pPr>
      <w:bookmarkStart w:id="8371" w:name="Bookmark_para_30_24"/>
      <w:bookmarkEnd w:id="8371"/>
      <w:r>
        <w:rPr>
          <w:rFonts w:ascii="Arial" w:eastAsia="Arial" w:hAnsi="Arial" w:cs="Arial"/>
          <w:color w:val="000000"/>
          <w:sz w:val="20"/>
        </w:rPr>
        <w:t>If the stores' bathrooms truly aren't ADA-compliant, Kohl's needs to fix that. That goes without saying. But the majority,  [*762]  in reversing the district court's decision, lets too many things go without saying. The majority nearly effaces the constitutional mandate of standing for ADA plaintiffs, who can now plead almost nothing about future injury yet still invoke a federal court's jurisdiction. It's discount standing. And while 20% off works for Kohl's, it doesn't work for the Constitution. I would instead affirm the district court.</w:t>
      </w:r>
    </w:p>
    <w:p w14:paraId="1CE0D141" w14:textId="77777777" w:rsidR="002B10A6" w:rsidRDefault="00000000">
      <w:pPr>
        <w:pStyle w:val="Normal45"/>
        <w:widowControl w:val="0"/>
        <w:spacing w:before="240" w:line="260" w:lineRule="atLeast"/>
      </w:pPr>
      <w:r>
        <w:br/>
      </w:r>
      <w:r>
        <w:rPr>
          <w:rFonts w:ascii="Arial" w:eastAsia="Arial" w:hAnsi="Arial" w:cs="Arial"/>
          <w:b/>
          <w:color w:val="000000"/>
          <w:sz w:val="20"/>
        </w:rPr>
        <w:t>I</w:t>
      </w:r>
    </w:p>
    <w:p w14:paraId="77C87B9C" w14:textId="77777777" w:rsidR="002B10A6" w:rsidRDefault="00000000">
      <w:pPr>
        <w:pStyle w:val="Normal45"/>
        <w:widowControl w:val="0"/>
        <w:spacing w:before="200" w:line="260" w:lineRule="atLeast"/>
        <w:jc w:val="both"/>
      </w:pPr>
      <w:bookmarkStart w:id="8372" w:name="Bookmark_para_31_24"/>
      <w:bookmarkStart w:id="8373" w:name="Bookmark_I11TTCNMXG00000739200027"/>
      <w:bookmarkStart w:id="8374" w:name="Bookmark_I5XGKM0C2SF8K20030000400"/>
      <w:bookmarkEnd w:id="8372"/>
      <w:bookmarkEnd w:id="8373"/>
      <w:bookmarkEnd w:id="8374"/>
      <w:r>
        <w:rPr>
          <w:rFonts w:ascii="Arial" w:eastAsia="Arial" w:hAnsi="Arial" w:cs="Arial"/>
          <w:color w:val="000000"/>
          <w:sz w:val="20"/>
        </w:rPr>
        <w:t xml:space="preserve">Let's start with the basics. When requesting injunctive relief, a plaintiff must allege a "real and immediate" threat of future injury to satisfy the Constitution's standing requirement. </w:t>
      </w:r>
      <w:bookmarkStart w:id="8375" w:name="Bookmark_I71FBKX7MHR00002PHG005M1"/>
      <w:bookmarkStart w:id="8376" w:name="Bookmark_I71FBKX7RBW00002PHG005M3"/>
      <w:bookmarkStart w:id="8377" w:name="Bookmark_I5XGKM0C2SF8K20050000400"/>
      <w:bookmarkStart w:id="8378" w:name="Bookmark_I5XGKM0C2SF8K20020000400"/>
      <w:bookmarkEnd w:id="8375"/>
      <w:bookmarkEnd w:id="8376"/>
      <w:bookmarkEnd w:id="8377"/>
      <w:bookmarkEnd w:id="8378"/>
      <w:r>
        <w:rPr>
          <w:rFonts w:ascii="Arial" w:eastAsia="Arial" w:hAnsi="Arial" w:cs="Arial"/>
          <w:i/>
          <w:color w:val="000000"/>
          <w:sz w:val="20"/>
        </w:rPr>
        <w:t>City of Los Angeles v. Lyons</w:t>
      </w:r>
      <w:r>
        <w:rPr>
          <w:rFonts w:ascii="Arial" w:eastAsia="Arial" w:hAnsi="Arial" w:cs="Arial"/>
          <w:color w:val="000000"/>
          <w:sz w:val="20"/>
        </w:rPr>
        <w:t xml:space="preserve">, 461 U.S. 95, 102, 103 S. Ct. 1660, 75 L. Ed. 2d 675 (1983). </w:t>
      </w:r>
      <w:bookmarkStart w:id="8379" w:name="Bookmark_I5XGKM0C2SF8K20050000400_2"/>
      <w:bookmarkEnd w:id="8379"/>
      <w:r>
        <w:rPr>
          <w:rFonts w:ascii="Arial" w:eastAsia="Arial" w:hAnsi="Arial" w:cs="Arial"/>
          <w:color w:val="000000"/>
          <w:sz w:val="20"/>
        </w:rPr>
        <w:t xml:space="preserve">A plaintiff's allegations need only plausibly suggest such future [**19]  injury if the defendant mounts a facial rather than factual attack on the plaintiff's complaint. </w:t>
      </w:r>
      <w:r>
        <w:rPr>
          <w:rFonts w:ascii="Arial" w:eastAsia="Arial" w:hAnsi="Arial" w:cs="Arial"/>
          <w:i/>
          <w:color w:val="000000"/>
          <w:sz w:val="20"/>
        </w:rPr>
        <w:t xml:space="preserve">See </w:t>
      </w:r>
      <w:bookmarkStart w:id="8380" w:name="Bookmark_I5XGKM0C2SF8K20040000400"/>
      <w:bookmarkEnd w:id="8380"/>
      <w:r>
        <w:rPr>
          <w:rFonts w:ascii="Arial" w:eastAsia="Arial" w:hAnsi="Arial" w:cs="Arial"/>
          <w:i/>
          <w:color w:val="000000"/>
          <w:sz w:val="20"/>
        </w:rPr>
        <w:t>Ashcroft v. Iqbal</w:t>
      </w:r>
      <w:r>
        <w:rPr>
          <w:rFonts w:ascii="Arial" w:eastAsia="Arial" w:hAnsi="Arial" w:cs="Arial"/>
          <w:color w:val="000000"/>
          <w:sz w:val="20"/>
        </w:rPr>
        <w:t xml:space="preserve">, 556 U.S. 662, 679, 129 S. Ct. 1937, 173 L. Ed. 2d 868 (2009); </w:t>
      </w:r>
      <w:bookmarkStart w:id="8381" w:name="Bookmark_I5XGKM0F2D6N5T0010000400"/>
      <w:bookmarkEnd w:id="8381"/>
      <w:r>
        <w:rPr>
          <w:rFonts w:ascii="Arial" w:eastAsia="Arial" w:hAnsi="Arial" w:cs="Arial"/>
          <w:i/>
          <w:color w:val="000000"/>
          <w:sz w:val="20"/>
        </w:rPr>
        <w:t>United States v. Ritchie</w:t>
      </w:r>
      <w:r>
        <w:rPr>
          <w:rFonts w:ascii="Arial" w:eastAsia="Arial" w:hAnsi="Arial" w:cs="Arial"/>
          <w:color w:val="000000"/>
          <w:sz w:val="20"/>
        </w:rPr>
        <w:t xml:space="preserve">, 15 F.3d 592, 598 (6th Cir. 1994). </w:t>
      </w:r>
      <w:bookmarkStart w:id="8382" w:name="Bookmark_I11TTCNN5BF000073920002D"/>
      <w:bookmarkStart w:id="8383" w:name="Bookmark_I5XGKM0F2D6N5T0040000400"/>
      <w:bookmarkEnd w:id="8382"/>
      <w:bookmarkEnd w:id="8383"/>
      <w:r>
        <w:rPr>
          <w:rFonts w:ascii="Arial" w:eastAsia="Arial" w:hAnsi="Arial" w:cs="Arial"/>
          <w:color w:val="000000"/>
          <w:sz w:val="20"/>
        </w:rPr>
        <w:t xml:space="preserve">This isn't a high bar, especially where, as here, much of the information that would establish standing is within the plaintiff's control. </w:t>
      </w:r>
      <w:bookmarkStart w:id="8384" w:name="Bookmark_I11TTCNN6RG000073920002F"/>
      <w:bookmarkStart w:id="8385" w:name="Bookmark_I11TTCNND5V000073920002K"/>
      <w:bookmarkStart w:id="8386" w:name="Bookmark_I11TTCNN9F8000073920002H"/>
      <w:bookmarkStart w:id="8387" w:name="Bookmark_I5XGKM0F2SF8KD0010000400"/>
      <w:bookmarkEnd w:id="8384"/>
      <w:bookmarkEnd w:id="8385"/>
      <w:bookmarkEnd w:id="8386"/>
      <w:bookmarkEnd w:id="8387"/>
      <w:r>
        <w:rPr>
          <w:rFonts w:ascii="Arial" w:eastAsia="Arial" w:hAnsi="Arial" w:cs="Arial"/>
          <w:color w:val="000000"/>
          <w:sz w:val="20"/>
        </w:rPr>
        <w:t xml:space="preserve">We even draw all reasonable inferences in favor of the plaintiff. </w:t>
      </w:r>
      <w:bookmarkStart w:id="8388" w:name="Bookmark_I5XGKM0F2D6N5T0030000400"/>
      <w:bookmarkEnd w:id="8388"/>
      <w:r>
        <w:rPr>
          <w:rFonts w:ascii="Arial" w:eastAsia="Arial" w:hAnsi="Arial" w:cs="Arial"/>
          <w:i/>
          <w:color w:val="000000"/>
          <w:sz w:val="20"/>
        </w:rPr>
        <w:t>Directv, Inc. v. Treesh</w:t>
      </w:r>
      <w:r>
        <w:rPr>
          <w:rFonts w:ascii="Arial" w:eastAsia="Arial" w:hAnsi="Arial" w:cs="Arial"/>
          <w:color w:val="000000"/>
          <w:sz w:val="20"/>
        </w:rPr>
        <w:t xml:space="preserve">, 487 F.3d 471, 476 (6th Cir. 2007). </w:t>
      </w:r>
      <w:bookmarkStart w:id="8389" w:name="Bookmark_I5XGKM0F2SF8KD0010000400_2"/>
      <w:bookmarkStart w:id="8390" w:name="Bookmark_I11TTCNNH39000073920002N"/>
      <w:bookmarkStart w:id="8391" w:name="Bookmark_I5XGKM0G2D6N600020000400"/>
      <w:bookmarkEnd w:id="8389"/>
      <w:bookmarkEnd w:id="8390"/>
      <w:bookmarkEnd w:id="8391"/>
      <w:r>
        <w:rPr>
          <w:rFonts w:ascii="Arial" w:eastAsia="Arial" w:hAnsi="Arial" w:cs="Arial"/>
          <w:color w:val="000000"/>
          <w:sz w:val="20"/>
        </w:rPr>
        <w:t xml:space="preserve">But it's not enough to simply parrot the law in a complaint, </w:t>
      </w:r>
      <w:bookmarkStart w:id="8392" w:name="Bookmark_I5XGKM0F2D6N5T0050000400"/>
      <w:bookmarkEnd w:id="8392"/>
      <w:r>
        <w:rPr>
          <w:rFonts w:ascii="Arial" w:eastAsia="Arial" w:hAnsi="Arial" w:cs="Arial"/>
          <w:i/>
          <w:color w:val="000000"/>
          <w:sz w:val="20"/>
        </w:rPr>
        <w:t>Iqbal</w:t>
      </w:r>
      <w:r>
        <w:rPr>
          <w:rFonts w:ascii="Arial" w:eastAsia="Arial" w:hAnsi="Arial" w:cs="Arial"/>
          <w:color w:val="000000"/>
          <w:sz w:val="20"/>
        </w:rPr>
        <w:t xml:space="preserve">, 556 U.S. at 678, or "couch" legal conclusions as factual allegations, </w:t>
      </w:r>
      <w:bookmarkStart w:id="8393" w:name="Bookmark_I5XGKM0F2SF8KD0020000400"/>
      <w:bookmarkEnd w:id="8393"/>
      <w:r>
        <w:rPr>
          <w:rFonts w:ascii="Arial" w:eastAsia="Arial" w:hAnsi="Arial" w:cs="Arial"/>
          <w:i/>
          <w:color w:val="000000"/>
          <w:sz w:val="20"/>
        </w:rPr>
        <w:t>Bell Atl. Corp. v. Twombly</w:t>
      </w:r>
      <w:r>
        <w:rPr>
          <w:rFonts w:ascii="Arial" w:eastAsia="Arial" w:hAnsi="Arial" w:cs="Arial"/>
          <w:color w:val="000000"/>
          <w:sz w:val="20"/>
        </w:rPr>
        <w:t xml:space="preserve">, 550 U.S. 544, 555, 127 S. Ct. 1955, 167 L. Ed. 2d 929 (2007) (citing </w:t>
      </w:r>
      <w:bookmarkStart w:id="8394" w:name="Bookmark_I5XGKM0F2SF8KD0040000400"/>
      <w:bookmarkEnd w:id="8394"/>
      <w:r>
        <w:rPr>
          <w:rFonts w:ascii="Arial" w:eastAsia="Arial" w:hAnsi="Arial" w:cs="Arial"/>
          <w:i/>
          <w:color w:val="000000"/>
          <w:sz w:val="20"/>
        </w:rPr>
        <w:t>Papasan v. Allain</w:t>
      </w:r>
      <w:r>
        <w:rPr>
          <w:rFonts w:ascii="Arial" w:eastAsia="Arial" w:hAnsi="Arial" w:cs="Arial"/>
          <w:color w:val="000000"/>
          <w:sz w:val="20"/>
        </w:rPr>
        <w:t xml:space="preserve">, 478 U.S. 265, 286, 106 S. Ct. 2932, 92 L. Ed. 2d 209 (1986)). </w:t>
      </w:r>
      <w:bookmarkStart w:id="8395" w:name="Bookmark_I5XGKM0G2D6N600020000400_2"/>
      <w:bookmarkEnd w:id="8395"/>
      <w:r>
        <w:rPr>
          <w:rFonts w:ascii="Arial" w:eastAsia="Arial" w:hAnsi="Arial" w:cs="Arial"/>
          <w:color w:val="000000"/>
          <w:sz w:val="20"/>
        </w:rPr>
        <w:t xml:space="preserve">The facts, and only the facts, must plausibly suggest future injury. </w:t>
      </w:r>
      <w:r>
        <w:rPr>
          <w:rFonts w:ascii="Arial" w:eastAsia="Arial" w:hAnsi="Arial" w:cs="Arial"/>
          <w:i/>
          <w:color w:val="000000"/>
          <w:sz w:val="20"/>
        </w:rPr>
        <w:t xml:space="preserve">See </w:t>
      </w:r>
      <w:bookmarkStart w:id="8396" w:name="Bookmark_I5XGKM0G2D6N600010000400"/>
      <w:bookmarkEnd w:id="8396"/>
      <w:r>
        <w:rPr>
          <w:rFonts w:ascii="Arial" w:eastAsia="Arial" w:hAnsi="Arial" w:cs="Arial"/>
          <w:i/>
          <w:color w:val="000000"/>
          <w:sz w:val="20"/>
        </w:rPr>
        <w:t>Iqbal</w:t>
      </w:r>
      <w:r>
        <w:rPr>
          <w:rFonts w:ascii="Arial" w:eastAsia="Arial" w:hAnsi="Arial" w:cs="Arial"/>
          <w:color w:val="000000"/>
          <w:sz w:val="20"/>
        </w:rPr>
        <w:t>, 556 U.S. at 678.</w:t>
      </w:r>
    </w:p>
    <w:p w14:paraId="613AF712" w14:textId="77777777" w:rsidR="002B10A6" w:rsidRDefault="00000000">
      <w:pPr>
        <w:pStyle w:val="Normal45"/>
        <w:widowControl w:val="0"/>
        <w:spacing w:before="200" w:line="260" w:lineRule="atLeast"/>
        <w:jc w:val="both"/>
      </w:pPr>
      <w:bookmarkStart w:id="8397" w:name="Bookmark_para_32_24"/>
      <w:bookmarkStart w:id="8398" w:name="Bookmark_I11TTCNNKTV000073920002R"/>
      <w:bookmarkStart w:id="8399" w:name="Bookmark_I5XGKM0G2D6N600040000400"/>
      <w:bookmarkEnd w:id="8397"/>
      <w:bookmarkEnd w:id="8398"/>
      <w:bookmarkEnd w:id="8399"/>
      <w:r>
        <w:rPr>
          <w:rFonts w:ascii="Arial" w:eastAsia="Arial" w:hAnsi="Arial" w:cs="Arial"/>
          <w:color w:val="000000"/>
          <w:sz w:val="20"/>
        </w:rPr>
        <w:t xml:space="preserve">As the majority notes, we've explained before how all this translates to ADA cases like Mosley's. </w:t>
      </w:r>
      <w:bookmarkStart w:id="8400" w:name="Bookmark_I11TTCNNN5B000073920002S"/>
      <w:bookmarkStart w:id="8401" w:name="Bookmark_I11TTCNTBDY0000739200055"/>
      <w:bookmarkStart w:id="8402" w:name="Bookmark_I5XGKM0G2N1R550010000400"/>
      <w:bookmarkEnd w:id="8400"/>
      <w:bookmarkEnd w:id="8401"/>
      <w:bookmarkEnd w:id="8402"/>
      <w:r>
        <w:rPr>
          <w:rFonts w:ascii="Arial" w:eastAsia="Arial" w:hAnsi="Arial" w:cs="Arial"/>
          <w:color w:val="000000"/>
          <w:sz w:val="20"/>
        </w:rPr>
        <w:t xml:space="preserve">In </w:t>
      </w:r>
      <w:r>
        <w:rPr>
          <w:rFonts w:ascii="Arial" w:eastAsia="Arial" w:hAnsi="Arial" w:cs="Arial"/>
          <w:i/>
          <w:color w:val="000000"/>
          <w:sz w:val="20"/>
        </w:rPr>
        <w:t>Gaylor v. Hamilton Crossing CMBS</w:t>
      </w:r>
      <w:r>
        <w:rPr>
          <w:rFonts w:ascii="Arial" w:eastAsia="Arial" w:hAnsi="Arial" w:cs="Arial"/>
          <w:color w:val="000000"/>
          <w:sz w:val="20"/>
        </w:rPr>
        <w:t xml:space="preserve">, we held that a plaintiff "demonstrates the requisite threat of future injury where he establishes (1) a plausible intent to return to the noncompliant accommodation or (2) that he would return, but is deterred from visiting the noncompliant accommodation because of the alleged accessibility barriers." </w:t>
      </w:r>
      <w:bookmarkStart w:id="8403" w:name="Bookmark_I5XGKM0G2D6N600030000400"/>
      <w:bookmarkEnd w:id="8403"/>
      <w:r>
        <w:rPr>
          <w:rFonts w:ascii="Arial" w:eastAsia="Arial" w:hAnsi="Arial" w:cs="Arial"/>
          <w:color w:val="000000"/>
          <w:sz w:val="20"/>
        </w:rPr>
        <w:t xml:space="preserve">582 F. App'x 576, 580 (6th Cir. 2014). </w:t>
      </w:r>
      <w:bookmarkStart w:id="8404" w:name="Bookmark_I11TTCNNRWF000073920002V"/>
      <w:bookmarkStart w:id="8405" w:name="Bookmark_I5XGKM0G2N1R550050000400"/>
      <w:bookmarkEnd w:id="8404"/>
      <w:bookmarkEnd w:id="8405"/>
      <w:r>
        <w:rPr>
          <w:rFonts w:ascii="Arial" w:eastAsia="Arial" w:hAnsi="Arial" w:cs="Arial"/>
          <w:color w:val="000000"/>
          <w:sz w:val="20"/>
        </w:rPr>
        <w:t xml:space="preserve">We found there that Gaylor, a White County, Georgia resident, plausibly alleged he would return to the defendant store in Chattanooga, Tennessee (some one hundred forty miles away). </w:t>
      </w:r>
      <w:bookmarkStart w:id="8406" w:name="Bookmark_I5XGKM0G2N1R550050000400_2"/>
      <w:bookmarkStart w:id="8407" w:name="Bookmark_I71FBKX8B5500002PHG005MH"/>
      <w:bookmarkStart w:id="8408" w:name="Bookmark_I71FBKXCP6F00002PHG005PX"/>
      <w:bookmarkStart w:id="8409" w:name="Bookmark_I5XGKM0G2N1R550010000400_2"/>
      <w:bookmarkStart w:id="8410" w:name="Bookmark_I11TTCNNVPN000073920002X"/>
      <w:bookmarkStart w:id="8411" w:name="Bookmark_I5XGKM0H28T4HH0020000400"/>
      <w:bookmarkStart w:id="8412" w:name="Bookmark_I5XGKM0G2D6N600050000400"/>
      <w:bookmarkEnd w:id="8406"/>
      <w:bookmarkEnd w:id="8407"/>
      <w:bookmarkEnd w:id="8408"/>
      <w:bookmarkEnd w:id="8409"/>
      <w:bookmarkEnd w:id="8410"/>
      <w:bookmarkEnd w:id="8411"/>
      <w:bookmarkEnd w:id="8412"/>
      <w:r>
        <w:rPr>
          <w:rFonts w:ascii="Arial" w:eastAsia="Arial" w:hAnsi="Arial" w:cs="Arial"/>
          <w:i/>
          <w:color w:val="000000"/>
          <w:sz w:val="20"/>
        </w:rPr>
        <w:t>Id.</w:t>
      </w:r>
      <w:r>
        <w:rPr>
          <w:rFonts w:ascii="Arial" w:eastAsia="Arial" w:hAnsi="Arial" w:cs="Arial"/>
          <w:color w:val="000000"/>
          <w:sz w:val="20"/>
        </w:rPr>
        <w:t xml:space="preserve"> at 580; Amended Complaint at 2, </w:t>
      </w:r>
      <w:bookmarkStart w:id="8413" w:name="Bookmark_I5XGKM0G2N1R550020000400"/>
      <w:bookmarkEnd w:id="8413"/>
      <w:r>
        <w:rPr>
          <w:rFonts w:ascii="Arial" w:eastAsia="Arial" w:hAnsi="Arial" w:cs="Arial"/>
          <w:i/>
          <w:color w:val="000000"/>
          <w:sz w:val="20"/>
        </w:rPr>
        <w:t>Gaylor v. Hamilton Crossing CMBS, LLC</w:t>
      </w:r>
      <w:r>
        <w:rPr>
          <w:rFonts w:ascii="Arial" w:eastAsia="Arial" w:hAnsi="Arial" w:cs="Arial"/>
          <w:color w:val="000000"/>
          <w:sz w:val="20"/>
        </w:rPr>
        <w:t xml:space="preserve">, No. 1:12-CV-86, 2013 U.S. Dist. LEXIS 192955, 2013 WL 12099070 (E.D. Tenn. Jan. 30, 2013). [**20]  </w:t>
      </w:r>
      <w:bookmarkStart w:id="8414" w:name="Bookmark_I5XGKM0H28T4HH0020000400_2"/>
      <w:bookmarkEnd w:id="8414"/>
      <w:r>
        <w:rPr>
          <w:rFonts w:ascii="Arial" w:eastAsia="Arial" w:hAnsi="Arial" w:cs="Arial"/>
          <w:color w:val="000000"/>
          <w:sz w:val="20"/>
        </w:rPr>
        <w:t xml:space="preserve">But, importantly, we didn't simply credit "Gaylor's allegations of intent and desire to return." </w:t>
      </w:r>
      <w:bookmarkStart w:id="8415" w:name="Bookmark_I5XGKM0G2N1R550040000400"/>
      <w:bookmarkEnd w:id="8415"/>
      <w:r>
        <w:rPr>
          <w:rFonts w:ascii="Arial" w:eastAsia="Arial" w:hAnsi="Arial" w:cs="Arial"/>
          <w:i/>
          <w:color w:val="000000"/>
          <w:sz w:val="20"/>
        </w:rPr>
        <w:t>Gaylor</w:t>
      </w:r>
      <w:r>
        <w:rPr>
          <w:rFonts w:ascii="Arial" w:eastAsia="Arial" w:hAnsi="Arial" w:cs="Arial"/>
          <w:color w:val="000000"/>
          <w:sz w:val="20"/>
        </w:rPr>
        <w:t xml:space="preserve">, 582 F. App'x at 580. </w:t>
      </w:r>
      <w:bookmarkStart w:id="8416" w:name="Bookmark_I5XGKM0H28T4HH0020000400_3"/>
      <w:bookmarkEnd w:id="8416"/>
      <w:r>
        <w:rPr>
          <w:rFonts w:ascii="Arial" w:eastAsia="Arial" w:hAnsi="Arial" w:cs="Arial"/>
          <w:color w:val="000000"/>
          <w:sz w:val="20"/>
        </w:rPr>
        <w:t xml:space="preserve">We instead found those allegations plausible in light of five facts: (1) his past visits to Chattanooga; (2) his "numerous" past visits to the store; (3) his past injuries caused by the store's ADA-noncompliance; (4) his explanations of why he regularly visits Chattanooga and the specific shopping center the store is in; and (5) his plan to visit the store again on an upcoming trip. </w:t>
      </w:r>
      <w:bookmarkStart w:id="8417" w:name="Bookmark_I5XGKM0H28T4HH0010000400"/>
      <w:bookmarkEnd w:id="8417"/>
      <w:r>
        <w:rPr>
          <w:rFonts w:ascii="Arial" w:eastAsia="Arial" w:hAnsi="Arial" w:cs="Arial"/>
          <w:i/>
          <w:color w:val="000000"/>
          <w:sz w:val="20"/>
        </w:rPr>
        <w:t>Id.</w:t>
      </w:r>
      <w:r>
        <w:rPr>
          <w:rFonts w:ascii="Arial" w:eastAsia="Arial" w:hAnsi="Arial" w:cs="Arial"/>
          <w:color w:val="000000"/>
          <w:sz w:val="20"/>
        </w:rPr>
        <w:t xml:space="preserve"> at 580-81.</w:t>
      </w:r>
    </w:p>
    <w:p w14:paraId="2E2560DB" w14:textId="77777777" w:rsidR="002B10A6" w:rsidRDefault="00000000">
      <w:pPr>
        <w:pStyle w:val="Normal45"/>
        <w:widowControl w:val="0"/>
        <w:spacing w:before="200" w:line="260" w:lineRule="atLeast"/>
        <w:jc w:val="both"/>
      </w:pPr>
      <w:bookmarkStart w:id="8418" w:name="Bookmark_para_33_23"/>
      <w:bookmarkStart w:id="8419" w:name="Bookmark_I11TTCNP0T80000739200031"/>
      <w:bookmarkStart w:id="8420" w:name="Bookmark_I5XGKM0H28T4HH0040000400"/>
      <w:bookmarkStart w:id="8421" w:name="Bookmark_I11TTCNP27M0000739200032"/>
      <w:bookmarkStart w:id="8422" w:name="Bookmark_I5XGKM0H2D6N630010000400"/>
      <w:bookmarkStart w:id="8423" w:name="Bookmark_I11TTCNP9B50000739200037"/>
      <w:bookmarkStart w:id="8424" w:name="Bookmark_I11TTCNPBSK0000739200038"/>
      <w:bookmarkStart w:id="8425" w:name="Bookmark_I11TTCNPD480000739200039"/>
      <w:bookmarkStart w:id="8426" w:name="Bookmark_I11TTCNPFH3000073920003B"/>
      <w:bookmarkStart w:id="8427" w:name="Bookmark_I5XGKM0H2SF8KR0020000400"/>
      <w:bookmarkStart w:id="8428" w:name="Bookmark_I71FBKX95W800002PHG005N4"/>
      <w:bookmarkStart w:id="8429" w:name="Bookmark_I71FBKX977T00002PHG005N5"/>
      <w:bookmarkStart w:id="8430" w:name="Bookmark_I5XGKM0J28T4HS0050000400"/>
      <w:bookmarkStart w:id="8431" w:name="Bookmark_I71FBKX98M000002PHG005N6"/>
      <w:bookmarkStart w:id="8432" w:name="Bookmark_I71FBKX99YR00002PHG005N7"/>
      <w:bookmarkStart w:id="8433" w:name="Bookmark_I71FBKX9CDY00002PHG0026B"/>
      <w:bookmarkStart w:id="8434" w:name="Bookmark_I5XGKM0J2N1R5J0040000400"/>
      <w:bookmarkEnd w:id="8418"/>
      <w:bookmarkEnd w:id="8419"/>
      <w:bookmarkEnd w:id="8420"/>
      <w:bookmarkEnd w:id="8421"/>
      <w:bookmarkEnd w:id="8422"/>
      <w:bookmarkEnd w:id="8423"/>
      <w:bookmarkEnd w:id="8424"/>
      <w:bookmarkEnd w:id="8425"/>
      <w:bookmarkEnd w:id="8426"/>
      <w:bookmarkEnd w:id="8427"/>
      <w:bookmarkEnd w:id="8428"/>
      <w:bookmarkEnd w:id="8429"/>
      <w:bookmarkEnd w:id="8430"/>
      <w:bookmarkEnd w:id="8431"/>
      <w:bookmarkEnd w:id="8432"/>
      <w:bookmarkEnd w:id="8433"/>
      <w:bookmarkEnd w:id="8434"/>
      <w:r>
        <w:rPr>
          <w:rFonts w:ascii="Arial" w:eastAsia="Arial" w:hAnsi="Arial" w:cs="Arial"/>
          <w:color w:val="000000"/>
          <w:sz w:val="20"/>
        </w:rPr>
        <w:t xml:space="preserve">Other courts have also found these facts relevant in applying their </w:t>
      </w:r>
      <w:r>
        <w:rPr>
          <w:rFonts w:ascii="Arial" w:eastAsia="Arial" w:hAnsi="Arial" w:cs="Arial"/>
          <w:i/>
          <w:color w:val="000000"/>
          <w:sz w:val="20"/>
        </w:rPr>
        <w:t>Gaylor</w:t>
      </w:r>
      <w:r>
        <w:rPr>
          <w:rFonts w:ascii="Arial" w:eastAsia="Arial" w:hAnsi="Arial" w:cs="Arial"/>
          <w:color w:val="000000"/>
          <w:sz w:val="20"/>
        </w:rPr>
        <w:t xml:space="preserve"> analogues. </w:t>
      </w:r>
      <w:bookmarkStart w:id="8435" w:name="Bookmark_I71FBKX8SRC00002PHG005MV"/>
      <w:bookmarkStart w:id="8436" w:name="Bookmark_I71FBKX8WM900002PHG005MX"/>
      <w:bookmarkStart w:id="8437" w:name="Bookmark_I5XGKM0H2D6N630030000400"/>
      <w:bookmarkEnd w:id="8435"/>
      <w:bookmarkEnd w:id="8436"/>
      <w:bookmarkEnd w:id="8437"/>
      <w:r>
        <w:rPr>
          <w:rFonts w:ascii="Arial" w:eastAsia="Arial" w:hAnsi="Arial" w:cs="Arial"/>
          <w:color w:val="000000"/>
          <w:sz w:val="20"/>
        </w:rPr>
        <w:t>Their decisions show that courts consider three non-exhaustive factors when assessing the plausibility of future injury: (1) the distance between the plaintiff's residence and the accommodation;</w:t>
      </w:r>
      <w:r>
        <w:rPr>
          <w:rFonts w:ascii="Arial" w:eastAsia="Arial" w:hAnsi="Arial" w:cs="Arial"/>
          <w:vertAlign w:val="superscript"/>
        </w:rPr>
        <w:footnoteReference w:customMarkFollows="1" w:id="444"/>
        <w:t>1</w:t>
      </w:r>
      <w:r>
        <w:rPr>
          <w:rFonts w:ascii="Arial" w:eastAsia="Arial" w:hAnsi="Arial" w:cs="Arial"/>
          <w:color w:val="000000"/>
          <w:sz w:val="20"/>
        </w:rPr>
        <w:t> [*763]  (2) the frequency of the plaintiff's past visits both to the area where the accommodation is located and to the accommodation itself;</w:t>
      </w:r>
      <w:r>
        <w:rPr>
          <w:rFonts w:ascii="Arial" w:eastAsia="Arial" w:hAnsi="Arial" w:cs="Arial"/>
          <w:vertAlign w:val="superscript"/>
        </w:rPr>
        <w:footnoteReference w:customMarkFollows="1" w:id="445"/>
        <w:t>2</w:t>
      </w:r>
      <w:r>
        <w:rPr>
          <w:rFonts w:ascii="Arial" w:eastAsia="Arial" w:hAnsi="Arial" w:cs="Arial"/>
          <w:color w:val="000000"/>
          <w:sz w:val="20"/>
        </w:rPr>
        <w:t xml:space="preserve"> and (3) the definiteness of the plaintiff's plan to return to the accommodation in the future, including reasons for both making a return trip and visiting the accommodation.</w:t>
      </w:r>
      <w:r>
        <w:rPr>
          <w:rFonts w:ascii="Arial" w:eastAsia="Arial" w:hAnsi="Arial" w:cs="Arial"/>
          <w:vertAlign w:val="superscript"/>
        </w:rPr>
        <w:footnoteReference w:customMarkFollows="1" w:id="446"/>
        <w:t>3</w:t>
      </w:r>
      <w:r>
        <w:rPr>
          <w:rFonts w:ascii="Arial" w:eastAsia="Arial" w:hAnsi="Arial" w:cs="Arial"/>
          <w:color w:val="000000"/>
          <w:sz w:val="20"/>
        </w:rPr>
        <w:t xml:space="preserve"> </w:t>
      </w:r>
      <w:r>
        <w:rPr>
          <w:rFonts w:ascii="Arial" w:eastAsia="Arial" w:hAnsi="Arial" w:cs="Arial"/>
          <w:i/>
          <w:color w:val="000000"/>
          <w:sz w:val="20"/>
        </w:rPr>
        <w:t xml:space="preserve">See, e.g., </w:t>
      </w:r>
      <w:bookmarkStart w:id="8450" w:name="Bookmark_I5XGKM0H28T4HH0030000400"/>
      <w:bookmarkEnd w:id="8450"/>
      <w:r>
        <w:rPr>
          <w:rFonts w:ascii="Arial" w:eastAsia="Arial" w:hAnsi="Arial" w:cs="Arial"/>
          <w:i/>
          <w:color w:val="000000"/>
          <w:sz w:val="20"/>
        </w:rPr>
        <w:t>Harris v. Stonecrest Care Auto Ctr., LLC</w:t>
      </w:r>
      <w:r>
        <w:rPr>
          <w:rFonts w:ascii="Arial" w:eastAsia="Arial" w:hAnsi="Arial" w:cs="Arial"/>
          <w:color w:val="000000"/>
          <w:sz w:val="20"/>
        </w:rPr>
        <w:t xml:space="preserve">, 472 F. Supp. 2d 1208, 1216 (S.D. Cal. 2007) (reciting virtually the same factors). The Second Circuit's decision in </w:t>
      </w:r>
      <w:r>
        <w:rPr>
          <w:rFonts w:ascii="Arial" w:eastAsia="Arial" w:hAnsi="Arial" w:cs="Arial"/>
          <w:i/>
          <w:color w:val="000000"/>
          <w:sz w:val="20"/>
        </w:rPr>
        <w:t>Camarillo v. Carrols Corp. [**21] </w:t>
      </w:r>
      <w:r>
        <w:rPr>
          <w:rFonts w:ascii="Arial" w:eastAsia="Arial" w:hAnsi="Arial" w:cs="Arial"/>
          <w:color w:val="000000"/>
          <w:sz w:val="20"/>
        </w:rPr>
        <w:t xml:space="preserve"> provides a brief illustration. </w:t>
      </w:r>
      <w:bookmarkStart w:id="8451" w:name="Bookmark_I5XGKM0H28T4HH0050000400"/>
      <w:bookmarkEnd w:id="8451"/>
      <w:r>
        <w:rPr>
          <w:rFonts w:ascii="Arial" w:eastAsia="Arial" w:hAnsi="Arial" w:cs="Arial"/>
          <w:color w:val="000000"/>
          <w:sz w:val="20"/>
        </w:rPr>
        <w:t xml:space="preserve">518 F.3d 153 (2d Cir. 2008). </w:t>
      </w:r>
      <w:bookmarkStart w:id="8452" w:name="Bookmark_I5XGKM0H2D6N630030000400_2"/>
      <w:bookmarkEnd w:id="8452"/>
      <w:r>
        <w:rPr>
          <w:rFonts w:ascii="Arial" w:eastAsia="Arial" w:hAnsi="Arial" w:cs="Arial"/>
          <w:color w:val="000000"/>
          <w:sz w:val="20"/>
        </w:rPr>
        <w:t xml:space="preserve">In that case, although Camarillo didn't allege plans to return to the defendants' restaurants in the future, </w:t>
      </w:r>
      <w:r>
        <w:rPr>
          <w:rFonts w:ascii="Arial" w:eastAsia="Arial" w:hAnsi="Arial" w:cs="Arial"/>
          <w:i/>
          <w:color w:val="000000"/>
          <w:sz w:val="20"/>
        </w:rPr>
        <w:t xml:space="preserve">see </w:t>
      </w:r>
      <w:bookmarkStart w:id="8453" w:name="Bookmark_I5XGKM0H2D6N630020000400"/>
      <w:bookmarkEnd w:id="8453"/>
      <w:r>
        <w:rPr>
          <w:rFonts w:ascii="Arial" w:eastAsia="Arial" w:hAnsi="Arial" w:cs="Arial"/>
          <w:i/>
          <w:color w:val="000000"/>
          <w:sz w:val="20"/>
        </w:rPr>
        <w:t>id.</w:t>
      </w:r>
      <w:r>
        <w:rPr>
          <w:rFonts w:ascii="Arial" w:eastAsia="Arial" w:hAnsi="Arial" w:cs="Arial"/>
          <w:color w:val="000000"/>
          <w:sz w:val="20"/>
        </w:rPr>
        <w:t xml:space="preserve"> at 155, she had standing because it was "reasonable to infer, based on the past frequency of her visits and the proximity of defendants' restaurants to her home," that she intended to return to the restaurants and would suffer future injury, </w:t>
      </w:r>
      <w:bookmarkStart w:id="8454" w:name="Bookmark_I5XGKM0H2D6N630040000400"/>
      <w:bookmarkEnd w:id="8454"/>
      <w:r>
        <w:rPr>
          <w:rFonts w:ascii="Arial" w:eastAsia="Arial" w:hAnsi="Arial" w:cs="Arial"/>
          <w:i/>
          <w:color w:val="000000"/>
          <w:sz w:val="20"/>
        </w:rPr>
        <w:t>id.</w:t>
      </w:r>
      <w:r>
        <w:rPr>
          <w:rFonts w:ascii="Arial" w:eastAsia="Arial" w:hAnsi="Arial" w:cs="Arial"/>
          <w:color w:val="000000"/>
          <w:sz w:val="20"/>
        </w:rPr>
        <w:t xml:space="preserve"> at 158.</w:t>
      </w:r>
    </w:p>
    <w:p w14:paraId="6B0179F0" w14:textId="77777777" w:rsidR="002B10A6" w:rsidRDefault="00000000">
      <w:pPr>
        <w:pStyle w:val="Normal45"/>
        <w:widowControl w:val="0"/>
        <w:spacing w:before="200" w:line="260" w:lineRule="atLeast"/>
        <w:jc w:val="both"/>
      </w:pPr>
      <w:bookmarkStart w:id="8455" w:name="Bookmark_para_34_21"/>
      <w:bookmarkStart w:id="8456" w:name="Bookmark_I11TTCNR3RK000073920003J"/>
      <w:bookmarkStart w:id="8457" w:name="Bookmark_I5XGKM0J28T4HW0050000400"/>
      <w:bookmarkEnd w:id="8455"/>
      <w:bookmarkEnd w:id="8456"/>
      <w:bookmarkEnd w:id="8457"/>
      <w:r>
        <w:rPr>
          <w:rFonts w:ascii="Arial" w:eastAsia="Arial" w:hAnsi="Arial" w:cs="Arial"/>
          <w:color w:val="000000"/>
          <w:sz w:val="20"/>
        </w:rPr>
        <w:t xml:space="preserve">Why set aside this collective "judicial experience and common sense"? </w:t>
      </w:r>
      <w:bookmarkStart w:id="8458" w:name="Bookmark_I5XGKM0J28T4HW0040000400"/>
      <w:bookmarkEnd w:id="8458"/>
      <w:r>
        <w:rPr>
          <w:rFonts w:ascii="Arial" w:eastAsia="Arial" w:hAnsi="Arial" w:cs="Arial"/>
          <w:i/>
          <w:color w:val="000000"/>
          <w:sz w:val="20"/>
        </w:rPr>
        <w:t>Iqbal</w:t>
      </w:r>
      <w:r>
        <w:rPr>
          <w:rFonts w:ascii="Arial" w:eastAsia="Arial" w:hAnsi="Arial" w:cs="Arial"/>
          <w:color w:val="000000"/>
          <w:sz w:val="20"/>
        </w:rPr>
        <w:t>, 556 U.S. at 679. Rather than crafting a new test out of whole cloth as the majority does (more on that later), I would apply these factors just as our circuit and every other circuit to address standing in this context has. And a common-sense application of the factors shows Mosley doesn't sufficiently allege a likelihood of future injury.</w:t>
      </w:r>
    </w:p>
    <w:p w14:paraId="32AFD7DC" w14:textId="77777777" w:rsidR="002B10A6" w:rsidRDefault="00000000">
      <w:pPr>
        <w:pStyle w:val="Normal45"/>
        <w:widowControl w:val="0"/>
        <w:spacing w:before="200" w:line="260" w:lineRule="atLeast"/>
        <w:jc w:val="both"/>
      </w:pPr>
      <w:bookmarkStart w:id="8459" w:name="Bookmark_para_35_21"/>
      <w:bookmarkEnd w:id="8459"/>
      <w:r>
        <w:rPr>
          <w:rFonts w:ascii="Arial" w:eastAsia="Arial" w:hAnsi="Arial" w:cs="Arial"/>
          <w:i/>
          <w:color w:val="000000"/>
          <w:sz w:val="20"/>
        </w:rPr>
        <w:t>First</w:t>
      </w:r>
      <w:r>
        <w:rPr>
          <w:rFonts w:ascii="Arial" w:eastAsia="Arial" w:hAnsi="Arial" w:cs="Arial"/>
          <w:color w:val="000000"/>
          <w:sz w:val="20"/>
        </w:rPr>
        <w:t xml:space="preserve">, Mosley lives nearly two thousand miles away from the Novi and Northville stores. </w:t>
      </w:r>
      <w:bookmarkStart w:id="8460" w:name="Bookmark_I11TTCNR53S000073920003K"/>
      <w:bookmarkStart w:id="8461" w:name="Bookmark_I11TTCNR6GB000073920003M"/>
      <w:bookmarkStart w:id="8462" w:name="Bookmark_I11TTCNR7V6000073920003N"/>
      <w:bookmarkStart w:id="8463" w:name="Bookmark_I5XGKM0K2HM6GH0020000400"/>
      <w:bookmarkEnd w:id="8460"/>
      <w:bookmarkEnd w:id="8461"/>
      <w:bookmarkEnd w:id="8462"/>
      <w:bookmarkEnd w:id="8463"/>
      <w:r>
        <w:rPr>
          <w:rFonts w:ascii="Arial" w:eastAsia="Arial" w:hAnsi="Arial" w:cs="Arial"/>
          <w:color w:val="000000"/>
          <w:sz w:val="20"/>
        </w:rPr>
        <w:t xml:space="preserve">That fact weighs heavily against his standing. The majority hasn't found a case involving such geographic remoteness, and neither have I. Moreover, the cases that do mention remoteness tend to involve much shorter distances or, at most, neighboring states. </w:t>
      </w:r>
      <w:r>
        <w:rPr>
          <w:rFonts w:ascii="Arial" w:eastAsia="Arial" w:hAnsi="Arial" w:cs="Arial"/>
          <w:i/>
          <w:color w:val="000000"/>
          <w:sz w:val="20"/>
        </w:rPr>
        <w:t xml:space="preserve">See </w:t>
      </w:r>
      <w:bookmarkStart w:id="8464" w:name="Bookmark_I5XGKM0K2HM6GH0010000400"/>
      <w:bookmarkEnd w:id="8464"/>
      <w:r>
        <w:rPr>
          <w:rFonts w:ascii="Arial" w:eastAsia="Arial" w:hAnsi="Arial" w:cs="Arial"/>
          <w:i/>
          <w:color w:val="000000"/>
          <w:sz w:val="20"/>
        </w:rPr>
        <w:t>Kennedy v. Solano</w:t>
      </w:r>
      <w:r>
        <w:rPr>
          <w:rFonts w:ascii="Arial" w:eastAsia="Arial" w:hAnsi="Arial" w:cs="Arial"/>
          <w:color w:val="000000"/>
          <w:sz w:val="20"/>
        </w:rPr>
        <w:t xml:space="preserve">, 735 F. App'x 653, 655 (11th Cir. 2018) (considering nearly two hundred miles remote and holding the plaintiff [**22]  lacked standing); </w:t>
      </w:r>
      <w:bookmarkStart w:id="8465" w:name="Bookmark_I5XGKM0K2HM6GH0030000400"/>
      <w:bookmarkEnd w:id="8465"/>
      <w:r>
        <w:rPr>
          <w:rFonts w:ascii="Arial" w:eastAsia="Arial" w:hAnsi="Arial" w:cs="Arial"/>
          <w:i/>
          <w:color w:val="000000"/>
          <w:sz w:val="20"/>
        </w:rPr>
        <w:t>Nanni v. Aberdeen Marketplace, Inc.</w:t>
      </w:r>
      <w:r>
        <w:rPr>
          <w:rFonts w:ascii="Arial" w:eastAsia="Arial" w:hAnsi="Arial" w:cs="Arial"/>
          <w:color w:val="000000"/>
          <w:sz w:val="20"/>
        </w:rPr>
        <w:t xml:space="preserve">, 878 F.3d 447, 456-57 (4th Cir. 2017) (noting a distance of forty miles was not "fatal" to standing when considering other factors); </w:t>
      </w:r>
      <w:r>
        <w:rPr>
          <w:rFonts w:ascii="Arial" w:eastAsia="Arial" w:hAnsi="Arial" w:cs="Arial"/>
          <w:i/>
          <w:color w:val="000000"/>
          <w:sz w:val="20"/>
        </w:rPr>
        <w:t xml:space="preserve">see also </w:t>
      </w:r>
      <w:bookmarkStart w:id="8466" w:name="Bookmark_I5XGKM0K2HM6GH0050000400"/>
      <w:bookmarkEnd w:id="8466"/>
      <w:r>
        <w:rPr>
          <w:rFonts w:ascii="Arial" w:eastAsia="Arial" w:hAnsi="Arial" w:cs="Arial"/>
          <w:i/>
          <w:color w:val="000000"/>
          <w:sz w:val="20"/>
        </w:rPr>
        <w:t>Scherr v. Marriott Int'l, Inc.</w:t>
      </w:r>
      <w:r>
        <w:rPr>
          <w:rFonts w:ascii="Arial" w:eastAsia="Arial" w:hAnsi="Arial" w:cs="Arial"/>
          <w:color w:val="000000"/>
          <w:sz w:val="20"/>
        </w:rPr>
        <w:t>, 703 F.3d 1069, 1074-75 (7th Cir. 2013) (holding an Illinois plaintiff had standing to sue a defendant in Overland Park, Kansas, just over the Missouri border).</w:t>
      </w:r>
    </w:p>
    <w:p w14:paraId="1EF8ED83" w14:textId="77777777" w:rsidR="002B10A6" w:rsidRDefault="00000000">
      <w:pPr>
        <w:pStyle w:val="Normal45"/>
        <w:widowControl w:val="0"/>
        <w:spacing w:before="200" w:line="260" w:lineRule="atLeast"/>
        <w:jc w:val="both"/>
      </w:pPr>
      <w:bookmarkStart w:id="8467" w:name="Bookmark_para_36_21"/>
      <w:bookmarkStart w:id="8468" w:name="Bookmark_I71FBKX9MH600002PHG005NF"/>
      <w:bookmarkStart w:id="8469" w:name="Bookmark_I71FBKX9NWM00002PHG005NG"/>
      <w:bookmarkStart w:id="8470" w:name="Bookmark_I5XGKM0K28T4J10030000400"/>
      <w:bookmarkEnd w:id="8467"/>
      <w:bookmarkEnd w:id="8468"/>
      <w:bookmarkEnd w:id="8469"/>
      <w:bookmarkEnd w:id="8470"/>
      <w:r>
        <w:rPr>
          <w:rFonts w:ascii="Arial" w:eastAsia="Arial" w:hAnsi="Arial" w:cs="Arial"/>
          <w:i/>
          <w:color w:val="000000"/>
          <w:sz w:val="20"/>
        </w:rPr>
        <w:t>Second</w:t>
      </w:r>
      <w:r>
        <w:rPr>
          <w:rFonts w:ascii="Arial" w:eastAsia="Arial" w:hAnsi="Arial" w:cs="Arial"/>
          <w:color w:val="000000"/>
          <w:sz w:val="20"/>
        </w:rPr>
        <w:t xml:space="preserve">, Mosley visited the stores only once in the past. While the majority is correct that a plaintiff isn't </w:t>
      </w:r>
      <w:r>
        <w:rPr>
          <w:rFonts w:ascii="Arial" w:eastAsia="Arial" w:hAnsi="Arial" w:cs="Arial"/>
          <w:i/>
          <w:color w:val="000000"/>
          <w:sz w:val="20"/>
        </w:rPr>
        <w:t>required</w:t>
      </w:r>
      <w:r>
        <w:rPr>
          <w:rFonts w:ascii="Arial" w:eastAsia="Arial" w:hAnsi="Arial" w:cs="Arial"/>
          <w:color w:val="000000"/>
          <w:sz w:val="20"/>
        </w:rPr>
        <w:t xml:space="preserve"> to make repeat visits, the fact that he has made infrequent past visits cuts against the plausibility of his claim of prospective injury. </w:t>
      </w:r>
      <w:r>
        <w:rPr>
          <w:rFonts w:ascii="Arial" w:eastAsia="Arial" w:hAnsi="Arial" w:cs="Arial"/>
          <w:i/>
          <w:color w:val="000000"/>
          <w:sz w:val="20"/>
        </w:rPr>
        <w:t xml:space="preserve">See </w:t>
      </w:r>
      <w:bookmarkStart w:id="8471" w:name="Bookmark_I5XGKM0K28T4J10020000400"/>
      <w:bookmarkEnd w:id="8471"/>
      <w:r>
        <w:rPr>
          <w:rFonts w:ascii="Arial" w:eastAsia="Arial" w:hAnsi="Arial" w:cs="Arial"/>
          <w:i/>
          <w:color w:val="000000"/>
          <w:sz w:val="20"/>
        </w:rPr>
        <w:t>Kennedy</w:t>
      </w:r>
      <w:r>
        <w:rPr>
          <w:rFonts w:ascii="Arial" w:eastAsia="Arial" w:hAnsi="Arial" w:cs="Arial"/>
          <w:color w:val="000000"/>
          <w:sz w:val="20"/>
        </w:rPr>
        <w:t xml:space="preserve">, 735 F. App'x at 655; </w:t>
      </w:r>
      <w:r>
        <w:rPr>
          <w:rFonts w:ascii="Arial" w:eastAsia="Arial" w:hAnsi="Arial" w:cs="Arial"/>
          <w:i/>
          <w:color w:val="000000"/>
          <w:sz w:val="20"/>
        </w:rPr>
        <w:t xml:space="preserve">cf. </w:t>
      </w:r>
      <w:bookmarkStart w:id="8472" w:name="Bookmark_I5XGKM0K28T4J10040000400"/>
      <w:bookmarkEnd w:id="8472"/>
      <w:r>
        <w:rPr>
          <w:rFonts w:ascii="Arial" w:eastAsia="Arial" w:hAnsi="Arial" w:cs="Arial"/>
          <w:i/>
          <w:color w:val="000000"/>
          <w:sz w:val="20"/>
        </w:rPr>
        <w:t>Gaylor</w:t>
      </w:r>
      <w:r>
        <w:rPr>
          <w:rFonts w:ascii="Arial" w:eastAsia="Arial" w:hAnsi="Arial" w:cs="Arial"/>
          <w:color w:val="000000"/>
          <w:sz w:val="20"/>
        </w:rPr>
        <w:t>, 582 F. App'x at 580 (plaintiff alleged "that he has visited and attempted  [*764]  to patronize [the defendant] store 'numerous times'").</w:t>
      </w:r>
    </w:p>
    <w:p w14:paraId="4EBC8538" w14:textId="77777777" w:rsidR="002B10A6" w:rsidRDefault="00000000">
      <w:pPr>
        <w:pStyle w:val="Normal45"/>
        <w:widowControl w:val="0"/>
        <w:spacing w:before="200" w:line="260" w:lineRule="atLeast"/>
        <w:jc w:val="both"/>
      </w:pPr>
      <w:bookmarkStart w:id="8473" w:name="Bookmark_para_37_20"/>
      <w:bookmarkEnd w:id="8473"/>
      <w:r>
        <w:rPr>
          <w:rFonts w:ascii="Arial" w:eastAsia="Arial" w:hAnsi="Arial" w:cs="Arial"/>
          <w:i/>
          <w:color w:val="000000"/>
          <w:sz w:val="20"/>
        </w:rPr>
        <w:t>Third</w:t>
      </w:r>
      <w:r>
        <w:rPr>
          <w:rFonts w:ascii="Arial" w:eastAsia="Arial" w:hAnsi="Arial" w:cs="Arial"/>
          <w:color w:val="000000"/>
          <w:sz w:val="20"/>
        </w:rPr>
        <w:t>, although Mosley alleges he plans to return to "the Detroit area" in the future, his allegations don't plausibly suggest he would return specifically to the Kohl's stores in Novi and Northville. This one requires a bit of unpacking, but it's not too complicated.</w:t>
      </w:r>
    </w:p>
    <w:p w14:paraId="314F8BE3" w14:textId="77777777" w:rsidR="002B10A6" w:rsidRDefault="00000000">
      <w:pPr>
        <w:pStyle w:val="Normal45"/>
        <w:widowControl w:val="0"/>
        <w:spacing w:before="200" w:line="260" w:lineRule="atLeast"/>
        <w:jc w:val="both"/>
      </w:pPr>
      <w:bookmarkStart w:id="8474" w:name="Bookmark_para_38_17"/>
      <w:bookmarkStart w:id="8475" w:name="Bookmark_I11TTCNRCYN000073920003S"/>
      <w:bookmarkStart w:id="8476" w:name="Bookmark_I5XGKM0M2D6N6N0020000400"/>
      <w:bookmarkEnd w:id="8474"/>
      <w:bookmarkEnd w:id="8475"/>
      <w:bookmarkEnd w:id="8476"/>
      <w:r>
        <w:rPr>
          <w:rFonts w:ascii="Arial" w:eastAsia="Arial" w:hAnsi="Arial" w:cs="Arial"/>
          <w:color w:val="000000"/>
          <w:sz w:val="20"/>
        </w:rPr>
        <w:t xml:space="preserve">Let's take Mosley's allegation that he "would return" to the stores but is "deterred" from doing so first. </w:t>
      </w:r>
      <w:bookmarkStart w:id="8477" w:name="Bookmark_I11TTCNRFK8000073920003T"/>
      <w:bookmarkStart w:id="8478" w:name="Bookmark_I5XGKM0M2D6N6N0040000400"/>
      <w:bookmarkEnd w:id="8477"/>
      <w:bookmarkEnd w:id="8478"/>
      <w:r>
        <w:rPr>
          <w:rFonts w:ascii="Arial" w:eastAsia="Arial" w:hAnsi="Arial" w:cs="Arial"/>
          <w:color w:val="000000"/>
          <w:sz w:val="20"/>
        </w:rPr>
        <w:t xml:space="preserve">The majority seizes on it. The allegation, however, is a legal conclusion couched as a factual allegation. </w:t>
      </w:r>
      <w:r>
        <w:rPr>
          <w:rFonts w:ascii="Arial" w:eastAsia="Arial" w:hAnsi="Arial" w:cs="Arial"/>
          <w:i/>
          <w:color w:val="000000"/>
          <w:sz w:val="20"/>
        </w:rPr>
        <w:t xml:space="preserve">See </w:t>
      </w:r>
      <w:bookmarkStart w:id="8479" w:name="Bookmark_I5XGKM0M2D6N6N0010000400"/>
      <w:bookmarkEnd w:id="8479"/>
      <w:r>
        <w:rPr>
          <w:rFonts w:ascii="Arial" w:eastAsia="Arial" w:hAnsi="Arial" w:cs="Arial"/>
          <w:i/>
          <w:color w:val="000000"/>
          <w:sz w:val="20"/>
        </w:rPr>
        <w:t>Papasan v. Allain</w:t>
      </w:r>
      <w:r>
        <w:rPr>
          <w:rFonts w:ascii="Arial" w:eastAsia="Arial" w:hAnsi="Arial" w:cs="Arial"/>
          <w:color w:val="000000"/>
          <w:sz w:val="20"/>
        </w:rPr>
        <w:t xml:space="preserve">, 478 U.S. 265, 286, 106 S. Ct. 2932, 92 L. Ed. 2d 209 (1986). </w:t>
      </w:r>
      <w:bookmarkStart w:id="8480" w:name="Bookmark_I5XGKM0M2D6N6N0040000400_2"/>
      <w:bookmarkStart w:id="8481" w:name="Bookmark_I11TTCNRJBF000073920003W"/>
      <w:bookmarkStart w:id="8482" w:name="Bookmark_I11TTCNRNFV000073920003Y"/>
      <w:bookmarkStart w:id="8483" w:name="Bookmark_I5XGKM0M2SF8M60010000400"/>
      <w:bookmarkEnd w:id="8480"/>
      <w:bookmarkEnd w:id="8481"/>
      <w:bookmarkEnd w:id="8482"/>
      <w:bookmarkEnd w:id="8483"/>
      <w:r>
        <w:rPr>
          <w:rFonts w:ascii="Arial" w:eastAsia="Arial" w:hAnsi="Arial" w:cs="Arial"/>
          <w:color w:val="000000"/>
          <w:sz w:val="20"/>
        </w:rPr>
        <w:t xml:space="preserve">It perfectly tracks </w:t>
      </w:r>
      <w:r>
        <w:rPr>
          <w:rFonts w:ascii="Arial" w:eastAsia="Arial" w:hAnsi="Arial" w:cs="Arial"/>
          <w:i/>
          <w:color w:val="000000"/>
          <w:sz w:val="20"/>
        </w:rPr>
        <w:t>Gaylor</w:t>
      </w:r>
      <w:r>
        <w:rPr>
          <w:rFonts w:ascii="Arial" w:eastAsia="Arial" w:hAnsi="Arial" w:cs="Arial"/>
          <w:color w:val="000000"/>
          <w:sz w:val="20"/>
        </w:rPr>
        <w:t xml:space="preserve">'s language: a plaintiff has standing if "he would return, but is [**23]  deterred from visiting the noncompliant accommodation because of the alleged accessibility barriers." </w:t>
      </w:r>
      <w:bookmarkStart w:id="8484" w:name="Bookmark_I5XGKM0M2D6N6N0030000400"/>
      <w:bookmarkEnd w:id="8484"/>
      <w:r>
        <w:rPr>
          <w:rFonts w:ascii="Arial" w:eastAsia="Arial" w:hAnsi="Arial" w:cs="Arial"/>
          <w:color w:val="000000"/>
          <w:sz w:val="20"/>
        </w:rPr>
        <w:t xml:space="preserve">582 F. App'x at 580. </w:t>
      </w:r>
      <w:bookmarkStart w:id="8485" w:name="Bookmark_I71FBKX9WF900002PHG005NM"/>
      <w:bookmarkStart w:id="8486" w:name="Bookmark_I71FBKXB08P00002PHG005NP"/>
      <w:bookmarkStart w:id="8487" w:name="Bookmark_I5XGKM0M2SF8M60010000400_2"/>
      <w:bookmarkEnd w:id="8485"/>
      <w:bookmarkEnd w:id="8486"/>
      <w:bookmarkEnd w:id="8487"/>
      <w:r>
        <w:rPr>
          <w:rFonts w:ascii="Arial" w:eastAsia="Arial" w:hAnsi="Arial" w:cs="Arial"/>
          <w:color w:val="000000"/>
          <w:sz w:val="20"/>
        </w:rPr>
        <w:t xml:space="preserve">Such "formulaic recitation[s]" of a cause of action are ignored as legal conclusions. </w:t>
      </w:r>
      <w:bookmarkStart w:id="8488" w:name="Bookmark_I11TTCNRS6R0000739200041"/>
      <w:bookmarkStart w:id="8489" w:name="Bookmark_I5XGKM0M2SF8M60050000400"/>
      <w:bookmarkStart w:id="8490" w:name="Bookmark_I5XGKM0M2D6N6N0050000400"/>
      <w:bookmarkEnd w:id="8488"/>
      <w:bookmarkEnd w:id="8489"/>
      <w:bookmarkEnd w:id="8490"/>
      <w:r>
        <w:rPr>
          <w:rFonts w:ascii="Arial" w:eastAsia="Arial" w:hAnsi="Arial" w:cs="Arial"/>
          <w:i/>
          <w:color w:val="000000"/>
          <w:sz w:val="20"/>
        </w:rPr>
        <w:t>Iqbal</w:t>
      </w:r>
      <w:r>
        <w:rPr>
          <w:rFonts w:ascii="Arial" w:eastAsia="Arial" w:hAnsi="Arial" w:cs="Arial"/>
          <w:color w:val="000000"/>
          <w:sz w:val="20"/>
        </w:rPr>
        <w:t xml:space="preserve">, 556 U.S. at 681 (quotation omitted); </w:t>
      </w:r>
      <w:r>
        <w:rPr>
          <w:rFonts w:ascii="Arial" w:eastAsia="Arial" w:hAnsi="Arial" w:cs="Arial"/>
          <w:i/>
          <w:color w:val="000000"/>
          <w:sz w:val="20"/>
        </w:rPr>
        <w:t xml:space="preserve">see </w:t>
      </w:r>
      <w:bookmarkStart w:id="8491" w:name="Bookmark_I5XGKM0M2SF8M60020000400"/>
      <w:bookmarkEnd w:id="8491"/>
      <w:r>
        <w:rPr>
          <w:rFonts w:ascii="Arial" w:eastAsia="Arial" w:hAnsi="Arial" w:cs="Arial"/>
          <w:i/>
          <w:color w:val="000000"/>
          <w:sz w:val="20"/>
        </w:rPr>
        <w:t>Crugher v. Prelesnik</w:t>
      </w:r>
      <w:r>
        <w:rPr>
          <w:rFonts w:ascii="Arial" w:eastAsia="Arial" w:hAnsi="Arial" w:cs="Arial"/>
          <w:color w:val="000000"/>
          <w:sz w:val="20"/>
        </w:rPr>
        <w:t xml:space="preserve">, 761 F.3d 610, 617 (6th Cir. 2014) ("[A]lthough conditions of a person's mind may be alleged generally, the plaintiff still must plead facts about the defendant's mental state, which, accepted as true, make the state-of-mind allegation plausible on its face." (quotation omitted)). </w:t>
      </w:r>
      <w:bookmarkStart w:id="8492" w:name="Bookmark_I5XGKM0M2SF8M60050000400_2"/>
      <w:bookmarkEnd w:id="8492"/>
      <w:r>
        <w:rPr>
          <w:rFonts w:ascii="Arial" w:eastAsia="Arial" w:hAnsi="Arial" w:cs="Arial"/>
          <w:color w:val="000000"/>
          <w:sz w:val="20"/>
        </w:rPr>
        <w:t xml:space="preserve">That's no doubt why in </w:t>
      </w:r>
      <w:r>
        <w:rPr>
          <w:rFonts w:ascii="Arial" w:eastAsia="Arial" w:hAnsi="Arial" w:cs="Arial"/>
          <w:i/>
          <w:color w:val="000000"/>
          <w:sz w:val="20"/>
        </w:rPr>
        <w:t>Gaylor</w:t>
      </w:r>
      <w:r>
        <w:rPr>
          <w:rFonts w:ascii="Arial" w:eastAsia="Arial" w:hAnsi="Arial" w:cs="Arial"/>
          <w:color w:val="000000"/>
          <w:sz w:val="20"/>
        </w:rPr>
        <w:t xml:space="preserve"> we ignored the plaintiff's conclusory allegations of intent and desire to return to the defendant store, focusing instead on his factual allegations. </w:t>
      </w:r>
      <w:r>
        <w:rPr>
          <w:rFonts w:ascii="Arial" w:eastAsia="Arial" w:hAnsi="Arial" w:cs="Arial"/>
          <w:i/>
          <w:color w:val="000000"/>
          <w:sz w:val="20"/>
        </w:rPr>
        <w:t>See</w:t>
      </w:r>
      <w:r>
        <w:rPr>
          <w:rFonts w:ascii="Arial" w:eastAsia="Arial" w:hAnsi="Arial" w:cs="Arial"/>
          <w:color w:val="000000"/>
          <w:sz w:val="20"/>
        </w:rPr>
        <w:t xml:space="preserve"> </w:t>
      </w:r>
      <w:bookmarkStart w:id="8493" w:name="Bookmark_I5XGKM0M2SF8M60040000400"/>
      <w:bookmarkEnd w:id="8493"/>
      <w:r>
        <w:rPr>
          <w:rFonts w:ascii="Arial" w:eastAsia="Arial" w:hAnsi="Arial" w:cs="Arial"/>
          <w:color w:val="000000"/>
          <w:sz w:val="20"/>
        </w:rPr>
        <w:t>582 F. App'x at 580. So Mosley's "intent to return" allegation doesn't get the job done here, either.</w:t>
      </w:r>
    </w:p>
    <w:p w14:paraId="53B6556F" w14:textId="77777777" w:rsidR="002B10A6" w:rsidRDefault="00000000">
      <w:pPr>
        <w:pStyle w:val="Normal45"/>
        <w:widowControl w:val="0"/>
        <w:spacing w:before="200" w:line="260" w:lineRule="atLeast"/>
        <w:jc w:val="both"/>
      </w:pPr>
      <w:bookmarkStart w:id="8494" w:name="Bookmark_para_39_17"/>
      <w:bookmarkStart w:id="8495" w:name="Bookmark_I71FBKXB5VC00002PHG005NV"/>
      <w:bookmarkStart w:id="8496" w:name="Bookmark_I71FBKXB76P00002PHG005NW"/>
      <w:bookmarkStart w:id="8497" w:name="Bookmark_I5XGKM0M2SF8M70020000400"/>
      <w:bookmarkEnd w:id="8494"/>
      <w:bookmarkEnd w:id="8495"/>
      <w:bookmarkEnd w:id="8496"/>
      <w:bookmarkEnd w:id="8497"/>
      <w:r>
        <w:rPr>
          <w:rFonts w:ascii="Arial" w:eastAsia="Arial" w:hAnsi="Arial" w:cs="Arial"/>
          <w:color w:val="000000"/>
          <w:sz w:val="20"/>
        </w:rPr>
        <w:t xml:space="preserve">Next, and most importantly, Mosley doesn't allege any facts explaining his purported desire to return to Kohl's. A claimed intent to return to an accommodation is plausible when a plaintiff explains </w:t>
      </w:r>
      <w:r>
        <w:rPr>
          <w:rFonts w:ascii="Arial" w:eastAsia="Arial" w:hAnsi="Arial" w:cs="Arial"/>
          <w:i/>
          <w:color w:val="000000"/>
          <w:sz w:val="20"/>
        </w:rPr>
        <w:t>why</w:t>
      </w:r>
      <w:r>
        <w:rPr>
          <w:rFonts w:ascii="Arial" w:eastAsia="Arial" w:hAnsi="Arial" w:cs="Arial"/>
          <w:color w:val="000000"/>
          <w:sz w:val="20"/>
        </w:rPr>
        <w:t xml:space="preserve"> he wants to return. </w:t>
      </w:r>
      <w:r>
        <w:rPr>
          <w:rFonts w:ascii="Arial" w:eastAsia="Arial" w:hAnsi="Arial" w:cs="Arial"/>
          <w:i/>
          <w:color w:val="000000"/>
          <w:sz w:val="20"/>
        </w:rPr>
        <w:t xml:space="preserve">See, e.g., </w:t>
      </w:r>
      <w:bookmarkStart w:id="8498" w:name="Bookmark_I5XGKM0M2SF8M70010000400"/>
      <w:bookmarkEnd w:id="8498"/>
      <w:r>
        <w:rPr>
          <w:rFonts w:ascii="Arial" w:eastAsia="Arial" w:hAnsi="Arial" w:cs="Arial"/>
          <w:i/>
          <w:color w:val="000000"/>
          <w:sz w:val="20"/>
        </w:rPr>
        <w:t>Gaylor</w:t>
      </w:r>
      <w:r>
        <w:rPr>
          <w:rFonts w:ascii="Arial" w:eastAsia="Arial" w:hAnsi="Arial" w:cs="Arial"/>
          <w:color w:val="000000"/>
          <w:sz w:val="20"/>
        </w:rPr>
        <w:t xml:space="preserve">, 582 F. App'x at 578, 580-81 (plaintiff explained why he "enjoys visiting the shopping center in which [the accommodation] is located" and alleged detailed plans to return there "to utilize the goods and services offered thereon"); </w:t>
      </w:r>
      <w:bookmarkStart w:id="8499" w:name="Bookmark_I5XGKM0M2SF8M70030000400"/>
      <w:bookmarkEnd w:id="8499"/>
      <w:r>
        <w:rPr>
          <w:rFonts w:ascii="Arial" w:eastAsia="Arial" w:hAnsi="Arial" w:cs="Arial"/>
          <w:i/>
          <w:color w:val="000000"/>
          <w:sz w:val="20"/>
        </w:rPr>
        <w:t>D'Lil v. Best Western Encina Lodge &amp; Suites</w:t>
      </w:r>
      <w:r>
        <w:rPr>
          <w:rFonts w:ascii="Arial" w:eastAsia="Arial" w:hAnsi="Arial" w:cs="Arial"/>
          <w:color w:val="000000"/>
          <w:sz w:val="20"/>
        </w:rPr>
        <w:t>, 538 F.3d 1031, 1039 (9th Cir. 2008) (plaintiff "gave detailed reasons [**24]  as to why she would prefer to stay at the Best Western Encina during her regular visits . . . if it were made accessible including the hotel's style, price, and location"). Even the majority requires plaintiffs to show "an interest in the accommodation." But Mosley never alleges an interest in Kohl's in his complaint. He doesn't allege that he likes to shop there for their reasonably-priced clothing, for instance. Nor does he allege why he prefers Kohl's over Target, T.J. Maxx, Marshall's, or similar retailers with a large presence in Southeast Michigan. These are just examples. The point is, Mosley fails to allege a reason for going to Kohl's at all.</w:t>
      </w:r>
    </w:p>
    <w:p w14:paraId="14F87897" w14:textId="77777777" w:rsidR="002B10A6" w:rsidRDefault="00000000">
      <w:pPr>
        <w:pStyle w:val="Normal45"/>
        <w:widowControl w:val="0"/>
        <w:spacing w:before="200" w:line="260" w:lineRule="atLeast"/>
        <w:jc w:val="both"/>
      </w:pPr>
      <w:bookmarkStart w:id="8500" w:name="Bookmark_para_40_17"/>
      <w:bookmarkEnd w:id="8500"/>
      <w:r>
        <w:rPr>
          <w:rFonts w:ascii="Arial" w:eastAsia="Arial" w:hAnsi="Arial" w:cs="Arial"/>
          <w:color w:val="000000"/>
          <w:sz w:val="20"/>
        </w:rPr>
        <w:t xml:space="preserve">Relatedly, Mosley doesn't allege why he wants to return to the Kohl's locations in Novi and Northville specifically. Are they near stores he frequents? </w:t>
      </w:r>
      <w:bookmarkStart w:id="8501" w:name="Bookmark_I11TTCNS1430000739200046"/>
      <w:bookmarkStart w:id="8502" w:name="Bookmark_I11TTCNRYPX0000739200045"/>
      <w:bookmarkStart w:id="8503" w:name="Bookmark_I11TTCNS2GP0000739200047"/>
      <w:bookmarkStart w:id="8504" w:name="Bookmark_I5XGKM0M2HM6GT0010000400"/>
      <w:bookmarkEnd w:id="8501"/>
      <w:bookmarkEnd w:id="8502"/>
      <w:bookmarkEnd w:id="8503"/>
      <w:bookmarkEnd w:id="8504"/>
      <w:r>
        <w:rPr>
          <w:rFonts w:ascii="Arial" w:eastAsia="Arial" w:hAnsi="Arial" w:cs="Arial"/>
          <w:color w:val="000000"/>
          <w:sz w:val="20"/>
        </w:rPr>
        <w:t xml:space="preserve">Do they have excellent customer service? Mosley doesn't say. Again, this cuts against Mosley's claimed intent to return. </w:t>
      </w:r>
      <w:r>
        <w:rPr>
          <w:rFonts w:ascii="Arial" w:eastAsia="Arial" w:hAnsi="Arial" w:cs="Arial"/>
          <w:i/>
          <w:color w:val="000000"/>
          <w:sz w:val="20"/>
        </w:rPr>
        <w:t xml:space="preserve">See </w:t>
      </w:r>
      <w:bookmarkStart w:id="8505" w:name="Bookmark_I5XGKM0M2SF8M70050000400"/>
      <w:bookmarkEnd w:id="8505"/>
      <w:r>
        <w:rPr>
          <w:rFonts w:ascii="Arial" w:eastAsia="Arial" w:hAnsi="Arial" w:cs="Arial"/>
          <w:i/>
          <w:color w:val="000000"/>
          <w:sz w:val="20"/>
        </w:rPr>
        <w:t>Houston v. Marod Supermarkets, Inc.</w:t>
      </w:r>
      <w:r>
        <w:rPr>
          <w:rFonts w:ascii="Arial" w:eastAsia="Arial" w:hAnsi="Arial" w:cs="Arial"/>
          <w:color w:val="000000"/>
          <w:sz w:val="20"/>
        </w:rPr>
        <w:t xml:space="preserve">, 733 F.3d 1323, 1336 (11th Cir. 2013) (noting a plaintiff who "live[s] hundreds of miles away from the store with no particular reason to return" may not have standing); </w:t>
      </w:r>
      <w:r>
        <w:rPr>
          <w:rFonts w:ascii="Arial" w:eastAsia="Arial" w:hAnsi="Arial" w:cs="Arial"/>
          <w:i/>
          <w:color w:val="000000"/>
          <w:sz w:val="20"/>
        </w:rPr>
        <w:t xml:space="preserve">cf. </w:t>
      </w:r>
      <w:bookmarkStart w:id="8506" w:name="Bookmark_I5XGKM0M2HM6GT0020000400"/>
      <w:bookmarkEnd w:id="8506"/>
      <w:r>
        <w:rPr>
          <w:rFonts w:ascii="Arial" w:eastAsia="Arial" w:hAnsi="Arial" w:cs="Arial"/>
          <w:i/>
          <w:color w:val="000000"/>
          <w:sz w:val="20"/>
        </w:rPr>
        <w:t>Gaylor</w:t>
      </w:r>
      <w:r>
        <w:rPr>
          <w:rFonts w:ascii="Arial" w:eastAsia="Arial" w:hAnsi="Arial" w:cs="Arial"/>
          <w:color w:val="000000"/>
          <w:sz w:val="20"/>
        </w:rPr>
        <w:t xml:space="preserve">, 582 F. App'x at 578, 580-81; </w:t>
      </w:r>
      <w:bookmarkStart w:id="8507" w:name="Bookmark_I5XGKM0M2HM6GT0040000400"/>
      <w:bookmarkEnd w:id="8507"/>
      <w:r>
        <w:rPr>
          <w:rFonts w:ascii="Arial" w:eastAsia="Arial" w:hAnsi="Arial" w:cs="Arial"/>
          <w:i/>
          <w:color w:val="000000"/>
          <w:sz w:val="20"/>
        </w:rPr>
        <w:t>D'Lil</w:t>
      </w:r>
      <w:r>
        <w:rPr>
          <w:rFonts w:ascii="Arial" w:eastAsia="Arial" w:hAnsi="Arial" w:cs="Arial"/>
          <w:color w:val="000000"/>
          <w:sz w:val="20"/>
        </w:rPr>
        <w:t xml:space="preserve">, 538 F.3d at 1039. The majority suggests a convenience rationale: the stores are only fifteen miles from the northwestern edge of Detroit. But [**25]  that doesn't answer the question "Why Kohl's?" or explain why Mosley would be around Novi and Northville in the first place. Only Mosley could explain that, and all he says is that he plans to be in "the Detroit area"—whatever that means. Metro Detroit encompasses  [*765]  some four to six thousand square miles, depending on who you ask. Novi and Northville are thirty-three square miles combined—less than 1% of Metro Detroit—thirty miles from downtown Detroit by car and over sixty miles from the furthest edges of Metro Detroit. Close enough, according to the majority. Nor does the majority address all the other Kohl's locations closer to Detroit, the airport, and major roads like I-75 and US 23. </w:t>
      </w:r>
      <w:bookmarkStart w:id="8508" w:name="Bookmark_I71FBKXBDSR00002PHG005P1"/>
      <w:bookmarkStart w:id="8509" w:name="Bookmark_I71FBKXBG6X00002PHG0026S"/>
      <w:bookmarkStart w:id="8510" w:name="Bookmark_I5XGKM0N2N1R5Y0020000400"/>
      <w:bookmarkEnd w:id="8508"/>
      <w:bookmarkEnd w:id="8509"/>
      <w:bookmarkEnd w:id="8510"/>
      <w:r>
        <w:rPr>
          <w:rFonts w:ascii="Arial" w:eastAsia="Arial" w:hAnsi="Arial" w:cs="Arial"/>
          <w:color w:val="000000"/>
          <w:sz w:val="20"/>
        </w:rPr>
        <w:t xml:space="preserve">Why would Mosley bypass them all to go to the Novi and Northville stores? That it's </w:t>
      </w:r>
      <w:r>
        <w:rPr>
          <w:rFonts w:ascii="Arial" w:eastAsia="Arial" w:hAnsi="Arial" w:cs="Arial"/>
          <w:i/>
          <w:color w:val="000000"/>
          <w:sz w:val="20"/>
        </w:rPr>
        <w:t>conceivable</w:t>
      </w:r>
      <w:r>
        <w:rPr>
          <w:rFonts w:ascii="Arial" w:eastAsia="Arial" w:hAnsi="Arial" w:cs="Arial"/>
          <w:color w:val="000000"/>
          <w:sz w:val="20"/>
        </w:rPr>
        <w:t xml:space="preserve"> he would do so isn't enough; it must be </w:t>
      </w:r>
      <w:r>
        <w:rPr>
          <w:rFonts w:ascii="Arial" w:eastAsia="Arial" w:hAnsi="Arial" w:cs="Arial"/>
          <w:i/>
          <w:color w:val="000000"/>
          <w:sz w:val="20"/>
        </w:rPr>
        <w:t>plausible</w:t>
      </w:r>
      <w:r>
        <w:rPr>
          <w:rFonts w:ascii="Arial" w:eastAsia="Arial" w:hAnsi="Arial" w:cs="Arial"/>
          <w:color w:val="000000"/>
          <w:sz w:val="20"/>
        </w:rPr>
        <w:t xml:space="preserve">. </w:t>
      </w:r>
      <w:bookmarkStart w:id="8511" w:name="Bookmark_I5XGKM0N2N1R5Y0010000400"/>
      <w:bookmarkEnd w:id="8511"/>
      <w:r>
        <w:rPr>
          <w:rFonts w:ascii="Arial" w:eastAsia="Arial" w:hAnsi="Arial" w:cs="Arial"/>
          <w:i/>
          <w:color w:val="000000"/>
          <w:sz w:val="20"/>
        </w:rPr>
        <w:t>Twombly</w:t>
      </w:r>
      <w:r>
        <w:rPr>
          <w:rFonts w:ascii="Arial" w:eastAsia="Arial" w:hAnsi="Arial" w:cs="Arial"/>
          <w:color w:val="000000"/>
          <w:sz w:val="20"/>
        </w:rPr>
        <w:t xml:space="preserve">, 550 U.S. at 562-63 (abrogating </w:t>
      </w:r>
      <w:bookmarkStart w:id="8512" w:name="Bookmark_I5XGKM0N2N1R5Y0030000400"/>
      <w:bookmarkEnd w:id="8512"/>
      <w:r>
        <w:rPr>
          <w:rFonts w:ascii="Arial" w:eastAsia="Arial" w:hAnsi="Arial" w:cs="Arial"/>
          <w:i/>
          <w:color w:val="000000"/>
          <w:sz w:val="20"/>
        </w:rPr>
        <w:t>Conley v. Gibson</w:t>
      </w:r>
      <w:r>
        <w:rPr>
          <w:rFonts w:ascii="Arial" w:eastAsia="Arial" w:hAnsi="Arial" w:cs="Arial"/>
          <w:color w:val="000000"/>
          <w:sz w:val="20"/>
        </w:rPr>
        <w:t>, 355 U.S. 41, 78 S. Ct. 99, 2 L. Ed. 2d 80 (1957)). And don't forget: if it's convenience Mosley's after, there are eighteen Kohl's stores in his home county in Arizona.</w:t>
      </w:r>
    </w:p>
    <w:p w14:paraId="1B36F699" w14:textId="77777777" w:rsidR="002B10A6" w:rsidRDefault="00000000">
      <w:pPr>
        <w:pStyle w:val="Normal45"/>
        <w:widowControl w:val="0"/>
        <w:spacing w:before="200" w:line="260" w:lineRule="atLeast"/>
        <w:jc w:val="both"/>
      </w:pPr>
      <w:bookmarkStart w:id="8513" w:name="Bookmark_para_41_17"/>
      <w:bookmarkEnd w:id="8513"/>
      <w:r>
        <w:rPr>
          <w:rFonts w:ascii="Arial" w:eastAsia="Arial" w:hAnsi="Arial" w:cs="Arial"/>
          <w:color w:val="000000"/>
          <w:sz w:val="20"/>
        </w:rPr>
        <w:t>All that to say, it's not plausible that Mosley would return to the Novi and Northville stores simply because he's planning to be in "the Detroit area" and had visited the stores once before.</w:t>
      </w:r>
    </w:p>
    <w:p w14:paraId="269F18D6" w14:textId="77777777" w:rsidR="002B10A6" w:rsidRDefault="00000000">
      <w:pPr>
        <w:pStyle w:val="Normal45"/>
        <w:widowControl w:val="0"/>
        <w:spacing w:before="200" w:line="260" w:lineRule="atLeast"/>
        <w:jc w:val="both"/>
      </w:pPr>
      <w:bookmarkStart w:id="8514" w:name="Bookmark_para_42_16"/>
      <w:bookmarkEnd w:id="8514"/>
      <w:r>
        <w:rPr>
          <w:rFonts w:ascii="Arial" w:eastAsia="Arial" w:hAnsi="Arial" w:cs="Arial"/>
          <w:color w:val="000000"/>
          <w:sz w:val="20"/>
        </w:rPr>
        <w:t>One more thing. We expect parties [**26]  to be honest with us, whether it's argument, briefing, or pleading. When parties hide the ball, it only arouses our suspicions. Mosley's threadbare complaint should at least raise doubts—doubts about why he would come back to Novi and Northville just to go to Kohl's.</w:t>
      </w:r>
    </w:p>
    <w:p w14:paraId="408887A2" w14:textId="77777777" w:rsidR="002B10A6" w:rsidRDefault="00000000">
      <w:pPr>
        <w:pStyle w:val="Normal45"/>
        <w:widowControl w:val="0"/>
        <w:spacing w:before="200" w:line="260" w:lineRule="atLeast"/>
        <w:jc w:val="both"/>
      </w:pPr>
      <w:bookmarkStart w:id="8515" w:name="Bookmark_para_43_15"/>
      <w:bookmarkEnd w:id="8515"/>
      <w:r>
        <w:rPr>
          <w:rFonts w:ascii="Arial" w:eastAsia="Arial" w:hAnsi="Arial" w:cs="Arial"/>
          <w:color w:val="000000"/>
          <w:sz w:val="20"/>
        </w:rPr>
        <w:t xml:space="preserve">Mosley could have cleared up these doubts by levelling with us: he's apparently an ADA tester, a person with a disability who tests public accommodations for their ADA compliance. According to Kohl's, Mosley has filed over one hundred eighty ADA lawsuits, most of them in Arizona, but a handful in Colorado and four in Michigan. Appellee Br. at 3-4. "Tester motivation," had it been pled, might make it </w:t>
      </w:r>
      <w:r>
        <w:rPr>
          <w:rFonts w:ascii="Arial" w:eastAsia="Arial" w:hAnsi="Arial" w:cs="Arial"/>
          <w:i/>
          <w:color w:val="000000"/>
          <w:sz w:val="20"/>
        </w:rPr>
        <w:t>more</w:t>
      </w:r>
      <w:r>
        <w:rPr>
          <w:rFonts w:ascii="Arial" w:eastAsia="Arial" w:hAnsi="Arial" w:cs="Arial"/>
          <w:color w:val="000000"/>
          <w:sz w:val="20"/>
        </w:rPr>
        <w:t xml:space="preserve"> plausible that Mosley would return to the Novi and Northville stores. </w:t>
      </w:r>
      <w:bookmarkStart w:id="8516" w:name="Bookmark_I11TTCNS6P3000073920004B"/>
      <w:bookmarkStart w:id="8517" w:name="Bookmark_I5XGKM0N2HM6GV0010000400"/>
      <w:bookmarkEnd w:id="8516"/>
      <w:bookmarkEnd w:id="8517"/>
      <w:r>
        <w:rPr>
          <w:rFonts w:ascii="Arial" w:eastAsia="Arial" w:hAnsi="Arial" w:cs="Arial"/>
          <w:color w:val="000000"/>
          <w:sz w:val="20"/>
        </w:rPr>
        <w:t xml:space="preserve">After all, if Mosley tests ADA compliance for a living, and he tested the stores once before, it's possible that he'd return to test again. Some courts hold tester motivation is irrelevant to standing. </w:t>
      </w:r>
      <w:bookmarkStart w:id="8518" w:name="Bookmark_I11TTCNS82K000073920004C"/>
      <w:bookmarkStart w:id="8519" w:name="Bookmark_I5XGKM0N2HM6GV0030000400"/>
      <w:bookmarkEnd w:id="8518"/>
      <w:bookmarkEnd w:id="8519"/>
      <w:r>
        <w:rPr>
          <w:rFonts w:ascii="Arial" w:eastAsia="Arial" w:hAnsi="Arial" w:cs="Arial"/>
          <w:i/>
          <w:color w:val="000000"/>
          <w:sz w:val="20"/>
        </w:rPr>
        <w:t xml:space="preserve">See, e.g., </w:t>
      </w:r>
      <w:bookmarkStart w:id="8520" w:name="Bookmark_I5XGKM0N2N1R5Y0050000400"/>
      <w:bookmarkEnd w:id="8520"/>
      <w:r>
        <w:rPr>
          <w:rFonts w:ascii="Arial" w:eastAsia="Arial" w:hAnsi="Arial" w:cs="Arial"/>
          <w:i/>
          <w:color w:val="000000"/>
          <w:sz w:val="20"/>
        </w:rPr>
        <w:t>Civil Rights Educ. &amp; Enf't Ctr. v. Hosp. Props. Tr.</w:t>
      </w:r>
      <w:r>
        <w:rPr>
          <w:rFonts w:ascii="Arial" w:eastAsia="Arial" w:hAnsi="Arial" w:cs="Arial"/>
          <w:color w:val="000000"/>
          <w:sz w:val="20"/>
        </w:rPr>
        <w:t xml:space="preserve">, 867 F.3d 1093, 1102 (9th Cir. 2017). </w:t>
      </w:r>
      <w:bookmarkStart w:id="8521" w:name="Bookmark_I5XGKM0N2HM6GV0030000400_2"/>
      <w:bookmarkEnd w:id="8521"/>
      <w:r>
        <w:rPr>
          <w:rFonts w:ascii="Arial" w:eastAsia="Arial" w:hAnsi="Arial" w:cs="Arial"/>
          <w:color w:val="000000"/>
          <w:sz w:val="20"/>
        </w:rPr>
        <w:t xml:space="preserve">Other courts have found tester status can weigh in favor of standing. </w:t>
      </w:r>
      <w:r>
        <w:rPr>
          <w:rFonts w:ascii="Arial" w:eastAsia="Arial" w:hAnsi="Arial" w:cs="Arial"/>
          <w:i/>
          <w:color w:val="000000"/>
          <w:sz w:val="20"/>
        </w:rPr>
        <w:t xml:space="preserve">See, e.g., </w:t>
      </w:r>
      <w:bookmarkStart w:id="8522" w:name="Bookmark_I5XGKM0N2HM6GV0020000400"/>
      <w:bookmarkEnd w:id="8522"/>
      <w:r>
        <w:rPr>
          <w:rFonts w:ascii="Arial" w:eastAsia="Arial" w:hAnsi="Arial" w:cs="Arial"/>
          <w:i/>
          <w:color w:val="000000"/>
          <w:sz w:val="20"/>
        </w:rPr>
        <w:t>Houston</w:t>
      </w:r>
      <w:r>
        <w:rPr>
          <w:rFonts w:ascii="Arial" w:eastAsia="Arial" w:hAnsi="Arial" w:cs="Arial"/>
          <w:color w:val="000000"/>
          <w:sz w:val="20"/>
        </w:rPr>
        <w:t>, 733 F.3d at 1340. No matter—whichever view is right, Mosley doesn't allege he intends to return to the Novi and Northville stores to test their ADA compliance, so "tester standing" [**27]  isn't in play.</w:t>
      </w:r>
    </w:p>
    <w:p w14:paraId="50C82D0A" w14:textId="77777777" w:rsidR="002B10A6" w:rsidRDefault="00000000">
      <w:pPr>
        <w:pStyle w:val="Normal45"/>
        <w:widowControl w:val="0"/>
        <w:spacing w:before="240" w:line="260" w:lineRule="atLeast"/>
      </w:pPr>
      <w:r>
        <w:br/>
      </w:r>
      <w:r>
        <w:rPr>
          <w:rFonts w:ascii="Arial" w:eastAsia="Arial" w:hAnsi="Arial" w:cs="Arial"/>
          <w:b/>
          <w:color w:val="000000"/>
          <w:sz w:val="20"/>
        </w:rPr>
        <w:t>II</w:t>
      </w:r>
    </w:p>
    <w:p w14:paraId="2A74B4A5" w14:textId="77777777" w:rsidR="002B10A6" w:rsidRDefault="00000000">
      <w:pPr>
        <w:pStyle w:val="Normal45"/>
        <w:widowControl w:val="0"/>
        <w:spacing w:before="200" w:line="260" w:lineRule="atLeast"/>
        <w:jc w:val="both"/>
      </w:pPr>
      <w:bookmarkStart w:id="8523" w:name="Bookmark_para_44_15"/>
      <w:bookmarkEnd w:id="8523"/>
      <w:r>
        <w:rPr>
          <w:rFonts w:ascii="Arial" w:eastAsia="Arial" w:hAnsi="Arial" w:cs="Arial"/>
          <w:color w:val="000000"/>
          <w:sz w:val="20"/>
        </w:rPr>
        <w:t xml:space="preserve">That brings me to the majority's new test. Purporting to synthesize </w:t>
      </w:r>
      <w:r>
        <w:rPr>
          <w:rFonts w:ascii="Arial" w:eastAsia="Arial" w:hAnsi="Arial" w:cs="Arial"/>
          <w:i/>
          <w:color w:val="000000"/>
          <w:sz w:val="20"/>
        </w:rPr>
        <w:t>Gaylor</w:t>
      </w:r>
      <w:r>
        <w:rPr>
          <w:rFonts w:ascii="Arial" w:eastAsia="Arial" w:hAnsi="Arial" w:cs="Arial"/>
          <w:color w:val="000000"/>
          <w:sz w:val="20"/>
        </w:rPr>
        <w:t xml:space="preserve"> and other decisions, the majority holds that an intent to return to an accommodation can be inferred—without proximity to home, multiple past visits, or a "definitive plan for returning"—"[o]nce a plaintiff has established more than a 'some day' intent to return to the geographic area and an interest in the accommodation."</w:t>
      </w:r>
    </w:p>
    <w:p w14:paraId="5A42F9E1" w14:textId="77777777" w:rsidR="002B10A6" w:rsidRDefault="00000000">
      <w:pPr>
        <w:pStyle w:val="Normal45"/>
        <w:widowControl w:val="0"/>
        <w:spacing w:before="200" w:line="260" w:lineRule="atLeast"/>
        <w:jc w:val="both"/>
      </w:pPr>
      <w:bookmarkStart w:id="8524" w:name="Bookmark_para_45_15"/>
      <w:bookmarkStart w:id="8525" w:name="Bookmark_I11TTCNSC0N000073920004F"/>
      <w:bookmarkStart w:id="8526" w:name="Bookmark_I5XGKM0N2HM6GV0050000400"/>
      <w:bookmarkStart w:id="8527" w:name="Bookmark_I11TTCNSDCV000073920004G"/>
      <w:bookmarkStart w:id="8528" w:name="Bookmark_I5XGKM0N2N1R610020000400"/>
      <w:bookmarkStart w:id="8529" w:name="Bookmark_I11TTCNSFS0000073920004H"/>
      <w:bookmarkStart w:id="8530" w:name="Bookmark_I5XGKM0N2N1R610040000400"/>
      <w:bookmarkEnd w:id="8524"/>
      <w:bookmarkEnd w:id="8525"/>
      <w:bookmarkEnd w:id="8526"/>
      <w:bookmarkEnd w:id="8527"/>
      <w:bookmarkEnd w:id="8528"/>
      <w:bookmarkEnd w:id="8529"/>
      <w:bookmarkEnd w:id="8530"/>
      <w:r>
        <w:rPr>
          <w:rFonts w:ascii="Arial" w:eastAsia="Arial" w:hAnsi="Arial" w:cs="Arial"/>
          <w:color w:val="000000"/>
          <w:sz w:val="20"/>
        </w:rPr>
        <w:t xml:space="preserve">To start, I question whether it's appropriate to "fossilize" a plausibility inference like this in the first place, given the Supreme Court has told us that assessing plausibility is "a context-specific task that requires the reviewing court to draw on its judicial experience and common sense." </w:t>
      </w:r>
      <w:bookmarkStart w:id="8531" w:name="Bookmark_I5XGKM0N2HM6GV0040000400"/>
      <w:bookmarkEnd w:id="8531"/>
      <w:r>
        <w:rPr>
          <w:rFonts w:ascii="Arial" w:eastAsia="Arial" w:hAnsi="Arial" w:cs="Arial"/>
          <w:i/>
          <w:color w:val="000000"/>
          <w:sz w:val="20"/>
        </w:rPr>
        <w:t>Iqbal</w:t>
      </w:r>
      <w:r>
        <w:rPr>
          <w:rFonts w:ascii="Arial" w:eastAsia="Arial" w:hAnsi="Arial" w:cs="Arial"/>
          <w:color w:val="000000"/>
          <w:sz w:val="20"/>
        </w:rPr>
        <w:t xml:space="preserve">, 556 U.S. at 679. We haven't relied on new tests when confronted with similar standards in the past. Take </w:t>
      </w:r>
      <w:r>
        <w:rPr>
          <w:rFonts w:ascii="Arial" w:eastAsia="Arial" w:hAnsi="Arial" w:cs="Arial"/>
          <w:i/>
          <w:color w:val="000000"/>
          <w:sz w:val="20"/>
        </w:rPr>
        <w:t>Vandiver v. Prison Health Services, Inc.</w:t>
      </w:r>
      <w:r>
        <w:rPr>
          <w:rFonts w:ascii="Arial" w:eastAsia="Arial" w:hAnsi="Arial" w:cs="Arial"/>
          <w:color w:val="000000"/>
          <w:sz w:val="20"/>
        </w:rPr>
        <w:t xml:space="preserve">, for example. </w:t>
      </w:r>
      <w:bookmarkStart w:id="8532" w:name="Bookmark_I5XGKM0N2N1R610010000400"/>
      <w:bookmarkEnd w:id="8532"/>
      <w:r>
        <w:rPr>
          <w:rFonts w:ascii="Arial" w:eastAsia="Arial" w:hAnsi="Arial" w:cs="Arial"/>
          <w:color w:val="000000"/>
          <w:sz w:val="20"/>
        </w:rPr>
        <w:t xml:space="preserve">727 F.3d 580 (6th Cir. 2013) (Moore, J.). </w:t>
      </w:r>
      <w:bookmarkStart w:id="8533" w:name="Bookmark_I11TTCNSH3J000073920004J"/>
      <w:bookmarkStart w:id="8534" w:name="Bookmark_I5XGKM0N28T4JB0010000400"/>
      <w:bookmarkEnd w:id="8533"/>
      <w:bookmarkEnd w:id="8534"/>
      <w:r>
        <w:rPr>
          <w:rFonts w:ascii="Arial" w:eastAsia="Arial" w:hAnsi="Arial" w:cs="Arial"/>
          <w:color w:val="000000"/>
          <w:sz w:val="20"/>
        </w:rPr>
        <w:t xml:space="preserve">There, we relied on "judicial experience and common sense" in holding a prisoner-plaintiff was under "imminent danger of serious physical injury" "due to a failure to treat a chronic illness or condition." </w:t>
      </w:r>
      <w:bookmarkStart w:id="8535" w:name="Bookmark_I5XGKM0N2N1R610030000400"/>
      <w:bookmarkEnd w:id="8535"/>
      <w:r>
        <w:rPr>
          <w:rFonts w:ascii="Arial" w:eastAsia="Arial" w:hAnsi="Arial" w:cs="Arial"/>
          <w:i/>
          <w:color w:val="000000"/>
          <w:sz w:val="20"/>
        </w:rPr>
        <w:t>Id.</w:t>
      </w:r>
      <w:r>
        <w:rPr>
          <w:rFonts w:ascii="Arial" w:eastAsia="Arial" w:hAnsi="Arial" w:cs="Arial"/>
          <w:color w:val="000000"/>
          <w:sz w:val="20"/>
        </w:rPr>
        <w:t xml:space="preserve"> at 585, 587 (quotations omitted). </w:t>
      </w:r>
      <w:bookmarkStart w:id="8536" w:name="Bookmark_I5XGKM0N28T4JB0010000400_2"/>
      <w:bookmarkEnd w:id="8536"/>
      <w:r>
        <w:rPr>
          <w:rFonts w:ascii="Arial" w:eastAsia="Arial" w:hAnsi="Arial" w:cs="Arial"/>
          <w:color w:val="000000"/>
          <w:sz w:val="20"/>
        </w:rPr>
        <w:t xml:space="preserve">We found factors such as present denial of medical treatment and past incidents of  [*766]  maltreatment were [**28]  indicative of imminent danger. </w:t>
      </w:r>
      <w:bookmarkStart w:id="8537" w:name="Bookmark_I11TTCNSKVJ000073920004M"/>
      <w:bookmarkStart w:id="8538" w:name="Bookmark_I5XGKM0N28T4JB0030000400"/>
      <w:bookmarkEnd w:id="8537"/>
      <w:bookmarkEnd w:id="8538"/>
      <w:r>
        <w:rPr>
          <w:rFonts w:ascii="Arial" w:eastAsia="Arial" w:hAnsi="Arial" w:cs="Arial"/>
          <w:i/>
          <w:color w:val="000000"/>
          <w:sz w:val="20"/>
        </w:rPr>
        <w:t xml:space="preserve">See </w:t>
      </w:r>
      <w:bookmarkStart w:id="8539" w:name="Bookmark_I5XGKM0N2N1R610050000400"/>
      <w:bookmarkEnd w:id="8539"/>
      <w:r>
        <w:rPr>
          <w:rFonts w:ascii="Arial" w:eastAsia="Arial" w:hAnsi="Arial" w:cs="Arial"/>
          <w:i/>
          <w:color w:val="000000"/>
          <w:sz w:val="20"/>
        </w:rPr>
        <w:t>id.</w:t>
      </w:r>
      <w:r>
        <w:rPr>
          <w:rFonts w:ascii="Arial" w:eastAsia="Arial" w:hAnsi="Arial" w:cs="Arial"/>
          <w:color w:val="000000"/>
          <w:sz w:val="20"/>
        </w:rPr>
        <w:t xml:space="preserve"> at 587-88. </w:t>
      </w:r>
      <w:bookmarkStart w:id="8540" w:name="Bookmark_I5XGKM0N28T4JB0030000400_2"/>
      <w:bookmarkEnd w:id="8540"/>
      <w:r>
        <w:rPr>
          <w:rFonts w:ascii="Arial" w:eastAsia="Arial" w:hAnsi="Arial" w:cs="Arial"/>
          <w:color w:val="000000"/>
          <w:sz w:val="20"/>
        </w:rPr>
        <w:t xml:space="preserve">The facts spoke for themselves there. They do not here. </w:t>
      </w:r>
      <w:r>
        <w:rPr>
          <w:rFonts w:ascii="Arial" w:eastAsia="Arial" w:hAnsi="Arial" w:cs="Arial"/>
          <w:i/>
          <w:color w:val="000000"/>
          <w:sz w:val="20"/>
        </w:rPr>
        <w:t xml:space="preserve">See </w:t>
      </w:r>
      <w:bookmarkStart w:id="8541" w:name="Bookmark_I5XGKM0N28T4JB0020000400"/>
      <w:bookmarkEnd w:id="8541"/>
      <w:r>
        <w:rPr>
          <w:rFonts w:ascii="Arial" w:eastAsia="Arial" w:hAnsi="Arial" w:cs="Arial"/>
          <w:i/>
          <w:color w:val="000000"/>
          <w:sz w:val="20"/>
        </w:rPr>
        <w:t>Nanni</w:t>
      </w:r>
      <w:r>
        <w:rPr>
          <w:rFonts w:ascii="Arial" w:eastAsia="Arial" w:hAnsi="Arial" w:cs="Arial"/>
          <w:color w:val="000000"/>
          <w:sz w:val="20"/>
        </w:rPr>
        <w:t>, 878 F.3d at 457 ("In sum, the facts of each case control the plausibility analysis.").</w:t>
      </w:r>
    </w:p>
    <w:p w14:paraId="567901B5" w14:textId="77777777" w:rsidR="002B10A6" w:rsidRDefault="00000000">
      <w:pPr>
        <w:pStyle w:val="Normal45"/>
        <w:widowControl w:val="0"/>
        <w:spacing w:before="200" w:line="260" w:lineRule="atLeast"/>
        <w:jc w:val="both"/>
      </w:pPr>
      <w:bookmarkStart w:id="8542" w:name="Bookmark_para_46_14"/>
      <w:bookmarkStart w:id="8543" w:name="Bookmark_I11TTCNSPKB000073920004P"/>
      <w:bookmarkStart w:id="8544" w:name="Bookmark_I5XGKM0N28T4JB0050000400"/>
      <w:bookmarkEnd w:id="8542"/>
      <w:bookmarkEnd w:id="8543"/>
      <w:bookmarkEnd w:id="8544"/>
      <w:r>
        <w:rPr>
          <w:rFonts w:ascii="Arial" w:eastAsia="Arial" w:hAnsi="Arial" w:cs="Arial"/>
          <w:color w:val="000000"/>
          <w:sz w:val="20"/>
        </w:rPr>
        <w:t xml:space="preserve">More importantly, the majority's new test runs afoul of </w:t>
      </w:r>
      <w:bookmarkStart w:id="8545" w:name="Bookmark_I5XGKM0N28T4JB0040000400"/>
      <w:bookmarkEnd w:id="8545"/>
      <w:r>
        <w:rPr>
          <w:rFonts w:ascii="Arial" w:eastAsia="Arial" w:hAnsi="Arial" w:cs="Arial"/>
          <w:i/>
          <w:color w:val="000000"/>
          <w:sz w:val="20"/>
        </w:rPr>
        <w:t>Lujan v. Defenders of Wildlife</w:t>
      </w:r>
      <w:r>
        <w:rPr>
          <w:rFonts w:ascii="Arial" w:eastAsia="Arial" w:hAnsi="Arial" w:cs="Arial"/>
          <w:color w:val="000000"/>
          <w:sz w:val="20"/>
        </w:rPr>
        <w:t xml:space="preserve">, 504 U.S. 555, 112 S. Ct. 2130, 119 L. Ed. 2d 351 (1992). </w:t>
      </w:r>
      <w:bookmarkStart w:id="8546" w:name="Bookmark_I11TTCNSS06000073920004R"/>
      <w:bookmarkStart w:id="8547" w:name="Bookmark_I5XGKM0P28T4JD0020000400"/>
      <w:bookmarkEnd w:id="8546"/>
      <w:bookmarkEnd w:id="8547"/>
      <w:r>
        <w:rPr>
          <w:rFonts w:ascii="Arial" w:eastAsia="Arial" w:hAnsi="Arial" w:cs="Arial"/>
          <w:color w:val="000000"/>
          <w:sz w:val="20"/>
        </w:rPr>
        <w:t xml:space="preserve">Consider two points from </w:t>
      </w:r>
      <w:r>
        <w:rPr>
          <w:rFonts w:ascii="Arial" w:eastAsia="Arial" w:hAnsi="Arial" w:cs="Arial"/>
          <w:i/>
          <w:color w:val="000000"/>
          <w:sz w:val="20"/>
        </w:rPr>
        <w:t>Lujan</w:t>
      </w:r>
      <w:r>
        <w:rPr>
          <w:rFonts w:ascii="Arial" w:eastAsia="Arial" w:hAnsi="Arial" w:cs="Arial"/>
          <w:color w:val="000000"/>
          <w:sz w:val="20"/>
        </w:rPr>
        <w:t xml:space="preserve">. First, the Court emphasized that mere "profession of an intent to return to the places" one has visited before is "not enough" to show prospective injury stemming from those places. </w:t>
      </w:r>
      <w:bookmarkStart w:id="8548" w:name="Bookmark_I5XGKM0P28T4JD0020000400_2"/>
      <w:bookmarkStart w:id="8549" w:name="Bookmark_I5XGKM0P28T4JD0010000400"/>
      <w:bookmarkEnd w:id="8548"/>
      <w:bookmarkEnd w:id="8549"/>
      <w:r>
        <w:rPr>
          <w:rFonts w:ascii="Arial" w:eastAsia="Arial" w:hAnsi="Arial" w:cs="Arial"/>
          <w:i/>
          <w:color w:val="000000"/>
          <w:sz w:val="20"/>
        </w:rPr>
        <w:t>Id.</w:t>
      </w:r>
      <w:r>
        <w:rPr>
          <w:rFonts w:ascii="Arial" w:eastAsia="Arial" w:hAnsi="Arial" w:cs="Arial"/>
          <w:color w:val="000000"/>
          <w:sz w:val="20"/>
        </w:rPr>
        <w:t xml:space="preserve"> at 564 (cleaned up). </w:t>
      </w:r>
      <w:bookmarkStart w:id="8550" w:name="Bookmark_I11TTCNSVP3000073920004T"/>
      <w:bookmarkStart w:id="8551" w:name="Bookmark_I5XGKM0P28T4JD0040000400"/>
      <w:bookmarkEnd w:id="8550"/>
      <w:bookmarkEnd w:id="8551"/>
      <w:r>
        <w:rPr>
          <w:rFonts w:ascii="Arial" w:eastAsia="Arial" w:hAnsi="Arial" w:cs="Arial"/>
          <w:color w:val="000000"/>
          <w:sz w:val="20"/>
        </w:rPr>
        <w:t xml:space="preserve">"Such 'some day' intentions—without any description of concrete plans, or indeed even any specification of </w:t>
      </w:r>
      <w:r>
        <w:rPr>
          <w:rFonts w:ascii="Arial" w:eastAsia="Arial" w:hAnsi="Arial" w:cs="Arial"/>
          <w:i/>
          <w:color w:val="000000"/>
          <w:sz w:val="20"/>
        </w:rPr>
        <w:t>when</w:t>
      </w:r>
      <w:r>
        <w:rPr>
          <w:rFonts w:ascii="Arial" w:eastAsia="Arial" w:hAnsi="Arial" w:cs="Arial"/>
          <w:color w:val="000000"/>
          <w:sz w:val="20"/>
        </w:rPr>
        <w:t xml:space="preserve"> the some day will be—do not support a finding of [standing.]" </w:t>
      </w:r>
      <w:r>
        <w:rPr>
          <w:rFonts w:ascii="Arial" w:eastAsia="Arial" w:hAnsi="Arial" w:cs="Arial"/>
          <w:i/>
          <w:color w:val="000000"/>
          <w:sz w:val="20"/>
        </w:rPr>
        <w:t>Id.</w:t>
      </w:r>
      <w:r>
        <w:rPr>
          <w:rFonts w:ascii="Arial" w:eastAsia="Arial" w:hAnsi="Arial" w:cs="Arial"/>
          <w:color w:val="000000"/>
          <w:sz w:val="20"/>
        </w:rPr>
        <w:t xml:space="preserve"> Second, the Court rejected two proposed "nexus" tests for environmental standing. </w:t>
      </w:r>
      <w:bookmarkStart w:id="8552" w:name="Bookmark_I71FBKXC7H400002PHG005PK"/>
      <w:bookmarkStart w:id="8553" w:name="Bookmark_I71FBKXCB9600002PHG005PN"/>
      <w:bookmarkStart w:id="8554" w:name="Bookmark_I5XGKM0P2N1R650010000400"/>
      <w:bookmarkEnd w:id="8552"/>
      <w:bookmarkEnd w:id="8553"/>
      <w:bookmarkEnd w:id="8554"/>
      <w:r>
        <w:rPr>
          <w:rFonts w:ascii="Arial" w:eastAsia="Arial" w:hAnsi="Arial" w:cs="Arial"/>
          <w:color w:val="000000"/>
          <w:sz w:val="20"/>
        </w:rPr>
        <w:t xml:space="preserve">The "ecosystem nexus" test would have bestowed standing on "any person who uses </w:t>
      </w:r>
      <w:r>
        <w:rPr>
          <w:rFonts w:ascii="Arial" w:eastAsia="Arial" w:hAnsi="Arial" w:cs="Arial"/>
          <w:i/>
          <w:color w:val="000000"/>
          <w:sz w:val="20"/>
        </w:rPr>
        <w:t>any part</w:t>
      </w:r>
      <w:r>
        <w:rPr>
          <w:rFonts w:ascii="Arial" w:eastAsia="Arial" w:hAnsi="Arial" w:cs="Arial"/>
          <w:color w:val="000000"/>
          <w:sz w:val="20"/>
        </w:rPr>
        <w:t xml:space="preserve"> of a 'contiguous ecosystem' adversely affected by" a challenged activity regardless of geographic remoteness. </w:t>
      </w:r>
      <w:bookmarkStart w:id="8555" w:name="Bookmark_I5XGKM0P28T4JD0030000400"/>
      <w:bookmarkEnd w:id="8555"/>
      <w:r>
        <w:rPr>
          <w:rFonts w:ascii="Arial" w:eastAsia="Arial" w:hAnsi="Arial" w:cs="Arial"/>
          <w:i/>
          <w:color w:val="000000"/>
          <w:sz w:val="20"/>
        </w:rPr>
        <w:t>Id.</w:t>
      </w:r>
      <w:r>
        <w:rPr>
          <w:rFonts w:ascii="Arial" w:eastAsia="Arial" w:hAnsi="Arial" w:cs="Arial"/>
          <w:color w:val="000000"/>
          <w:sz w:val="20"/>
        </w:rPr>
        <w:t xml:space="preserve"> at 565. </w:t>
      </w:r>
      <w:bookmarkStart w:id="8556" w:name="Bookmark_I11TTCNSX2G000073920004V"/>
      <w:bookmarkStart w:id="8557" w:name="Bookmark_I11TTCNT0TC000073920004X"/>
      <w:bookmarkStart w:id="8558" w:name="Bookmark_I5XGKM0P2N1R650010000400_2"/>
      <w:bookmarkStart w:id="8559" w:name="Bookmark_I11TTCNT3HC0000739200050"/>
      <w:bookmarkStart w:id="8560" w:name="Bookmark_I5XGKM0P2N1R650050000400"/>
      <w:bookmarkEnd w:id="8556"/>
      <w:bookmarkEnd w:id="8557"/>
      <w:bookmarkEnd w:id="8558"/>
      <w:bookmarkEnd w:id="8559"/>
      <w:bookmarkEnd w:id="8560"/>
      <w:r>
        <w:rPr>
          <w:rFonts w:ascii="Arial" w:eastAsia="Arial" w:hAnsi="Arial" w:cs="Arial"/>
          <w:color w:val="000000"/>
          <w:sz w:val="20"/>
        </w:rPr>
        <w:t>The Court explained this approach "is inconsistent with [</w:t>
      </w:r>
      <w:r>
        <w:rPr>
          <w:rFonts w:ascii="Arial" w:eastAsia="Arial" w:hAnsi="Arial" w:cs="Arial"/>
          <w:i/>
          <w:color w:val="000000"/>
          <w:sz w:val="20"/>
        </w:rPr>
        <w:t>National Wildlife Federation</w:t>
      </w:r>
      <w:r>
        <w:rPr>
          <w:rFonts w:ascii="Arial" w:eastAsia="Arial" w:hAnsi="Arial" w:cs="Arial"/>
          <w:color w:val="000000"/>
          <w:sz w:val="20"/>
        </w:rPr>
        <w:t xml:space="preserve">,] which held that a plaintiff claiming injury from environmental damage must use the area affected by the challenged activity and not an area roughly 'in the vicinity' of it." </w:t>
      </w:r>
      <w:bookmarkStart w:id="8561" w:name="Bookmark_I5XGKM0P28T4JD0050000400"/>
      <w:bookmarkEnd w:id="8561"/>
      <w:r>
        <w:rPr>
          <w:rFonts w:ascii="Arial" w:eastAsia="Arial" w:hAnsi="Arial" w:cs="Arial"/>
          <w:i/>
          <w:color w:val="000000"/>
          <w:sz w:val="20"/>
        </w:rPr>
        <w:t>Id.</w:t>
      </w:r>
      <w:r>
        <w:rPr>
          <w:rFonts w:ascii="Arial" w:eastAsia="Arial" w:hAnsi="Arial" w:cs="Arial"/>
          <w:color w:val="000000"/>
          <w:sz w:val="20"/>
        </w:rPr>
        <w:t xml:space="preserve"> at 565-66 (citing </w:t>
      </w:r>
      <w:bookmarkStart w:id="8562" w:name="Bookmark_I5XGKM0P2N1R650020000400"/>
      <w:bookmarkEnd w:id="8562"/>
      <w:r>
        <w:rPr>
          <w:rFonts w:ascii="Arial" w:eastAsia="Arial" w:hAnsi="Arial" w:cs="Arial"/>
          <w:i/>
          <w:color w:val="000000"/>
          <w:sz w:val="20"/>
        </w:rPr>
        <w:t>Lujan v. Nat'l Wildlife Fed'n</w:t>
      </w:r>
      <w:r>
        <w:rPr>
          <w:rFonts w:ascii="Arial" w:eastAsia="Arial" w:hAnsi="Arial" w:cs="Arial"/>
          <w:color w:val="000000"/>
          <w:sz w:val="20"/>
        </w:rPr>
        <w:t xml:space="preserve">, 497 U.S. 871, 887-89, 110 S. Ct. 3177, 111 L. Ed. 2d 695 (1990)). </w:t>
      </w:r>
      <w:bookmarkStart w:id="8563" w:name="Bookmark_I5XGKM0P2N1R650050000400_2"/>
      <w:bookmarkEnd w:id="8563"/>
      <w:r>
        <w:rPr>
          <w:rFonts w:ascii="Arial" w:eastAsia="Arial" w:hAnsi="Arial" w:cs="Arial"/>
          <w:color w:val="000000"/>
          <w:sz w:val="20"/>
        </w:rPr>
        <w:t xml:space="preserve">The other rejected [**29]  nexus test, the "animal" or "vocational nexus," would have allowed "anyone who has an interest in studying or seeing endangered animals" to sue over wrongdoing affecting those animals. </w:t>
      </w:r>
      <w:bookmarkStart w:id="8564" w:name="Bookmark_I5XGKM0P2N1R650040000400"/>
      <w:bookmarkEnd w:id="8564"/>
      <w:r>
        <w:rPr>
          <w:rFonts w:ascii="Arial" w:eastAsia="Arial" w:hAnsi="Arial" w:cs="Arial"/>
          <w:i/>
          <w:color w:val="000000"/>
          <w:sz w:val="20"/>
        </w:rPr>
        <w:t>Id.</w:t>
      </w:r>
      <w:r>
        <w:rPr>
          <w:rFonts w:ascii="Arial" w:eastAsia="Arial" w:hAnsi="Arial" w:cs="Arial"/>
          <w:color w:val="000000"/>
          <w:sz w:val="20"/>
        </w:rPr>
        <w:t xml:space="preserve"> at 566.</w:t>
      </w:r>
    </w:p>
    <w:p w14:paraId="7B4355D7" w14:textId="77777777" w:rsidR="002B10A6" w:rsidRDefault="00000000">
      <w:pPr>
        <w:pStyle w:val="Normal45"/>
        <w:widowControl w:val="0"/>
        <w:spacing w:before="200" w:line="260" w:lineRule="atLeast"/>
        <w:jc w:val="both"/>
      </w:pPr>
      <w:bookmarkStart w:id="8565" w:name="Bookmark_para_47_14"/>
      <w:bookmarkEnd w:id="8565"/>
      <w:r>
        <w:rPr>
          <w:rFonts w:ascii="Arial" w:eastAsia="Arial" w:hAnsi="Arial" w:cs="Arial"/>
          <w:color w:val="000000"/>
          <w:sz w:val="20"/>
        </w:rPr>
        <w:t xml:space="preserve">The majority sneaks the nexus tests rejected in </w:t>
      </w:r>
      <w:r>
        <w:rPr>
          <w:rFonts w:ascii="Arial" w:eastAsia="Arial" w:hAnsi="Arial" w:cs="Arial"/>
          <w:i/>
          <w:color w:val="000000"/>
          <w:sz w:val="20"/>
        </w:rPr>
        <w:t>Lujan</w:t>
      </w:r>
      <w:r>
        <w:rPr>
          <w:rFonts w:ascii="Arial" w:eastAsia="Arial" w:hAnsi="Arial" w:cs="Arial"/>
          <w:color w:val="000000"/>
          <w:sz w:val="20"/>
        </w:rPr>
        <w:t xml:space="preserve"> into </w:t>
      </w:r>
      <w:r>
        <w:rPr>
          <w:rFonts w:ascii="Arial" w:eastAsia="Arial" w:hAnsi="Arial" w:cs="Arial"/>
          <w:i/>
          <w:color w:val="000000"/>
          <w:sz w:val="20"/>
        </w:rPr>
        <w:t>Gaylor</w:t>
      </w:r>
      <w:r>
        <w:rPr>
          <w:rFonts w:ascii="Arial" w:eastAsia="Arial" w:hAnsi="Arial" w:cs="Arial"/>
          <w:color w:val="000000"/>
          <w:sz w:val="20"/>
        </w:rPr>
        <w:t xml:space="preserve">'s "intent to return" standard. </w:t>
      </w:r>
      <w:bookmarkStart w:id="8566" w:name="Bookmark_I11TTCNT66S0000739200052"/>
      <w:bookmarkStart w:id="8567" w:name="Bookmark_I5XGKM0P28T4JF0020000400"/>
      <w:bookmarkEnd w:id="8566"/>
      <w:bookmarkEnd w:id="8567"/>
      <w:r>
        <w:rPr>
          <w:rFonts w:ascii="Arial" w:eastAsia="Arial" w:hAnsi="Arial" w:cs="Arial"/>
          <w:color w:val="000000"/>
          <w:sz w:val="20"/>
        </w:rPr>
        <w:t xml:space="preserve">Under the majority's brand of judicial alchemy, a court can transmute "some day" intentions to return to an ADA-noncompliant accommodation into a sufficiently concrete plan using (1) concrete plans to return to "the vicinity" of the accommodation (the "ecosystem nexus") and (2) an "interest" in the accommodation (the "animal" or "vocational nexus"). </w:t>
      </w:r>
      <w:r>
        <w:rPr>
          <w:rFonts w:ascii="Arial" w:eastAsia="Arial" w:hAnsi="Arial" w:cs="Arial"/>
          <w:i/>
          <w:color w:val="000000"/>
          <w:sz w:val="20"/>
        </w:rPr>
        <w:t>Lujan</w:t>
      </w:r>
      <w:r>
        <w:rPr>
          <w:rFonts w:ascii="Arial" w:eastAsia="Arial" w:hAnsi="Arial" w:cs="Arial"/>
          <w:color w:val="000000"/>
          <w:sz w:val="20"/>
        </w:rPr>
        <w:t xml:space="preserve"> forbids this sort of mental gymnastics. </w:t>
      </w:r>
      <w:bookmarkStart w:id="8568" w:name="Bookmark_I11TTCNT7P30000739200053"/>
      <w:bookmarkStart w:id="8569" w:name="Bookmark_I5XGKM0P28T4JF0040000400"/>
      <w:bookmarkEnd w:id="8568"/>
      <w:bookmarkEnd w:id="8569"/>
      <w:r>
        <w:rPr>
          <w:rFonts w:ascii="Arial" w:eastAsia="Arial" w:hAnsi="Arial" w:cs="Arial"/>
          <w:i/>
          <w:color w:val="000000"/>
          <w:sz w:val="20"/>
        </w:rPr>
        <w:t xml:space="preserve">See </w:t>
      </w:r>
      <w:bookmarkStart w:id="8570" w:name="Bookmark_I5XGKM0P28T4JF0010000400"/>
      <w:bookmarkEnd w:id="8570"/>
      <w:r>
        <w:rPr>
          <w:rFonts w:ascii="Arial" w:eastAsia="Arial" w:hAnsi="Arial" w:cs="Arial"/>
          <w:i/>
          <w:color w:val="000000"/>
          <w:sz w:val="20"/>
        </w:rPr>
        <w:t>id.</w:t>
      </w:r>
      <w:r>
        <w:rPr>
          <w:rFonts w:ascii="Arial" w:eastAsia="Arial" w:hAnsi="Arial" w:cs="Arial"/>
          <w:color w:val="000000"/>
          <w:sz w:val="20"/>
        </w:rPr>
        <w:t xml:space="preserve"> at 566 ("Standing is not an ingenious academic exercise in the conceivable . . . ." (quotation omitted)). </w:t>
      </w:r>
      <w:bookmarkStart w:id="8571" w:name="Bookmark_I5XGKM0P28T4JF0040000400_2"/>
      <w:bookmarkEnd w:id="8571"/>
      <w:r>
        <w:rPr>
          <w:rFonts w:ascii="Arial" w:eastAsia="Arial" w:hAnsi="Arial" w:cs="Arial"/>
          <w:color w:val="000000"/>
          <w:sz w:val="20"/>
        </w:rPr>
        <w:t xml:space="preserve">Instead, a plaintiff must plausibly allege a concrete plan to return to the specific location complained of—not just the "geographic area," or the area plus an "interest" in the specific location. </w:t>
      </w:r>
      <w:r>
        <w:rPr>
          <w:rFonts w:ascii="Arial" w:eastAsia="Arial" w:hAnsi="Arial" w:cs="Arial"/>
          <w:i/>
          <w:color w:val="000000"/>
          <w:sz w:val="20"/>
        </w:rPr>
        <w:t xml:space="preserve">See </w:t>
      </w:r>
      <w:bookmarkStart w:id="8572" w:name="Bookmark_I5XGKM0P28T4JF0030000400"/>
      <w:bookmarkEnd w:id="8572"/>
      <w:r>
        <w:rPr>
          <w:rFonts w:ascii="Arial" w:eastAsia="Arial" w:hAnsi="Arial" w:cs="Arial"/>
          <w:i/>
          <w:color w:val="000000"/>
          <w:sz w:val="20"/>
        </w:rPr>
        <w:t>id.</w:t>
      </w:r>
      <w:r>
        <w:rPr>
          <w:rFonts w:ascii="Arial" w:eastAsia="Arial" w:hAnsi="Arial" w:cs="Arial"/>
          <w:color w:val="000000"/>
          <w:sz w:val="20"/>
        </w:rPr>
        <w:t xml:space="preserve"> at 564-65.</w:t>
      </w:r>
    </w:p>
    <w:p w14:paraId="6141182F" w14:textId="77777777" w:rsidR="002B10A6" w:rsidRDefault="00000000">
      <w:pPr>
        <w:pStyle w:val="Normal45"/>
        <w:widowControl w:val="0"/>
        <w:spacing w:before="200" w:line="260" w:lineRule="atLeast"/>
        <w:jc w:val="both"/>
      </w:pPr>
      <w:bookmarkStart w:id="8573" w:name="Bookmark_para_48_14"/>
      <w:bookmarkEnd w:id="8573"/>
      <w:r>
        <w:rPr>
          <w:rFonts w:ascii="Arial" w:eastAsia="Arial" w:hAnsi="Arial" w:cs="Arial"/>
          <w:color w:val="000000"/>
          <w:sz w:val="20"/>
        </w:rPr>
        <w:t>And we ought to judge such allegations using the three factors all courts use: (1) proximity to home; (2) past visits to the accommodation; and (3) definiteness of plans to visit the accommodation in the future. The [**30]  majority acknowledges these are the factors courts consider but whittles them down to nothing. If a plaintiff "does not live near the accommodation at issue," we consider other things, says the majority. "One visit is enough," says the majority. Plaintiffs need not "provide a definitive plan for returning to the accommodation," says the majority. What's left?</w:t>
      </w:r>
    </w:p>
    <w:p w14:paraId="19499F50" w14:textId="77777777" w:rsidR="002B10A6" w:rsidRDefault="00000000">
      <w:pPr>
        <w:pStyle w:val="Normal45"/>
        <w:widowControl w:val="0"/>
        <w:spacing w:before="200" w:line="260" w:lineRule="atLeast"/>
        <w:jc w:val="both"/>
      </w:pPr>
      <w:bookmarkStart w:id="8574" w:name="Bookmark_para_49_12"/>
      <w:bookmarkEnd w:id="8574"/>
      <w:r>
        <w:rPr>
          <w:rFonts w:ascii="Arial" w:eastAsia="Arial" w:hAnsi="Arial" w:cs="Arial"/>
          <w:color w:val="000000"/>
          <w:sz w:val="20"/>
        </w:rPr>
        <w:t xml:space="preserve">Let's assume I'm wrong about all that, though. Assume the Supreme Court would have ruled in favor of the </w:t>
      </w:r>
      <w:r>
        <w:rPr>
          <w:rFonts w:ascii="Arial" w:eastAsia="Arial" w:hAnsi="Arial" w:cs="Arial"/>
          <w:i/>
          <w:color w:val="000000"/>
          <w:sz w:val="20"/>
        </w:rPr>
        <w:t>Lujan</w:t>
      </w:r>
      <w:r>
        <w:rPr>
          <w:rFonts w:ascii="Arial" w:eastAsia="Arial" w:hAnsi="Arial" w:cs="Arial"/>
          <w:color w:val="000000"/>
          <w:sz w:val="20"/>
        </w:rPr>
        <w:t xml:space="preserve"> plaintiffs if they had only thought to combine their nexus tests. And assume the majority's new test is better than the factors judicial experience has generated. Mosley's allegations </w:t>
      </w:r>
      <w:r>
        <w:rPr>
          <w:rFonts w:ascii="Arial" w:eastAsia="Arial" w:hAnsi="Arial" w:cs="Arial"/>
          <w:i/>
          <w:color w:val="000000"/>
          <w:sz w:val="20"/>
        </w:rPr>
        <w:t>still</w:t>
      </w:r>
      <w:r>
        <w:rPr>
          <w:rFonts w:ascii="Arial" w:eastAsia="Arial" w:hAnsi="Arial" w:cs="Arial"/>
          <w:color w:val="000000"/>
          <w:sz w:val="20"/>
        </w:rPr>
        <w:t xml:space="preserve"> aren't enough. As I explained before, Mosley doesn't allege he has an "interest" in Kohl's, let alone the two suburban locations he's suing. He alleges only a legal conclusion—that he "would" return but is "deterred" from doing so. The majority accepts that as fact. It's not. The  [*767]  only relevant facts are that Mosley visits "the Detroit area" and visited two Kohl's stores outside Detroit once in the past. But think about a department store you've visited only once on a trip, if you can remember. Is that a store you still have an interest [**31]  in? No, is the only plausible answer. That should be the beginning and end of this case.</w:t>
      </w:r>
    </w:p>
    <w:p w14:paraId="38718A8B" w14:textId="77777777" w:rsidR="002B10A6" w:rsidRDefault="00000000">
      <w:pPr>
        <w:pStyle w:val="Normal45"/>
        <w:widowControl w:val="0"/>
        <w:spacing w:before="240" w:line="260" w:lineRule="atLeast"/>
      </w:pPr>
      <w:r>
        <w:br/>
      </w:r>
      <w:r>
        <w:rPr>
          <w:rFonts w:ascii="Arial" w:eastAsia="Arial" w:hAnsi="Arial" w:cs="Arial"/>
          <w:b/>
          <w:color w:val="000000"/>
          <w:sz w:val="20"/>
        </w:rPr>
        <w:t>III</w:t>
      </w:r>
    </w:p>
    <w:p w14:paraId="76DCBF19" w14:textId="77777777" w:rsidR="002B10A6" w:rsidRDefault="00000000">
      <w:pPr>
        <w:pStyle w:val="Normal45"/>
        <w:widowControl w:val="0"/>
        <w:spacing w:before="200" w:line="260" w:lineRule="atLeast"/>
        <w:jc w:val="both"/>
      </w:pPr>
      <w:bookmarkStart w:id="8575" w:name="Bookmark_para_50_11"/>
      <w:bookmarkEnd w:id="8575"/>
      <w:r>
        <w:rPr>
          <w:rFonts w:ascii="Arial" w:eastAsia="Arial" w:hAnsi="Arial" w:cs="Arial"/>
          <w:color w:val="000000"/>
          <w:sz w:val="20"/>
        </w:rPr>
        <w:t>This is a case about many things. On one side, it's about two men's bathrooms at Kohl's stores in Novi and Northville, Michigan, and whether Mosley should have to pay a $400 fee to file a new complaint properly alleging his standing to sue those stores. But on the other side, it's about plausibility pleading and constitutional standing. These concepts, when combined, are how we police the boundaries of our jurisdiction at the inception of a case. The majority, in crafting a not-so-perfectly-tailored test to fit Mosley's inartfully-pled complaint, simply ignores them. I can't, so I dissent.</w:t>
      </w:r>
    </w:p>
    <w:p w14:paraId="0D9C22AA" w14:textId="77777777" w:rsidR="002B10A6" w:rsidRDefault="002B10A6">
      <w:pPr>
        <w:pStyle w:val="Normal45"/>
      </w:pPr>
    </w:p>
    <w:p w14:paraId="39EA7B8C" w14:textId="6E09C7A8" w:rsidR="002B10A6" w:rsidRDefault="00000000">
      <w:pPr>
        <w:pStyle w:val="Normal45"/>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59616" behindDoc="0" locked="0" layoutInCell="1" allowOverlap="1" wp14:anchorId="71FF4643" wp14:editId="65A46028">
                <wp:simplePos x="0" y="0"/>
                <wp:positionH relativeFrom="column">
                  <wp:posOffset>0</wp:posOffset>
                </wp:positionH>
                <wp:positionV relativeFrom="paragraph">
                  <wp:posOffset>127000</wp:posOffset>
                </wp:positionV>
                <wp:extent cx="6502400" cy="0"/>
                <wp:effectExtent l="9525" t="12700" r="12700" b="6350"/>
                <wp:wrapNone/>
                <wp:docPr id="1981366090"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092C5"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3926EA4" w14:textId="77777777" w:rsidR="002B10A6" w:rsidRDefault="002B10A6">
      <w:pPr>
        <w:pStyle w:val="Normal46"/>
        <w:sectPr w:rsidR="002B10A6">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gutter="0"/>
          <w:cols w:space="720"/>
          <w:titlePg/>
        </w:sectPr>
      </w:pPr>
    </w:p>
    <w:p w14:paraId="53AB800A" w14:textId="77777777" w:rsidR="002B10A6" w:rsidRDefault="002B10A6">
      <w:pPr>
        <w:pStyle w:val="Normal46"/>
      </w:pPr>
    </w:p>
    <w:p w14:paraId="755BE036" w14:textId="77777777" w:rsidR="002B10A6" w:rsidRDefault="00000000">
      <w:pPr>
        <w:pStyle w:val="Heading145"/>
        <w:keepNext w:val="0"/>
        <w:widowControl w:val="0"/>
        <w:spacing w:after="200" w:line="340" w:lineRule="atLeast"/>
        <w:jc w:val="center"/>
      </w:pPr>
      <w:r>
        <w:rPr>
          <w:rFonts w:eastAsia="Arial"/>
          <w:color w:val="000000"/>
          <w:sz w:val="28"/>
        </w:rPr>
        <w:t>Summers v. City of Fitchburg</w:t>
      </w:r>
    </w:p>
    <w:p w14:paraId="60B57CFD" w14:textId="77777777" w:rsidR="002B10A6" w:rsidRDefault="00000000">
      <w:pPr>
        <w:pStyle w:val="Normal46"/>
        <w:widowControl w:val="0"/>
        <w:spacing w:before="120" w:line="260" w:lineRule="atLeast"/>
        <w:jc w:val="center"/>
      </w:pPr>
      <w:r>
        <w:rPr>
          <w:rFonts w:ascii="Arial" w:eastAsia="Arial" w:hAnsi="Arial" w:cs="Arial"/>
          <w:color w:val="000000"/>
          <w:sz w:val="20"/>
        </w:rPr>
        <w:t>United States Court of Appeals for the First Circuit</w:t>
      </w:r>
    </w:p>
    <w:p w14:paraId="2D88DC0A" w14:textId="77777777" w:rsidR="002B10A6" w:rsidRDefault="00000000">
      <w:pPr>
        <w:pStyle w:val="Normal46"/>
        <w:widowControl w:val="0"/>
        <w:spacing w:before="120" w:line="260" w:lineRule="atLeast"/>
        <w:jc w:val="center"/>
      </w:pPr>
      <w:r>
        <w:rPr>
          <w:rFonts w:ascii="Arial" w:eastAsia="Arial" w:hAnsi="Arial" w:cs="Arial"/>
          <w:color w:val="000000"/>
          <w:sz w:val="20"/>
        </w:rPr>
        <w:t>October 8, 2019, Decided</w:t>
      </w:r>
    </w:p>
    <w:p w14:paraId="766E3536" w14:textId="77777777" w:rsidR="002B10A6" w:rsidRDefault="00000000">
      <w:pPr>
        <w:pStyle w:val="Normal46"/>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18-1725</w:t>
      </w:r>
    </w:p>
    <w:p w14:paraId="7CFC40B0" w14:textId="77777777" w:rsidR="002B10A6" w:rsidRDefault="002B10A6">
      <w:pPr>
        <w:pStyle w:val="Normal46"/>
        <w:widowControl w:val="0"/>
        <w:spacing w:line="240" w:lineRule="atLeast"/>
        <w:jc w:val="both"/>
      </w:pPr>
      <w:bookmarkStart w:id="8576" w:name="Bookmark_47"/>
      <w:bookmarkEnd w:id="8576"/>
    </w:p>
    <w:p w14:paraId="744AABAD" w14:textId="77777777" w:rsidR="002B10A6" w:rsidRDefault="00000000">
      <w:pPr>
        <w:pStyle w:val="Normal46"/>
        <w:widowControl w:val="0"/>
        <w:spacing w:before="200" w:line="240" w:lineRule="atLeast"/>
      </w:pPr>
      <w:bookmarkStart w:id="8577" w:name="Reporter_45"/>
      <w:bookmarkEnd w:id="8577"/>
      <w:r>
        <w:rPr>
          <w:rFonts w:ascii="Arial" w:eastAsia="Arial" w:hAnsi="Arial" w:cs="Arial"/>
          <w:b/>
          <w:color w:val="000000"/>
          <w:sz w:val="18"/>
        </w:rPr>
        <w:t>Reporter</w:t>
      </w:r>
    </w:p>
    <w:p w14:paraId="6FA902E8" w14:textId="77777777" w:rsidR="002B10A6" w:rsidRDefault="00000000">
      <w:pPr>
        <w:pStyle w:val="Normal46"/>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940 F.3d 133 *; 2019 U.S. App. LEXIS 30164 **; 2019 WL 4941941</w:t>
      </w:r>
    </w:p>
    <w:p w14:paraId="41E1703F" w14:textId="77777777" w:rsidR="002B10A6" w:rsidRDefault="00000000">
      <w:pPr>
        <w:pStyle w:val="Normal46"/>
        <w:widowControl w:val="0"/>
        <w:spacing w:before="120" w:line="260" w:lineRule="atLeast"/>
      </w:pPr>
      <w:r>
        <w:rPr>
          <w:rFonts w:ascii="Arial" w:eastAsia="Arial" w:hAnsi="Arial" w:cs="Arial"/>
          <w:color w:val="000000"/>
          <w:sz w:val="20"/>
        </w:rPr>
        <w:t>JEFFREY D. SUMMERS and JEFFREY'S HOUSE INC., Plaintiffs, Appellants, v. CITY OF FITCHBURG ET AL., Defendants, Appellees.</w:t>
      </w:r>
    </w:p>
    <w:p w14:paraId="009C055F" w14:textId="77777777" w:rsidR="002B10A6" w:rsidRDefault="00000000">
      <w:pPr>
        <w:pStyle w:val="Normal46"/>
        <w:widowControl w:val="0"/>
        <w:spacing w:before="240" w:line="260" w:lineRule="atLeast"/>
        <w:jc w:val="both"/>
      </w:pPr>
      <w:bookmarkStart w:id="8578" w:name="Prior_History_45"/>
      <w:bookmarkEnd w:id="8578"/>
      <w:r>
        <w:rPr>
          <w:rFonts w:ascii="Arial" w:eastAsia="Arial" w:hAnsi="Arial" w:cs="Arial"/>
          <w:b/>
          <w:color w:val="000000"/>
          <w:sz w:val="20"/>
        </w:rPr>
        <w:t>Prior History:</w:t>
      </w:r>
      <w:r>
        <w:rPr>
          <w:rFonts w:ascii="Arial" w:eastAsia="Arial" w:hAnsi="Arial" w:cs="Arial"/>
          <w:color w:val="000000"/>
          <w:sz w:val="20"/>
        </w:rPr>
        <w:t> </w:t>
      </w:r>
      <w:bookmarkStart w:id="8579" w:name="Bookmark_para_1_45"/>
      <w:bookmarkEnd w:id="8579"/>
      <w:r>
        <w:rPr>
          <w:rFonts w:ascii="Arial" w:eastAsia="Arial" w:hAnsi="Arial" w:cs="Arial"/>
          <w:color w:val="000000"/>
          <w:sz w:val="20"/>
        </w:rPr>
        <w:t> [**1] APPEAL FROM THE UNITED STATES DISTRICT COURT FOR THE DISTRICT OF MASSACHUSETTS. Hon. Denise J. Casper, U.S. District Judge.</w:t>
      </w:r>
    </w:p>
    <w:p w14:paraId="7C86B0E0" w14:textId="77777777" w:rsidR="002B10A6" w:rsidRDefault="00000000">
      <w:pPr>
        <w:pStyle w:val="Normal46"/>
        <w:widowControl w:val="0"/>
        <w:spacing w:before="120" w:line="260" w:lineRule="atLeast"/>
      </w:pPr>
      <w:r>
        <w:rPr>
          <w:rFonts w:ascii="Arial" w:eastAsia="Arial" w:hAnsi="Arial" w:cs="Arial"/>
          <w:color w:val="000000"/>
          <w:sz w:val="20"/>
        </w:rPr>
        <w:t>Summers v. City of Fitchburg, 325 F. Supp. 3d 203, 2018 U.S. Dist. LEXIS 107921 (D. Mass., June 26, 2018)</w:t>
      </w:r>
    </w:p>
    <w:p w14:paraId="563C7763" w14:textId="77777777" w:rsidR="002B10A6" w:rsidRDefault="00000000">
      <w:pPr>
        <w:pStyle w:val="Normal46"/>
        <w:widowControl w:val="0"/>
        <w:spacing w:before="240" w:line="260" w:lineRule="atLeast"/>
        <w:jc w:val="both"/>
      </w:pPr>
      <w:bookmarkStart w:id="8580" w:name="Disposition_13"/>
      <w:bookmarkEnd w:id="8580"/>
      <w:r>
        <w:rPr>
          <w:rFonts w:ascii="Arial" w:eastAsia="Arial" w:hAnsi="Arial" w:cs="Arial"/>
          <w:b/>
          <w:color w:val="000000"/>
          <w:sz w:val="20"/>
        </w:rPr>
        <w:t>Disposition:</w:t>
      </w:r>
      <w:r>
        <w:rPr>
          <w:rFonts w:ascii="Arial" w:eastAsia="Arial" w:hAnsi="Arial" w:cs="Arial"/>
          <w:color w:val="000000"/>
          <w:sz w:val="20"/>
        </w:rPr>
        <w:t> </w:t>
      </w:r>
      <w:bookmarkStart w:id="8581" w:name="Bookmark_clspara_4_11"/>
      <w:bookmarkEnd w:id="8581"/>
      <w:r>
        <w:rPr>
          <w:rFonts w:ascii="Arial" w:eastAsia="Arial" w:hAnsi="Arial" w:cs="Arial"/>
          <w:color w:val="000000"/>
          <w:sz w:val="20"/>
        </w:rPr>
        <w:t>Affirmed.</w:t>
      </w:r>
    </w:p>
    <w:p w14:paraId="68BCF9A3" w14:textId="77777777" w:rsidR="002B10A6" w:rsidRDefault="00000000">
      <w:pPr>
        <w:pStyle w:val="Normal46"/>
        <w:widowControl w:val="0"/>
        <w:spacing w:before="240" w:line="260" w:lineRule="atLeast"/>
      </w:pPr>
      <w:bookmarkStart w:id="8582" w:name="Counsel_44"/>
      <w:bookmarkEnd w:id="8582"/>
      <w:r>
        <w:rPr>
          <w:rFonts w:ascii="Arial" w:eastAsia="Arial" w:hAnsi="Arial" w:cs="Arial"/>
          <w:b/>
          <w:color w:val="000000"/>
          <w:sz w:val="20"/>
        </w:rPr>
        <w:t>Counsel:</w:t>
      </w:r>
      <w:r>
        <w:rPr>
          <w:rFonts w:ascii="Arial" w:eastAsia="Arial" w:hAnsi="Arial" w:cs="Arial"/>
          <w:color w:val="000000"/>
          <w:sz w:val="20"/>
        </w:rPr>
        <w:t> Marcus L. Scott, with whom Barbara Collins and ScottCollins, LLP were on brief, for appellants.</w:t>
      </w:r>
    </w:p>
    <w:p w14:paraId="34C1D8E7" w14:textId="77777777" w:rsidR="002B10A6" w:rsidRDefault="00000000">
      <w:pPr>
        <w:pStyle w:val="Normal46"/>
        <w:widowControl w:val="0"/>
        <w:spacing w:before="120" w:line="260" w:lineRule="atLeast"/>
      </w:pPr>
      <w:r>
        <w:rPr>
          <w:rFonts w:ascii="Arial" w:eastAsia="Arial" w:hAnsi="Arial" w:cs="Arial"/>
          <w:color w:val="000000"/>
          <w:sz w:val="20"/>
        </w:rPr>
        <w:t>Gregor A. Pagnini, with whom Leonard H. Kesten, Deidre Brennan Regan, and Brody, Hardoon, Perkins &amp; Kesten, LLP were on brief, for appellees.</w:t>
      </w:r>
    </w:p>
    <w:p w14:paraId="0BAAE4F9" w14:textId="77777777" w:rsidR="002B10A6" w:rsidRDefault="00000000">
      <w:pPr>
        <w:pStyle w:val="Normal46"/>
        <w:widowControl w:val="0"/>
        <w:spacing w:before="120" w:line="260" w:lineRule="atLeast"/>
      </w:pPr>
      <w:r>
        <w:rPr>
          <w:rFonts w:ascii="Arial" w:eastAsia="Arial" w:hAnsi="Arial" w:cs="Arial"/>
          <w:color w:val="000000"/>
          <w:sz w:val="20"/>
        </w:rPr>
        <w:t>Maura Healey, Attorney General, and Julie E. Green, Assistant Attorney General, on brief for Commonwealth of Massachusetts, amicus curiae.</w:t>
      </w:r>
    </w:p>
    <w:p w14:paraId="361EC9C6" w14:textId="77777777" w:rsidR="002B10A6" w:rsidRDefault="00000000">
      <w:pPr>
        <w:pStyle w:val="Normal46"/>
        <w:widowControl w:val="0"/>
        <w:spacing w:before="240" w:line="260" w:lineRule="atLeast"/>
      </w:pPr>
      <w:bookmarkStart w:id="8583" w:name="Judges_45"/>
      <w:bookmarkEnd w:id="8583"/>
      <w:r>
        <w:rPr>
          <w:rFonts w:ascii="Arial" w:eastAsia="Arial" w:hAnsi="Arial" w:cs="Arial"/>
          <w:b/>
          <w:color w:val="000000"/>
          <w:sz w:val="20"/>
        </w:rPr>
        <w:t>Judges:</w:t>
      </w:r>
      <w:r>
        <w:rPr>
          <w:rFonts w:ascii="Arial" w:eastAsia="Arial" w:hAnsi="Arial" w:cs="Arial"/>
          <w:color w:val="000000"/>
          <w:sz w:val="20"/>
        </w:rPr>
        <w:t> Before Barron, Selya, and Boudin, Circuit Judges.</w:t>
      </w:r>
    </w:p>
    <w:p w14:paraId="562F75F0" w14:textId="77777777" w:rsidR="002B10A6" w:rsidRDefault="00000000">
      <w:pPr>
        <w:pStyle w:val="Normal46"/>
        <w:widowControl w:val="0"/>
        <w:spacing w:before="240" w:line="260" w:lineRule="atLeast"/>
      </w:pPr>
      <w:bookmarkStart w:id="8584" w:name="Opinion_by_32"/>
      <w:bookmarkEnd w:id="8584"/>
      <w:r>
        <w:rPr>
          <w:rFonts w:ascii="Arial" w:eastAsia="Arial" w:hAnsi="Arial" w:cs="Arial"/>
          <w:b/>
          <w:color w:val="000000"/>
          <w:sz w:val="20"/>
        </w:rPr>
        <w:t>Opinion by:</w:t>
      </w:r>
      <w:r>
        <w:rPr>
          <w:rFonts w:ascii="Arial" w:eastAsia="Arial" w:hAnsi="Arial" w:cs="Arial"/>
          <w:color w:val="000000"/>
          <w:sz w:val="20"/>
        </w:rPr>
        <w:t> SELYA</w:t>
      </w:r>
    </w:p>
    <w:p w14:paraId="75CC5D30" w14:textId="77777777" w:rsidR="002B10A6" w:rsidRDefault="00000000">
      <w:pPr>
        <w:pStyle w:val="Normal46"/>
        <w:keepNext/>
        <w:widowControl w:val="0"/>
        <w:spacing w:before="240" w:line="340" w:lineRule="atLeast"/>
      </w:pPr>
      <w:bookmarkStart w:id="8585" w:name="Opinion_45"/>
      <w:bookmarkEnd w:id="8585"/>
      <w:r>
        <w:rPr>
          <w:rFonts w:ascii="Arial" w:eastAsia="Arial" w:hAnsi="Arial" w:cs="Arial"/>
          <w:b/>
          <w:color w:val="000000"/>
          <w:sz w:val="28"/>
        </w:rPr>
        <w:t>Opinion</w:t>
      </w:r>
    </w:p>
    <w:p w14:paraId="3C1FF4F2" w14:textId="227D6195" w:rsidR="002B10A6" w:rsidRDefault="002D6974">
      <w:pPr>
        <w:pStyle w:val="Normal46"/>
        <w:spacing w:line="60" w:lineRule="exact"/>
      </w:pPr>
      <w:r>
        <w:rPr>
          <w:noProof/>
        </w:rPr>
        <mc:AlternateContent>
          <mc:Choice Requires="wps">
            <w:drawing>
              <wp:anchor distT="0" distB="0" distL="114300" distR="114300" simplePos="0" relativeHeight="251760640" behindDoc="0" locked="0" layoutInCell="1" allowOverlap="1" wp14:anchorId="69376356" wp14:editId="14191D15">
                <wp:simplePos x="0" y="0"/>
                <wp:positionH relativeFrom="column">
                  <wp:posOffset>0</wp:posOffset>
                </wp:positionH>
                <wp:positionV relativeFrom="paragraph">
                  <wp:posOffset>25400</wp:posOffset>
                </wp:positionV>
                <wp:extent cx="3187700" cy="0"/>
                <wp:effectExtent l="19050" t="15875" r="12700" b="12700"/>
                <wp:wrapTopAndBottom/>
                <wp:docPr id="1088675885"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DB569"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3104C128" w14:textId="77777777" w:rsidR="002B10A6" w:rsidRDefault="002B10A6">
      <w:pPr>
        <w:pStyle w:val="Normal46"/>
      </w:pPr>
    </w:p>
    <w:p w14:paraId="1E72DBD2" w14:textId="77777777" w:rsidR="002B10A6" w:rsidRDefault="00000000">
      <w:pPr>
        <w:pStyle w:val="Normal46"/>
        <w:widowControl w:val="0"/>
        <w:spacing w:before="200" w:line="260" w:lineRule="atLeast"/>
        <w:jc w:val="both"/>
      </w:pPr>
      <w:bookmarkStart w:id="8586" w:name="Bookmark_para_2_45"/>
      <w:bookmarkEnd w:id="8586"/>
      <w:r>
        <w:rPr>
          <w:rFonts w:ascii="Arial" w:eastAsia="Arial" w:hAnsi="Arial" w:cs="Arial"/>
          <w:color w:val="000000"/>
          <w:sz w:val="20"/>
        </w:rPr>
        <w:t xml:space="preserve"> [*136]  </w:t>
      </w:r>
      <w:r>
        <w:rPr>
          <w:rFonts w:ascii="Arial" w:eastAsia="Arial" w:hAnsi="Arial" w:cs="Arial"/>
          <w:b/>
          <w:color w:val="000000"/>
          <w:sz w:val="20"/>
        </w:rPr>
        <w:t xml:space="preserve">SELYA, </w:t>
      </w:r>
      <w:r>
        <w:rPr>
          <w:rFonts w:ascii="Arial" w:eastAsia="Arial" w:hAnsi="Arial" w:cs="Arial"/>
          <w:b/>
          <w:color w:val="000000"/>
          <w:sz w:val="20"/>
          <w:u w:val="single"/>
        </w:rPr>
        <w:t>Circuit Judge</w:t>
      </w:r>
      <w:r>
        <w:rPr>
          <w:rFonts w:ascii="Arial" w:eastAsia="Arial" w:hAnsi="Arial" w:cs="Arial"/>
          <w:color w:val="000000"/>
          <w:sz w:val="20"/>
        </w:rPr>
        <w:t>. This appeal arises from the enforcement of a state law by the City of Fitchburg (the City). That law requires the plaintiffs to install sprinklers in the four sober houses that they operate for recovering addicts. The plaintiffs claim that the City's refusal to exempt the sober houses from the sprinkler requirement violates the reasonable accommodation provisions of the Americans with Disabilities Act (ADA), 42 U.S.C. §§ 12101-12213, and the Fair Housing Act, 42 U.S.C. §§ 3601-3631, as amended by the Fair Housing Amendments Act (FHAA). The district court granted summary judgment for the defendants — the City and a coterie of municipal officials — on the ground that the plaintiffs failed [**2]  to show that an exemption from the sprinkler requirement was either reasonable or necessary to allow recovering addicts to live in and benefit from the sober houses. Discerning no error in the district court's conclusion that the requested accommodation was not reasonable, we affirm.</w:t>
      </w:r>
    </w:p>
    <w:p w14:paraId="3767DB49" w14:textId="77777777" w:rsidR="002B10A6" w:rsidRDefault="00000000">
      <w:pPr>
        <w:pStyle w:val="Normal46"/>
        <w:widowControl w:val="0"/>
        <w:spacing w:before="240" w:line="260" w:lineRule="atLeast"/>
      </w:pPr>
      <w:r>
        <w:br/>
      </w:r>
      <w:r>
        <w:rPr>
          <w:rFonts w:ascii="Arial" w:eastAsia="Arial" w:hAnsi="Arial" w:cs="Arial"/>
          <w:b/>
          <w:color w:val="000000"/>
          <w:sz w:val="20"/>
        </w:rPr>
        <w:t>I. BACKGROUND</w:t>
      </w:r>
    </w:p>
    <w:p w14:paraId="26544AC0" w14:textId="77777777" w:rsidR="002B10A6" w:rsidRDefault="00000000">
      <w:pPr>
        <w:pStyle w:val="Normal46"/>
        <w:widowControl w:val="0"/>
        <w:spacing w:before="200" w:line="260" w:lineRule="atLeast"/>
        <w:jc w:val="both"/>
      </w:pPr>
      <w:bookmarkStart w:id="8587" w:name="Bookmark_para_3_45"/>
      <w:bookmarkStart w:id="8588" w:name="Bookmark_I5X7JD802SF8MW0020000400"/>
      <w:bookmarkEnd w:id="8587"/>
      <w:bookmarkEnd w:id="8588"/>
      <w:r>
        <w:rPr>
          <w:rFonts w:ascii="Arial" w:eastAsia="Arial" w:hAnsi="Arial" w:cs="Arial"/>
          <w:color w:val="000000"/>
          <w:sz w:val="20"/>
        </w:rPr>
        <w:t xml:space="preserve">We briefly rehearse the relevant events and travel of the case, taking the facts and all reasonable inferences therefrom in the light most agreeable to the non-moving parties (here, the plaintiffs). </w:t>
      </w:r>
      <w:r>
        <w:rPr>
          <w:rFonts w:ascii="Arial" w:eastAsia="Arial" w:hAnsi="Arial" w:cs="Arial"/>
          <w:color w:val="000000"/>
          <w:sz w:val="20"/>
          <w:u w:val="single"/>
        </w:rPr>
        <w:t xml:space="preserve">See </w:t>
      </w:r>
      <w:bookmarkStart w:id="8589" w:name="Bookmark_I5X7JD802SF8MW0010000400"/>
      <w:bookmarkEnd w:id="8589"/>
      <w:r>
        <w:rPr>
          <w:rFonts w:ascii="Arial" w:eastAsia="Arial" w:hAnsi="Arial" w:cs="Arial"/>
          <w:color w:val="000000"/>
          <w:sz w:val="20"/>
          <w:u w:val="single"/>
        </w:rPr>
        <w:t>Avery v. Hughes</w:t>
      </w:r>
      <w:r>
        <w:rPr>
          <w:rFonts w:ascii="Arial" w:eastAsia="Arial" w:hAnsi="Arial" w:cs="Arial"/>
          <w:color w:val="000000"/>
          <w:sz w:val="20"/>
        </w:rPr>
        <w:t>, 661 F.3d 690, 693 (1st Cir. 2011).</w:t>
      </w:r>
    </w:p>
    <w:p w14:paraId="0AC46951" w14:textId="77777777" w:rsidR="002B10A6" w:rsidRDefault="00000000">
      <w:pPr>
        <w:pStyle w:val="Normal46"/>
        <w:widowControl w:val="0"/>
        <w:spacing w:before="200" w:line="260" w:lineRule="atLeast"/>
        <w:jc w:val="both"/>
      </w:pPr>
      <w:bookmarkStart w:id="8590" w:name="Bookmark_para_4_45"/>
      <w:bookmarkEnd w:id="8590"/>
      <w:r>
        <w:rPr>
          <w:rFonts w:ascii="Arial" w:eastAsia="Arial" w:hAnsi="Arial" w:cs="Arial"/>
          <w:color w:val="000000"/>
          <w:sz w:val="20"/>
        </w:rPr>
        <w:t>Plaintiffs-appellants Jeffrey D. Summers and his nonprofit organization, Jeffrey's House, Inc., operate four sober houses in Fitchburg, Massachusetts. These facilities provide supportive residences for individuals recovering from alcohol and/or drug addiction. Starting in 2013, municipal officials began to enforce a variety of zoning and building-code provisions that they thought the plaintiffs were violating. As an example, at least three of the sober houses were apparently operating in violation of the use restrictions set forth in the City's zoning ordinance. At the plaintiffs' request, the City granted an accommodation under the ADA and the FHAA to allow the plaintiffs  [*137]  to operate those [**3]  sober houses despite the use restrictions.</w:t>
      </w:r>
    </w:p>
    <w:p w14:paraId="2C08F96E" w14:textId="77777777" w:rsidR="002B10A6" w:rsidRDefault="00000000">
      <w:pPr>
        <w:pStyle w:val="Normal46"/>
        <w:widowControl w:val="0"/>
        <w:spacing w:before="200" w:line="260" w:lineRule="atLeast"/>
        <w:jc w:val="both"/>
      </w:pPr>
      <w:bookmarkStart w:id="8591" w:name="Bookmark_para_5_45"/>
      <w:bookmarkEnd w:id="8591"/>
      <w:r>
        <w:rPr>
          <w:rFonts w:ascii="Arial" w:eastAsia="Arial" w:hAnsi="Arial" w:cs="Arial"/>
          <w:color w:val="000000"/>
          <w:sz w:val="20"/>
        </w:rPr>
        <w:t xml:space="preserve">In July of 2014, municipal officials informed the plaintiffs that they were required, pursuant to a state law that applies to lodging or boarding houses with six or more unrelated residents, to install sprinkler systems in the three sober houses they were then operating. </w:t>
      </w:r>
      <w:r>
        <w:rPr>
          <w:rFonts w:ascii="Arial" w:eastAsia="Arial" w:hAnsi="Arial" w:cs="Arial"/>
          <w:color w:val="000000"/>
          <w:sz w:val="20"/>
          <w:u w:val="single"/>
        </w:rPr>
        <w:t>See</w:t>
      </w:r>
      <w:r>
        <w:rPr>
          <w:rFonts w:ascii="Arial" w:eastAsia="Arial" w:hAnsi="Arial" w:cs="Arial"/>
          <w:color w:val="000000"/>
          <w:sz w:val="20"/>
        </w:rPr>
        <w:t xml:space="preserve"> Mass. Gen. Laws ch. 148, § 26H (the Sprinkler Law). The plaintiffs were given six months to bring their sober houses into compliance but did not do so. Consequently, the City fined them $1,000 and instituted an enforcement action in the local housing court. </w:t>
      </w:r>
      <w:r>
        <w:rPr>
          <w:rFonts w:ascii="Arial" w:eastAsia="Arial" w:hAnsi="Arial" w:cs="Arial"/>
          <w:color w:val="000000"/>
          <w:sz w:val="20"/>
          <w:u w:val="single"/>
        </w:rPr>
        <w:t>Cf. id.</w:t>
      </w:r>
      <w:r>
        <w:rPr>
          <w:rFonts w:ascii="Arial" w:eastAsia="Arial" w:hAnsi="Arial" w:cs="Arial"/>
          <w:color w:val="000000"/>
          <w:sz w:val="20"/>
        </w:rPr>
        <w:t xml:space="preserve"> § 27 (authorizing a fine for "[a]ny owner of a building who, within six months after having received an order from the marshal under section twenty-six, fails to comply with the requirement of such order").</w:t>
      </w:r>
    </w:p>
    <w:p w14:paraId="6F55C2DB" w14:textId="77777777" w:rsidR="002B10A6" w:rsidRDefault="00000000">
      <w:pPr>
        <w:pStyle w:val="Normal46"/>
        <w:widowControl w:val="0"/>
        <w:spacing w:before="200" w:line="260" w:lineRule="atLeast"/>
        <w:jc w:val="both"/>
      </w:pPr>
      <w:bookmarkStart w:id="8592" w:name="Bookmark_para_6_45"/>
      <w:bookmarkEnd w:id="8592"/>
      <w:r>
        <w:rPr>
          <w:rFonts w:ascii="Arial" w:eastAsia="Arial" w:hAnsi="Arial" w:cs="Arial"/>
          <w:color w:val="000000"/>
          <w:sz w:val="20"/>
        </w:rPr>
        <w:t>At a housing court hearing in the summer of 2015, the plaintiffs suggested that, pending resolution of the dispute over the sprinkler requirement, they would reduce the occupancy of each sober house to five or fewer residents (thus rendering the Sprinkler Law inapplicable). Municipal officials asked the plaintiffs to memorialize this suggestion in writing and agree to allow sporadic inspections to verify the reduced occupancy. At that point, [**4]  the plaintiffs balked: they reneged on the offer, asserting that the Sprinkler Law did not apply to sober houses, that periodic inspections would disrupt the residents, and that the cost of sprinklers would be prohibitive.</w:t>
      </w:r>
    </w:p>
    <w:p w14:paraId="482139DA" w14:textId="77777777" w:rsidR="002B10A6" w:rsidRDefault="00000000">
      <w:pPr>
        <w:pStyle w:val="Normal46"/>
        <w:widowControl w:val="0"/>
        <w:spacing w:before="200" w:line="260" w:lineRule="atLeast"/>
        <w:jc w:val="both"/>
      </w:pPr>
      <w:bookmarkStart w:id="8593" w:name="Bookmark_para_7_44"/>
      <w:bookmarkEnd w:id="8593"/>
      <w:r>
        <w:rPr>
          <w:rFonts w:ascii="Arial" w:eastAsia="Arial" w:hAnsi="Arial" w:cs="Arial"/>
          <w:color w:val="000000"/>
          <w:sz w:val="20"/>
        </w:rPr>
        <w:t>This dispute simmered until September 14, 2015, when the plaintiffs sued the City and a number of municipal officials in the United States District Court for the District of Massachusetts. Their complaint raised a gallimaufry of federal and state claims focused on the defendants' efforts to enforce the zoning ordinance and building code. The district court dismissed most of the complaint under Federal Rule of Civil Procedure 12(b)(6) (including the claims of disparate treatment and disparate impact under both the ADA and the FHAA) but allowed the plaintiffs to proceed with their reasonable accommodation claims under the same statutes.</w:t>
      </w:r>
    </w:p>
    <w:p w14:paraId="3DB5486C" w14:textId="77777777" w:rsidR="002B10A6" w:rsidRDefault="00000000">
      <w:pPr>
        <w:pStyle w:val="Normal46"/>
        <w:widowControl w:val="0"/>
        <w:spacing w:before="200" w:line="260" w:lineRule="atLeast"/>
        <w:jc w:val="both"/>
      </w:pPr>
      <w:bookmarkStart w:id="8594" w:name="Bookmark_para_8_44"/>
      <w:bookmarkEnd w:id="8594"/>
      <w:r>
        <w:rPr>
          <w:rFonts w:ascii="Arial" w:eastAsia="Arial" w:hAnsi="Arial" w:cs="Arial"/>
          <w:color w:val="000000"/>
          <w:sz w:val="20"/>
        </w:rPr>
        <w:t>After the completion of discovery, the district court granted the defendants' motion for summary judgment on the remaining claims. As to the reasonable accommodation claims, the court concluded that the plaintiffs had failed to show that their myriad concerns about the sprinkler requirement (including its cost and the specter of disruption to residents from sporadic inspections) [**5]  rendered an accommodation to the Sprinkler Law either reasonable or necessary. The court also determined that the plaintiffs had voluntarily withdrawn any proposal to reduce occupancy to fewer than six residents per sober house.</w:t>
      </w:r>
    </w:p>
    <w:p w14:paraId="6EA8241C" w14:textId="77777777" w:rsidR="002B10A6" w:rsidRDefault="00000000">
      <w:pPr>
        <w:pStyle w:val="Normal46"/>
        <w:widowControl w:val="0"/>
        <w:spacing w:before="200" w:line="260" w:lineRule="atLeast"/>
        <w:jc w:val="both"/>
      </w:pPr>
      <w:bookmarkStart w:id="8595" w:name="Bookmark_para_9_44"/>
      <w:bookmarkEnd w:id="8595"/>
      <w:r>
        <w:rPr>
          <w:rFonts w:ascii="Arial" w:eastAsia="Arial" w:hAnsi="Arial" w:cs="Arial"/>
          <w:color w:val="000000"/>
          <w:sz w:val="20"/>
        </w:rPr>
        <w:t>This timely appeal ensued. In it, the plaintiffs challenge only the district court's entry of summary judgment on their ADA and FHAA reasonable accommodation claims.</w:t>
      </w:r>
    </w:p>
    <w:p w14:paraId="437E2DF3" w14:textId="77777777" w:rsidR="002B10A6" w:rsidRDefault="00000000">
      <w:pPr>
        <w:pStyle w:val="Normal46"/>
        <w:widowControl w:val="0"/>
        <w:spacing w:before="240" w:line="260" w:lineRule="atLeast"/>
      </w:pPr>
      <w:r>
        <w:br/>
      </w:r>
      <w:r>
        <w:rPr>
          <w:rFonts w:ascii="Arial" w:eastAsia="Arial" w:hAnsi="Arial" w:cs="Arial"/>
          <w:b/>
          <w:color w:val="000000"/>
          <w:sz w:val="20"/>
        </w:rPr>
        <w:t>II. ANALYSIS</w:t>
      </w:r>
    </w:p>
    <w:p w14:paraId="5AB58CC8" w14:textId="77777777" w:rsidR="002B10A6" w:rsidRDefault="00000000">
      <w:pPr>
        <w:pStyle w:val="Normal46"/>
        <w:widowControl w:val="0"/>
        <w:spacing w:before="200" w:line="260" w:lineRule="atLeast"/>
        <w:jc w:val="both"/>
      </w:pPr>
      <w:bookmarkStart w:id="8596" w:name="Bookmark_para_10_43"/>
      <w:bookmarkStart w:id="8597" w:name="Bookmark_I5X7JD802SF8MW0040000400"/>
      <w:bookmarkStart w:id="8598" w:name="Bookmark_LNHNREFclscc1_36"/>
      <w:bookmarkEnd w:id="8596"/>
      <w:bookmarkEnd w:id="8597"/>
      <w:bookmarkEnd w:id="8598"/>
      <w:r>
        <w:rPr>
          <w:rFonts w:ascii="Arial" w:eastAsia="Arial" w:hAnsi="Arial" w:cs="Arial"/>
          <w:color w:val="000000"/>
          <w:sz w:val="20"/>
        </w:rPr>
        <w:t xml:space="preserve">We review the district court's entry of summary judgment de novo. </w:t>
      </w:r>
      <w:r>
        <w:rPr>
          <w:rFonts w:ascii="Arial" w:eastAsia="Arial" w:hAnsi="Arial" w:cs="Arial"/>
          <w:color w:val="000000"/>
          <w:sz w:val="20"/>
          <w:u w:val="single"/>
        </w:rPr>
        <w:t xml:space="preserve">See </w:t>
      </w:r>
      <w:bookmarkStart w:id="8599" w:name="Bookmark_I5X7JD802SF8MW0030000400"/>
      <w:bookmarkEnd w:id="8599"/>
      <w:r>
        <w:rPr>
          <w:rFonts w:ascii="Arial" w:eastAsia="Arial" w:hAnsi="Arial" w:cs="Arial"/>
          <w:color w:val="000000"/>
          <w:sz w:val="20"/>
          <w:u w:val="single"/>
        </w:rPr>
        <w:t>Avery</w:t>
      </w:r>
      <w:r>
        <w:rPr>
          <w:rFonts w:ascii="Arial" w:eastAsia="Arial" w:hAnsi="Arial" w:cs="Arial"/>
          <w:color w:val="000000"/>
          <w:sz w:val="20"/>
        </w:rPr>
        <w:t xml:space="preserve">, 661 F.3d at 693. "We will affirm only if the record reveals 'that there is no genuine dispute as to any material fact and the movant is entitled to judgment as a matter of law.'" </w:t>
      </w:r>
      <w:r>
        <w:rPr>
          <w:rFonts w:ascii="Arial" w:eastAsia="Arial" w:hAnsi="Arial" w:cs="Arial"/>
          <w:color w:val="000000"/>
          <w:sz w:val="20"/>
          <w:u w:val="single"/>
        </w:rPr>
        <w:t>Id.</w:t>
      </w:r>
      <w:r>
        <w:rPr>
          <w:rFonts w:ascii="Arial" w:eastAsia="Arial" w:hAnsi="Arial" w:cs="Arial"/>
          <w:color w:val="000000"/>
          <w:sz w:val="20"/>
        </w:rPr>
        <w:t xml:space="preserve"> (quoting Fed. R. Civ. P. 56(a)).</w:t>
      </w:r>
    </w:p>
    <w:p w14:paraId="01E6B5C4" w14:textId="77777777" w:rsidR="002B10A6" w:rsidRDefault="00000000">
      <w:pPr>
        <w:pStyle w:val="Normal46"/>
        <w:widowControl w:val="0"/>
        <w:spacing w:before="200" w:line="260" w:lineRule="atLeast"/>
        <w:jc w:val="both"/>
      </w:pPr>
      <w:bookmarkStart w:id="8600" w:name="Bookmark_para_11_38"/>
      <w:bookmarkEnd w:id="8600"/>
      <w:r>
        <w:rPr>
          <w:rFonts w:ascii="Arial" w:eastAsia="Arial" w:hAnsi="Arial" w:cs="Arial"/>
          <w:color w:val="000000"/>
          <w:sz w:val="20"/>
        </w:rPr>
        <w:t>In this instance, appellate review is simplified by the procedural posture in which the appeal arrives on our doorstep. The Local Rules of the United States District Court for the District of Massachusetts provide in pertinent part:</w:t>
      </w:r>
    </w:p>
    <w:p w14:paraId="0AD7E344" w14:textId="77777777" w:rsidR="002B10A6" w:rsidRDefault="00000000">
      <w:pPr>
        <w:pStyle w:val="Normal46"/>
        <w:widowControl w:val="0"/>
        <w:spacing w:before="200" w:line="260" w:lineRule="atLeast"/>
        <w:ind w:left="400"/>
        <w:jc w:val="both"/>
      </w:pPr>
      <w:bookmarkStart w:id="8601" w:name="Bookmark_para_12_37"/>
      <w:bookmarkEnd w:id="8601"/>
      <w:r>
        <w:rPr>
          <w:rFonts w:ascii="Arial" w:eastAsia="Arial" w:hAnsi="Arial" w:cs="Arial"/>
          <w:color w:val="000000"/>
          <w:sz w:val="20"/>
        </w:rPr>
        <w:t> [*138]  Motions for summary judgment shall include a concise statement of the material facts of record as to which the moving party contends there is no genuine issue to be tried, with page references to affidavits, depositions and other documentation. . . . A party opposing the motion shall include a concise statement of [**6]  the material facts of record as to which it is contended that there exists a genuine issue to be tried, with page references to affidavits, depositions and other documentation. . . . Material facts of record set forth in the statement required to be served by the moving party will be deemed for purposes of the motion to be admitted by opposing parties unless controverted by the statement required to be served by opposing parties.</w:t>
      </w:r>
    </w:p>
    <w:p w14:paraId="173670FD" w14:textId="77777777" w:rsidR="002B10A6" w:rsidRDefault="00000000">
      <w:pPr>
        <w:pStyle w:val="Normal46"/>
        <w:widowControl w:val="0"/>
        <w:spacing w:line="260" w:lineRule="atLeast"/>
        <w:jc w:val="both"/>
      </w:pPr>
      <w:r>
        <w:rPr>
          <w:rFonts w:ascii="Arial" w:eastAsia="Arial" w:hAnsi="Arial" w:cs="Arial"/>
          <w:color w:val="000000"/>
          <w:sz w:val="20"/>
        </w:rPr>
        <w:t>D. Mass. R. 56.1. When the defendants moved for summary judgment, they filed the required statement of undisputed material facts. Although the plaintiffs filed a brief statement of their own with their opposition, they did not respond to the vast majority of the defendants' factual assertions and included only two citations to documents in the record.</w:t>
      </w:r>
    </w:p>
    <w:p w14:paraId="1E9956BF" w14:textId="77777777" w:rsidR="002B10A6" w:rsidRDefault="00000000">
      <w:pPr>
        <w:pStyle w:val="Normal46"/>
        <w:widowControl w:val="0"/>
        <w:spacing w:before="200" w:line="260" w:lineRule="atLeast"/>
        <w:jc w:val="both"/>
      </w:pPr>
      <w:bookmarkStart w:id="8602" w:name="Bookmark_para_13_37"/>
      <w:bookmarkStart w:id="8603" w:name="Bookmark_I5X7JD8128T3YW0010000400"/>
      <w:bookmarkStart w:id="8604" w:name="Bookmark_I5X7JD8128T3YW0050000400"/>
      <w:bookmarkEnd w:id="8602"/>
      <w:bookmarkEnd w:id="8603"/>
      <w:bookmarkEnd w:id="8604"/>
      <w:r>
        <w:rPr>
          <w:rFonts w:ascii="Arial" w:eastAsia="Arial" w:hAnsi="Arial" w:cs="Arial"/>
          <w:color w:val="000000"/>
          <w:sz w:val="20"/>
        </w:rPr>
        <w:t xml:space="preserve">We have made it plain that </w:t>
      </w:r>
      <w:bookmarkStart w:id="8605" w:name="Bookmark_LNHNREFclscc2_36"/>
      <w:bookmarkEnd w:id="8605"/>
      <w:r>
        <w:rPr>
          <w:rFonts w:ascii="Arial" w:eastAsia="Arial" w:hAnsi="Arial" w:cs="Arial"/>
          <w:color w:val="000000"/>
          <w:sz w:val="20"/>
        </w:rPr>
        <w:t xml:space="preserve">"'[v]alid local rules are an important vehicle by which courts operate' and 'carry the force of law.'" </w:t>
      </w:r>
      <w:bookmarkStart w:id="8606" w:name="Bookmark_I5X7JD802SF8MW0050000400"/>
      <w:bookmarkEnd w:id="8606"/>
      <w:r>
        <w:rPr>
          <w:rFonts w:ascii="Arial" w:eastAsia="Arial" w:hAnsi="Arial" w:cs="Arial"/>
          <w:color w:val="000000"/>
          <w:sz w:val="20"/>
          <w:u w:val="single"/>
        </w:rPr>
        <w:t>Schiffmann v. United States</w:t>
      </w:r>
      <w:r>
        <w:rPr>
          <w:rFonts w:ascii="Arial" w:eastAsia="Arial" w:hAnsi="Arial" w:cs="Arial"/>
          <w:color w:val="000000"/>
          <w:sz w:val="20"/>
        </w:rPr>
        <w:t xml:space="preserve">, 811 F.3d 519, 525 (1st Cir. 2016) (quoting </w:t>
      </w:r>
      <w:bookmarkStart w:id="8607" w:name="Bookmark_I5X7JD8128T3YW0020000400"/>
      <w:bookmarkEnd w:id="8607"/>
      <w:r>
        <w:rPr>
          <w:rFonts w:ascii="Arial" w:eastAsia="Arial" w:hAnsi="Arial" w:cs="Arial"/>
          <w:color w:val="000000"/>
          <w:sz w:val="20"/>
          <w:u w:val="single"/>
        </w:rPr>
        <w:t>Air Line Pilots Ass'n v. Precision Valley Aviation, Inc.</w:t>
      </w:r>
      <w:r>
        <w:rPr>
          <w:rFonts w:ascii="Arial" w:eastAsia="Arial" w:hAnsi="Arial" w:cs="Arial"/>
          <w:color w:val="000000"/>
          <w:sz w:val="20"/>
        </w:rPr>
        <w:t xml:space="preserve">, 26 F.3d 220, 224 (1st Cir. 1994)). Rules like Local Rule 56.1 "were developed by the district courts in this circuit in response to this court's concern that, absent such rules, summary judgment practice could too easily become a game of cat-and-mouse, giving rise to the 'specter of district court judges being unfairly sandbagged by unadvertised [**7]  factual issues.'" </w:t>
      </w:r>
      <w:bookmarkStart w:id="8608" w:name="Bookmark_I5X7JD8128T3YW0040000400"/>
      <w:bookmarkEnd w:id="8608"/>
      <w:r>
        <w:rPr>
          <w:rFonts w:ascii="Arial" w:eastAsia="Arial" w:hAnsi="Arial" w:cs="Arial"/>
          <w:color w:val="000000"/>
          <w:sz w:val="20"/>
          <w:u w:val="single"/>
        </w:rPr>
        <w:t>Ruiz Rivera v. Riley</w:t>
      </w:r>
      <w:r>
        <w:rPr>
          <w:rFonts w:ascii="Arial" w:eastAsia="Arial" w:hAnsi="Arial" w:cs="Arial"/>
          <w:color w:val="000000"/>
          <w:sz w:val="20"/>
        </w:rPr>
        <w:t xml:space="preserve">, 209 F.3d 24, 28 (1st Cir. 2000) (quoting </w:t>
      </w:r>
      <w:bookmarkStart w:id="8609" w:name="Bookmark_I5X7JD8228T4000010000400"/>
      <w:bookmarkEnd w:id="8609"/>
      <w:r>
        <w:rPr>
          <w:rFonts w:ascii="Arial" w:eastAsia="Arial" w:hAnsi="Arial" w:cs="Arial"/>
          <w:color w:val="000000"/>
          <w:sz w:val="20"/>
          <w:u w:val="single"/>
        </w:rPr>
        <w:t>Stepanischen v. Merchs. Despatch Transp. Corp.</w:t>
      </w:r>
      <w:r>
        <w:rPr>
          <w:rFonts w:ascii="Arial" w:eastAsia="Arial" w:hAnsi="Arial" w:cs="Arial"/>
          <w:color w:val="000000"/>
          <w:sz w:val="20"/>
        </w:rPr>
        <w:t xml:space="preserve">, 722 F.2d 922, 931 (1st Cir. 1983)). Here, the plaintiffs flouted Local Rule 56.1 and allowed the defendants to map the boundaries of the summary judgment record. </w:t>
      </w:r>
      <w:bookmarkStart w:id="8610" w:name="Bookmark_I5X7JD8228T4000040000400"/>
      <w:bookmarkEnd w:id="8610"/>
      <w:r>
        <w:rPr>
          <w:rFonts w:ascii="Arial" w:eastAsia="Arial" w:hAnsi="Arial" w:cs="Arial"/>
          <w:color w:val="000000"/>
          <w:sz w:val="20"/>
        </w:rPr>
        <w:t xml:space="preserve">Such actions have consequences, and the district court deemed the defendants' statement of undisputed material facts admitted. Given the clarity of Local Rule 56.1 and the important function that it serves, the district court was fully justified in limiting the summary judgment record to the four corners of the defendants' statement of undisputed material facts. </w:t>
      </w:r>
      <w:r>
        <w:rPr>
          <w:rFonts w:ascii="Arial" w:eastAsia="Arial" w:hAnsi="Arial" w:cs="Arial"/>
          <w:color w:val="000000"/>
          <w:sz w:val="20"/>
          <w:u w:val="single"/>
        </w:rPr>
        <w:t xml:space="preserve">See </w:t>
      </w:r>
      <w:bookmarkStart w:id="8611" w:name="Bookmark_I5X7JD8228T4000030000400"/>
      <w:bookmarkEnd w:id="8611"/>
      <w:r>
        <w:rPr>
          <w:rFonts w:ascii="Arial" w:eastAsia="Arial" w:hAnsi="Arial" w:cs="Arial"/>
          <w:color w:val="000000"/>
          <w:sz w:val="20"/>
          <w:u w:val="single"/>
        </w:rPr>
        <w:t>United States v. McNicol</w:t>
      </w:r>
      <w:r>
        <w:rPr>
          <w:rFonts w:ascii="Arial" w:eastAsia="Arial" w:hAnsi="Arial" w:cs="Arial"/>
          <w:color w:val="000000"/>
          <w:sz w:val="20"/>
        </w:rPr>
        <w:t xml:space="preserve">, 829 F.3d 77, 80-81 (1st Cir. 2016); </w:t>
      </w:r>
      <w:bookmarkStart w:id="8612" w:name="Bookmark_I5X7JD8228T4000050000400"/>
      <w:bookmarkEnd w:id="8612"/>
      <w:r>
        <w:rPr>
          <w:rFonts w:ascii="Arial" w:eastAsia="Arial" w:hAnsi="Arial" w:cs="Arial"/>
          <w:color w:val="000000"/>
          <w:sz w:val="20"/>
          <w:u w:val="single"/>
        </w:rPr>
        <w:t>Schiffmann</w:t>
      </w:r>
      <w:r>
        <w:rPr>
          <w:rFonts w:ascii="Arial" w:eastAsia="Arial" w:hAnsi="Arial" w:cs="Arial"/>
          <w:color w:val="000000"/>
          <w:sz w:val="20"/>
        </w:rPr>
        <w:t>, 811 F.3d at 524-25. For the same reasons, we too deem the defendants' statement of undisputed material facts admitted and, thus, treat those facts as controlling.</w:t>
      </w:r>
    </w:p>
    <w:p w14:paraId="7BA1947E" w14:textId="77777777" w:rsidR="002B10A6" w:rsidRDefault="00000000">
      <w:pPr>
        <w:pStyle w:val="Normal46"/>
        <w:widowControl w:val="0"/>
        <w:spacing w:before="200" w:line="260" w:lineRule="atLeast"/>
        <w:jc w:val="both"/>
      </w:pPr>
      <w:bookmarkStart w:id="8613" w:name="Bookmark_para_14_37"/>
      <w:bookmarkStart w:id="8614" w:name="Bookmark_I5X7JD822D6NXC0030000400"/>
      <w:bookmarkEnd w:id="8613"/>
      <w:bookmarkEnd w:id="8614"/>
      <w:r>
        <w:rPr>
          <w:rFonts w:ascii="Arial" w:eastAsia="Arial" w:hAnsi="Arial" w:cs="Arial"/>
          <w:color w:val="000000"/>
          <w:sz w:val="20"/>
        </w:rPr>
        <w:t xml:space="preserve">Although the plaintiffs attempt to raise a plethora of claims in this venue, their only preserved claims involve their challenge to the City's refusal to exempt the sober houses from the Sprinkler Law under the FHAA and the ADA. </w:t>
      </w:r>
      <w:bookmarkStart w:id="8615" w:name="Bookmark_LNHNREFclscc3_35"/>
      <w:bookmarkEnd w:id="8615"/>
      <w:r>
        <w:rPr>
          <w:rFonts w:ascii="Arial" w:eastAsia="Arial" w:hAnsi="Arial" w:cs="Arial"/>
          <w:color w:val="000000"/>
          <w:sz w:val="20"/>
        </w:rPr>
        <w:t xml:space="preserve">The FHAA bars discriminatory housing practices based on an individual's handicap. 42 U.S.C. § 3604(f). Among other prohibitions, the statute "outlaws discrimination 'in the terms, conditions, or privileges of sale or rental of a dwelling, or in the provision of services or facilities in connection with such dwelling, because of a handicap' of an individual." [**8]  </w:t>
      </w:r>
      <w:bookmarkStart w:id="8616" w:name="Bookmark_I5X7JD822D6NXC0020000400"/>
      <w:bookmarkEnd w:id="8616"/>
      <w:r>
        <w:rPr>
          <w:rFonts w:ascii="Arial" w:eastAsia="Arial" w:hAnsi="Arial" w:cs="Arial"/>
          <w:color w:val="000000"/>
          <w:sz w:val="20"/>
          <w:u w:val="single"/>
        </w:rPr>
        <w:t>Astralis Condo. Ass'n v. Sec'y, U.S. Dep't of Hous. &amp; Urban Dev.</w:t>
      </w:r>
      <w:r>
        <w:rPr>
          <w:rFonts w:ascii="Arial" w:eastAsia="Arial" w:hAnsi="Arial" w:cs="Arial"/>
          <w:color w:val="000000"/>
          <w:sz w:val="20"/>
        </w:rPr>
        <w:t xml:space="preserve">, 620 F.3d 62, 66 (1st Cir. 2010) (quoting 42 U.S.C. § 3604(f)(2)). Title II of the ADA more broadly prohibits public entities (such as the City) from discriminating based on disability. </w:t>
      </w:r>
      <w:bookmarkStart w:id="8617" w:name="Bookmark_I5X7JD822D6NXC0050000400"/>
      <w:bookmarkEnd w:id="8617"/>
      <w:r>
        <w:rPr>
          <w:rFonts w:ascii="Arial" w:eastAsia="Arial" w:hAnsi="Arial" w:cs="Arial"/>
          <w:color w:val="000000"/>
          <w:sz w:val="20"/>
          <w:u w:val="single"/>
        </w:rPr>
        <w:t>See</w:t>
      </w:r>
      <w:r>
        <w:rPr>
          <w:rFonts w:ascii="Arial" w:eastAsia="Arial" w:hAnsi="Arial" w:cs="Arial"/>
          <w:color w:val="000000"/>
          <w:sz w:val="20"/>
        </w:rPr>
        <w:t xml:space="preserve"> 42 U.S.C. § 12132. Both statutes apply to municipal zoning and building-code decisions. </w:t>
      </w:r>
      <w:r>
        <w:rPr>
          <w:rFonts w:ascii="Arial" w:eastAsia="Arial" w:hAnsi="Arial" w:cs="Arial"/>
          <w:color w:val="000000"/>
          <w:sz w:val="20"/>
          <w:u w:val="single"/>
        </w:rPr>
        <w:t xml:space="preserve">See </w:t>
      </w:r>
      <w:bookmarkStart w:id="8618" w:name="Bookmark_I5X7JD822D6NXC0040000400"/>
      <w:bookmarkEnd w:id="8618"/>
      <w:r>
        <w:rPr>
          <w:rFonts w:ascii="Arial" w:eastAsia="Arial" w:hAnsi="Arial" w:cs="Arial"/>
          <w:color w:val="000000"/>
          <w:sz w:val="20"/>
          <w:u w:val="single"/>
        </w:rPr>
        <w:t>Valencia v. City of Springfield</w:t>
      </w:r>
      <w:r>
        <w:rPr>
          <w:rFonts w:ascii="Arial" w:eastAsia="Arial" w:hAnsi="Arial" w:cs="Arial"/>
          <w:color w:val="000000"/>
          <w:sz w:val="20"/>
        </w:rPr>
        <w:t>, 883 F.3d 959, 967 (7th Cir. 2018).</w:t>
      </w:r>
    </w:p>
    <w:p w14:paraId="00CAA9B0" w14:textId="77777777" w:rsidR="002B10A6" w:rsidRDefault="00000000">
      <w:pPr>
        <w:pStyle w:val="Normal46"/>
        <w:widowControl w:val="0"/>
        <w:spacing w:before="200" w:line="260" w:lineRule="atLeast"/>
        <w:jc w:val="both"/>
      </w:pPr>
      <w:bookmarkStart w:id="8619" w:name="Bookmark_para_15_37"/>
      <w:bookmarkStart w:id="8620" w:name="Bookmark_I5X7JD832N1RWT0020000400"/>
      <w:bookmarkStart w:id="8621" w:name="Bookmark_LNHNREFclscc4_35"/>
      <w:bookmarkEnd w:id="8619"/>
      <w:bookmarkEnd w:id="8620"/>
      <w:bookmarkEnd w:id="8621"/>
      <w:r>
        <w:rPr>
          <w:rFonts w:ascii="Arial" w:eastAsia="Arial" w:hAnsi="Arial" w:cs="Arial"/>
          <w:color w:val="000000"/>
          <w:sz w:val="20"/>
        </w:rPr>
        <w:t xml:space="preserve">As a general matter, three theories of liability are cognizable under the  [*139]  FHAA and the ADA: disparate treatment, disparate impact, and failure to make reasonable accommodations. </w:t>
      </w:r>
      <w:r>
        <w:rPr>
          <w:rFonts w:ascii="Arial" w:eastAsia="Arial" w:hAnsi="Arial" w:cs="Arial"/>
          <w:color w:val="000000"/>
          <w:sz w:val="20"/>
          <w:u w:val="single"/>
        </w:rPr>
        <w:t xml:space="preserve">See </w:t>
      </w:r>
      <w:bookmarkStart w:id="8622" w:name="Bookmark_I5X7JD832N1RWT0010000400"/>
      <w:bookmarkEnd w:id="8622"/>
      <w:r>
        <w:rPr>
          <w:rFonts w:ascii="Arial" w:eastAsia="Arial" w:hAnsi="Arial" w:cs="Arial"/>
          <w:color w:val="000000"/>
          <w:sz w:val="20"/>
          <w:u w:val="single"/>
        </w:rPr>
        <w:t>Nunes v. Mass. Dep't of Corr.</w:t>
      </w:r>
      <w:r>
        <w:rPr>
          <w:rFonts w:ascii="Arial" w:eastAsia="Arial" w:hAnsi="Arial" w:cs="Arial"/>
          <w:color w:val="000000"/>
          <w:sz w:val="20"/>
        </w:rPr>
        <w:t xml:space="preserve">, 766 F.3d 136, 144-45 (1st Cir. 2014) (ADA); </w:t>
      </w:r>
      <w:bookmarkStart w:id="8623" w:name="Bookmark_I5X7JD832N1RWT0030000400"/>
      <w:bookmarkEnd w:id="8623"/>
      <w:r>
        <w:rPr>
          <w:rFonts w:ascii="Arial" w:eastAsia="Arial" w:hAnsi="Arial" w:cs="Arial"/>
          <w:color w:val="000000"/>
          <w:sz w:val="20"/>
          <w:u w:val="single"/>
        </w:rPr>
        <w:t>Astralis</w:t>
      </w:r>
      <w:r>
        <w:rPr>
          <w:rFonts w:ascii="Arial" w:eastAsia="Arial" w:hAnsi="Arial" w:cs="Arial"/>
          <w:color w:val="000000"/>
          <w:sz w:val="20"/>
        </w:rPr>
        <w:t xml:space="preserve">, 620 F.3d at 66 (FHAA). The plaintiffs' arguments on appeal rest on the reasonable accommodation theory. </w:t>
      </w:r>
      <w:bookmarkStart w:id="8624" w:name="Bookmark_I18DDHX290J00001W0R0000W"/>
      <w:bookmarkStart w:id="8625" w:name="Bookmark_I5X7JD832D6NXG0010000400"/>
      <w:bookmarkEnd w:id="8624"/>
      <w:bookmarkEnd w:id="8625"/>
      <w:r>
        <w:rPr>
          <w:rFonts w:ascii="Arial" w:eastAsia="Arial" w:hAnsi="Arial" w:cs="Arial"/>
          <w:color w:val="000000"/>
          <w:sz w:val="20"/>
        </w:rPr>
        <w:t xml:space="preserve">In this regard, the FHAA defines discrimination to include "a refusal to make reasonable accommodations in rules, policies, practices, or services, when such accommodations may be necessary to afford [a handicapped individual] equal opportunity to use and enjoy a dwelling." 42 U.S.C. § 3604(f)(3)(B). To prevail on such a reasonable accommodation claim, a plaintiff must show a qualifying handicap, the defendant's actual or constructive knowledge of that handicap, a request for a specific accommodation that is both reasonable and necessary to allow the handicapped individual an equal opportunity to use and enjoy the particular housing, and the defendant's refusal to make the requested accommodation. </w:t>
      </w:r>
      <w:r>
        <w:rPr>
          <w:rFonts w:ascii="Arial" w:eastAsia="Arial" w:hAnsi="Arial" w:cs="Arial"/>
          <w:color w:val="000000"/>
          <w:sz w:val="20"/>
          <w:u w:val="single"/>
        </w:rPr>
        <w:t xml:space="preserve">See </w:t>
      </w:r>
      <w:bookmarkStart w:id="8626" w:name="Bookmark_I5X7JD832N1RWT0050000400"/>
      <w:bookmarkEnd w:id="8626"/>
      <w:r>
        <w:rPr>
          <w:rFonts w:ascii="Arial" w:eastAsia="Arial" w:hAnsi="Arial" w:cs="Arial"/>
          <w:color w:val="000000"/>
          <w:sz w:val="20"/>
          <w:u w:val="single"/>
        </w:rPr>
        <w:t>Astralis</w:t>
      </w:r>
      <w:r>
        <w:rPr>
          <w:rFonts w:ascii="Arial" w:eastAsia="Arial" w:hAnsi="Arial" w:cs="Arial"/>
          <w:color w:val="000000"/>
          <w:sz w:val="20"/>
        </w:rPr>
        <w:t xml:space="preserve">, 620 F.3d at 67. </w:t>
      </w:r>
      <w:bookmarkStart w:id="8627" w:name="Bookmark_I5X7JD832D6NXG0030000400"/>
      <w:bookmarkStart w:id="8628" w:name="Bookmark_LNHNREFclscc5_34"/>
      <w:bookmarkEnd w:id="8627"/>
      <w:bookmarkEnd w:id="8628"/>
      <w:r>
        <w:rPr>
          <w:rFonts w:ascii="Arial" w:eastAsia="Arial" w:hAnsi="Arial" w:cs="Arial"/>
          <w:color w:val="000000"/>
          <w:sz w:val="20"/>
        </w:rPr>
        <w:t xml:space="preserve">In a similar vein, the ADA [**9]  requires that a public entity "make reasonable modifications in policies, practices, or procedures when . . . necessary to avoid discrimination on the basis of disability, unless the public entity can demonstrate that making the modifications would fundamentally alter the nature of the service, program, or activity." 28 C.F.R. § 35.130(b)(7)(i). For present purposes, the elements of reasonable accommodation claims under the FHAA and the ADA do not differ in any meaningful respect. </w:t>
      </w:r>
      <w:r>
        <w:rPr>
          <w:rFonts w:ascii="Arial" w:eastAsia="Arial" w:hAnsi="Arial" w:cs="Arial"/>
          <w:color w:val="000000"/>
          <w:sz w:val="20"/>
          <w:u w:val="single"/>
        </w:rPr>
        <w:t xml:space="preserve">See </w:t>
      </w:r>
      <w:bookmarkStart w:id="8629" w:name="Bookmark_I5X7JD832D6NXG0020000400"/>
      <w:bookmarkEnd w:id="8629"/>
      <w:r>
        <w:rPr>
          <w:rFonts w:ascii="Arial" w:eastAsia="Arial" w:hAnsi="Arial" w:cs="Arial"/>
          <w:color w:val="000000"/>
          <w:sz w:val="20"/>
          <w:u w:val="single"/>
        </w:rPr>
        <w:t>Valencia</w:t>
      </w:r>
      <w:r>
        <w:rPr>
          <w:rFonts w:ascii="Arial" w:eastAsia="Arial" w:hAnsi="Arial" w:cs="Arial"/>
          <w:color w:val="000000"/>
          <w:sz w:val="20"/>
        </w:rPr>
        <w:t xml:space="preserve">, 883 F.3d at 967 &amp; n.9; </w:t>
      </w:r>
      <w:r>
        <w:rPr>
          <w:rFonts w:ascii="Arial" w:eastAsia="Arial" w:hAnsi="Arial" w:cs="Arial"/>
          <w:color w:val="000000"/>
          <w:sz w:val="20"/>
          <w:u w:val="single"/>
        </w:rPr>
        <w:t xml:space="preserve">cf. </w:t>
      </w:r>
      <w:bookmarkStart w:id="8630" w:name="Bookmark_I5X7JD832D6NXG0040000400"/>
      <w:bookmarkEnd w:id="8630"/>
      <w:r>
        <w:rPr>
          <w:rFonts w:ascii="Arial" w:eastAsia="Arial" w:hAnsi="Arial" w:cs="Arial"/>
          <w:color w:val="000000"/>
          <w:sz w:val="20"/>
          <w:u w:val="single"/>
        </w:rPr>
        <w:t>Astralis</w:t>
      </w:r>
      <w:r>
        <w:rPr>
          <w:rFonts w:ascii="Arial" w:eastAsia="Arial" w:hAnsi="Arial" w:cs="Arial"/>
          <w:color w:val="000000"/>
          <w:sz w:val="20"/>
        </w:rPr>
        <w:t>, 620 F.3d at 66 (explaining that case law under the ADA "is generally persuasive in assessing handicapped discrimination claims under the FHAA"). Because both the district court's rescript and the parties' briefs discuss the plaintiffs' reasonable accommodation claims under the rubric of the FHAA, we follow that path. Additionally, we assume — solely for ease in exposition — that recovering addicts qualify as handicapped individuals and that municipal officials knew of the handicap at all times relevant to this litigation.</w:t>
      </w:r>
      <w:r>
        <w:rPr>
          <w:rFonts w:ascii="Arial" w:eastAsia="Arial" w:hAnsi="Arial" w:cs="Arial"/>
          <w:vertAlign w:val="superscript"/>
        </w:rPr>
        <w:footnoteReference w:customMarkFollows="1" w:id="447"/>
        <w:t>1</w:t>
      </w:r>
    </w:p>
    <w:p w14:paraId="79DC8333" w14:textId="77777777" w:rsidR="002B10A6" w:rsidRDefault="00000000">
      <w:pPr>
        <w:pStyle w:val="Normal46"/>
        <w:widowControl w:val="0"/>
        <w:spacing w:before="200" w:line="260" w:lineRule="atLeast"/>
        <w:jc w:val="both"/>
      </w:pPr>
      <w:bookmarkStart w:id="8635" w:name="Bookmark_para_16_34"/>
      <w:bookmarkEnd w:id="8635"/>
      <w:r>
        <w:rPr>
          <w:rFonts w:ascii="Arial" w:eastAsia="Arial" w:hAnsi="Arial" w:cs="Arial"/>
          <w:color w:val="000000"/>
          <w:sz w:val="20"/>
        </w:rPr>
        <w:t>The plaintiffs' argument proceeds along the following lines. Installing sprinklers in the sober houses would be costly. Without relief from this requirement, the plaintiffs would have to either raise the prices [**10]  charged to recovering addicts or reduce the occupancy of the sober houses. Either way, fewer individuals would be able to enjoy the benefit of residing in the sober houses. Enforcing the Sprinkler Law would, therefore, threaten the recovery of the displaced residents and undermine the vital purpose that sober houses serve.</w:t>
      </w:r>
    </w:p>
    <w:p w14:paraId="1BA2398F" w14:textId="77777777" w:rsidR="002B10A6" w:rsidRDefault="00000000">
      <w:pPr>
        <w:pStyle w:val="Normal46"/>
        <w:widowControl w:val="0"/>
        <w:spacing w:before="200" w:line="260" w:lineRule="atLeast"/>
        <w:jc w:val="both"/>
      </w:pPr>
      <w:bookmarkStart w:id="8636" w:name="Bookmark_para_17_34"/>
      <w:bookmarkEnd w:id="8636"/>
      <w:r>
        <w:rPr>
          <w:rFonts w:ascii="Arial" w:eastAsia="Arial" w:hAnsi="Arial" w:cs="Arial"/>
          <w:color w:val="000000"/>
          <w:sz w:val="20"/>
        </w:rPr>
        <w:t>This argument does not withstand scrutiny because the plaintiffs fail to show that their request for an exemption from the Sprinkler Law is reasonable. Inasmuch as the requested accommodation fails the reasonableness requirement, we start — and end — there.</w:t>
      </w:r>
    </w:p>
    <w:p w14:paraId="3986F5E5" w14:textId="77777777" w:rsidR="002B10A6" w:rsidRDefault="00000000">
      <w:pPr>
        <w:pStyle w:val="Normal46"/>
        <w:widowControl w:val="0"/>
        <w:spacing w:before="200" w:line="260" w:lineRule="atLeast"/>
        <w:jc w:val="both"/>
      </w:pPr>
      <w:bookmarkStart w:id="8637" w:name="Bookmark_para_18_33"/>
      <w:bookmarkStart w:id="8638" w:name="Bookmark_I18DDHX2CD800001W0R0000X"/>
      <w:bookmarkStart w:id="8639" w:name="Bookmark_I18DDHX2FRX00001W0R0000Y"/>
      <w:bookmarkStart w:id="8640" w:name="Bookmark_I18DDHX2J6D00001W0R00010"/>
      <w:bookmarkStart w:id="8641" w:name="Bookmark_I5X7JD832HM5XP0040000400"/>
      <w:bookmarkStart w:id="8642" w:name="Bookmark_LNHNREFclscc7_30"/>
      <w:bookmarkEnd w:id="8637"/>
      <w:bookmarkEnd w:id="8638"/>
      <w:bookmarkEnd w:id="8639"/>
      <w:bookmarkEnd w:id="8640"/>
      <w:bookmarkEnd w:id="8641"/>
      <w:bookmarkEnd w:id="8642"/>
      <w:r>
        <w:rPr>
          <w:rFonts w:ascii="Arial" w:eastAsia="Arial" w:hAnsi="Arial" w:cs="Arial"/>
          <w:color w:val="000000"/>
          <w:sz w:val="20"/>
        </w:rPr>
        <w:t xml:space="preserve">The reasonableness requirement calls for a factbound balancing of the benefits that would accrue to the handicapped individual against the burdens that the accommodation would entail. </w:t>
      </w:r>
      <w:bookmarkStart w:id="8643" w:name="Bookmark_I5X7JD832HM5XS0050000400"/>
      <w:bookmarkEnd w:id="8643"/>
      <w:r>
        <w:rPr>
          <w:rFonts w:ascii="Arial" w:eastAsia="Arial" w:hAnsi="Arial" w:cs="Arial"/>
          <w:color w:val="000000"/>
          <w:sz w:val="20"/>
          <w:u w:val="single"/>
        </w:rPr>
        <w:t xml:space="preserve">See </w:t>
      </w:r>
      <w:bookmarkStart w:id="8644" w:name="Bookmark_I5X7JD832HM5XP0030000400"/>
      <w:bookmarkEnd w:id="8644"/>
      <w:r>
        <w:rPr>
          <w:rFonts w:ascii="Arial" w:eastAsia="Arial" w:hAnsi="Arial" w:cs="Arial"/>
          <w:color w:val="000000"/>
          <w:sz w:val="20"/>
          <w:u w:val="single"/>
        </w:rPr>
        <w:t>Valencia</w:t>
      </w:r>
      <w:r>
        <w:rPr>
          <w:rFonts w:ascii="Arial" w:eastAsia="Arial" w:hAnsi="Arial" w:cs="Arial"/>
          <w:color w:val="000000"/>
          <w:sz w:val="20"/>
        </w:rPr>
        <w:t xml:space="preserve">, 883 F.3d at 968; </w:t>
      </w:r>
      <w:bookmarkStart w:id="8645" w:name="Bookmark_I5X7JD832HM5XP0050000400"/>
      <w:bookmarkEnd w:id="8645"/>
      <w:r>
        <w:rPr>
          <w:rFonts w:ascii="Arial" w:eastAsia="Arial" w:hAnsi="Arial" w:cs="Arial"/>
          <w:color w:val="000000"/>
          <w:sz w:val="20"/>
          <w:u w:val="single"/>
        </w:rPr>
        <w:t>Anderson v. City of Blue Ash</w:t>
      </w:r>
      <w:r>
        <w:rPr>
          <w:rFonts w:ascii="Arial" w:eastAsia="Arial" w:hAnsi="Arial" w:cs="Arial"/>
          <w:color w:val="000000"/>
          <w:sz w:val="20"/>
        </w:rPr>
        <w:t xml:space="preserve">, 798 F.3d 338, 362 (6th Cir. 2015); </w:t>
      </w:r>
      <w:bookmarkStart w:id="8646" w:name="Bookmark_I5X7JD832HM5XS0020000400"/>
      <w:bookmarkEnd w:id="8646"/>
      <w:r>
        <w:rPr>
          <w:rFonts w:ascii="Arial" w:eastAsia="Arial" w:hAnsi="Arial" w:cs="Arial"/>
          <w:color w:val="000000"/>
          <w:sz w:val="20"/>
          <w:u w:val="single"/>
        </w:rPr>
        <w:t>Scoggins v. Lee's Crossing Homeowners Ass'n</w:t>
      </w:r>
      <w:r>
        <w:rPr>
          <w:rFonts w:ascii="Arial" w:eastAsia="Arial" w:hAnsi="Arial" w:cs="Arial"/>
          <w:color w:val="000000"/>
          <w:sz w:val="20"/>
        </w:rPr>
        <w:t xml:space="preserve">, 718 F.3d 262, 272 (4th Cir. 2013). The burdens that may be given weight in  [*140]  this balancing include both financial costs and practical detriments to the City, as well as less tangible effects on the public. </w:t>
      </w:r>
      <w:bookmarkStart w:id="8647" w:name="Bookmark_I5X7JD832HM5XS0050000400_2"/>
      <w:bookmarkStart w:id="8648" w:name="Bookmark_I5X7JD842HM5XV0020000400"/>
      <w:bookmarkEnd w:id="8647"/>
      <w:bookmarkEnd w:id="8648"/>
      <w:r>
        <w:rPr>
          <w:rFonts w:ascii="Arial" w:eastAsia="Arial" w:hAnsi="Arial" w:cs="Arial"/>
          <w:color w:val="000000"/>
          <w:sz w:val="20"/>
          <w:u w:val="single"/>
        </w:rPr>
        <w:t xml:space="preserve">See </w:t>
      </w:r>
      <w:bookmarkStart w:id="8649" w:name="Bookmark_I5X7JD832HM5XS0040000400"/>
      <w:bookmarkEnd w:id="8649"/>
      <w:r>
        <w:rPr>
          <w:rFonts w:ascii="Arial" w:eastAsia="Arial" w:hAnsi="Arial" w:cs="Arial"/>
          <w:color w:val="000000"/>
          <w:sz w:val="20"/>
          <w:u w:val="single"/>
        </w:rPr>
        <w:t>Valencia</w:t>
      </w:r>
      <w:r>
        <w:rPr>
          <w:rFonts w:ascii="Arial" w:eastAsia="Arial" w:hAnsi="Arial" w:cs="Arial"/>
          <w:color w:val="000000"/>
          <w:sz w:val="20"/>
        </w:rPr>
        <w:t xml:space="preserve">, 883 F.3d at 968. </w:t>
      </w:r>
      <w:bookmarkStart w:id="8650" w:name="Bookmark_I5X7JD842HM5XV0020000400_2"/>
      <w:bookmarkStart w:id="8651" w:name="Bookmark_I5X7JD8428T40B0010000400"/>
      <w:bookmarkEnd w:id="8650"/>
      <w:bookmarkEnd w:id="8651"/>
      <w:r>
        <w:rPr>
          <w:rFonts w:ascii="Arial" w:eastAsia="Arial" w:hAnsi="Arial" w:cs="Arial"/>
          <w:color w:val="000000"/>
          <w:sz w:val="20"/>
        </w:rPr>
        <w:t xml:space="preserve">Typically, "[a]n accommodation is 'reasonable' when it imposes no 'fundamental alteration in the nature of the program' or 'undue financial and administrative burdens'" on the defendant. </w:t>
      </w:r>
      <w:bookmarkStart w:id="8652" w:name="Bookmark_I5X7JD842HM5XV0010000400"/>
      <w:bookmarkEnd w:id="8652"/>
      <w:r>
        <w:rPr>
          <w:rFonts w:ascii="Arial" w:eastAsia="Arial" w:hAnsi="Arial" w:cs="Arial"/>
          <w:color w:val="000000"/>
          <w:sz w:val="20"/>
          <w:u w:val="single"/>
        </w:rPr>
        <w:t>Batista v. Cooperativa de Vivienda Jardines de San Ignacio</w:t>
      </w:r>
      <w:r>
        <w:rPr>
          <w:rFonts w:ascii="Arial" w:eastAsia="Arial" w:hAnsi="Arial" w:cs="Arial"/>
          <w:color w:val="000000"/>
          <w:sz w:val="20"/>
        </w:rPr>
        <w:t xml:space="preserve">, 776 F.3d 38, 43 (1st Cir. 2015) (quoting </w:t>
      </w:r>
      <w:bookmarkStart w:id="8653" w:name="Bookmark_I5X7JD842HM5XV0030000400"/>
      <w:bookmarkEnd w:id="8653"/>
      <w:r>
        <w:rPr>
          <w:rFonts w:ascii="Arial" w:eastAsia="Arial" w:hAnsi="Arial" w:cs="Arial"/>
          <w:color w:val="000000"/>
          <w:sz w:val="20"/>
          <w:u w:val="single"/>
        </w:rPr>
        <w:t>Howard v. City of Beavercreek</w:t>
      </w:r>
      <w:r>
        <w:rPr>
          <w:rFonts w:ascii="Arial" w:eastAsia="Arial" w:hAnsi="Arial" w:cs="Arial"/>
          <w:color w:val="000000"/>
          <w:sz w:val="20"/>
        </w:rPr>
        <w:t xml:space="preserve">, 276 F.3d 802, 806 (6th Cir. 2002)). </w:t>
      </w:r>
      <w:bookmarkStart w:id="8654" w:name="Bookmark_I5X7JD8428T40B0010000400_2"/>
      <w:bookmarkEnd w:id="8654"/>
      <w:r>
        <w:rPr>
          <w:rFonts w:ascii="Arial" w:eastAsia="Arial" w:hAnsi="Arial" w:cs="Arial"/>
          <w:color w:val="000000"/>
          <w:sz w:val="20"/>
        </w:rPr>
        <w:t xml:space="preserve">Thus, a plaintiff is not entitled to a waiver of a [**11]  zoning or building-code rule if the waiver "is so 'at odds with the purposes behind the rule that it would be a fundamental and unreasonable change.'" </w:t>
      </w:r>
      <w:bookmarkStart w:id="8655" w:name="Bookmark_I5X7JD842HM5XV0050000400"/>
      <w:bookmarkEnd w:id="8655"/>
      <w:r>
        <w:rPr>
          <w:rFonts w:ascii="Arial" w:eastAsia="Arial" w:hAnsi="Arial" w:cs="Arial"/>
          <w:color w:val="000000"/>
          <w:sz w:val="20"/>
          <w:u w:val="single"/>
        </w:rPr>
        <w:t>Valencia</w:t>
      </w:r>
      <w:r>
        <w:rPr>
          <w:rFonts w:ascii="Arial" w:eastAsia="Arial" w:hAnsi="Arial" w:cs="Arial"/>
          <w:color w:val="000000"/>
          <w:sz w:val="20"/>
        </w:rPr>
        <w:t xml:space="preserve">, 883 F.3d at 968 (quoting </w:t>
      </w:r>
      <w:bookmarkStart w:id="8656" w:name="Bookmark_I5X7JD8428T40B0020000400"/>
      <w:bookmarkEnd w:id="8656"/>
      <w:r>
        <w:rPr>
          <w:rFonts w:ascii="Arial" w:eastAsia="Arial" w:hAnsi="Arial" w:cs="Arial"/>
          <w:color w:val="000000"/>
          <w:sz w:val="20"/>
          <w:u w:val="single"/>
        </w:rPr>
        <w:t>Oconomowoc Residential Programs, Inc. v. City of Milwaukee</w:t>
      </w:r>
      <w:r>
        <w:rPr>
          <w:rFonts w:ascii="Arial" w:eastAsia="Arial" w:hAnsi="Arial" w:cs="Arial"/>
          <w:color w:val="000000"/>
          <w:sz w:val="20"/>
        </w:rPr>
        <w:t>, 300 F.3d 775, 784 (7th Cir. 2002)).</w:t>
      </w:r>
    </w:p>
    <w:p w14:paraId="09942EF5" w14:textId="77777777" w:rsidR="002B10A6" w:rsidRDefault="00000000">
      <w:pPr>
        <w:pStyle w:val="Normal46"/>
        <w:widowControl w:val="0"/>
        <w:spacing w:before="200" w:line="260" w:lineRule="atLeast"/>
        <w:jc w:val="both"/>
      </w:pPr>
      <w:bookmarkStart w:id="8657" w:name="Bookmark_para_19_32"/>
      <w:bookmarkStart w:id="8658" w:name="Bookmark_I5X7JD8428T40B0050000400"/>
      <w:bookmarkStart w:id="8659" w:name="Bookmark_LNHNREFclscc8_29"/>
      <w:bookmarkEnd w:id="8657"/>
      <w:bookmarkEnd w:id="8658"/>
      <w:bookmarkEnd w:id="8659"/>
      <w:r>
        <w:rPr>
          <w:rFonts w:ascii="Arial" w:eastAsia="Arial" w:hAnsi="Arial" w:cs="Arial"/>
          <w:color w:val="000000"/>
          <w:sz w:val="20"/>
        </w:rPr>
        <w:t xml:space="preserve">That a requested accommodation poses a threat to public safety has obvious relevance to the reasonableness of the accommodation. </w:t>
      </w:r>
      <w:r>
        <w:rPr>
          <w:rFonts w:ascii="Arial" w:eastAsia="Arial" w:hAnsi="Arial" w:cs="Arial"/>
          <w:color w:val="000000"/>
          <w:sz w:val="20"/>
          <w:u w:val="single"/>
        </w:rPr>
        <w:t xml:space="preserve">See </w:t>
      </w:r>
      <w:bookmarkStart w:id="8660" w:name="Bookmark_I5X7JD8428T40B0040000400"/>
      <w:bookmarkEnd w:id="8660"/>
      <w:r>
        <w:rPr>
          <w:rFonts w:ascii="Arial" w:eastAsia="Arial" w:hAnsi="Arial" w:cs="Arial"/>
          <w:color w:val="000000"/>
          <w:sz w:val="20"/>
          <w:u w:val="single"/>
        </w:rPr>
        <w:t>Scoggins</w:t>
      </w:r>
      <w:r>
        <w:rPr>
          <w:rFonts w:ascii="Arial" w:eastAsia="Arial" w:hAnsi="Arial" w:cs="Arial"/>
          <w:color w:val="000000"/>
          <w:sz w:val="20"/>
        </w:rPr>
        <w:t xml:space="preserve">, 718 F.3d at 272-73; </w:t>
      </w:r>
      <w:bookmarkStart w:id="8661" w:name="Bookmark_I5X7JD842N1RX40010000400"/>
      <w:bookmarkEnd w:id="8661"/>
      <w:r>
        <w:rPr>
          <w:rFonts w:ascii="Arial" w:eastAsia="Arial" w:hAnsi="Arial" w:cs="Arial"/>
          <w:color w:val="000000"/>
          <w:sz w:val="20"/>
          <w:u w:val="single"/>
        </w:rPr>
        <w:t>Lapid-Laurel, L.L.C. v. Zoning Bd. of Adjustment</w:t>
      </w:r>
      <w:r>
        <w:rPr>
          <w:rFonts w:ascii="Arial" w:eastAsia="Arial" w:hAnsi="Arial" w:cs="Arial"/>
          <w:color w:val="000000"/>
          <w:sz w:val="20"/>
        </w:rPr>
        <w:t>, 284 F.3d 442, 462-63 (3d Cir. 2002). This case is a paradigmatic example of that principle: exempting the plaintiffs from installing sprinklers would not be a reasonable accommodation because such an exemption would thwart the very salutary purpose of the Sprinkler Law. After all, sprinkler laws play a critical role in fire prevention and, thus, in public safety. Making this point, the Commonwealth of Massachusetts has asserted, in an amicus brief, that exempting the sober houses from the sprinkler requirement would create an unacceptable safety risk to both the residents and the public. The plaintiffs have offered us no reason to doubt the truth of this commonsense assertion. Residents of a sober house and those who live nearby are entitled to the same state-mandated level of protection against fires as their fellow community members.</w:t>
      </w:r>
    </w:p>
    <w:p w14:paraId="14DA1B8A" w14:textId="77777777" w:rsidR="002B10A6" w:rsidRDefault="00000000">
      <w:pPr>
        <w:pStyle w:val="Normal46"/>
        <w:widowControl w:val="0"/>
        <w:spacing w:before="200" w:line="260" w:lineRule="atLeast"/>
        <w:jc w:val="both"/>
      </w:pPr>
      <w:bookmarkStart w:id="8662" w:name="Bookmark_para_20_32"/>
      <w:bookmarkEnd w:id="8662"/>
      <w:r>
        <w:rPr>
          <w:rFonts w:ascii="Arial" w:eastAsia="Arial" w:hAnsi="Arial" w:cs="Arial"/>
          <w:color w:val="000000"/>
          <w:sz w:val="20"/>
        </w:rPr>
        <w:t xml:space="preserve">The plaintiffs' argument for an exemption from the Sprinkler Law fails in light of the City's [**12]  strong interest in protecting public safety. Many building-code rules with safety justifications impose costs on the owner or occupant of a dwelling. </w:t>
      </w:r>
      <w:bookmarkStart w:id="8663" w:name="Bookmark_LNHNREFclscc9_27"/>
      <w:bookmarkEnd w:id="8663"/>
      <w:r>
        <w:rPr>
          <w:rFonts w:ascii="Arial" w:eastAsia="Arial" w:hAnsi="Arial" w:cs="Arial"/>
          <w:color w:val="000000"/>
          <w:sz w:val="20"/>
        </w:rPr>
        <w:t>Without a specific showing that the financial burden of the building-code rule outweighs its safety justification, the desire to alleviate those costs is, on its own, insufficient to render an accommodation reasonable. Here, the plaintiffs provide no basis for finding that the financial burden of compliance with the Sprinkler Law is somehow disproportionate to the public safety gains that flow from requiring them to install sprinklers. The closest that they come is their naked estimate that installing sprinklers would cost between $35,000 - $40,000 for each sober house. Yet there is no evidence as to the financial status of either the plaintiffs or the residents. Nor is there any evidence of the extent to which the cost of the sprinklers, amortized over their useful life, would affect prices charged to residents. Seen in this light, the plaintiffs' suggestion that the cost of installing sprinklers is unreasonable is woven entirely out of wispy strands of speculation and surmise. And beyond a temporary disruption during construction, the [**13]  record evidence does not show that installing sprinklers would interfere with the therapeutic benefits that the residents reap from living in the sober houses. On this record, there is no principled way for us to conclude that the sober house residents would accrue enough financial and/or therapeutic benefits from a Sprinkler Law exemption to outweigh the safety risks that they and the public would face if the plaintiffs were allowed to forgo  [*141]  sprinklers.</w:t>
      </w:r>
      <w:r>
        <w:rPr>
          <w:rFonts w:ascii="Arial" w:eastAsia="Arial" w:hAnsi="Arial" w:cs="Arial"/>
          <w:vertAlign w:val="superscript"/>
        </w:rPr>
        <w:footnoteReference w:customMarkFollows="1" w:id="448"/>
        <w:t>2</w:t>
      </w:r>
    </w:p>
    <w:p w14:paraId="0E5F28E5" w14:textId="77777777" w:rsidR="002B10A6" w:rsidRDefault="00000000">
      <w:pPr>
        <w:pStyle w:val="Normal46"/>
        <w:widowControl w:val="0"/>
        <w:spacing w:before="200" w:line="260" w:lineRule="atLeast"/>
        <w:jc w:val="both"/>
      </w:pPr>
      <w:bookmarkStart w:id="8665" w:name="Bookmark_para_21_32"/>
      <w:bookmarkStart w:id="8666" w:name="Bookmark_I5X7JD842N1RX40040000400"/>
      <w:bookmarkEnd w:id="8665"/>
      <w:bookmarkEnd w:id="8666"/>
      <w:r>
        <w:rPr>
          <w:rFonts w:ascii="Arial" w:eastAsia="Arial" w:hAnsi="Arial" w:cs="Arial"/>
          <w:color w:val="000000"/>
          <w:sz w:val="20"/>
        </w:rPr>
        <w:t xml:space="preserve">The plaintiffs have a fallback position. </w:t>
      </w:r>
      <w:bookmarkStart w:id="8667" w:name="Bookmark_I5X7JD8628T40H0010000400"/>
      <w:bookmarkEnd w:id="8667"/>
      <w:r>
        <w:rPr>
          <w:rFonts w:ascii="Arial" w:eastAsia="Arial" w:hAnsi="Arial" w:cs="Arial"/>
          <w:color w:val="000000"/>
          <w:sz w:val="20"/>
        </w:rPr>
        <w:t xml:space="preserve">They argue that the record reflects factual disputes as to whether municipal officials engaged in good faith to reach an agreed-upon accommodation with respect to the Sprinkler Law. The premise on which this argument rests is sound: </w:t>
      </w:r>
      <w:bookmarkStart w:id="8668" w:name="Bookmark_LNHNREFclscc10_25"/>
      <w:bookmarkEnd w:id="8668"/>
      <w:r>
        <w:rPr>
          <w:rFonts w:ascii="Arial" w:eastAsia="Arial" w:hAnsi="Arial" w:cs="Arial"/>
          <w:color w:val="000000"/>
          <w:sz w:val="20"/>
        </w:rPr>
        <w:t xml:space="preserve">"[t]he HUD guidelines contemplate that parties may engage in an 'interactive process' to discuss the need for the accommodation and possible alternatives if the [defendant] refuses to grant a requested accommodation on the ground that it is not reasonable." </w:t>
      </w:r>
      <w:bookmarkStart w:id="8669" w:name="Bookmark_I5X7JD842N1RX40030000400"/>
      <w:bookmarkEnd w:id="8669"/>
      <w:r>
        <w:rPr>
          <w:rFonts w:ascii="Arial" w:eastAsia="Arial" w:hAnsi="Arial" w:cs="Arial"/>
          <w:color w:val="000000"/>
          <w:sz w:val="20"/>
          <w:u w:val="single"/>
        </w:rPr>
        <w:t>Astralis</w:t>
      </w:r>
      <w:r>
        <w:rPr>
          <w:rFonts w:ascii="Arial" w:eastAsia="Arial" w:hAnsi="Arial" w:cs="Arial"/>
          <w:color w:val="000000"/>
          <w:sz w:val="20"/>
        </w:rPr>
        <w:t xml:space="preserve">, 620 F.3d at 68 n.3 (quoting Joint Statement of Dep't of Hous. &amp; Urban Dev. &amp; Dep't of Justice, </w:t>
      </w:r>
      <w:r>
        <w:rPr>
          <w:rFonts w:ascii="Arial" w:eastAsia="Arial" w:hAnsi="Arial" w:cs="Arial"/>
          <w:color w:val="000000"/>
          <w:sz w:val="20"/>
          <w:u w:val="single"/>
        </w:rPr>
        <w:t>Reasonable Accommodations Under the Fair Housing Act</w:t>
      </w:r>
      <w:r>
        <w:rPr>
          <w:rFonts w:ascii="Arial" w:eastAsia="Arial" w:hAnsi="Arial" w:cs="Arial"/>
          <w:color w:val="000000"/>
          <w:sz w:val="20"/>
        </w:rPr>
        <w:t xml:space="preserve"> 7 (May 17, 2004)). Consequently, a party's decision to "short-circuit[] the interactive [**14]  process" may well be relevant in determining liability under a reasonable accommodation theory. </w:t>
      </w:r>
      <w:bookmarkStart w:id="8670" w:name="Bookmark_I5X7JD8628T40H0010000400_2"/>
      <w:bookmarkStart w:id="8671" w:name="Bookmark_I5X7JD842N1RX40050000400"/>
      <w:bookmarkEnd w:id="8670"/>
      <w:bookmarkEnd w:id="8671"/>
      <w:r>
        <w:rPr>
          <w:rFonts w:ascii="Arial" w:eastAsia="Arial" w:hAnsi="Arial" w:cs="Arial"/>
          <w:color w:val="000000"/>
          <w:sz w:val="20"/>
          <w:u w:val="single"/>
        </w:rPr>
        <w:t>Id.</w:t>
      </w:r>
      <w:r>
        <w:rPr>
          <w:rFonts w:ascii="Arial" w:eastAsia="Arial" w:hAnsi="Arial" w:cs="Arial"/>
          <w:color w:val="000000"/>
          <w:sz w:val="20"/>
        </w:rPr>
        <w:t xml:space="preserve"> at 69.</w:t>
      </w:r>
    </w:p>
    <w:p w14:paraId="73B08FA9" w14:textId="77777777" w:rsidR="002B10A6" w:rsidRDefault="00000000">
      <w:pPr>
        <w:pStyle w:val="Normal46"/>
        <w:widowControl w:val="0"/>
        <w:spacing w:before="200" w:line="260" w:lineRule="atLeast"/>
        <w:jc w:val="both"/>
      </w:pPr>
      <w:bookmarkStart w:id="8672" w:name="Bookmark_para_22_31"/>
      <w:bookmarkEnd w:id="8672"/>
      <w:r>
        <w:rPr>
          <w:rFonts w:ascii="Arial" w:eastAsia="Arial" w:hAnsi="Arial" w:cs="Arial"/>
          <w:color w:val="000000"/>
          <w:sz w:val="20"/>
        </w:rPr>
        <w:t xml:space="preserve">Here, however, the conclusion that the plaintiffs draw is unsupported. Accepting the defendants' statement of undisputed material facts, as we must, </w:t>
      </w:r>
      <w:r>
        <w:rPr>
          <w:rFonts w:ascii="Arial" w:eastAsia="Arial" w:hAnsi="Arial" w:cs="Arial"/>
          <w:color w:val="000000"/>
          <w:sz w:val="20"/>
          <w:u w:val="single"/>
        </w:rPr>
        <w:t>see</w:t>
      </w:r>
      <w:r>
        <w:rPr>
          <w:rFonts w:ascii="Arial" w:eastAsia="Arial" w:hAnsi="Arial" w:cs="Arial"/>
          <w:color w:val="000000"/>
          <w:sz w:val="20"/>
        </w:rPr>
        <w:t xml:space="preserve"> D. Mass. R. 56.1, we discern no evidentiary basis from which a reasonable factfinder could conclude that municipal officials did not attempt in good faith to resolve their differences with the plaintiffs. For instance, municipal officials agreed to an exemption from the zoning ordinance's use restrictions once the plaintiffs formally requested an accommodation. So, too, the notice of the Sprinkler Law violations gave the plaintiffs a six-month grace period to achieve compliance. </w:t>
      </w:r>
      <w:r>
        <w:rPr>
          <w:rFonts w:ascii="Arial" w:eastAsia="Arial" w:hAnsi="Arial" w:cs="Arial"/>
          <w:color w:val="000000"/>
          <w:sz w:val="20"/>
          <w:u w:val="single"/>
        </w:rPr>
        <w:t>See</w:t>
      </w:r>
      <w:r>
        <w:rPr>
          <w:rFonts w:ascii="Arial" w:eastAsia="Arial" w:hAnsi="Arial" w:cs="Arial"/>
          <w:color w:val="000000"/>
          <w:sz w:val="20"/>
        </w:rPr>
        <w:t xml:space="preserve"> Mass. Gen. Laws ch. 148, § 27. And in response to the plaintiffs' proposal to reduce the occupancy of each sober house to fewer than six residents, the City reasonably requested that the plaintiffs memorialize such a commitment in writing and allow periodic inspections. The plaintiffs then withdrew their reduction-of-occupancy proposal rather than agree to the City's conditions.</w:t>
      </w:r>
      <w:r>
        <w:rPr>
          <w:rFonts w:ascii="Arial" w:eastAsia="Arial" w:hAnsi="Arial" w:cs="Arial"/>
          <w:vertAlign w:val="superscript"/>
        </w:rPr>
        <w:footnoteReference w:customMarkFollows="1" w:id="449"/>
        <w:t>3</w:t>
      </w:r>
      <w:r>
        <w:rPr>
          <w:rFonts w:ascii="Arial" w:eastAsia="Arial" w:hAnsi="Arial" w:cs="Arial"/>
          <w:color w:val="000000"/>
          <w:sz w:val="20"/>
        </w:rPr>
        <w:t xml:space="preserve"> These undisputed facts amply demonstrate that municipal officials worked with the plaintiffs to ensure that the sober houses [**15]  complied with state and local laws even in the face of the plaintiffs' intransigence.</w:t>
      </w:r>
    </w:p>
    <w:p w14:paraId="5784489E" w14:textId="77777777" w:rsidR="002B10A6" w:rsidRDefault="00000000">
      <w:pPr>
        <w:pStyle w:val="Normal46"/>
        <w:widowControl w:val="0"/>
        <w:spacing w:before="200" w:line="260" w:lineRule="atLeast"/>
        <w:jc w:val="both"/>
      </w:pPr>
      <w:bookmarkStart w:id="8674" w:name="Bookmark_para_23_28"/>
      <w:bookmarkEnd w:id="8674"/>
      <w:r>
        <w:rPr>
          <w:rFonts w:ascii="Arial" w:eastAsia="Arial" w:hAnsi="Arial" w:cs="Arial"/>
          <w:color w:val="000000"/>
          <w:sz w:val="20"/>
        </w:rPr>
        <w:t>To say more about the reasonable accommodation claim would be to paint the lily. The record on appeal is defined by the plaintiffs' failure to controvert the defendants' statement of undisputed material facts, and nothing in that record supports the plaintiffs' conclusory allegations that municipal officials either harassed them for years or failed to give fair consideration to their accommodation requests. The bare fact that the City did not yield to the plaintiffs' entreaty for an exemption from the Sprinkler Law does not, without more, evince a lack of good faith.</w:t>
      </w:r>
      <w:r>
        <w:rPr>
          <w:rFonts w:ascii="Arial" w:eastAsia="Arial" w:hAnsi="Arial" w:cs="Arial"/>
          <w:vertAlign w:val="superscript"/>
        </w:rPr>
        <w:footnoteReference w:customMarkFollows="1" w:id="450"/>
        <w:t>4</w:t>
      </w:r>
    </w:p>
    <w:p w14:paraId="08E2C9EA" w14:textId="77777777" w:rsidR="002B10A6" w:rsidRDefault="00000000">
      <w:pPr>
        <w:pStyle w:val="Normal46"/>
        <w:widowControl w:val="0"/>
        <w:spacing w:before="200" w:line="260" w:lineRule="atLeast"/>
        <w:jc w:val="both"/>
      </w:pPr>
      <w:bookmarkStart w:id="8676" w:name="Bookmark_para_24_27"/>
      <w:bookmarkEnd w:id="8676"/>
      <w:r>
        <w:rPr>
          <w:rFonts w:ascii="Arial" w:eastAsia="Arial" w:hAnsi="Arial" w:cs="Arial"/>
          <w:color w:val="000000"/>
          <w:sz w:val="20"/>
        </w:rPr>
        <w:t xml:space="preserve"> [*142]  </w:t>
      </w:r>
      <w:bookmarkStart w:id="8677" w:name="Bookmark_I5X7JD8628T40H0030000400"/>
      <w:bookmarkEnd w:id="8677"/>
      <w:r>
        <w:rPr>
          <w:rFonts w:ascii="Arial" w:eastAsia="Arial" w:hAnsi="Arial" w:cs="Arial"/>
          <w:color w:val="000000"/>
          <w:sz w:val="20"/>
        </w:rPr>
        <w:t xml:space="preserve">In a last-ditch effort to salvage their case, the plaintiffs claim that the Sprinkler Law discriminates against disabled individuals because it exempts certain structures (e.g., buildings that house six or more family members, fraternity houses and dormitories, rest homes, and licensed group homes). </w:t>
      </w:r>
      <w:r>
        <w:rPr>
          <w:rFonts w:ascii="Arial" w:eastAsia="Arial" w:hAnsi="Arial" w:cs="Arial"/>
          <w:color w:val="000000"/>
          <w:sz w:val="20"/>
          <w:u w:val="single"/>
        </w:rPr>
        <w:t>See id.</w:t>
      </w:r>
      <w:r>
        <w:rPr>
          <w:rFonts w:ascii="Arial" w:eastAsia="Arial" w:hAnsi="Arial" w:cs="Arial"/>
          <w:color w:val="000000"/>
          <w:sz w:val="20"/>
        </w:rPr>
        <w:t xml:space="preserve"> § 26H; </w:t>
      </w:r>
      <w:r>
        <w:rPr>
          <w:rFonts w:ascii="Arial" w:eastAsia="Arial" w:hAnsi="Arial" w:cs="Arial"/>
          <w:color w:val="000000"/>
          <w:sz w:val="20"/>
          <w:u w:val="single"/>
        </w:rPr>
        <w:t xml:space="preserve">cf. </w:t>
      </w:r>
      <w:bookmarkStart w:id="8678" w:name="Bookmark_I5X7JD8628T40H0020000400"/>
      <w:bookmarkEnd w:id="8678"/>
      <w:r>
        <w:rPr>
          <w:rFonts w:ascii="Arial" w:eastAsia="Arial" w:hAnsi="Arial" w:cs="Arial"/>
          <w:color w:val="000000"/>
          <w:sz w:val="20"/>
          <w:u w:val="single"/>
        </w:rPr>
        <w:t>Brockton Fire Dep't v. St. Mary Broad St., LLC</w:t>
      </w:r>
      <w:r>
        <w:rPr>
          <w:rFonts w:ascii="Arial" w:eastAsia="Arial" w:hAnsi="Arial" w:cs="Arial"/>
          <w:color w:val="000000"/>
          <w:sz w:val="20"/>
        </w:rPr>
        <w:t xml:space="preserve">, 181 F. Supp. 3d 155, 157 (D. Mass. 2016) (finding application of Sprinkler Law to sober houses violative of Massachusetts Zoning Act for this reason). </w:t>
      </w:r>
      <w:bookmarkStart w:id="8679" w:name="Bookmark_I5X7JD8628T40H0050000400"/>
      <w:bookmarkEnd w:id="8679"/>
      <w:r>
        <w:rPr>
          <w:rFonts w:ascii="Arial" w:eastAsia="Arial" w:hAnsi="Arial" w:cs="Arial"/>
          <w:color w:val="000000"/>
          <w:sz w:val="20"/>
        </w:rPr>
        <w:t xml:space="preserve">Fairly viewed, this argument is an attempt to challenge the district court's dismissal of the plaintiffs' disparate [**16]  treatment and disparate impact claims. </w:t>
      </w:r>
      <w:bookmarkStart w:id="8680" w:name="Bookmark_I5X7JD8628T40H0050000400_2"/>
      <w:bookmarkEnd w:id="8680"/>
      <w:r>
        <w:rPr>
          <w:rFonts w:ascii="Arial" w:eastAsia="Arial" w:hAnsi="Arial" w:cs="Arial"/>
          <w:color w:val="000000"/>
          <w:sz w:val="20"/>
        </w:rPr>
        <w:t xml:space="preserve">Withal, the argument is not developed in any meaningful way and, thus, is waived. </w:t>
      </w:r>
      <w:r>
        <w:rPr>
          <w:rFonts w:ascii="Arial" w:eastAsia="Arial" w:hAnsi="Arial" w:cs="Arial"/>
          <w:color w:val="000000"/>
          <w:sz w:val="20"/>
          <w:u w:val="single"/>
        </w:rPr>
        <w:t xml:space="preserve">See </w:t>
      </w:r>
      <w:bookmarkStart w:id="8681" w:name="Bookmark_I5X7JD8628T40H0040000400"/>
      <w:bookmarkEnd w:id="8681"/>
      <w:r>
        <w:rPr>
          <w:rFonts w:ascii="Arial" w:eastAsia="Arial" w:hAnsi="Arial" w:cs="Arial"/>
          <w:color w:val="000000"/>
          <w:sz w:val="20"/>
          <w:u w:val="single"/>
        </w:rPr>
        <w:t>Campbell v. Ackerman</w:t>
      </w:r>
      <w:r>
        <w:rPr>
          <w:rFonts w:ascii="Arial" w:eastAsia="Arial" w:hAnsi="Arial" w:cs="Arial"/>
          <w:color w:val="000000"/>
          <w:sz w:val="20"/>
        </w:rPr>
        <w:t xml:space="preserve">, 903 F.3d 14, 18 n.4 (1st Cir. 2018) </w:t>
      </w:r>
      <w:bookmarkStart w:id="8682" w:name="Bookmark_LNHNREFclscc11_24"/>
      <w:bookmarkEnd w:id="8682"/>
      <w:r>
        <w:rPr>
          <w:rFonts w:ascii="Arial" w:eastAsia="Arial" w:hAnsi="Arial" w:cs="Arial"/>
          <w:color w:val="000000"/>
          <w:sz w:val="20"/>
        </w:rPr>
        <w:t xml:space="preserve">(deeming waived any argument "made in a cursory manner bereft of any developed rationale"); </w:t>
      </w:r>
      <w:bookmarkStart w:id="8683" w:name="Bookmark_I5X7JD862D6NXW0010000400"/>
      <w:bookmarkEnd w:id="8683"/>
      <w:r>
        <w:rPr>
          <w:rFonts w:ascii="Arial" w:eastAsia="Arial" w:hAnsi="Arial" w:cs="Arial"/>
          <w:color w:val="000000"/>
          <w:sz w:val="20"/>
          <w:u w:val="single"/>
        </w:rPr>
        <w:t>United States v. Zannino</w:t>
      </w:r>
      <w:r>
        <w:rPr>
          <w:rFonts w:ascii="Arial" w:eastAsia="Arial" w:hAnsi="Arial" w:cs="Arial"/>
          <w:color w:val="000000"/>
          <w:sz w:val="20"/>
        </w:rPr>
        <w:t>, 895 F.2d 1, 17 (1st Cir. 1990) (similar).</w:t>
      </w:r>
    </w:p>
    <w:p w14:paraId="7F68DACA" w14:textId="77777777" w:rsidR="002B10A6" w:rsidRDefault="00000000">
      <w:pPr>
        <w:pStyle w:val="Normal46"/>
        <w:widowControl w:val="0"/>
        <w:spacing w:before="240" w:line="260" w:lineRule="atLeast"/>
      </w:pPr>
      <w:r>
        <w:br/>
      </w:r>
      <w:r>
        <w:rPr>
          <w:rFonts w:ascii="Arial" w:eastAsia="Arial" w:hAnsi="Arial" w:cs="Arial"/>
          <w:b/>
          <w:color w:val="000000"/>
          <w:sz w:val="20"/>
        </w:rPr>
        <w:t>III. CONCLUSION</w:t>
      </w:r>
    </w:p>
    <w:p w14:paraId="749E6DD7" w14:textId="77777777" w:rsidR="002B10A6" w:rsidRDefault="00000000">
      <w:pPr>
        <w:pStyle w:val="Normal46"/>
        <w:widowControl w:val="0"/>
        <w:spacing w:before="200" w:line="260" w:lineRule="atLeast"/>
        <w:jc w:val="both"/>
      </w:pPr>
      <w:bookmarkStart w:id="8684" w:name="Bookmark_para_25_27"/>
      <w:bookmarkEnd w:id="8684"/>
      <w:r>
        <w:rPr>
          <w:rFonts w:ascii="Arial" w:eastAsia="Arial" w:hAnsi="Arial" w:cs="Arial"/>
          <w:color w:val="000000"/>
          <w:sz w:val="20"/>
        </w:rPr>
        <w:t>We need go no further. For the reasons elucidated above, the judgment of the district court is</w:t>
      </w:r>
    </w:p>
    <w:p w14:paraId="7CE8D80C" w14:textId="77777777" w:rsidR="002B10A6" w:rsidRDefault="00000000">
      <w:pPr>
        <w:pStyle w:val="Normal46"/>
        <w:widowControl w:val="0"/>
        <w:spacing w:before="200" w:line="260" w:lineRule="atLeast"/>
        <w:jc w:val="both"/>
      </w:pPr>
      <w:bookmarkStart w:id="8685" w:name="Bookmark_para_26_27"/>
      <w:bookmarkEnd w:id="8685"/>
      <w:r>
        <w:rPr>
          <w:rFonts w:ascii="Arial" w:eastAsia="Arial" w:hAnsi="Arial" w:cs="Arial"/>
          <w:b/>
          <w:color w:val="000000"/>
          <w:sz w:val="20"/>
          <w:u w:val="single"/>
        </w:rPr>
        <w:t>Affirmed</w:t>
      </w:r>
      <w:r>
        <w:rPr>
          <w:rFonts w:ascii="Arial" w:eastAsia="Arial" w:hAnsi="Arial" w:cs="Arial"/>
          <w:color w:val="000000"/>
          <w:sz w:val="20"/>
        </w:rPr>
        <w:t>.</w:t>
      </w:r>
    </w:p>
    <w:p w14:paraId="0BB549CF" w14:textId="77777777" w:rsidR="002B10A6" w:rsidRDefault="002B10A6">
      <w:pPr>
        <w:pStyle w:val="Normal46"/>
      </w:pPr>
    </w:p>
    <w:p w14:paraId="44DD5102" w14:textId="2B7558CB" w:rsidR="002B10A6" w:rsidRDefault="00000000">
      <w:pPr>
        <w:pStyle w:val="Normal46"/>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61664" behindDoc="0" locked="0" layoutInCell="1" allowOverlap="1" wp14:anchorId="0CEAC2C5" wp14:editId="13011452">
                <wp:simplePos x="0" y="0"/>
                <wp:positionH relativeFrom="column">
                  <wp:posOffset>0</wp:posOffset>
                </wp:positionH>
                <wp:positionV relativeFrom="paragraph">
                  <wp:posOffset>127000</wp:posOffset>
                </wp:positionV>
                <wp:extent cx="6502400" cy="0"/>
                <wp:effectExtent l="9525" t="12700" r="12700" b="6350"/>
                <wp:wrapNone/>
                <wp:docPr id="1370738295"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12DFA"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9798626" w14:textId="77777777" w:rsidR="002B10A6" w:rsidRDefault="002B10A6">
      <w:pPr>
        <w:pStyle w:val="Normal47"/>
        <w:sectPr w:rsidR="002B10A6">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gutter="0"/>
          <w:cols w:space="720"/>
          <w:titlePg/>
        </w:sectPr>
      </w:pPr>
    </w:p>
    <w:p w14:paraId="461C6A7F" w14:textId="77777777" w:rsidR="002B10A6" w:rsidRDefault="002B10A6">
      <w:pPr>
        <w:pStyle w:val="Normal47"/>
      </w:pPr>
    </w:p>
    <w:p w14:paraId="4B2E6C5E" w14:textId="77777777" w:rsidR="002B10A6" w:rsidRDefault="00000000">
      <w:pPr>
        <w:pStyle w:val="Heading146"/>
        <w:keepNext w:val="0"/>
        <w:widowControl w:val="0"/>
        <w:spacing w:after="200" w:line="340" w:lineRule="atLeast"/>
        <w:jc w:val="center"/>
      </w:pPr>
      <w:r>
        <w:rPr>
          <w:rFonts w:eastAsia="Arial"/>
          <w:color w:val="000000"/>
          <w:sz w:val="28"/>
        </w:rPr>
        <w:t>Thornton v. Hosp. Mgmt. Assocs.</w:t>
      </w:r>
    </w:p>
    <w:p w14:paraId="4F003102" w14:textId="77777777" w:rsidR="002B10A6" w:rsidRDefault="00000000">
      <w:pPr>
        <w:pStyle w:val="Normal47"/>
        <w:widowControl w:val="0"/>
        <w:spacing w:before="120" w:line="260" w:lineRule="atLeast"/>
        <w:jc w:val="center"/>
      </w:pPr>
      <w:r>
        <w:rPr>
          <w:rFonts w:ascii="Arial" w:eastAsia="Arial" w:hAnsi="Arial" w:cs="Arial"/>
          <w:color w:val="000000"/>
          <w:sz w:val="20"/>
        </w:rPr>
        <w:t>United States Court of Appeals for the Eleventh Circuit</w:t>
      </w:r>
    </w:p>
    <w:p w14:paraId="5564F1EB" w14:textId="77777777" w:rsidR="002B10A6" w:rsidRDefault="00000000">
      <w:pPr>
        <w:pStyle w:val="Normal47"/>
        <w:widowControl w:val="0"/>
        <w:spacing w:before="120" w:line="260" w:lineRule="atLeast"/>
        <w:jc w:val="center"/>
      </w:pPr>
      <w:r>
        <w:rPr>
          <w:rFonts w:ascii="Arial" w:eastAsia="Arial" w:hAnsi="Arial" w:cs="Arial"/>
          <w:color w:val="000000"/>
          <w:sz w:val="20"/>
        </w:rPr>
        <w:t>October 2, 2019, Decided</w:t>
      </w:r>
    </w:p>
    <w:p w14:paraId="1CA19632" w14:textId="77777777" w:rsidR="002B10A6" w:rsidRDefault="00000000">
      <w:pPr>
        <w:pStyle w:val="Normal47"/>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17-14343 Non-Argument Calendar</w:t>
      </w:r>
    </w:p>
    <w:p w14:paraId="7E0BBD20" w14:textId="77777777" w:rsidR="002B10A6" w:rsidRDefault="002B10A6">
      <w:pPr>
        <w:pStyle w:val="Normal47"/>
        <w:widowControl w:val="0"/>
        <w:spacing w:line="240" w:lineRule="atLeast"/>
        <w:jc w:val="both"/>
      </w:pPr>
      <w:bookmarkStart w:id="8686" w:name="Bookmark_48"/>
      <w:bookmarkEnd w:id="8686"/>
    </w:p>
    <w:p w14:paraId="236360F9" w14:textId="77777777" w:rsidR="002B10A6" w:rsidRDefault="00000000">
      <w:pPr>
        <w:pStyle w:val="Normal47"/>
        <w:widowControl w:val="0"/>
        <w:spacing w:before="200" w:line="240" w:lineRule="atLeast"/>
      </w:pPr>
      <w:bookmarkStart w:id="8687" w:name="Reporter_46"/>
      <w:bookmarkEnd w:id="8687"/>
      <w:r>
        <w:rPr>
          <w:rFonts w:ascii="Arial" w:eastAsia="Arial" w:hAnsi="Arial" w:cs="Arial"/>
          <w:b/>
          <w:color w:val="000000"/>
          <w:sz w:val="18"/>
        </w:rPr>
        <w:t>Reporter</w:t>
      </w:r>
    </w:p>
    <w:p w14:paraId="368BFD1C" w14:textId="77777777" w:rsidR="002B10A6" w:rsidRDefault="00000000">
      <w:pPr>
        <w:pStyle w:val="Normal47"/>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787 Fed. Appx. 634 *; 2019 U.S. App. LEXIS 29590 **</w:t>
      </w:r>
    </w:p>
    <w:p w14:paraId="3379EE0B" w14:textId="77777777" w:rsidR="002B10A6" w:rsidRDefault="00000000">
      <w:pPr>
        <w:pStyle w:val="Normal47"/>
        <w:widowControl w:val="0"/>
        <w:spacing w:before="120" w:line="260" w:lineRule="atLeast"/>
      </w:pPr>
      <w:r>
        <w:rPr>
          <w:rFonts w:ascii="Arial" w:eastAsia="Arial" w:hAnsi="Arial" w:cs="Arial"/>
          <w:color w:val="000000"/>
          <w:sz w:val="20"/>
        </w:rPr>
        <w:t>CHRISTOPHER M. THORNTON, Plaintiff-Appellee, versus HOSPITALITY MANAGEMENT ASSOCIATES, INC., Defendant, DOUGLAS WILLIAM GURNEY, Defendant-Appellant.</w:t>
      </w:r>
    </w:p>
    <w:p w14:paraId="67ADF1C9" w14:textId="77777777" w:rsidR="002B10A6" w:rsidRDefault="00000000">
      <w:pPr>
        <w:pStyle w:val="Normal47"/>
        <w:widowControl w:val="0"/>
        <w:spacing w:before="240" w:line="260" w:lineRule="atLeast"/>
        <w:jc w:val="both"/>
      </w:pPr>
      <w:bookmarkStart w:id="8688" w:name="Notice_17"/>
      <w:bookmarkEnd w:id="8688"/>
      <w:r>
        <w:rPr>
          <w:rFonts w:ascii="Arial" w:eastAsia="Arial" w:hAnsi="Arial" w:cs="Arial"/>
          <w:b/>
          <w:color w:val="000000"/>
          <w:sz w:val="20"/>
        </w:rPr>
        <w:t>Notice:</w:t>
      </w:r>
      <w:r>
        <w:rPr>
          <w:rFonts w:ascii="Arial" w:eastAsia="Arial" w:hAnsi="Arial" w:cs="Arial"/>
          <w:color w:val="000000"/>
          <w:sz w:val="20"/>
        </w:rPr>
        <w:t> </w:t>
      </w:r>
      <w:bookmarkStart w:id="8689" w:name="Bookmark_para_1_46"/>
      <w:bookmarkEnd w:id="8689"/>
      <w:r>
        <w:rPr>
          <w:rFonts w:ascii="Arial" w:eastAsia="Arial" w:hAnsi="Arial" w:cs="Arial"/>
          <w:color w:val="000000"/>
          <w:sz w:val="20"/>
        </w:rPr>
        <w:t>PLEASE REFER TO FEDERAL RULES OF APPELLATE PROCEDURE RULE 32.1 GOVERNING THE CITATION TO UNPUBLISHED OPINIONS.</w:t>
      </w:r>
    </w:p>
    <w:p w14:paraId="1721AB67" w14:textId="77777777" w:rsidR="002B10A6" w:rsidRDefault="00000000">
      <w:pPr>
        <w:pStyle w:val="Normal47"/>
        <w:widowControl w:val="0"/>
        <w:spacing w:before="240" w:line="260" w:lineRule="atLeast"/>
        <w:jc w:val="both"/>
      </w:pPr>
      <w:bookmarkStart w:id="8690" w:name="Prior_History_46"/>
      <w:bookmarkEnd w:id="8690"/>
      <w:r>
        <w:rPr>
          <w:rFonts w:ascii="Arial" w:eastAsia="Arial" w:hAnsi="Arial" w:cs="Arial"/>
          <w:b/>
          <w:color w:val="000000"/>
          <w:sz w:val="20"/>
        </w:rPr>
        <w:t>Prior History:</w:t>
      </w:r>
      <w:r>
        <w:rPr>
          <w:rFonts w:ascii="Arial" w:eastAsia="Arial" w:hAnsi="Arial" w:cs="Arial"/>
          <w:color w:val="000000"/>
          <w:sz w:val="20"/>
        </w:rPr>
        <w:t> </w:t>
      </w:r>
      <w:bookmarkStart w:id="8691" w:name="Bookmark_para_2_46"/>
      <w:bookmarkEnd w:id="8691"/>
      <w:r>
        <w:rPr>
          <w:rFonts w:ascii="Arial" w:eastAsia="Arial" w:hAnsi="Arial" w:cs="Arial"/>
          <w:color w:val="000000"/>
          <w:sz w:val="20"/>
        </w:rPr>
        <w:t> [**1] Appeal from the United States District Court for the Middle District of Alabama. D.C. Docket No. 2:16-cv-00347-MHT-GMB.</w:t>
      </w:r>
    </w:p>
    <w:p w14:paraId="01B939CE" w14:textId="77777777" w:rsidR="002B10A6" w:rsidRDefault="00000000">
      <w:pPr>
        <w:pStyle w:val="Normal47"/>
        <w:widowControl w:val="0"/>
        <w:spacing w:before="120" w:line="260" w:lineRule="atLeast"/>
      </w:pPr>
      <w:r>
        <w:rPr>
          <w:rFonts w:ascii="Arial" w:eastAsia="Arial" w:hAnsi="Arial" w:cs="Arial"/>
          <w:color w:val="000000"/>
          <w:sz w:val="20"/>
        </w:rPr>
        <w:t>Thornton v. Hospitality Mgmt. Assocs., 2017 U.S. Dist. LEXIS 135806 (M.D. Ala., Aug. 24, 2017)</w:t>
      </w:r>
    </w:p>
    <w:p w14:paraId="39EB4DD5" w14:textId="77777777" w:rsidR="002B10A6" w:rsidRDefault="00000000">
      <w:pPr>
        <w:pStyle w:val="Normal47"/>
        <w:widowControl w:val="0"/>
        <w:spacing w:before="240" w:line="260" w:lineRule="atLeast"/>
        <w:jc w:val="both"/>
      </w:pPr>
      <w:bookmarkStart w:id="8692" w:name="Disposition_14"/>
      <w:bookmarkEnd w:id="8692"/>
      <w:r>
        <w:rPr>
          <w:rFonts w:ascii="Arial" w:eastAsia="Arial" w:hAnsi="Arial" w:cs="Arial"/>
          <w:b/>
          <w:color w:val="000000"/>
          <w:sz w:val="20"/>
        </w:rPr>
        <w:t>Disposition:</w:t>
      </w:r>
      <w:r>
        <w:rPr>
          <w:rFonts w:ascii="Arial" w:eastAsia="Arial" w:hAnsi="Arial" w:cs="Arial"/>
          <w:color w:val="000000"/>
          <w:sz w:val="20"/>
        </w:rPr>
        <w:t> </w:t>
      </w:r>
      <w:bookmarkStart w:id="8693" w:name="Bookmark_clspara_4_12"/>
      <w:bookmarkEnd w:id="8693"/>
      <w:r>
        <w:rPr>
          <w:rFonts w:ascii="Arial" w:eastAsia="Arial" w:hAnsi="Arial" w:cs="Arial"/>
          <w:color w:val="000000"/>
          <w:sz w:val="20"/>
        </w:rPr>
        <w:t>AFFIRMED.</w:t>
      </w:r>
    </w:p>
    <w:p w14:paraId="1315AE7D" w14:textId="77777777" w:rsidR="002B10A6" w:rsidRDefault="00000000">
      <w:pPr>
        <w:pStyle w:val="Normal47"/>
        <w:widowControl w:val="0"/>
        <w:spacing w:before="240" w:line="260" w:lineRule="atLeast"/>
      </w:pPr>
      <w:bookmarkStart w:id="8694" w:name="Counsel_45"/>
      <w:bookmarkEnd w:id="8694"/>
      <w:r>
        <w:rPr>
          <w:rFonts w:ascii="Arial" w:eastAsia="Arial" w:hAnsi="Arial" w:cs="Arial"/>
          <w:b/>
          <w:color w:val="000000"/>
          <w:sz w:val="20"/>
        </w:rPr>
        <w:t>Counsel:</w:t>
      </w:r>
      <w:r>
        <w:rPr>
          <w:rFonts w:ascii="Arial" w:eastAsia="Arial" w:hAnsi="Arial" w:cs="Arial"/>
          <w:color w:val="000000"/>
          <w:sz w:val="20"/>
        </w:rPr>
        <w:t> For Christopher M. Thornton, Plaintiff - Appellee: Lowell Landis Sexton, Tracy G. Birdsong, Alan H. Polson, The ADA Group, LLC, Montgomery, AL.</w:t>
      </w:r>
    </w:p>
    <w:p w14:paraId="41D3AE2D" w14:textId="77777777" w:rsidR="002B10A6" w:rsidRDefault="00000000">
      <w:pPr>
        <w:pStyle w:val="Normal47"/>
        <w:widowControl w:val="0"/>
        <w:spacing w:before="120" w:line="260" w:lineRule="atLeast"/>
      </w:pPr>
      <w:r>
        <w:rPr>
          <w:rFonts w:ascii="Arial" w:eastAsia="Arial" w:hAnsi="Arial" w:cs="Arial"/>
          <w:color w:val="000000"/>
          <w:sz w:val="20"/>
        </w:rPr>
        <w:t>Douglas William Gurney, Defendant - Appellant, Pro se, Montgomery, AL.</w:t>
      </w:r>
    </w:p>
    <w:p w14:paraId="70CDDA19" w14:textId="77777777" w:rsidR="002B10A6" w:rsidRDefault="00000000">
      <w:pPr>
        <w:pStyle w:val="Normal47"/>
        <w:widowControl w:val="0"/>
        <w:spacing w:before="120" w:line="260" w:lineRule="atLeast"/>
      </w:pPr>
      <w:r>
        <w:rPr>
          <w:rFonts w:ascii="Arial" w:eastAsia="Arial" w:hAnsi="Arial" w:cs="Arial"/>
          <w:color w:val="000000"/>
          <w:sz w:val="20"/>
        </w:rPr>
        <w:t>For Hospitality Management Associates, Inc.,: Charles Ted Turnipseed Jr., Turnipseed Law, LLC, Montgomery, AL.</w:t>
      </w:r>
    </w:p>
    <w:p w14:paraId="2434E48C" w14:textId="77777777" w:rsidR="002B10A6" w:rsidRDefault="00000000">
      <w:pPr>
        <w:pStyle w:val="Normal47"/>
        <w:widowControl w:val="0"/>
        <w:spacing w:before="240" w:line="260" w:lineRule="atLeast"/>
      </w:pPr>
      <w:bookmarkStart w:id="8695" w:name="Judges_46"/>
      <w:bookmarkEnd w:id="8695"/>
      <w:r>
        <w:rPr>
          <w:rFonts w:ascii="Arial" w:eastAsia="Arial" w:hAnsi="Arial" w:cs="Arial"/>
          <w:b/>
          <w:color w:val="000000"/>
          <w:sz w:val="20"/>
        </w:rPr>
        <w:t>Judges:</w:t>
      </w:r>
      <w:r>
        <w:rPr>
          <w:rFonts w:ascii="Arial" w:eastAsia="Arial" w:hAnsi="Arial" w:cs="Arial"/>
          <w:color w:val="000000"/>
          <w:sz w:val="20"/>
        </w:rPr>
        <w:t> Before WILSON, JILL PRYOR, and FAY, Circuit Judges.</w:t>
      </w:r>
    </w:p>
    <w:p w14:paraId="1C30A541" w14:textId="77777777" w:rsidR="002B10A6" w:rsidRDefault="00000000">
      <w:pPr>
        <w:pStyle w:val="Normal47"/>
        <w:keepNext/>
        <w:widowControl w:val="0"/>
        <w:spacing w:before="240" w:line="340" w:lineRule="atLeast"/>
      </w:pPr>
      <w:bookmarkStart w:id="8696" w:name="Opinion_46"/>
      <w:bookmarkEnd w:id="8696"/>
      <w:r>
        <w:rPr>
          <w:rFonts w:ascii="Arial" w:eastAsia="Arial" w:hAnsi="Arial" w:cs="Arial"/>
          <w:b/>
          <w:color w:val="000000"/>
          <w:sz w:val="28"/>
        </w:rPr>
        <w:t>Opinion</w:t>
      </w:r>
    </w:p>
    <w:p w14:paraId="114072A7" w14:textId="0AEF8CE0" w:rsidR="002B10A6" w:rsidRDefault="002D6974">
      <w:pPr>
        <w:pStyle w:val="Normal47"/>
        <w:spacing w:line="60" w:lineRule="exact"/>
      </w:pPr>
      <w:r>
        <w:rPr>
          <w:noProof/>
        </w:rPr>
        <mc:AlternateContent>
          <mc:Choice Requires="wps">
            <w:drawing>
              <wp:anchor distT="0" distB="0" distL="114300" distR="114300" simplePos="0" relativeHeight="251762688" behindDoc="0" locked="0" layoutInCell="1" allowOverlap="1" wp14:anchorId="253EC1F4" wp14:editId="390188F2">
                <wp:simplePos x="0" y="0"/>
                <wp:positionH relativeFrom="column">
                  <wp:posOffset>0</wp:posOffset>
                </wp:positionH>
                <wp:positionV relativeFrom="paragraph">
                  <wp:posOffset>25400</wp:posOffset>
                </wp:positionV>
                <wp:extent cx="3187700" cy="0"/>
                <wp:effectExtent l="19050" t="15875" r="12700" b="12700"/>
                <wp:wrapTopAndBottom/>
                <wp:docPr id="196413067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150884"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07B2172" w14:textId="77777777" w:rsidR="002B10A6" w:rsidRDefault="002B10A6">
      <w:pPr>
        <w:pStyle w:val="Normal47"/>
      </w:pPr>
    </w:p>
    <w:p w14:paraId="3EBEF5C5" w14:textId="77777777" w:rsidR="002B10A6" w:rsidRDefault="00000000">
      <w:pPr>
        <w:pStyle w:val="Normal47"/>
        <w:widowControl w:val="0"/>
        <w:spacing w:before="200" w:line="260" w:lineRule="atLeast"/>
        <w:jc w:val="both"/>
      </w:pPr>
      <w:bookmarkStart w:id="8697" w:name="Bookmark_para_3_46"/>
      <w:bookmarkEnd w:id="8697"/>
      <w:r>
        <w:rPr>
          <w:rFonts w:ascii="Arial" w:eastAsia="Arial" w:hAnsi="Arial" w:cs="Arial"/>
          <w:color w:val="000000"/>
          <w:sz w:val="20"/>
        </w:rPr>
        <w:t> [*636]  PER CURIAM:</w:t>
      </w:r>
    </w:p>
    <w:p w14:paraId="3EE75B03" w14:textId="77777777" w:rsidR="002B10A6" w:rsidRDefault="00000000">
      <w:pPr>
        <w:pStyle w:val="Normal47"/>
        <w:widowControl w:val="0"/>
        <w:spacing w:before="200" w:line="260" w:lineRule="atLeast"/>
        <w:jc w:val="both"/>
      </w:pPr>
      <w:bookmarkStart w:id="8698" w:name="Bookmark_para_4_46"/>
      <w:bookmarkEnd w:id="8698"/>
      <w:r>
        <w:rPr>
          <w:rFonts w:ascii="Arial" w:eastAsia="Arial" w:hAnsi="Arial" w:cs="Arial"/>
          <w:color w:val="000000"/>
          <w:sz w:val="20"/>
        </w:rPr>
        <w:t xml:space="preserve">Douglas Gurney, proceeding pro se, appeals the district court's award of expenses and entry of default judgment as Federal Rule of Civil Procedure 37(b) sanctions for failing to comply with the court's Rule 37(a) order in an action brought by Christopher Thornton under the Americans with Disabilities Act (ADA), 42 U.S.C. § 12101 </w:t>
      </w:r>
      <w:r>
        <w:rPr>
          <w:rFonts w:ascii="Arial" w:eastAsia="Arial" w:hAnsi="Arial" w:cs="Arial"/>
          <w:i/>
          <w:color w:val="000000"/>
          <w:sz w:val="20"/>
        </w:rPr>
        <w:t>et seq.</w:t>
      </w:r>
      <w:r>
        <w:rPr>
          <w:rFonts w:ascii="Arial" w:eastAsia="Arial" w:hAnsi="Arial" w:cs="Arial"/>
          <w:color w:val="000000"/>
          <w:sz w:val="20"/>
        </w:rPr>
        <w:t xml:space="preserve"> Gurney first moves (1) to "correct the record" by removing Charles Turnipseed as the attorney for Hospitality Management Associates, Inc. (HMA), and (2) to order Lowell Sexton, Thornton's appellate attorney, to "cease and desist" due to an alleged conflict of interest. And as to the district court's order, Gurney argues that (1) Turnipseed was not authorized to represent him during the proceedings before the district [**2]  court, and (2) Thornton did not perfect service of process. Gurney also argues that the default judgment should be set aside. Finding no error, we affirm.</w:t>
      </w:r>
    </w:p>
    <w:p w14:paraId="4C9B50C4" w14:textId="77777777" w:rsidR="002B10A6" w:rsidRDefault="00000000">
      <w:pPr>
        <w:pStyle w:val="Normal47"/>
        <w:widowControl w:val="0"/>
        <w:spacing w:before="120" w:line="260" w:lineRule="atLeast"/>
      </w:pPr>
      <w:r>
        <w:rPr>
          <w:rFonts w:ascii="Arial" w:eastAsia="Arial" w:hAnsi="Arial" w:cs="Arial"/>
          <w:color w:val="000000"/>
          <w:sz w:val="20"/>
        </w:rPr>
        <w:t>I.</w:t>
      </w:r>
    </w:p>
    <w:p w14:paraId="7D763E66" w14:textId="77777777" w:rsidR="002B10A6" w:rsidRDefault="00000000">
      <w:pPr>
        <w:pStyle w:val="Normal47"/>
        <w:widowControl w:val="0"/>
        <w:spacing w:before="200" w:line="260" w:lineRule="atLeast"/>
        <w:jc w:val="both"/>
      </w:pPr>
      <w:bookmarkStart w:id="8699" w:name="Bookmark_para_5_46"/>
      <w:bookmarkStart w:id="8700" w:name="Bookmark_I5X6XF2H2SF8DK0020000400"/>
      <w:bookmarkEnd w:id="8699"/>
      <w:bookmarkEnd w:id="8700"/>
      <w:r>
        <w:rPr>
          <w:rFonts w:ascii="Arial" w:eastAsia="Arial" w:hAnsi="Arial" w:cs="Arial"/>
          <w:color w:val="000000"/>
          <w:sz w:val="20"/>
        </w:rPr>
        <w:t xml:space="preserve">Gurney first asks us to correct the record and remove Turnipseed as the attorney for HMA. </w:t>
      </w:r>
      <w:bookmarkStart w:id="8701" w:name="Bookmark_LNHNREFclscc1_37"/>
      <w:bookmarkEnd w:id="8701"/>
      <w:r>
        <w:rPr>
          <w:rFonts w:ascii="Arial" w:eastAsia="Arial" w:hAnsi="Arial" w:cs="Arial"/>
          <w:color w:val="000000"/>
          <w:sz w:val="20"/>
        </w:rPr>
        <w:t xml:space="preserve">Parties are permitted by statute to plead and conduct their cases personally or by counsel as the rules of the federal courts permit. 28 U.S.C. § 1654. </w:t>
      </w:r>
      <w:bookmarkStart w:id="8702" w:name="Bookmark_I5X6XF2H2SF8DK0040000400"/>
      <w:bookmarkEnd w:id="8702"/>
      <w:r>
        <w:rPr>
          <w:rFonts w:ascii="Arial" w:eastAsia="Arial" w:hAnsi="Arial" w:cs="Arial"/>
          <w:color w:val="000000"/>
          <w:sz w:val="20"/>
        </w:rPr>
        <w:t xml:space="preserve">We have explained, however, that § 1654 "provide[s] a personal right that does not extend to the representation of the interests  [*637]  of others." </w:t>
      </w:r>
      <w:bookmarkStart w:id="8703" w:name="Bookmark_I5X6XF2H2SF8DK0010000400"/>
      <w:bookmarkEnd w:id="8703"/>
      <w:r>
        <w:rPr>
          <w:rFonts w:ascii="Arial" w:eastAsia="Arial" w:hAnsi="Arial" w:cs="Arial"/>
          <w:i/>
          <w:color w:val="000000"/>
          <w:sz w:val="20"/>
        </w:rPr>
        <w:t>Timson v. Sampson</w:t>
      </w:r>
      <w:r>
        <w:rPr>
          <w:rFonts w:ascii="Arial" w:eastAsia="Arial" w:hAnsi="Arial" w:cs="Arial"/>
          <w:color w:val="000000"/>
          <w:sz w:val="20"/>
        </w:rPr>
        <w:t xml:space="preserve">, 518 F.3d 870, 873 (11th Cir. 2008) (per curiam). A corporation is an artificial entity that cannot appear pro se and must be represented by counsel. </w:t>
      </w:r>
      <w:bookmarkStart w:id="8704" w:name="Bookmark_I5X6XF2H2SF8DK0040000400_2"/>
      <w:bookmarkStart w:id="8705" w:name="Bookmark_I5X6XF2J2N1RMX0010000400"/>
      <w:bookmarkStart w:id="8706" w:name="Bookmark_I5X6XF2H2SF8DK0030000400"/>
      <w:bookmarkEnd w:id="8704"/>
      <w:bookmarkEnd w:id="8705"/>
      <w:bookmarkEnd w:id="8706"/>
      <w:r>
        <w:rPr>
          <w:rFonts w:ascii="Arial" w:eastAsia="Arial" w:hAnsi="Arial" w:cs="Arial"/>
          <w:i/>
          <w:color w:val="000000"/>
          <w:sz w:val="20"/>
        </w:rPr>
        <w:t>Palazzo v. Gulf Oil Corp.</w:t>
      </w:r>
      <w:r>
        <w:rPr>
          <w:rFonts w:ascii="Arial" w:eastAsia="Arial" w:hAnsi="Arial" w:cs="Arial"/>
          <w:color w:val="000000"/>
          <w:sz w:val="20"/>
        </w:rPr>
        <w:t xml:space="preserve">, 764 F.2d 1381, 1385 (11th Cir. 1985). </w:t>
      </w:r>
      <w:bookmarkStart w:id="8707" w:name="Bookmark_I5X6XF2J2N1RMX0010000400_2"/>
      <w:bookmarkEnd w:id="8707"/>
      <w:r>
        <w:rPr>
          <w:rFonts w:ascii="Arial" w:eastAsia="Arial" w:hAnsi="Arial" w:cs="Arial"/>
          <w:color w:val="000000"/>
          <w:sz w:val="20"/>
        </w:rPr>
        <w:t xml:space="preserve">And where an attorney appears in an action for one of the parties, he is presumed to be authorized to act; his appearance will bind the party until it is proven that the attorney lacked authority. </w:t>
      </w:r>
      <w:bookmarkStart w:id="8708" w:name="Bookmark_I5X6XF2H2SF8DK0050000400"/>
      <w:bookmarkEnd w:id="8708"/>
      <w:r>
        <w:rPr>
          <w:rFonts w:ascii="Arial" w:eastAsia="Arial" w:hAnsi="Arial" w:cs="Arial"/>
          <w:i/>
          <w:color w:val="000000"/>
          <w:sz w:val="20"/>
        </w:rPr>
        <w:t>Hill v. Mendenhall</w:t>
      </w:r>
      <w:r>
        <w:rPr>
          <w:rFonts w:ascii="Arial" w:eastAsia="Arial" w:hAnsi="Arial" w:cs="Arial"/>
          <w:color w:val="000000"/>
          <w:sz w:val="20"/>
        </w:rPr>
        <w:t>, 88 U.S. 453, 454, 22 L. Ed. 616 (1874).</w:t>
      </w:r>
    </w:p>
    <w:p w14:paraId="3C44CF08" w14:textId="77777777" w:rsidR="002B10A6" w:rsidRDefault="00000000">
      <w:pPr>
        <w:pStyle w:val="Normal47"/>
        <w:widowControl w:val="0"/>
        <w:spacing w:before="200" w:line="260" w:lineRule="atLeast"/>
        <w:jc w:val="both"/>
      </w:pPr>
      <w:bookmarkStart w:id="8709" w:name="Bookmark_para_6_46"/>
      <w:bookmarkEnd w:id="8709"/>
      <w:r>
        <w:rPr>
          <w:rFonts w:ascii="Arial" w:eastAsia="Arial" w:hAnsi="Arial" w:cs="Arial"/>
          <w:color w:val="000000"/>
          <w:sz w:val="20"/>
        </w:rPr>
        <w:t xml:space="preserve">The docket reflects that Turnipseed represented HMA in the district court. The record also shows that Turnipseed acted on HMA's behalf and never withdrew as its attorney. </w:t>
      </w:r>
      <w:bookmarkStart w:id="8710" w:name="Bookmark_I5X6XF2J2N1RMX0030000400"/>
      <w:bookmarkEnd w:id="8710"/>
      <w:r>
        <w:rPr>
          <w:rFonts w:ascii="Arial" w:eastAsia="Arial" w:hAnsi="Arial" w:cs="Arial"/>
          <w:color w:val="000000"/>
          <w:sz w:val="20"/>
        </w:rPr>
        <w:t xml:space="preserve">As such, Turnipseed is presumed to be HMA's attorney. </w:t>
      </w:r>
      <w:r>
        <w:rPr>
          <w:rFonts w:ascii="Arial" w:eastAsia="Arial" w:hAnsi="Arial" w:cs="Arial"/>
          <w:i/>
          <w:color w:val="000000"/>
          <w:sz w:val="20"/>
        </w:rPr>
        <w:t>See id.</w:t>
      </w:r>
      <w:r>
        <w:rPr>
          <w:rFonts w:ascii="Arial" w:eastAsia="Arial" w:hAnsi="Arial" w:cs="Arial"/>
          <w:color w:val="000000"/>
          <w:sz w:val="20"/>
        </w:rPr>
        <w:t xml:space="preserve"> And Gurney, proceeding pro se, cannot act as HMA's attorney. </w:t>
      </w:r>
      <w:r>
        <w:rPr>
          <w:rFonts w:ascii="Arial" w:eastAsia="Arial" w:hAnsi="Arial" w:cs="Arial"/>
          <w:i/>
          <w:color w:val="000000"/>
          <w:sz w:val="20"/>
        </w:rPr>
        <w:t xml:space="preserve">See </w:t>
      </w:r>
      <w:bookmarkStart w:id="8711" w:name="Bookmark_I5X6XF2J2N1RMX0020000400"/>
      <w:bookmarkEnd w:id="8711"/>
      <w:r>
        <w:rPr>
          <w:rFonts w:ascii="Arial" w:eastAsia="Arial" w:hAnsi="Arial" w:cs="Arial"/>
          <w:i/>
          <w:color w:val="000000"/>
          <w:sz w:val="20"/>
        </w:rPr>
        <w:t>Palazzo</w:t>
      </w:r>
      <w:r>
        <w:rPr>
          <w:rFonts w:ascii="Arial" w:eastAsia="Arial" w:hAnsi="Arial" w:cs="Arial"/>
          <w:color w:val="000000"/>
          <w:sz w:val="20"/>
        </w:rPr>
        <w:t>, 764 F.2d at 1385. Accordingly, Gurney's motion to correct the record is denied.</w:t>
      </w:r>
    </w:p>
    <w:p w14:paraId="36C7490A" w14:textId="77777777" w:rsidR="002B10A6" w:rsidRDefault="00000000">
      <w:pPr>
        <w:pStyle w:val="Normal47"/>
        <w:widowControl w:val="0"/>
        <w:spacing w:before="200" w:line="260" w:lineRule="atLeast"/>
        <w:jc w:val="both"/>
      </w:pPr>
      <w:bookmarkStart w:id="8712" w:name="Bookmark_para_7_45"/>
      <w:bookmarkStart w:id="8713" w:name="Bookmark_I5X6XF2J2N1RMX0050000400"/>
      <w:bookmarkEnd w:id="8712"/>
      <w:bookmarkEnd w:id="8713"/>
      <w:r>
        <w:rPr>
          <w:rFonts w:ascii="Arial" w:eastAsia="Arial" w:hAnsi="Arial" w:cs="Arial"/>
          <w:color w:val="000000"/>
          <w:sz w:val="20"/>
        </w:rPr>
        <w:t xml:space="preserve">Gurney [**3]  next moves this Court to disqualify Sexton because of an alleged conflict of interest. </w:t>
      </w:r>
      <w:bookmarkStart w:id="8714" w:name="Bookmark_LNHNREFclscc2_37"/>
      <w:bookmarkEnd w:id="8714"/>
      <w:r>
        <w:rPr>
          <w:rFonts w:ascii="Arial" w:eastAsia="Arial" w:hAnsi="Arial" w:cs="Arial"/>
          <w:color w:val="000000"/>
          <w:sz w:val="20"/>
        </w:rPr>
        <w:t xml:space="preserve">The party bringing a motion to disqualify bears the burden of proving the grounds for disqualification. </w:t>
      </w:r>
      <w:bookmarkStart w:id="8715" w:name="Bookmark_I5X6XF2J2D6NNM0020000400"/>
      <w:bookmarkStart w:id="8716" w:name="Bookmark_I5X6XF2J2N1RMX0040000400"/>
      <w:bookmarkEnd w:id="8715"/>
      <w:bookmarkEnd w:id="8716"/>
      <w:r>
        <w:rPr>
          <w:rFonts w:ascii="Arial" w:eastAsia="Arial" w:hAnsi="Arial" w:cs="Arial"/>
          <w:i/>
          <w:color w:val="000000"/>
          <w:sz w:val="20"/>
        </w:rPr>
        <w:t>In re BellSouth Corp.</w:t>
      </w:r>
      <w:r>
        <w:rPr>
          <w:rFonts w:ascii="Arial" w:eastAsia="Arial" w:hAnsi="Arial" w:cs="Arial"/>
          <w:color w:val="000000"/>
          <w:sz w:val="20"/>
        </w:rPr>
        <w:t xml:space="preserve">, 334 F.3d 941, 961 (11th Cir. 2003). </w:t>
      </w:r>
      <w:bookmarkStart w:id="8717" w:name="Bookmark_I5X6XF2J2D6NNM0020000400_2"/>
      <w:bookmarkEnd w:id="8717"/>
      <w:r>
        <w:rPr>
          <w:rFonts w:ascii="Arial" w:eastAsia="Arial" w:hAnsi="Arial" w:cs="Arial"/>
          <w:color w:val="000000"/>
          <w:sz w:val="20"/>
        </w:rPr>
        <w:t xml:space="preserve">"Because a party is presumptively entitled to the counsel of his choice, that right may be overridden only if compelling reasons exist." </w:t>
      </w:r>
      <w:r>
        <w:rPr>
          <w:rFonts w:ascii="Arial" w:eastAsia="Arial" w:hAnsi="Arial" w:cs="Arial"/>
          <w:i/>
          <w:color w:val="000000"/>
          <w:sz w:val="20"/>
        </w:rPr>
        <w:t>Id.</w:t>
      </w:r>
      <w:r>
        <w:rPr>
          <w:rFonts w:ascii="Arial" w:eastAsia="Arial" w:hAnsi="Arial" w:cs="Arial"/>
          <w:color w:val="000000"/>
          <w:sz w:val="20"/>
        </w:rPr>
        <w:t xml:space="preserve"> (citation and quotation omitted). A disqualification order "is a harsh sanction, often working substantial hardship on the client" and should therefore "be resorted to sparingly." </w:t>
      </w:r>
      <w:bookmarkStart w:id="8718" w:name="Bookmark_I5X6XF2J2D6NNM0010000400"/>
      <w:bookmarkEnd w:id="8718"/>
      <w:r>
        <w:rPr>
          <w:rFonts w:ascii="Arial" w:eastAsia="Arial" w:hAnsi="Arial" w:cs="Arial"/>
          <w:i/>
          <w:color w:val="000000"/>
          <w:sz w:val="20"/>
        </w:rPr>
        <w:t>Norton v. Tallahassee Mem'l Hosp.</w:t>
      </w:r>
      <w:r>
        <w:rPr>
          <w:rFonts w:ascii="Arial" w:eastAsia="Arial" w:hAnsi="Arial" w:cs="Arial"/>
          <w:color w:val="000000"/>
          <w:sz w:val="20"/>
        </w:rPr>
        <w:t>, 689 F.2d 938, 941 n.4 (11th Cir. 1982).</w:t>
      </w:r>
    </w:p>
    <w:p w14:paraId="1649C406" w14:textId="77777777" w:rsidR="002B10A6" w:rsidRDefault="00000000">
      <w:pPr>
        <w:pStyle w:val="Normal47"/>
        <w:widowControl w:val="0"/>
        <w:spacing w:before="200" w:line="260" w:lineRule="atLeast"/>
        <w:jc w:val="both"/>
      </w:pPr>
      <w:bookmarkStart w:id="8719" w:name="Bookmark_para_8_45"/>
      <w:bookmarkStart w:id="8720" w:name="Bookmark_LNHNREFclscc3_36"/>
      <w:bookmarkEnd w:id="8719"/>
      <w:bookmarkEnd w:id="8720"/>
      <w:r>
        <w:rPr>
          <w:rFonts w:ascii="Arial" w:eastAsia="Arial" w:hAnsi="Arial" w:cs="Arial"/>
          <w:color w:val="000000"/>
          <w:sz w:val="20"/>
        </w:rPr>
        <w:t xml:space="preserve">Attorney conduct is governed by the Federal Rules of Appellate Procedure, our local rules, the American Bar Association Model Rules of Professional Conduct, and the rules of professional conduct adopted by the highest court of the state in which the attorney is admitted to practice, to the extent that the state rules are not inconsistent with the Model Rules. 11th Cir. R. Add. Eight, r. 1(A). Where a person consults with a lawyer about possible representation in a matter, that person is a prospective client. Model Rules of Prof'l Conduct r. 1.18(a) (Am. Bar Ass'n 2019). When the lawyer has learned information from a prospective client, neither that lawyer, nor any other attorney in the lawyer's [**4]  firm, may represent another client with materially adverse interests in the same or a substantially related matter if that information would be significantly harmful to the person in that matter. </w:t>
      </w:r>
      <w:r>
        <w:rPr>
          <w:rFonts w:ascii="Arial" w:eastAsia="Arial" w:hAnsi="Arial" w:cs="Arial"/>
          <w:i/>
          <w:color w:val="000000"/>
          <w:sz w:val="20"/>
        </w:rPr>
        <w:t>Id.</w:t>
      </w:r>
      <w:r>
        <w:rPr>
          <w:rFonts w:ascii="Arial" w:eastAsia="Arial" w:hAnsi="Arial" w:cs="Arial"/>
          <w:color w:val="000000"/>
          <w:sz w:val="20"/>
        </w:rPr>
        <w:t xml:space="preserve"> r. 1.18(c).</w:t>
      </w:r>
    </w:p>
    <w:p w14:paraId="26F1E748" w14:textId="77777777" w:rsidR="002B10A6" w:rsidRDefault="00000000">
      <w:pPr>
        <w:pStyle w:val="Normal47"/>
        <w:widowControl w:val="0"/>
        <w:spacing w:before="200" w:line="260" w:lineRule="atLeast"/>
        <w:jc w:val="both"/>
      </w:pPr>
      <w:bookmarkStart w:id="8721" w:name="Bookmark_para_9_45"/>
      <w:bookmarkEnd w:id="8721"/>
      <w:r>
        <w:rPr>
          <w:rFonts w:ascii="Arial" w:eastAsia="Arial" w:hAnsi="Arial" w:cs="Arial"/>
          <w:color w:val="000000"/>
          <w:sz w:val="20"/>
        </w:rPr>
        <w:t xml:space="preserve">We construe Gurney's motion to order Sexton to "cease and desist" as a motion to disqualify Sexton. Gurney failed to carry his burden to prove any grounds for disqualification. </w:t>
      </w:r>
      <w:bookmarkStart w:id="8722" w:name="Bookmark_I5X6XF2J2D6NNM0040000400"/>
      <w:bookmarkEnd w:id="8722"/>
      <w:r>
        <w:rPr>
          <w:rFonts w:ascii="Arial" w:eastAsia="Arial" w:hAnsi="Arial" w:cs="Arial"/>
          <w:color w:val="000000"/>
          <w:sz w:val="20"/>
        </w:rPr>
        <w:t xml:space="preserve">Gurney's relationship with Sexton is, at most, as a prospective client. He has not shown either that the matters that he allegedly consulted Sexton about are substantially related to the instant case or that Sexton used information from the prior consultation. </w:t>
      </w:r>
      <w:r>
        <w:rPr>
          <w:rFonts w:ascii="Arial" w:eastAsia="Arial" w:hAnsi="Arial" w:cs="Arial"/>
          <w:i/>
          <w:color w:val="000000"/>
          <w:sz w:val="20"/>
        </w:rPr>
        <w:t xml:space="preserve">See </w:t>
      </w:r>
      <w:bookmarkStart w:id="8723" w:name="Bookmark_I5X6XF2J2D6NNM0030000400"/>
      <w:bookmarkEnd w:id="8723"/>
      <w:r>
        <w:rPr>
          <w:rFonts w:ascii="Arial" w:eastAsia="Arial" w:hAnsi="Arial" w:cs="Arial"/>
          <w:i/>
          <w:color w:val="000000"/>
          <w:sz w:val="20"/>
        </w:rPr>
        <w:t>BellSouth Corp.</w:t>
      </w:r>
      <w:r>
        <w:rPr>
          <w:rFonts w:ascii="Arial" w:eastAsia="Arial" w:hAnsi="Arial" w:cs="Arial"/>
          <w:color w:val="000000"/>
          <w:sz w:val="20"/>
        </w:rPr>
        <w:t>, 334 F.3d at 961. Accordingly, his motion to disqualify Sexton is denied.</w:t>
      </w:r>
    </w:p>
    <w:p w14:paraId="29428B7A" w14:textId="77777777" w:rsidR="002B10A6" w:rsidRDefault="00000000">
      <w:pPr>
        <w:pStyle w:val="Normal47"/>
        <w:widowControl w:val="0"/>
        <w:spacing w:before="120" w:line="260" w:lineRule="atLeast"/>
      </w:pPr>
      <w:r>
        <w:rPr>
          <w:rFonts w:ascii="Arial" w:eastAsia="Arial" w:hAnsi="Arial" w:cs="Arial"/>
          <w:color w:val="000000"/>
          <w:sz w:val="20"/>
        </w:rPr>
        <w:t>II.</w:t>
      </w:r>
    </w:p>
    <w:p w14:paraId="78ED8462" w14:textId="77777777" w:rsidR="002B10A6" w:rsidRDefault="00000000">
      <w:pPr>
        <w:pStyle w:val="Normal47"/>
        <w:widowControl w:val="0"/>
        <w:spacing w:before="200" w:line="260" w:lineRule="atLeast"/>
        <w:jc w:val="both"/>
      </w:pPr>
      <w:bookmarkStart w:id="8724" w:name="Bookmark_para_10_44"/>
      <w:bookmarkEnd w:id="8724"/>
      <w:r>
        <w:rPr>
          <w:rFonts w:ascii="Arial" w:eastAsia="Arial" w:hAnsi="Arial" w:cs="Arial"/>
          <w:color w:val="000000"/>
          <w:sz w:val="20"/>
        </w:rPr>
        <w:t xml:space="preserve">On appeal, Gurney argues that (1) Turnipseed was not authorized to represent him during the proceedings before the district court, and (2) Thornton did not perfect service of process. Thornton responds that Gurney waived any challenges to the district court's order by not objecting to the magistrate judge's report and recommendation (R&amp;R). Indeed, </w:t>
      </w:r>
      <w:bookmarkStart w:id="8725" w:name="Bookmark_LNHNREFclscc4_36"/>
      <w:bookmarkEnd w:id="8725"/>
      <w:r>
        <w:rPr>
          <w:rFonts w:ascii="Arial" w:eastAsia="Arial" w:hAnsi="Arial" w:cs="Arial"/>
          <w:color w:val="000000"/>
          <w:sz w:val="20"/>
        </w:rPr>
        <w:t>if a party fails to object to the findings or recommendations contained in an R&amp;R after being informed of (1) the time period for objecting [**5]  and (2) the consequences on appeal for failing to object, that party waives the right to challenge the unobjected-to factual and legal conclusions on appeal. 11th Cir. R. 3-1.  [*638]  But here, we conclude that Gurney's failure to object to the R&amp;R does not bar his appeal because the magistrate judge did not fully warn Gurney that he was required to object to legal conclusions. Accordingly, the magistrate judge's warning was insufficient to trigger Rule 3-1 and limit our review.</w:t>
      </w:r>
    </w:p>
    <w:p w14:paraId="4AFCA53A" w14:textId="77777777" w:rsidR="002B10A6" w:rsidRDefault="00000000">
      <w:pPr>
        <w:pStyle w:val="Normal47"/>
        <w:widowControl w:val="0"/>
        <w:spacing w:before="200" w:line="260" w:lineRule="atLeast"/>
        <w:jc w:val="both"/>
      </w:pPr>
      <w:bookmarkStart w:id="8726" w:name="Bookmark_para_11_39"/>
      <w:bookmarkStart w:id="8727" w:name="Bookmark_I5X6XF2J2N1RN20010000400"/>
      <w:bookmarkStart w:id="8728" w:name="Bookmark_LNHNREFclscc5_35"/>
      <w:bookmarkEnd w:id="8726"/>
      <w:bookmarkEnd w:id="8727"/>
      <w:bookmarkEnd w:id="8728"/>
      <w:r>
        <w:rPr>
          <w:rFonts w:ascii="Arial" w:eastAsia="Arial" w:hAnsi="Arial" w:cs="Arial"/>
          <w:color w:val="000000"/>
          <w:sz w:val="20"/>
        </w:rPr>
        <w:t xml:space="preserve">We only have jurisdiction, however, to review the judgments specified in a notice of appeal. </w:t>
      </w:r>
      <w:bookmarkStart w:id="8729" w:name="Bookmark_I5X6XF2J2N1RN20030000400"/>
      <w:bookmarkStart w:id="8730" w:name="Bookmark_I5X6XF2J2D6NNM0050000400"/>
      <w:bookmarkEnd w:id="8729"/>
      <w:bookmarkEnd w:id="8730"/>
      <w:r>
        <w:rPr>
          <w:rFonts w:ascii="Arial" w:eastAsia="Arial" w:hAnsi="Arial" w:cs="Arial"/>
          <w:i/>
          <w:color w:val="000000"/>
          <w:sz w:val="20"/>
        </w:rPr>
        <w:t>Osterneck v. E.T. Barwick Indus., Inc.</w:t>
      </w:r>
      <w:r>
        <w:rPr>
          <w:rFonts w:ascii="Arial" w:eastAsia="Arial" w:hAnsi="Arial" w:cs="Arial"/>
          <w:color w:val="000000"/>
          <w:sz w:val="20"/>
        </w:rPr>
        <w:t xml:space="preserve">, 825 F.2d 1521, 1528 (11th Cir. 1987). To seek review of an order disposing of a post-judgment motion, the appellant must either file a separate notice of appeal or amend its original notice. </w:t>
      </w:r>
      <w:bookmarkStart w:id="8731" w:name="Bookmark_I5X6XF2J2N1RN20030000400_2"/>
      <w:bookmarkStart w:id="8732" w:name="Bookmark_I5X6XF2J2N1RN20020000400"/>
      <w:bookmarkEnd w:id="8731"/>
      <w:bookmarkEnd w:id="8732"/>
      <w:r>
        <w:rPr>
          <w:rFonts w:ascii="Arial" w:eastAsia="Arial" w:hAnsi="Arial" w:cs="Arial"/>
          <w:i/>
          <w:color w:val="000000"/>
          <w:sz w:val="20"/>
        </w:rPr>
        <w:t>Weatherly v. Ala. State Univ.</w:t>
      </w:r>
      <w:r>
        <w:rPr>
          <w:rFonts w:ascii="Arial" w:eastAsia="Arial" w:hAnsi="Arial" w:cs="Arial"/>
          <w:color w:val="000000"/>
          <w:sz w:val="20"/>
        </w:rPr>
        <w:t>, 728 F.3d 1263, 1271 (11th Cir. 2013).</w:t>
      </w:r>
    </w:p>
    <w:p w14:paraId="595B8533" w14:textId="77777777" w:rsidR="002B10A6" w:rsidRDefault="00000000">
      <w:pPr>
        <w:pStyle w:val="Normal47"/>
        <w:widowControl w:val="0"/>
        <w:spacing w:before="200" w:line="260" w:lineRule="atLeast"/>
        <w:jc w:val="both"/>
      </w:pPr>
      <w:bookmarkStart w:id="8733" w:name="Bookmark_para_12_38"/>
      <w:bookmarkEnd w:id="8733"/>
      <w:r>
        <w:rPr>
          <w:rFonts w:ascii="Arial" w:eastAsia="Arial" w:hAnsi="Arial" w:cs="Arial"/>
          <w:color w:val="000000"/>
          <w:sz w:val="20"/>
        </w:rPr>
        <w:t>We lack jurisdiction to consider Gurney's arguments about either Turnipseed's representation or the sufficiency of Thornton's service of process. Gurney did not raise either of these arguments until a post-judgment motion for reconsideration and did not appeal its denial. Accordingly, we lack jurisdiction to consider these arguments.</w:t>
      </w:r>
    </w:p>
    <w:p w14:paraId="2711DB48" w14:textId="77777777" w:rsidR="002B10A6" w:rsidRDefault="00000000">
      <w:pPr>
        <w:pStyle w:val="Normal47"/>
        <w:widowControl w:val="0"/>
        <w:spacing w:before="120" w:line="260" w:lineRule="atLeast"/>
      </w:pPr>
      <w:r>
        <w:rPr>
          <w:rFonts w:ascii="Arial" w:eastAsia="Arial" w:hAnsi="Arial" w:cs="Arial"/>
          <w:color w:val="000000"/>
          <w:sz w:val="20"/>
        </w:rPr>
        <w:t>III.</w:t>
      </w:r>
    </w:p>
    <w:p w14:paraId="73162641" w14:textId="77777777" w:rsidR="002B10A6" w:rsidRDefault="00000000">
      <w:pPr>
        <w:pStyle w:val="Normal47"/>
        <w:widowControl w:val="0"/>
        <w:spacing w:before="200" w:line="260" w:lineRule="atLeast"/>
        <w:jc w:val="both"/>
      </w:pPr>
      <w:bookmarkStart w:id="8734" w:name="Bookmark_para_13_38"/>
      <w:bookmarkStart w:id="8735" w:name="Bookmark_I5X6XF2J2N1RN20050000400"/>
      <w:bookmarkEnd w:id="8734"/>
      <w:bookmarkEnd w:id="8735"/>
      <w:r>
        <w:rPr>
          <w:rFonts w:ascii="Arial" w:eastAsia="Arial" w:hAnsi="Arial" w:cs="Arial"/>
          <w:color w:val="000000"/>
          <w:sz w:val="20"/>
        </w:rPr>
        <w:t xml:space="preserve">Finally, Gurney argues that the district court erred in imposing default judgment as sanctions for Gurney's refusal to comply with its discovery order. </w:t>
      </w:r>
      <w:bookmarkStart w:id="8736" w:name="Bookmark_LNHNREFclscc6_33"/>
      <w:bookmarkEnd w:id="8736"/>
      <w:r>
        <w:rPr>
          <w:rFonts w:ascii="Arial" w:eastAsia="Arial" w:hAnsi="Arial" w:cs="Arial"/>
          <w:color w:val="000000"/>
          <w:sz w:val="20"/>
        </w:rPr>
        <w:t xml:space="preserve">"[A]n appeal [**6]  of sanctions under [Fed. R. Civ. P.] 37 is sharply limited to a search for an abuse of discretion and a determination that the findings of the trial court are fully supported by the record." </w:t>
      </w:r>
      <w:bookmarkStart w:id="8737" w:name="Bookmark_I5X6XF2J2N1RN20040000400"/>
      <w:bookmarkEnd w:id="8737"/>
      <w:r>
        <w:rPr>
          <w:rFonts w:ascii="Arial" w:eastAsia="Arial" w:hAnsi="Arial" w:cs="Arial"/>
          <w:i/>
          <w:color w:val="000000"/>
          <w:sz w:val="20"/>
        </w:rPr>
        <w:t>BankAtlantic v. Blythe Eastman Paine Webber, Inc.</w:t>
      </w:r>
      <w:r>
        <w:rPr>
          <w:rFonts w:ascii="Arial" w:eastAsia="Arial" w:hAnsi="Arial" w:cs="Arial"/>
          <w:color w:val="000000"/>
          <w:sz w:val="20"/>
        </w:rPr>
        <w:t xml:space="preserve">, 12 F.3d 1045, 1048 (11th Cir. 1994) (citation omitted). To warrant reversal, we must be "left with a definite and firm conviction that the court below committed a clear error of judgment in the conclusion it reached upon a weighing of relevant factors." </w:t>
      </w:r>
      <w:r>
        <w:rPr>
          <w:rFonts w:ascii="Arial" w:eastAsia="Arial" w:hAnsi="Arial" w:cs="Arial"/>
          <w:i/>
          <w:color w:val="000000"/>
          <w:sz w:val="20"/>
        </w:rPr>
        <w:t>Id.</w:t>
      </w:r>
      <w:r>
        <w:rPr>
          <w:rFonts w:ascii="Arial" w:eastAsia="Arial" w:hAnsi="Arial" w:cs="Arial"/>
          <w:color w:val="000000"/>
          <w:sz w:val="20"/>
        </w:rPr>
        <w:t xml:space="preserve"> (citation omitted).</w:t>
      </w:r>
    </w:p>
    <w:p w14:paraId="33C6884C" w14:textId="77777777" w:rsidR="002B10A6" w:rsidRDefault="00000000">
      <w:pPr>
        <w:pStyle w:val="Normal47"/>
        <w:widowControl w:val="0"/>
        <w:spacing w:before="200" w:line="260" w:lineRule="atLeast"/>
        <w:jc w:val="both"/>
      </w:pPr>
      <w:bookmarkStart w:id="8738" w:name="Bookmark_para_14_38"/>
      <w:bookmarkStart w:id="8739" w:name="Bookmark_LNHNREFclscc7_31"/>
      <w:bookmarkEnd w:id="8738"/>
      <w:bookmarkEnd w:id="8739"/>
      <w:r>
        <w:rPr>
          <w:rFonts w:ascii="Arial" w:eastAsia="Arial" w:hAnsi="Arial" w:cs="Arial"/>
          <w:color w:val="000000"/>
          <w:sz w:val="20"/>
        </w:rPr>
        <w:t xml:space="preserve">When a party refuses to participate in discovery, the court may issue an order compelling the party to disclose. Fed. R. Civ. P. 37(a). </w:t>
      </w:r>
      <w:bookmarkStart w:id="8740" w:name="Bookmark_I5X6XF2M28T51B0020000400"/>
      <w:bookmarkEnd w:id="8740"/>
      <w:r>
        <w:rPr>
          <w:rFonts w:ascii="Arial" w:eastAsia="Arial" w:hAnsi="Arial" w:cs="Arial"/>
          <w:color w:val="000000"/>
          <w:sz w:val="20"/>
        </w:rPr>
        <w:t xml:space="preserve">If a party then disobeys the court's order, more severe sanctions are available, including the entry of a default judgment. Fed. R. Civ. P. 37(b)(2)(C). </w:t>
      </w:r>
      <w:bookmarkStart w:id="8741" w:name="Bookmark_I5X6XF2M28T51B0040000400"/>
      <w:bookmarkEnd w:id="8741"/>
      <w:r>
        <w:rPr>
          <w:rFonts w:ascii="Arial" w:eastAsia="Arial" w:hAnsi="Arial" w:cs="Arial"/>
          <w:color w:val="000000"/>
          <w:sz w:val="20"/>
        </w:rPr>
        <w:t xml:space="preserve">These sanctions "are intended to 1) compensate the court and parties for the added expenses caused by discovery abuses, 2) compel discovery, 3) deter others from engaging in similar conduct, and 4) penalize the offending party or attorney." </w:t>
      </w:r>
      <w:bookmarkStart w:id="8742" w:name="Bookmark_I5X6XF2M28T51B0010000400"/>
      <w:bookmarkEnd w:id="8742"/>
      <w:r>
        <w:rPr>
          <w:rFonts w:ascii="Arial" w:eastAsia="Arial" w:hAnsi="Arial" w:cs="Arial"/>
          <w:i/>
          <w:color w:val="000000"/>
          <w:sz w:val="20"/>
        </w:rPr>
        <w:t>Wouters v. Martin County.</w:t>
      </w:r>
      <w:r>
        <w:rPr>
          <w:rFonts w:ascii="Arial" w:eastAsia="Arial" w:hAnsi="Arial" w:cs="Arial"/>
          <w:color w:val="000000"/>
          <w:sz w:val="20"/>
        </w:rPr>
        <w:t xml:space="preserve">, 9 F.3d 924, 933 (11th Cir. 1993). </w:t>
      </w:r>
      <w:bookmarkStart w:id="8743" w:name="Bookmark_I5X6XF2M28T51B0040000400_2"/>
      <w:bookmarkEnd w:id="8743"/>
      <w:r>
        <w:rPr>
          <w:rFonts w:ascii="Arial" w:eastAsia="Arial" w:hAnsi="Arial" w:cs="Arial"/>
          <w:color w:val="000000"/>
          <w:sz w:val="20"/>
        </w:rPr>
        <w:t xml:space="preserve">Before a district court imposes the sanction of default judgment, the court must find a willful or bad faith failure to comply with its discovery orders. </w:t>
      </w:r>
      <w:bookmarkStart w:id="8744" w:name="Bookmark_I5X6XF2M28T51D0010000400"/>
      <w:bookmarkStart w:id="8745" w:name="Bookmark_I5X6XF2M28T51B0030000400"/>
      <w:bookmarkEnd w:id="8744"/>
      <w:bookmarkEnd w:id="8745"/>
      <w:r>
        <w:rPr>
          <w:rFonts w:ascii="Arial" w:eastAsia="Arial" w:hAnsi="Arial" w:cs="Arial"/>
          <w:i/>
          <w:color w:val="000000"/>
          <w:sz w:val="20"/>
        </w:rPr>
        <w:t>Malautea v. Suzuki Motor Co.</w:t>
      </w:r>
      <w:r>
        <w:rPr>
          <w:rFonts w:ascii="Arial" w:eastAsia="Arial" w:hAnsi="Arial" w:cs="Arial"/>
          <w:color w:val="000000"/>
          <w:sz w:val="20"/>
        </w:rPr>
        <w:t xml:space="preserve">, 987 F.2d 1536, 1542 (11th Cir. 1993). </w:t>
      </w:r>
      <w:bookmarkStart w:id="8746" w:name="Bookmark_I5X6XF2M28T51D0010000400_2"/>
      <w:bookmarkEnd w:id="8746"/>
      <w:r>
        <w:rPr>
          <w:rFonts w:ascii="Arial" w:eastAsia="Arial" w:hAnsi="Arial" w:cs="Arial"/>
          <w:color w:val="000000"/>
          <w:sz w:val="20"/>
        </w:rPr>
        <w:t xml:space="preserve">But a court does not need to first impose lesser sanctions if those sanctions would be ineffective. </w:t>
      </w:r>
      <w:bookmarkStart w:id="8747" w:name="Bookmark_I5X6XF2M28T51B0050000400"/>
      <w:bookmarkEnd w:id="8747"/>
      <w:r>
        <w:rPr>
          <w:rFonts w:ascii="Arial" w:eastAsia="Arial" w:hAnsi="Arial" w:cs="Arial"/>
          <w:i/>
          <w:color w:val="000000"/>
          <w:sz w:val="20"/>
        </w:rPr>
        <w:t>Id.</w:t>
      </w:r>
      <w:r>
        <w:rPr>
          <w:rFonts w:ascii="Arial" w:eastAsia="Arial" w:hAnsi="Arial" w:cs="Arial"/>
          <w:color w:val="000000"/>
          <w:sz w:val="20"/>
        </w:rPr>
        <w:t xml:space="preserve"> at 1544.</w:t>
      </w:r>
    </w:p>
    <w:p w14:paraId="626788AD" w14:textId="77777777" w:rsidR="002B10A6" w:rsidRDefault="00000000">
      <w:pPr>
        <w:pStyle w:val="Normal47"/>
        <w:widowControl w:val="0"/>
        <w:spacing w:before="200" w:line="260" w:lineRule="atLeast"/>
        <w:jc w:val="both"/>
      </w:pPr>
      <w:bookmarkStart w:id="8748" w:name="Bookmark_para_15_38"/>
      <w:bookmarkStart w:id="8749" w:name="Bookmark_I5X6XF2M28T51D0030000400"/>
      <w:bookmarkStart w:id="8750" w:name="Bookmark_LNHNREFclscc8_30"/>
      <w:bookmarkEnd w:id="8748"/>
      <w:bookmarkEnd w:id="8749"/>
      <w:bookmarkEnd w:id="8750"/>
      <w:r>
        <w:rPr>
          <w:rFonts w:ascii="Arial" w:eastAsia="Arial" w:hAnsi="Arial" w:cs="Arial"/>
          <w:color w:val="000000"/>
          <w:sz w:val="20"/>
        </w:rPr>
        <w:t xml:space="preserve">"While a defaulted defendant is deemed to admit [**7]  the plaintiff's well-pleaded allegations of fact, he is not held to admit facts that are not well-pleaded or to admit conclusions of law." </w:t>
      </w:r>
      <w:bookmarkStart w:id="8751" w:name="Bookmark_I5X6XF2M28T51D0020000400"/>
      <w:bookmarkEnd w:id="8751"/>
      <w:r>
        <w:rPr>
          <w:rFonts w:ascii="Arial" w:eastAsia="Arial" w:hAnsi="Arial" w:cs="Arial"/>
          <w:i/>
          <w:color w:val="000000"/>
          <w:sz w:val="20"/>
        </w:rPr>
        <w:t>Surtain v. Hamlin Terrace Found.</w:t>
      </w:r>
      <w:r>
        <w:rPr>
          <w:rFonts w:ascii="Arial" w:eastAsia="Arial" w:hAnsi="Arial" w:cs="Arial"/>
          <w:color w:val="000000"/>
          <w:sz w:val="20"/>
        </w:rPr>
        <w:t xml:space="preserve">, 789 F.3d 1239, 1245 (11th Cir. 2015) (per curiam) (citation and alterations omitted). Entry of default judgment is thus only warranted when there is "a sufficient basis in the pleadings for the judgment entered." </w:t>
      </w:r>
      <w:r>
        <w:rPr>
          <w:rFonts w:ascii="Arial" w:eastAsia="Arial" w:hAnsi="Arial" w:cs="Arial"/>
          <w:i/>
          <w:color w:val="000000"/>
          <w:sz w:val="20"/>
        </w:rPr>
        <w:t>Id.</w:t>
      </w:r>
      <w:r>
        <w:rPr>
          <w:rFonts w:ascii="Arial" w:eastAsia="Arial" w:hAnsi="Arial" w:cs="Arial"/>
          <w:color w:val="000000"/>
          <w:sz w:val="20"/>
        </w:rPr>
        <w:t xml:space="preserve"> In determining whether the pleadings stated a valid claim, we apply the same analysis used to evaluate Federal Rule of Civil Procedure 12(b)(6) motions to dismiss. </w:t>
      </w:r>
      <w:r>
        <w:rPr>
          <w:rFonts w:ascii="Arial" w:eastAsia="Arial" w:hAnsi="Arial" w:cs="Arial"/>
          <w:i/>
          <w:color w:val="000000"/>
          <w:sz w:val="20"/>
        </w:rPr>
        <w:t>Id.</w:t>
      </w:r>
    </w:p>
    <w:p w14:paraId="38F3301C" w14:textId="77777777" w:rsidR="002B10A6" w:rsidRDefault="00000000">
      <w:pPr>
        <w:pStyle w:val="Normal47"/>
        <w:widowControl w:val="0"/>
        <w:spacing w:before="200" w:line="260" w:lineRule="atLeast"/>
        <w:jc w:val="both"/>
      </w:pPr>
      <w:bookmarkStart w:id="8752" w:name="Bookmark_para_16_35"/>
      <w:bookmarkStart w:id="8753" w:name="Bookmark_I5X6XF2M28T51D0050000400"/>
      <w:bookmarkStart w:id="8754" w:name="Bookmark_LNHNREFclscc9_28"/>
      <w:bookmarkEnd w:id="8752"/>
      <w:bookmarkEnd w:id="8753"/>
      <w:bookmarkEnd w:id="8754"/>
      <w:r>
        <w:rPr>
          <w:rFonts w:ascii="Arial" w:eastAsia="Arial" w:hAnsi="Arial" w:cs="Arial"/>
          <w:color w:val="000000"/>
          <w:sz w:val="20"/>
        </w:rPr>
        <w:t xml:space="preserve">"Title III [of the ADA] prohibits discrimination by private entities in places of public accommodation." </w:t>
      </w:r>
      <w:bookmarkStart w:id="8755" w:name="Bookmark_I5X6XF2M28T51D0040000400"/>
      <w:bookmarkEnd w:id="8755"/>
      <w:r>
        <w:rPr>
          <w:rFonts w:ascii="Arial" w:eastAsia="Arial" w:hAnsi="Arial" w:cs="Arial"/>
          <w:i/>
          <w:color w:val="000000"/>
          <w:sz w:val="20"/>
        </w:rPr>
        <w:t>Garthright-Dietrich v. Atlanta Landmarks, Inc.</w:t>
      </w:r>
      <w:r>
        <w:rPr>
          <w:rFonts w:ascii="Arial" w:eastAsia="Arial" w:hAnsi="Arial" w:cs="Arial"/>
          <w:color w:val="000000"/>
          <w:sz w:val="20"/>
        </w:rPr>
        <w:t xml:space="preserve">, 452 F.3d 1269, 1272 (11th Cir. 2006). A plaintiff alleging a claim under Title III must show that: (1) he is a disabled individual; (2) the  [*639]  defendant owns, leases, or operates a place of public accommodation; and (3) the defendant discriminated against the plaintiff within the meaning of the ADA. 42 U.S.C. § 12182(a). "Disability" means "a physical or mental impairment that substantially limits one or more major life activities of [an] individual." </w:t>
      </w:r>
      <w:r>
        <w:rPr>
          <w:rFonts w:ascii="Arial" w:eastAsia="Arial" w:hAnsi="Arial" w:cs="Arial"/>
          <w:i/>
          <w:color w:val="000000"/>
          <w:sz w:val="20"/>
        </w:rPr>
        <w:t>Id.</w:t>
      </w:r>
      <w:r>
        <w:rPr>
          <w:rFonts w:ascii="Arial" w:eastAsia="Arial" w:hAnsi="Arial" w:cs="Arial"/>
          <w:color w:val="000000"/>
          <w:sz w:val="20"/>
        </w:rPr>
        <w:t xml:space="preserve"> § 12102(1). "Places of public accommodation" include restaurants, bars, and places of public entertainment. </w:t>
      </w:r>
      <w:r>
        <w:rPr>
          <w:rFonts w:ascii="Arial" w:eastAsia="Arial" w:hAnsi="Arial" w:cs="Arial"/>
          <w:i/>
          <w:color w:val="000000"/>
          <w:sz w:val="20"/>
        </w:rPr>
        <w:t>Id.</w:t>
      </w:r>
      <w:r>
        <w:rPr>
          <w:rFonts w:ascii="Arial" w:eastAsia="Arial" w:hAnsi="Arial" w:cs="Arial"/>
          <w:color w:val="000000"/>
          <w:sz w:val="20"/>
        </w:rPr>
        <w:t xml:space="preserve"> § 12181(7)(B). Discrimination includes "a failure to remove architectural barriers" when removal is readily achievable. </w:t>
      </w:r>
      <w:r>
        <w:rPr>
          <w:rFonts w:ascii="Arial" w:eastAsia="Arial" w:hAnsi="Arial" w:cs="Arial"/>
          <w:i/>
          <w:color w:val="000000"/>
          <w:sz w:val="20"/>
        </w:rPr>
        <w:t>Id.</w:t>
      </w:r>
      <w:r>
        <w:rPr>
          <w:rFonts w:ascii="Arial" w:eastAsia="Arial" w:hAnsi="Arial" w:cs="Arial"/>
          <w:color w:val="000000"/>
          <w:sz w:val="20"/>
        </w:rPr>
        <w:t xml:space="preserve"> § 12182(b)(2)(A)(iv).</w:t>
      </w:r>
    </w:p>
    <w:p w14:paraId="64898526" w14:textId="77777777" w:rsidR="002B10A6" w:rsidRDefault="00000000">
      <w:pPr>
        <w:pStyle w:val="Normal47"/>
        <w:widowControl w:val="0"/>
        <w:spacing w:before="200" w:line="260" w:lineRule="atLeast"/>
        <w:jc w:val="both"/>
      </w:pPr>
      <w:bookmarkStart w:id="8756" w:name="Bookmark_para_17_35"/>
      <w:bookmarkStart w:id="8757" w:name="Bookmark_I5X6XF2N2SF8FB0020000400"/>
      <w:bookmarkStart w:id="8758" w:name="Bookmark_LNHNREFclscc10_26"/>
      <w:bookmarkEnd w:id="8756"/>
      <w:bookmarkEnd w:id="8757"/>
      <w:bookmarkEnd w:id="8758"/>
      <w:r>
        <w:rPr>
          <w:rFonts w:ascii="Arial" w:eastAsia="Arial" w:hAnsi="Arial" w:cs="Arial"/>
          <w:color w:val="000000"/>
          <w:sz w:val="20"/>
        </w:rPr>
        <w:t xml:space="preserve">If the plaintiff establishes a violation [**8]  of the ADA, an injunction is an appropriate form of relief. </w:t>
      </w:r>
      <w:r>
        <w:rPr>
          <w:rFonts w:ascii="Arial" w:eastAsia="Arial" w:hAnsi="Arial" w:cs="Arial"/>
          <w:i/>
          <w:color w:val="000000"/>
          <w:sz w:val="20"/>
        </w:rPr>
        <w:t>Id.</w:t>
      </w:r>
      <w:r>
        <w:rPr>
          <w:rFonts w:ascii="Arial" w:eastAsia="Arial" w:hAnsi="Arial" w:cs="Arial"/>
          <w:color w:val="000000"/>
          <w:sz w:val="20"/>
        </w:rPr>
        <w:t xml:space="preserve"> §§ 12188(a)(2), 2000a-3(a). An injunction is proper where the moving party shows that: (1) he "has a substantial likelihood of success on the merits"; (2) irreparable injury will be suffered without the injunction; (3) the threatened injury outweighs any damage the injunction would cause to the opposing party; and (4) "the injunction would not be adverse to the public interest." </w:t>
      </w:r>
      <w:bookmarkStart w:id="8759" w:name="Bookmark_I5X6XF2N2SF8FB0010000400"/>
      <w:bookmarkEnd w:id="8759"/>
      <w:r>
        <w:rPr>
          <w:rFonts w:ascii="Arial" w:eastAsia="Arial" w:hAnsi="Arial" w:cs="Arial"/>
          <w:i/>
          <w:color w:val="000000"/>
          <w:sz w:val="20"/>
        </w:rPr>
        <w:t>Siegel v. LePore</w:t>
      </w:r>
      <w:r>
        <w:rPr>
          <w:rFonts w:ascii="Arial" w:eastAsia="Arial" w:hAnsi="Arial" w:cs="Arial"/>
          <w:color w:val="000000"/>
          <w:sz w:val="20"/>
        </w:rPr>
        <w:t>, 234 F.3d 1163, 1176 (11th Cir. 2000) (en banc) (per curiam).</w:t>
      </w:r>
    </w:p>
    <w:p w14:paraId="0AC600FD" w14:textId="77777777" w:rsidR="002B10A6" w:rsidRDefault="00000000">
      <w:pPr>
        <w:pStyle w:val="Normal47"/>
        <w:widowControl w:val="0"/>
        <w:spacing w:before="200" w:line="260" w:lineRule="atLeast"/>
        <w:jc w:val="both"/>
      </w:pPr>
      <w:bookmarkStart w:id="8760" w:name="Bookmark_para_18_34"/>
      <w:bookmarkStart w:id="8761" w:name="Bookmark_I5X6XF2N2SF8FB0040000400"/>
      <w:bookmarkEnd w:id="8760"/>
      <w:bookmarkEnd w:id="8761"/>
      <w:r>
        <w:rPr>
          <w:rFonts w:ascii="Arial" w:eastAsia="Arial" w:hAnsi="Arial" w:cs="Arial"/>
          <w:color w:val="000000"/>
          <w:sz w:val="20"/>
        </w:rPr>
        <w:t xml:space="preserve">As an initial matter, Gurney does not challenge the district court's grant of Thornton's motion for expenses or motion for sanctions to the extent it awarded fees and expenses for Thornton's attorneys and expert, so he has abandoned any challenge to those awards. </w:t>
      </w:r>
      <w:r>
        <w:rPr>
          <w:rFonts w:ascii="Arial" w:eastAsia="Arial" w:hAnsi="Arial" w:cs="Arial"/>
          <w:i/>
          <w:color w:val="000000"/>
          <w:sz w:val="20"/>
        </w:rPr>
        <w:t xml:space="preserve">See </w:t>
      </w:r>
      <w:bookmarkStart w:id="8762" w:name="Bookmark_I5X6XF2N2SF8FB0030000400"/>
      <w:bookmarkEnd w:id="8762"/>
      <w:r>
        <w:rPr>
          <w:rFonts w:ascii="Arial" w:eastAsia="Arial" w:hAnsi="Arial" w:cs="Arial"/>
          <w:i/>
          <w:color w:val="000000"/>
          <w:sz w:val="20"/>
        </w:rPr>
        <w:t>Timson</w:t>
      </w:r>
      <w:r>
        <w:rPr>
          <w:rFonts w:ascii="Arial" w:eastAsia="Arial" w:hAnsi="Arial" w:cs="Arial"/>
          <w:color w:val="000000"/>
          <w:sz w:val="20"/>
        </w:rPr>
        <w:t xml:space="preserve">, 518 F.3d at 874 (explaining that </w:t>
      </w:r>
      <w:bookmarkStart w:id="8763" w:name="Bookmark_LNHNREFclscc11_25"/>
      <w:bookmarkEnd w:id="8763"/>
      <w:r>
        <w:rPr>
          <w:rFonts w:ascii="Arial" w:eastAsia="Arial" w:hAnsi="Arial" w:cs="Arial"/>
          <w:color w:val="000000"/>
          <w:sz w:val="20"/>
        </w:rPr>
        <w:t>issues not raised by a pro se litigant are deemed abandoned). Moreover, the district court was within its discretion to impose default judgment as a sanction because the court (1) followed the proper procedure before entering the default judgment; (2) determined Gurney's actions were willful and in bad faith; (3) found that a sanction of default was necessary; and (4) determined that Thornton's complaint sufficiently stated a claim for relief under the ADA warranting [**9]  injunctive relief. Accordingly, we affirm.</w:t>
      </w:r>
    </w:p>
    <w:p w14:paraId="692098E3" w14:textId="77777777" w:rsidR="002B10A6" w:rsidRDefault="00000000">
      <w:pPr>
        <w:pStyle w:val="Normal47"/>
        <w:widowControl w:val="0"/>
        <w:spacing w:before="200" w:line="260" w:lineRule="atLeast"/>
        <w:jc w:val="both"/>
      </w:pPr>
      <w:bookmarkStart w:id="8764" w:name="Bookmark_para_19_33"/>
      <w:bookmarkEnd w:id="8764"/>
      <w:r>
        <w:rPr>
          <w:rFonts w:ascii="Arial" w:eastAsia="Arial" w:hAnsi="Arial" w:cs="Arial"/>
          <w:b/>
          <w:color w:val="000000"/>
          <w:sz w:val="20"/>
        </w:rPr>
        <w:t>AFFIRMED</w:t>
      </w:r>
      <w:r>
        <w:rPr>
          <w:rFonts w:ascii="Arial" w:eastAsia="Arial" w:hAnsi="Arial" w:cs="Arial"/>
          <w:color w:val="000000"/>
          <w:sz w:val="20"/>
        </w:rPr>
        <w:t>.</w:t>
      </w:r>
    </w:p>
    <w:p w14:paraId="22963866" w14:textId="77777777" w:rsidR="002B10A6" w:rsidRDefault="002B10A6">
      <w:pPr>
        <w:pStyle w:val="Normal47"/>
      </w:pPr>
    </w:p>
    <w:p w14:paraId="77FE6529" w14:textId="22E0E576" w:rsidR="002B10A6" w:rsidRDefault="00000000">
      <w:pPr>
        <w:pStyle w:val="Normal47"/>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63712" behindDoc="0" locked="0" layoutInCell="1" allowOverlap="1" wp14:anchorId="73A384EE" wp14:editId="06AC8116">
                <wp:simplePos x="0" y="0"/>
                <wp:positionH relativeFrom="column">
                  <wp:posOffset>0</wp:posOffset>
                </wp:positionH>
                <wp:positionV relativeFrom="paragraph">
                  <wp:posOffset>127000</wp:posOffset>
                </wp:positionV>
                <wp:extent cx="6502400" cy="0"/>
                <wp:effectExtent l="9525" t="12700" r="12700" b="6350"/>
                <wp:wrapNone/>
                <wp:docPr id="1715038509"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6F4FE" id="Line 104"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57BDA5D" w14:textId="77777777" w:rsidR="002B10A6" w:rsidRDefault="002B10A6">
      <w:pPr>
        <w:pStyle w:val="Normal48"/>
        <w:sectPr w:rsidR="002B10A6">
          <w:headerReference w:type="even" r:id="rId294"/>
          <w:headerReference w:type="default" r:id="rId295"/>
          <w:footerReference w:type="even" r:id="rId296"/>
          <w:footerReference w:type="default" r:id="rId297"/>
          <w:headerReference w:type="first" r:id="rId298"/>
          <w:footerReference w:type="first" r:id="rId299"/>
          <w:pgSz w:w="12240" w:h="15840"/>
          <w:pgMar w:top="840" w:right="1000" w:bottom="840" w:left="1000" w:header="400" w:footer="400" w:gutter="0"/>
          <w:cols w:space="720"/>
          <w:titlePg/>
        </w:sectPr>
      </w:pPr>
    </w:p>
    <w:p w14:paraId="2B752762" w14:textId="77777777" w:rsidR="002B10A6" w:rsidRDefault="002B10A6">
      <w:pPr>
        <w:pStyle w:val="Normal48"/>
      </w:pPr>
    </w:p>
    <w:p w14:paraId="4874AF58" w14:textId="77777777" w:rsidR="002B10A6" w:rsidRDefault="00000000">
      <w:pPr>
        <w:pStyle w:val="Heading147"/>
        <w:keepNext w:val="0"/>
        <w:widowControl w:val="0"/>
        <w:spacing w:after="200" w:line="340" w:lineRule="atLeast"/>
        <w:jc w:val="center"/>
      </w:pPr>
      <w:r>
        <w:rPr>
          <w:rFonts w:eastAsia="Arial"/>
          <w:color w:val="000000"/>
          <w:sz w:val="28"/>
        </w:rPr>
        <w:t>In re Posey</w:t>
      </w:r>
    </w:p>
    <w:p w14:paraId="3F77AD84" w14:textId="77777777" w:rsidR="002B10A6" w:rsidRDefault="00000000">
      <w:pPr>
        <w:pStyle w:val="Normal48"/>
        <w:widowControl w:val="0"/>
        <w:spacing w:before="120" w:line="260" w:lineRule="atLeast"/>
        <w:jc w:val="center"/>
      </w:pPr>
      <w:r>
        <w:rPr>
          <w:rFonts w:ascii="Arial" w:eastAsia="Arial" w:hAnsi="Arial" w:cs="Arial"/>
          <w:color w:val="000000"/>
          <w:sz w:val="20"/>
        </w:rPr>
        <w:t>United States Court of Appeals for the Eleventh Circuit</w:t>
      </w:r>
    </w:p>
    <w:p w14:paraId="6D488607" w14:textId="77777777" w:rsidR="002B10A6" w:rsidRDefault="00000000">
      <w:pPr>
        <w:pStyle w:val="Normal48"/>
        <w:widowControl w:val="0"/>
        <w:spacing w:before="120" w:line="260" w:lineRule="atLeast"/>
        <w:jc w:val="center"/>
      </w:pPr>
      <w:r>
        <w:rPr>
          <w:rFonts w:ascii="Arial" w:eastAsia="Arial" w:hAnsi="Arial" w:cs="Arial"/>
          <w:color w:val="000000"/>
          <w:sz w:val="20"/>
        </w:rPr>
        <w:t>September 23, 2019, Filed</w:t>
      </w:r>
    </w:p>
    <w:p w14:paraId="124ABC06" w14:textId="77777777" w:rsidR="002B10A6" w:rsidRDefault="00000000">
      <w:pPr>
        <w:pStyle w:val="Normal48"/>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 19-12156-B</w:t>
      </w:r>
    </w:p>
    <w:p w14:paraId="581BE0DC" w14:textId="77777777" w:rsidR="002B10A6" w:rsidRDefault="002B10A6">
      <w:pPr>
        <w:pStyle w:val="Normal48"/>
        <w:widowControl w:val="0"/>
        <w:spacing w:line="240" w:lineRule="atLeast"/>
        <w:jc w:val="both"/>
      </w:pPr>
      <w:bookmarkStart w:id="8765" w:name="Bookmark_49"/>
      <w:bookmarkEnd w:id="8765"/>
    </w:p>
    <w:p w14:paraId="408E37FB" w14:textId="77777777" w:rsidR="002B10A6" w:rsidRDefault="00000000">
      <w:pPr>
        <w:pStyle w:val="Normal48"/>
        <w:widowControl w:val="0"/>
        <w:spacing w:before="200" w:line="240" w:lineRule="atLeast"/>
      </w:pPr>
      <w:bookmarkStart w:id="8766" w:name="Reporter_47"/>
      <w:bookmarkEnd w:id="8766"/>
      <w:r>
        <w:rPr>
          <w:rFonts w:ascii="Arial" w:eastAsia="Arial" w:hAnsi="Arial" w:cs="Arial"/>
          <w:b/>
          <w:color w:val="000000"/>
          <w:sz w:val="18"/>
        </w:rPr>
        <w:t>Reporter</w:t>
      </w:r>
    </w:p>
    <w:p w14:paraId="2B066CC7" w14:textId="77777777" w:rsidR="002B10A6" w:rsidRDefault="00000000">
      <w:pPr>
        <w:pStyle w:val="Normal48"/>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2019 U.S. App. LEXIS 28723 *</w:t>
      </w:r>
    </w:p>
    <w:p w14:paraId="3087EAE8" w14:textId="77777777" w:rsidR="002B10A6" w:rsidRDefault="00000000">
      <w:pPr>
        <w:pStyle w:val="Normal48"/>
        <w:widowControl w:val="0"/>
        <w:spacing w:before="120" w:line="260" w:lineRule="atLeast"/>
      </w:pPr>
      <w:r>
        <w:rPr>
          <w:rFonts w:ascii="Arial" w:eastAsia="Arial" w:hAnsi="Arial" w:cs="Arial"/>
          <w:color w:val="000000"/>
          <w:sz w:val="20"/>
        </w:rPr>
        <w:t>In re: DAVID POSEY, Petitioner.</w:t>
      </w:r>
    </w:p>
    <w:p w14:paraId="694B8D3C" w14:textId="77777777" w:rsidR="002B10A6" w:rsidRDefault="00000000">
      <w:pPr>
        <w:pStyle w:val="Normal48"/>
        <w:widowControl w:val="0"/>
        <w:spacing w:before="240" w:line="260" w:lineRule="atLeast"/>
        <w:jc w:val="both"/>
      </w:pPr>
      <w:bookmarkStart w:id="8767" w:name="Prior_History_47"/>
      <w:bookmarkEnd w:id="8767"/>
      <w:r>
        <w:rPr>
          <w:rFonts w:ascii="Arial" w:eastAsia="Arial" w:hAnsi="Arial" w:cs="Arial"/>
          <w:b/>
          <w:color w:val="000000"/>
          <w:sz w:val="20"/>
        </w:rPr>
        <w:t>Prior History:</w:t>
      </w:r>
      <w:r>
        <w:rPr>
          <w:rFonts w:ascii="Arial" w:eastAsia="Arial" w:hAnsi="Arial" w:cs="Arial"/>
          <w:color w:val="000000"/>
          <w:sz w:val="20"/>
        </w:rPr>
        <w:t> </w:t>
      </w:r>
      <w:bookmarkStart w:id="8768" w:name="Bookmark_para_1_47"/>
      <w:bookmarkEnd w:id="8768"/>
      <w:r>
        <w:rPr>
          <w:rFonts w:ascii="Arial" w:eastAsia="Arial" w:hAnsi="Arial" w:cs="Arial"/>
          <w:color w:val="000000"/>
          <w:sz w:val="20"/>
        </w:rPr>
        <w:t> [*1] On Petition for Writ of Mandamus from the United States District Court for the Northern District of Florida.</w:t>
      </w:r>
    </w:p>
    <w:p w14:paraId="12763787" w14:textId="77777777" w:rsidR="002B10A6" w:rsidRDefault="00000000">
      <w:pPr>
        <w:pStyle w:val="Normal48"/>
        <w:widowControl w:val="0"/>
        <w:spacing w:before="120" w:line="260" w:lineRule="atLeast"/>
      </w:pPr>
      <w:r>
        <w:rPr>
          <w:rFonts w:ascii="Arial" w:eastAsia="Arial" w:hAnsi="Arial" w:cs="Arial"/>
          <w:color w:val="000000"/>
          <w:sz w:val="20"/>
        </w:rPr>
        <w:t>In re Posey, 2019 U.S. App. LEXIS 22683 (11th Cir. Fla., July 30, 2019)</w:t>
      </w:r>
    </w:p>
    <w:p w14:paraId="5C3CEBC4" w14:textId="77777777" w:rsidR="002B10A6" w:rsidRDefault="00000000">
      <w:pPr>
        <w:pStyle w:val="Normal48"/>
        <w:widowControl w:val="0"/>
        <w:spacing w:before="240" w:line="260" w:lineRule="atLeast"/>
      </w:pPr>
      <w:bookmarkStart w:id="8769" w:name="Counsel_46"/>
      <w:bookmarkEnd w:id="8769"/>
      <w:r>
        <w:rPr>
          <w:rFonts w:ascii="Arial" w:eastAsia="Arial" w:hAnsi="Arial" w:cs="Arial"/>
          <w:b/>
          <w:color w:val="000000"/>
          <w:sz w:val="20"/>
        </w:rPr>
        <w:t>Counsel:</w:t>
      </w:r>
      <w:r>
        <w:rPr>
          <w:rFonts w:ascii="Arial" w:eastAsia="Arial" w:hAnsi="Arial" w:cs="Arial"/>
          <w:color w:val="000000"/>
          <w:sz w:val="20"/>
        </w:rPr>
        <w:t> In re: DAVID RUSSELL POSEY, Petitioner, Pro se, Milton, FL.</w:t>
      </w:r>
    </w:p>
    <w:p w14:paraId="282DA11C" w14:textId="77777777" w:rsidR="002B10A6" w:rsidRDefault="00000000">
      <w:pPr>
        <w:pStyle w:val="Normal48"/>
        <w:widowControl w:val="0"/>
        <w:spacing w:before="120" w:line="260" w:lineRule="atLeast"/>
      </w:pPr>
      <w:r>
        <w:rPr>
          <w:rFonts w:ascii="Arial" w:eastAsia="Arial" w:hAnsi="Arial" w:cs="Arial"/>
          <w:color w:val="000000"/>
          <w:sz w:val="20"/>
        </w:rPr>
        <w:t>For United States of America, Mandamus Respondent: U.S. Attorney Service - Northern District of Florida, U.S. Attorney's Office, Pensacola, FL.</w:t>
      </w:r>
    </w:p>
    <w:p w14:paraId="798A8004" w14:textId="77777777" w:rsidR="002B10A6" w:rsidRDefault="00000000">
      <w:pPr>
        <w:pStyle w:val="Normal48"/>
        <w:widowControl w:val="0"/>
        <w:spacing w:before="240" w:line="260" w:lineRule="atLeast"/>
      </w:pPr>
      <w:bookmarkStart w:id="8770" w:name="Judges_47"/>
      <w:bookmarkEnd w:id="8770"/>
      <w:r>
        <w:rPr>
          <w:rFonts w:ascii="Arial" w:eastAsia="Arial" w:hAnsi="Arial" w:cs="Arial"/>
          <w:b/>
          <w:color w:val="000000"/>
          <w:sz w:val="20"/>
        </w:rPr>
        <w:t>Judges:</w:t>
      </w:r>
      <w:r>
        <w:rPr>
          <w:rFonts w:ascii="Arial" w:eastAsia="Arial" w:hAnsi="Arial" w:cs="Arial"/>
          <w:color w:val="000000"/>
          <w:sz w:val="20"/>
        </w:rPr>
        <w:t> Before: TJOFLAT and BRANCH, Circuit Judges.</w:t>
      </w:r>
    </w:p>
    <w:p w14:paraId="515E1948" w14:textId="77777777" w:rsidR="002B10A6" w:rsidRDefault="00000000">
      <w:pPr>
        <w:pStyle w:val="Normal48"/>
        <w:keepNext/>
        <w:widowControl w:val="0"/>
        <w:spacing w:before="240" w:line="340" w:lineRule="atLeast"/>
      </w:pPr>
      <w:bookmarkStart w:id="8771" w:name="Opinion_47"/>
      <w:bookmarkEnd w:id="8771"/>
      <w:r>
        <w:rPr>
          <w:rFonts w:ascii="Arial" w:eastAsia="Arial" w:hAnsi="Arial" w:cs="Arial"/>
          <w:b/>
          <w:color w:val="000000"/>
          <w:sz w:val="28"/>
        </w:rPr>
        <w:t>Opinion</w:t>
      </w:r>
    </w:p>
    <w:p w14:paraId="21FCB480" w14:textId="24AF932A" w:rsidR="002B10A6" w:rsidRDefault="002D6974">
      <w:pPr>
        <w:pStyle w:val="Normal48"/>
        <w:spacing w:line="60" w:lineRule="exact"/>
      </w:pPr>
      <w:r>
        <w:rPr>
          <w:noProof/>
        </w:rPr>
        <mc:AlternateContent>
          <mc:Choice Requires="wps">
            <w:drawing>
              <wp:anchor distT="0" distB="0" distL="114300" distR="114300" simplePos="0" relativeHeight="251764736" behindDoc="0" locked="0" layoutInCell="1" allowOverlap="1" wp14:anchorId="632F8FC0" wp14:editId="07CB7E0E">
                <wp:simplePos x="0" y="0"/>
                <wp:positionH relativeFrom="column">
                  <wp:posOffset>0</wp:posOffset>
                </wp:positionH>
                <wp:positionV relativeFrom="paragraph">
                  <wp:posOffset>25400</wp:posOffset>
                </wp:positionV>
                <wp:extent cx="3187700" cy="0"/>
                <wp:effectExtent l="19050" t="15875" r="12700" b="12700"/>
                <wp:wrapTopAndBottom/>
                <wp:docPr id="409366129"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591D3"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76A56811" w14:textId="77777777" w:rsidR="002B10A6" w:rsidRDefault="002B10A6">
      <w:pPr>
        <w:pStyle w:val="Normal48"/>
      </w:pPr>
    </w:p>
    <w:p w14:paraId="42963EA6" w14:textId="77777777" w:rsidR="002B10A6" w:rsidRDefault="00000000">
      <w:pPr>
        <w:pStyle w:val="Normal48"/>
        <w:widowControl w:val="0"/>
        <w:spacing w:before="200" w:line="260" w:lineRule="atLeast"/>
        <w:jc w:val="both"/>
      </w:pPr>
      <w:bookmarkStart w:id="8772" w:name="Bookmark_para_2_47"/>
      <w:bookmarkEnd w:id="8772"/>
      <w:r>
        <w:rPr>
          <w:rFonts w:ascii="Arial" w:eastAsia="Arial" w:hAnsi="Arial" w:cs="Arial"/>
          <w:color w:val="000000"/>
          <w:sz w:val="20"/>
        </w:rPr>
        <w:t>BY THE COURT:</w:t>
      </w:r>
    </w:p>
    <w:p w14:paraId="18EE447E" w14:textId="77777777" w:rsidR="002B10A6" w:rsidRDefault="00000000">
      <w:pPr>
        <w:pStyle w:val="Normal48"/>
        <w:widowControl w:val="0"/>
        <w:spacing w:before="200" w:line="260" w:lineRule="atLeast"/>
        <w:jc w:val="both"/>
      </w:pPr>
      <w:bookmarkStart w:id="8773" w:name="Bookmark_para_3_47"/>
      <w:bookmarkEnd w:id="8773"/>
      <w:r>
        <w:rPr>
          <w:rFonts w:ascii="Arial" w:eastAsia="Arial" w:hAnsi="Arial" w:cs="Arial"/>
          <w:color w:val="000000"/>
          <w:sz w:val="20"/>
        </w:rPr>
        <w:t xml:space="preserve">David Posey, a Florida prisoner proceeding </w:t>
      </w:r>
      <w:r>
        <w:rPr>
          <w:rFonts w:ascii="Arial" w:eastAsia="Arial" w:hAnsi="Arial" w:cs="Arial"/>
          <w:i/>
          <w:color w:val="000000"/>
          <w:sz w:val="20"/>
        </w:rPr>
        <w:t>pro se</w:t>
      </w:r>
      <w:r>
        <w:rPr>
          <w:rFonts w:ascii="Arial" w:eastAsia="Arial" w:hAnsi="Arial" w:cs="Arial"/>
          <w:color w:val="000000"/>
          <w:sz w:val="20"/>
        </w:rPr>
        <w:t xml:space="preserve">, moves for reconsideration of this Court's denial of leave to proceed </w:t>
      </w:r>
      <w:r>
        <w:rPr>
          <w:rFonts w:ascii="Arial" w:eastAsia="Arial" w:hAnsi="Arial" w:cs="Arial"/>
          <w:i/>
          <w:color w:val="000000"/>
          <w:sz w:val="20"/>
        </w:rPr>
        <w:t>in forma pauperis</w:t>
      </w:r>
      <w:r>
        <w:rPr>
          <w:rFonts w:ascii="Arial" w:eastAsia="Arial" w:hAnsi="Arial" w:cs="Arial"/>
          <w:color w:val="000000"/>
          <w:sz w:val="20"/>
        </w:rPr>
        <w:t xml:space="preserve"> ("IFP") as to his petition for extraordinary writ, which we construed as a mandamus petition. He also moves for leave to amend mandamus petition and includes a "Notice: of American Disabilities Act Violations." His original mandamus petition related to his 28 U.S.C. § 2254 proceedings in the U.S. District Court for the Northern District of Florida. In an order issued on July 30, 2019, we determined that Posey was not entitled to proceed IFP because his mandamus petition was frivolous. Specifically, we concluded that Posey had not shown a clear and indisputable right to relief as to his request that we direct the district court to empanel a grand jury. In addition, we determined that his alternative that [*2]  this Court forward his request to the U.S. Attorney for processing was not cognizable in mandamus.</w:t>
      </w:r>
    </w:p>
    <w:p w14:paraId="07C6559E" w14:textId="77777777" w:rsidR="002B10A6" w:rsidRDefault="00000000">
      <w:pPr>
        <w:pStyle w:val="Normal48"/>
        <w:widowControl w:val="0"/>
        <w:spacing w:before="200" w:line="260" w:lineRule="atLeast"/>
        <w:jc w:val="both"/>
      </w:pPr>
      <w:bookmarkStart w:id="8774" w:name="Bookmark_para_4_47"/>
      <w:bookmarkStart w:id="8775" w:name="Bookmark_I5X4JSWH2SF8R10020000400"/>
      <w:bookmarkEnd w:id="8774"/>
      <w:bookmarkEnd w:id="8775"/>
      <w:r>
        <w:rPr>
          <w:rFonts w:ascii="Arial" w:eastAsia="Arial" w:hAnsi="Arial" w:cs="Arial"/>
          <w:color w:val="000000"/>
          <w:sz w:val="20"/>
        </w:rPr>
        <w:t xml:space="preserve">A party seeking rehearing or reconsideration must specifically allege any point of Law or fact that we overlooked or misapprehended. </w:t>
      </w:r>
      <w:r>
        <w:rPr>
          <w:rFonts w:ascii="Arial" w:eastAsia="Arial" w:hAnsi="Arial" w:cs="Arial"/>
          <w:i/>
          <w:color w:val="000000"/>
          <w:sz w:val="20"/>
        </w:rPr>
        <w:t>See</w:t>
      </w:r>
      <w:r>
        <w:rPr>
          <w:rFonts w:ascii="Arial" w:eastAsia="Arial" w:hAnsi="Arial" w:cs="Arial"/>
          <w:color w:val="000000"/>
          <w:sz w:val="20"/>
        </w:rPr>
        <w:t xml:space="preserve"> Fed. </w:t>
      </w:r>
      <w:r>
        <w:rPr>
          <w:rFonts w:ascii="Arial" w:eastAsia="Arial" w:hAnsi="Arial" w:cs="Arial"/>
          <w:b/>
          <w:color w:val="000000"/>
          <w:sz w:val="20"/>
        </w:rPr>
        <w:t>R</w:t>
      </w:r>
      <w:r>
        <w:rPr>
          <w:rFonts w:ascii="Arial" w:eastAsia="Arial" w:hAnsi="Arial" w:cs="Arial"/>
          <w:color w:val="000000"/>
          <w:sz w:val="20"/>
        </w:rPr>
        <w:t xml:space="preserve">. App. P. 40(a)(2). </w:t>
      </w:r>
      <w:bookmarkStart w:id="8776" w:name="Bookmark_I5X4JSWH2SF8R10040000400"/>
      <w:bookmarkEnd w:id="8776"/>
      <w:r>
        <w:rPr>
          <w:rFonts w:ascii="Arial" w:eastAsia="Arial" w:hAnsi="Arial" w:cs="Arial"/>
          <w:color w:val="000000"/>
          <w:sz w:val="20"/>
        </w:rPr>
        <w:t xml:space="preserve">Mandamus is available "only in drastic situations, when no other adequate means are available to remedy a clear usurpation of power or abuse of discretion." </w:t>
      </w:r>
      <w:bookmarkStart w:id="8777" w:name="Bookmark_I5X4JSWH2SF8R10010000400"/>
      <w:bookmarkEnd w:id="8777"/>
      <w:r>
        <w:rPr>
          <w:rFonts w:ascii="Arial" w:eastAsia="Arial" w:hAnsi="Arial" w:cs="Arial"/>
          <w:i/>
          <w:color w:val="000000"/>
          <w:sz w:val="20"/>
        </w:rPr>
        <w:t>Jackson v. Motel 6 Multipurpose, Inc.</w:t>
      </w:r>
      <w:r>
        <w:rPr>
          <w:rFonts w:ascii="Arial" w:eastAsia="Arial" w:hAnsi="Arial" w:cs="Arial"/>
          <w:color w:val="000000"/>
          <w:sz w:val="20"/>
        </w:rPr>
        <w:t xml:space="preserve">, 130 F.3d 999, 1004 (11th Cir. 1997) (quotation marks omitted). </w:t>
      </w:r>
      <w:bookmarkStart w:id="8778" w:name="Bookmark_I5X4JSWH2SF8R10040000400_2"/>
      <w:bookmarkStart w:id="8779" w:name="Bookmark_I5X4JSWH2D6P0D0010000400"/>
      <w:bookmarkEnd w:id="8778"/>
      <w:bookmarkEnd w:id="8779"/>
      <w:r>
        <w:rPr>
          <w:rFonts w:ascii="Arial" w:eastAsia="Arial" w:hAnsi="Arial" w:cs="Arial"/>
          <w:color w:val="000000"/>
          <w:sz w:val="20"/>
        </w:rPr>
        <w:t xml:space="preserve">The petitioner has the burden of showing that he has no other avenue of relief, and that his right to relief is clear and indisputable. </w:t>
      </w:r>
      <w:bookmarkStart w:id="8780" w:name="Bookmark_I5X4JSWH2SF8R10030000400"/>
      <w:bookmarkEnd w:id="8780"/>
      <w:r>
        <w:rPr>
          <w:rFonts w:ascii="Arial" w:eastAsia="Arial" w:hAnsi="Arial" w:cs="Arial"/>
          <w:i/>
          <w:color w:val="000000"/>
          <w:sz w:val="20"/>
        </w:rPr>
        <w:t>Mallard v. U.S. Dist. Court</w:t>
      </w:r>
      <w:r>
        <w:rPr>
          <w:rFonts w:ascii="Arial" w:eastAsia="Arial" w:hAnsi="Arial" w:cs="Arial"/>
          <w:color w:val="000000"/>
          <w:sz w:val="20"/>
        </w:rPr>
        <w:t xml:space="preserve">, 490 U.S. 296, 309, 109 S. Ct. 1814, 104 L. Ed. 2d 318 (1989). </w:t>
      </w:r>
      <w:bookmarkStart w:id="8781" w:name="Bookmark_I5X4JSWH2D6P0D0010000400_2"/>
      <w:bookmarkEnd w:id="8781"/>
      <w:r>
        <w:rPr>
          <w:rFonts w:ascii="Arial" w:eastAsia="Arial" w:hAnsi="Arial" w:cs="Arial"/>
          <w:color w:val="000000"/>
          <w:sz w:val="20"/>
        </w:rPr>
        <w:t xml:space="preserve">"[A] writ of mandamus may issue only to confine an inferior court to a lawful exercise of its prescribed jurisdiction or to compel it to exercise its authority when it is its duty to do so." </w:t>
      </w:r>
      <w:bookmarkStart w:id="8782" w:name="Bookmark_I5X4JSWH2SF8R10050000400"/>
      <w:bookmarkEnd w:id="8782"/>
      <w:r>
        <w:rPr>
          <w:rFonts w:ascii="Arial" w:eastAsia="Arial" w:hAnsi="Arial" w:cs="Arial"/>
          <w:i/>
          <w:color w:val="000000"/>
          <w:sz w:val="20"/>
        </w:rPr>
        <w:t>In re Smith</w:t>
      </w:r>
      <w:r>
        <w:rPr>
          <w:rFonts w:ascii="Arial" w:eastAsia="Arial" w:hAnsi="Arial" w:cs="Arial"/>
          <w:color w:val="000000"/>
          <w:sz w:val="20"/>
        </w:rPr>
        <w:t>, 926 F.2d 1027, 1030 (11th Cir. 1991) (quotation marks omitted).</w:t>
      </w:r>
    </w:p>
    <w:p w14:paraId="5ECF3895" w14:textId="77777777" w:rsidR="002B10A6" w:rsidRDefault="00000000">
      <w:pPr>
        <w:pStyle w:val="Normal48"/>
        <w:widowControl w:val="0"/>
        <w:spacing w:before="200" w:line="260" w:lineRule="atLeast"/>
        <w:jc w:val="both"/>
      </w:pPr>
      <w:bookmarkStart w:id="8783" w:name="Bookmark_para_5_47"/>
      <w:bookmarkEnd w:id="8783"/>
      <w:r>
        <w:rPr>
          <w:rFonts w:ascii="Arial" w:eastAsia="Arial" w:hAnsi="Arial" w:cs="Arial"/>
          <w:color w:val="000000"/>
          <w:sz w:val="20"/>
        </w:rPr>
        <w:t xml:space="preserve">Federal Rule of Criminal Procedure 6(a)(1) requires that a "court must order that one or more grand juries be summoned" when justice so requires. </w:t>
      </w:r>
      <w:bookmarkStart w:id="8784" w:name="Bookmark_I5X4JSWH2D6P0D0030000400"/>
      <w:bookmarkEnd w:id="8784"/>
      <w:r>
        <w:rPr>
          <w:rFonts w:ascii="Arial" w:eastAsia="Arial" w:hAnsi="Arial" w:cs="Arial"/>
          <w:color w:val="000000"/>
          <w:sz w:val="20"/>
        </w:rPr>
        <w:t xml:space="preserve">Fed. R. Crim. P. 6(a)(1). Additionally, the chief judge of a district court must order a grand jury if certain circumstances are met and the Attorney General or his designee "certifies in writing to the chief judge of the district that in his judgment a special grand jury is necessary because of criminal activity in the district." 18 U.S.C. § 3331(a). In </w:t>
      </w:r>
      <w:r>
        <w:rPr>
          <w:rFonts w:ascii="Arial" w:eastAsia="Arial" w:hAnsi="Arial" w:cs="Arial"/>
          <w:i/>
          <w:color w:val="000000"/>
          <w:sz w:val="20"/>
        </w:rPr>
        <w:t>In re [*3]  Smith</w:t>
      </w:r>
      <w:r>
        <w:rPr>
          <w:rFonts w:ascii="Arial" w:eastAsia="Arial" w:hAnsi="Arial" w:cs="Arial"/>
          <w:color w:val="000000"/>
          <w:sz w:val="20"/>
        </w:rPr>
        <w:t xml:space="preserve">, we held that mandamus was the appropriate remedy for the trial court's refusal to approve a pretrial settlement agreement, where the trial court ordered parties to "work something out," effectively freezing litigation and thwarting the possibility of an appealable final order, and had no discretion to reject the settlement on its stated grounds of financial excessiveness. </w:t>
      </w:r>
      <w:bookmarkStart w:id="8785" w:name="Bookmark_I5X4JSWH2D6P0D0020000400"/>
      <w:bookmarkEnd w:id="8785"/>
      <w:r>
        <w:rPr>
          <w:rFonts w:ascii="Arial" w:eastAsia="Arial" w:hAnsi="Arial" w:cs="Arial"/>
          <w:color w:val="000000"/>
          <w:sz w:val="20"/>
        </w:rPr>
        <w:t>926 F.2d at 1030.</w:t>
      </w:r>
    </w:p>
    <w:p w14:paraId="4EBA9015" w14:textId="77777777" w:rsidR="002B10A6" w:rsidRDefault="00000000">
      <w:pPr>
        <w:pStyle w:val="Normal48"/>
        <w:widowControl w:val="0"/>
        <w:spacing w:before="200" w:line="260" w:lineRule="atLeast"/>
        <w:jc w:val="both"/>
      </w:pPr>
      <w:bookmarkStart w:id="8786" w:name="Bookmark_para_6_47"/>
      <w:bookmarkEnd w:id="8786"/>
      <w:r>
        <w:rPr>
          <w:rFonts w:ascii="Arial" w:eastAsia="Arial" w:hAnsi="Arial" w:cs="Arial"/>
          <w:color w:val="000000"/>
          <w:sz w:val="20"/>
        </w:rPr>
        <w:t xml:space="preserve">Here, Posey does not raise any points of law or fact that we overlooked or misapprehended. </w:t>
      </w:r>
      <w:r>
        <w:rPr>
          <w:rFonts w:ascii="Arial" w:eastAsia="Arial" w:hAnsi="Arial" w:cs="Arial"/>
          <w:i/>
          <w:color w:val="000000"/>
          <w:sz w:val="20"/>
        </w:rPr>
        <w:t>See</w:t>
      </w:r>
      <w:r>
        <w:rPr>
          <w:rFonts w:ascii="Arial" w:eastAsia="Arial" w:hAnsi="Arial" w:cs="Arial"/>
          <w:color w:val="000000"/>
          <w:sz w:val="20"/>
        </w:rPr>
        <w:t xml:space="preserve"> Fed. R. App. P. 40(a)(2). Aside from reiterating his argument that Federal Rule of Criminal Procedure 6(a)(1) required the district court to empanel a grand jury as justice required, Posey does not raise any new points of law in his motion for reconsideration. </w:t>
      </w:r>
      <w:bookmarkStart w:id="8787" w:name="Bookmark_I5GF21BS5C00000DY6N0001J"/>
      <w:bookmarkStart w:id="8788" w:name="Bookmark_I5X4JSWH2D6P0D0050000400"/>
      <w:bookmarkEnd w:id="8787"/>
      <w:bookmarkEnd w:id="8788"/>
      <w:r>
        <w:rPr>
          <w:rFonts w:ascii="Arial" w:eastAsia="Arial" w:hAnsi="Arial" w:cs="Arial"/>
          <w:color w:val="000000"/>
          <w:sz w:val="20"/>
        </w:rPr>
        <w:t xml:space="preserve">Although he cites to </w:t>
      </w:r>
      <w:r>
        <w:rPr>
          <w:rFonts w:ascii="Arial" w:eastAsia="Arial" w:hAnsi="Arial" w:cs="Arial"/>
          <w:i/>
          <w:color w:val="000000"/>
          <w:sz w:val="20"/>
        </w:rPr>
        <w:t>In re Smith</w:t>
      </w:r>
      <w:r>
        <w:rPr>
          <w:rFonts w:ascii="Arial" w:eastAsia="Arial" w:hAnsi="Arial" w:cs="Arial"/>
          <w:color w:val="000000"/>
          <w:sz w:val="20"/>
        </w:rPr>
        <w:t xml:space="preserve"> in his motion, he does not raise any points of law that we misapprehended. In </w:t>
      </w:r>
      <w:r>
        <w:rPr>
          <w:rFonts w:ascii="Arial" w:eastAsia="Arial" w:hAnsi="Arial" w:cs="Arial"/>
          <w:i/>
          <w:color w:val="000000"/>
          <w:sz w:val="20"/>
        </w:rPr>
        <w:t>In re Smith</w:t>
      </w:r>
      <w:r>
        <w:rPr>
          <w:rFonts w:ascii="Arial" w:eastAsia="Arial" w:hAnsi="Arial" w:cs="Arial"/>
          <w:color w:val="000000"/>
          <w:sz w:val="20"/>
        </w:rPr>
        <w:t xml:space="preserve">, we held that mandamus relief was appropriate where the district court failed to enforce a settlement agreement, and we did not address the district court's obligations under Federal Rule of Criminal Procedure 6(a)(1). </w:t>
      </w:r>
      <w:r>
        <w:rPr>
          <w:rFonts w:ascii="Arial" w:eastAsia="Arial" w:hAnsi="Arial" w:cs="Arial"/>
          <w:i/>
          <w:color w:val="000000"/>
          <w:sz w:val="20"/>
        </w:rPr>
        <w:t xml:space="preserve">See </w:t>
      </w:r>
      <w:bookmarkStart w:id="8789" w:name="Bookmark_I5X4JSWH2D6P0D0040000400"/>
      <w:bookmarkEnd w:id="8789"/>
      <w:r>
        <w:rPr>
          <w:rFonts w:ascii="Arial" w:eastAsia="Arial" w:hAnsi="Arial" w:cs="Arial"/>
          <w:i/>
          <w:color w:val="000000"/>
          <w:sz w:val="20"/>
        </w:rPr>
        <w:t>In re Smith</w:t>
      </w:r>
      <w:r>
        <w:rPr>
          <w:rFonts w:ascii="Arial" w:eastAsia="Arial" w:hAnsi="Arial" w:cs="Arial"/>
          <w:color w:val="000000"/>
          <w:sz w:val="20"/>
        </w:rPr>
        <w:t>, 926 F.2d at 1030.</w:t>
      </w:r>
    </w:p>
    <w:p w14:paraId="66365B4E" w14:textId="77777777" w:rsidR="002B10A6" w:rsidRDefault="00000000">
      <w:pPr>
        <w:pStyle w:val="Normal48"/>
        <w:widowControl w:val="0"/>
        <w:spacing w:before="200" w:line="260" w:lineRule="atLeast"/>
        <w:jc w:val="both"/>
      </w:pPr>
      <w:bookmarkStart w:id="8790" w:name="Bookmark_para_7_46"/>
      <w:bookmarkEnd w:id="8790"/>
      <w:r>
        <w:rPr>
          <w:rFonts w:ascii="Arial" w:eastAsia="Arial" w:hAnsi="Arial" w:cs="Arial"/>
          <w:color w:val="000000"/>
          <w:sz w:val="20"/>
        </w:rPr>
        <w:t>Further, to the extent Posey argues that he had no adequate alternative remedies for the district court's alleged abuse of discretion in failing to empanel a grand jury due to the fact that his complaints with other entities [*4]  either went unanswered or were denied, these facts are irrelevant to our conclusions that Posey's petition was frivolous because (1) he did not show a clear and indisputable right to mandamus relief, and (2) his request that we forward his petition for "processing at the U.S. Attorney's office" was not cognizable in mandamus. Thus, because Posey has not pointed to any facts or law that we overlooked or misapprehended in reaching its conclusions, we deny his reconsideration motion.</w:t>
      </w:r>
    </w:p>
    <w:p w14:paraId="4E59ABD5" w14:textId="77777777" w:rsidR="002B10A6" w:rsidRDefault="00000000">
      <w:pPr>
        <w:pStyle w:val="Normal48"/>
        <w:widowControl w:val="0"/>
        <w:spacing w:before="200" w:line="260" w:lineRule="atLeast"/>
        <w:jc w:val="both"/>
      </w:pPr>
      <w:bookmarkStart w:id="8791" w:name="Bookmark_para_8_46"/>
      <w:bookmarkEnd w:id="8791"/>
      <w:r>
        <w:rPr>
          <w:rFonts w:ascii="Arial" w:eastAsia="Arial" w:hAnsi="Arial" w:cs="Arial"/>
          <w:color w:val="000000"/>
          <w:sz w:val="20"/>
        </w:rPr>
        <w:t xml:space="preserve">Next, we deny Posey's motion for leave to amend his mandamus petition. First, it is unclear what amendments Posey proposes. </w:t>
      </w:r>
      <w:bookmarkStart w:id="8792" w:name="Bookmark_I5X4JSWJ2N1PNK0020000400"/>
      <w:bookmarkEnd w:id="8792"/>
      <w:r>
        <w:rPr>
          <w:rFonts w:ascii="Arial" w:eastAsia="Arial" w:hAnsi="Arial" w:cs="Arial"/>
          <w:color w:val="000000"/>
          <w:sz w:val="20"/>
        </w:rPr>
        <w:t xml:space="preserve">To the extent he wishes to amend his petition to add his new arguments raised in his motion for reconsideration, his proposed amendments would be futile for same reasons discussed above. To the extent that Posey separately wishes to amend his mandamus petition to request that we order the prison's Americans with Disabilities Act ("ADA") coordinator to answer his requests for accommodation or make accommodations for a disability, his new request would be frivolous because it is not cognizable in mandamus. </w:t>
      </w:r>
      <w:r>
        <w:rPr>
          <w:rFonts w:ascii="Arial" w:eastAsia="Arial" w:hAnsi="Arial" w:cs="Arial"/>
          <w:i/>
          <w:color w:val="000000"/>
          <w:sz w:val="20"/>
        </w:rPr>
        <w:t xml:space="preserve">See </w:t>
      </w:r>
      <w:bookmarkStart w:id="8793" w:name="Bookmark_I5X4JSWJ2N1PNK0010000400"/>
      <w:bookmarkEnd w:id="8793"/>
      <w:r>
        <w:rPr>
          <w:rFonts w:ascii="Arial" w:eastAsia="Arial" w:hAnsi="Arial" w:cs="Arial"/>
          <w:i/>
          <w:color w:val="000000"/>
          <w:sz w:val="20"/>
        </w:rPr>
        <w:t>In re Smith</w:t>
      </w:r>
      <w:r>
        <w:rPr>
          <w:rFonts w:ascii="Arial" w:eastAsia="Arial" w:hAnsi="Arial" w:cs="Arial"/>
          <w:color w:val="000000"/>
          <w:sz w:val="20"/>
        </w:rPr>
        <w:t>, 926 F.2d at 1030. Thus, this we deny Posey's motion for leave to amend his mandamus petition, [*5]  as his proposed amendments would also be frivolous.</w:t>
      </w:r>
    </w:p>
    <w:p w14:paraId="6121E4D1" w14:textId="77777777" w:rsidR="002B10A6" w:rsidRDefault="00000000">
      <w:pPr>
        <w:pStyle w:val="Normal48"/>
        <w:widowControl w:val="0"/>
        <w:spacing w:before="200" w:line="260" w:lineRule="atLeast"/>
        <w:jc w:val="both"/>
      </w:pPr>
      <w:bookmarkStart w:id="8794" w:name="Bookmark_para_9_46"/>
      <w:bookmarkEnd w:id="8794"/>
      <w:r>
        <w:rPr>
          <w:rFonts w:ascii="Arial" w:eastAsia="Arial" w:hAnsi="Arial" w:cs="Arial"/>
          <w:color w:val="000000"/>
          <w:sz w:val="20"/>
        </w:rPr>
        <w:t xml:space="preserve">In summary, we denied leave to proceed IFP, as the mandamus petition was frivolous, and Posey has not pointed to any facts or law that we overlooked or misapprehended in reaching this particular conclusion. Accordingly, his reconsideration motion is </w:t>
      </w:r>
      <w:r>
        <w:rPr>
          <w:rFonts w:ascii="Arial" w:eastAsia="Arial" w:hAnsi="Arial" w:cs="Arial"/>
          <w:b/>
          <w:color w:val="000000"/>
          <w:sz w:val="20"/>
        </w:rPr>
        <w:t>DENIED</w:t>
      </w:r>
      <w:r>
        <w:rPr>
          <w:rFonts w:ascii="Arial" w:eastAsia="Arial" w:hAnsi="Arial" w:cs="Arial"/>
          <w:color w:val="000000"/>
          <w:sz w:val="20"/>
        </w:rPr>
        <w:t xml:space="preserve">. In addition, to the extent Posey wishes to amend his mandamus petition to raise the arguments contained in his instant filing, they would be frivolous. Accordingly, his motion for leave to amend his petition is </w:t>
      </w:r>
      <w:r>
        <w:rPr>
          <w:rFonts w:ascii="Arial" w:eastAsia="Arial" w:hAnsi="Arial" w:cs="Arial"/>
          <w:b/>
          <w:color w:val="000000"/>
          <w:sz w:val="20"/>
        </w:rPr>
        <w:t>DENIED</w:t>
      </w:r>
      <w:r>
        <w:rPr>
          <w:rFonts w:ascii="Arial" w:eastAsia="Arial" w:hAnsi="Arial" w:cs="Arial"/>
          <w:color w:val="000000"/>
          <w:sz w:val="20"/>
        </w:rPr>
        <w:t>.</w:t>
      </w:r>
    </w:p>
    <w:p w14:paraId="6C5408FB" w14:textId="77777777" w:rsidR="002B10A6" w:rsidRDefault="002B10A6">
      <w:pPr>
        <w:pStyle w:val="Normal48"/>
      </w:pPr>
    </w:p>
    <w:p w14:paraId="6EE963F7" w14:textId="38BB4A55" w:rsidR="002B10A6" w:rsidRDefault="00000000">
      <w:pPr>
        <w:pStyle w:val="Normal48"/>
        <w:ind w:left="200"/>
        <w:sectPr w:rsidR="002B10A6">
          <w:type w:val="continuous"/>
          <w:pgSz w:w="12240" w:h="15840"/>
          <w:pgMar w:top="840" w:right="1000" w:bottom="840" w:left="1000" w:header="400" w:footer="400" w:gutter="0"/>
          <w:cols w:num="2" w:space="240"/>
        </w:sectPr>
      </w:pPr>
      <w:r>
        <w:br/>
      </w:r>
      <w:r w:rsidR="002D6974">
        <w:rPr>
          <w:noProof/>
        </w:rPr>
        <mc:AlternateContent>
          <mc:Choice Requires="wps">
            <w:drawing>
              <wp:anchor distT="0" distB="0" distL="114300" distR="114300" simplePos="0" relativeHeight="251765760" behindDoc="0" locked="0" layoutInCell="1" allowOverlap="1" wp14:anchorId="32AAAB2B" wp14:editId="28575096">
                <wp:simplePos x="0" y="0"/>
                <wp:positionH relativeFrom="column">
                  <wp:posOffset>0</wp:posOffset>
                </wp:positionH>
                <wp:positionV relativeFrom="paragraph">
                  <wp:posOffset>127000</wp:posOffset>
                </wp:positionV>
                <wp:extent cx="6502400" cy="0"/>
                <wp:effectExtent l="9525" t="12700" r="12700" b="6350"/>
                <wp:wrapNone/>
                <wp:docPr id="1704461931"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FFBFE"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AACF265" w14:textId="77777777" w:rsidR="002B10A6" w:rsidRDefault="002B10A6">
      <w:pPr>
        <w:pStyle w:val="Normal49"/>
        <w:sectPr w:rsidR="002B10A6">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gutter="0"/>
          <w:cols w:space="720"/>
          <w:titlePg/>
        </w:sectPr>
      </w:pPr>
    </w:p>
    <w:p w14:paraId="27DBC351" w14:textId="77777777" w:rsidR="002B10A6" w:rsidRDefault="002B10A6">
      <w:pPr>
        <w:pStyle w:val="Normal49"/>
      </w:pPr>
    </w:p>
    <w:p w14:paraId="34E0BDDD" w14:textId="77777777" w:rsidR="002B10A6" w:rsidRDefault="00000000">
      <w:pPr>
        <w:pStyle w:val="Heading148"/>
        <w:keepNext w:val="0"/>
        <w:widowControl w:val="0"/>
        <w:spacing w:after="200" w:line="340" w:lineRule="atLeast"/>
        <w:jc w:val="center"/>
      </w:pPr>
      <w:r>
        <w:rPr>
          <w:rFonts w:eastAsia="Arial"/>
          <w:color w:val="000000"/>
          <w:sz w:val="28"/>
        </w:rPr>
        <w:t>Matheis v. CSL Plasma, Inc.</w:t>
      </w:r>
    </w:p>
    <w:p w14:paraId="2CE08D0B" w14:textId="77777777" w:rsidR="002B10A6" w:rsidRDefault="00000000">
      <w:pPr>
        <w:pStyle w:val="Normal49"/>
        <w:widowControl w:val="0"/>
        <w:spacing w:before="120" w:line="260" w:lineRule="atLeast"/>
        <w:jc w:val="center"/>
      </w:pPr>
      <w:r>
        <w:rPr>
          <w:rFonts w:ascii="Arial" w:eastAsia="Arial" w:hAnsi="Arial" w:cs="Arial"/>
          <w:color w:val="000000"/>
          <w:sz w:val="20"/>
        </w:rPr>
        <w:t>United States Court of Appeals for the Third Circuit</w:t>
      </w:r>
    </w:p>
    <w:p w14:paraId="3D8FBCF5" w14:textId="77777777" w:rsidR="002B10A6" w:rsidRDefault="00000000">
      <w:pPr>
        <w:pStyle w:val="Normal49"/>
        <w:widowControl w:val="0"/>
        <w:spacing w:before="120" w:line="260" w:lineRule="atLeast"/>
        <w:jc w:val="center"/>
      </w:pPr>
      <w:r>
        <w:rPr>
          <w:rFonts w:ascii="Arial" w:eastAsia="Arial" w:hAnsi="Arial" w:cs="Arial"/>
          <w:color w:val="000000"/>
          <w:sz w:val="20"/>
        </w:rPr>
        <w:t>June 18, 2019, Argued; August 30, 2019, Opinion Filed</w:t>
      </w:r>
    </w:p>
    <w:p w14:paraId="4E50D44D" w14:textId="77777777" w:rsidR="002B10A6" w:rsidRDefault="00000000">
      <w:pPr>
        <w:pStyle w:val="Normal49"/>
        <w:widowControl w:val="0"/>
        <w:spacing w:before="120" w:line="260" w:lineRule="atLeast"/>
        <w:jc w:val="center"/>
        <w:sectPr w:rsidR="002B10A6">
          <w:type w:val="continuous"/>
          <w:pgSz w:w="12240" w:h="15840"/>
          <w:pgMar w:top="840" w:right="1000" w:bottom="840" w:left="1000" w:header="400" w:footer="400" w:gutter="0"/>
          <w:cols w:space="240"/>
        </w:sectPr>
      </w:pPr>
      <w:r>
        <w:rPr>
          <w:rFonts w:ascii="Arial" w:eastAsia="Arial" w:hAnsi="Arial" w:cs="Arial"/>
          <w:color w:val="000000"/>
          <w:sz w:val="20"/>
        </w:rPr>
        <w:t>Nos. 18-3415 &amp; 18-3501</w:t>
      </w:r>
    </w:p>
    <w:p w14:paraId="0DED6AE3" w14:textId="77777777" w:rsidR="002B10A6" w:rsidRDefault="002B10A6">
      <w:pPr>
        <w:pStyle w:val="Normal49"/>
        <w:widowControl w:val="0"/>
        <w:spacing w:line="240" w:lineRule="atLeast"/>
        <w:jc w:val="both"/>
      </w:pPr>
      <w:bookmarkStart w:id="8795" w:name="Bookmark_50"/>
      <w:bookmarkEnd w:id="8795"/>
    </w:p>
    <w:p w14:paraId="682A42EE" w14:textId="77777777" w:rsidR="002B10A6" w:rsidRDefault="00000000">
      <w:pPr>
        <w:pStyle w:val="Normal49"/>
        <w:widowControl w:val="0"/>
        <w:spacing w:before="200" w:line="240" w:lineRule="atLeast"/>
      </w:pPr>
      <w:bookmarkStart w:id="8796" w:name="Reporter_48"/>
      <w:bookmarkEnd w:id="8796"/>
      <w:r>
        <w:rPr>
          <w:rFonts w:ascii="Arial" w:eastAsia="Arial" w:hAnsi="Arial" w:cs="Arial"/>
          <w:b/>
          <w:color w:val="000000"/>
          <w:sz w:val="18"/>
        </w:rPr>
        <w:t>Reporter</w:t>
      </w:r>
    </w:p>
    <w:p w14:paraId="385694B4" w14:textId="77777777" w:rsidR="002B10A6" w:rsidRDefault="00000000">
      <w:pPr>
        <w:pStyle w:val="Normal49"/>
        <w:widowControl w:val="0"/>
        <w:spacing w:line="240" w:lineRule="atLeast"/>
        <w:sectPr w:rsidR="002B10A6">
          <w:type w:val="continuous"/>
          <w:pgSz w:w="12240" w:h="15840"/>
          <w:pgMar w:top="840" w:right="1000" w:bottom="840" w:left="1000" w:header="400" w:footer="400" w:gutter="0"/>
          <w:cols w:space="240"/>
        </w:sectPr>
      </w:pPr>
      <w:r>
        <w:rPr>
          <w:rFonts w:ascii="Arial" w:eastAsia="Arial" w:hAnsi="Arial" w:cs="Arial"/>
          <w:color w:val="000000"/>
          <w:sz w:val="18"/>
        </w:rPr>
        <w:t>936 F.3d 171 *; 2019 U.S. App. LEXIS 26390 **; 2019 WL 4125222</w:t>
      </w:r>
    </w:p>
    <w:p w14:paraId="6C939AF9" w14:textId="77777777" w:rsidR="002B10A6" w:rsidRDefault="00000000">
      <w:pPr>
        <w:pStyle w:val="Normal49"/>
        <w:widowControl w:val="0"/>
        <w:spacing w:before="120" w:line="260" w:lineRule="atLeast"/>
      </w:pPr>
      <w:r>
        <w:rPr>
          <w:rFonts w:ascii="Arial" w:eastAsia="Arial" w:hAnsi="Arial" w:cs="Arial"/>
          <w:color w:val="000000"/>
          <w:sz w:val="20"/>
        </w:rPr>
        <w:t>GEORGE F. MATHEIS, JR., Appellant/Cross-Appellee v. CSL PLASMA, INC., Appellee/ Cross-Appellant</w:t>
      </w:r>
    </w:p>
    <w:p w14:paraId="75AD3DA3" w14:textId="77777777" w:rsidR="002B10A6" w:rsidRDefault="00000000">
      <w:pPr>
        <w:pStyle w:val="Normal49"/>
        <w:widowControl w:val="0"/>
        <w:spacing w:before="240" w:line="260" w:lineRule="atLeast"/>
        <w:jc w:val="both"/>
      </w:pPr>
      <w:bookmarkStart w:id="8797" w:name="Prior_History_48"/>
      <w:bookmarkEnd w:id="8797"/>
      <w:r>
        <w:rPr>
          <w:rFonts w:ascii="Arial" w:eastAsia="Arial" w:hAnsi="Arial" w:cs="Arial"/>
          <w:b/>
          <w:color w:val="000000"/>
          <w:sz w:val="20"/>
        </w:rPr>
        <w:t>Prior History:</w:t>
      </w:r>
      <w:r>
        <w:rPr>
          <w:rFonts w:ascii="Arial" w:eastAsia="Arial" w:hAnsi="Arial" w:cs="Arial"/>
          <w:color w:val="000000"/>
          <w:sz w:val="20"/>
        </w:rPr>
        <w:t> </w:t>
      </w:r>
      <w:bookmarkStart w:id="8798" w:name="Bookmark_para_1_48"/>
      <w:bookmarkEnd w:id="8798"/>
      <w:r>
        <w:rPr>
          <w:rFonts w:ascii="Arial" w:eastAsia="Arial" w:hAnsi="Arial" w:cs="Arial"/>
          <w:color w:val="000000"/>
          <w:sz w:val="20"/>
        </w:rPr>
        <w:t> [**1] Appeal from the United States District Court for the Middle District of Pennsylvania. (D.C. Civil Action No. 1-17-cv-00785). District Judge: Honorable Sylvia H. Rambo.</w:t>
      </w:r>
    </w:p>
    <w:p w14:paraId="122287BC" w14:textId="77777777" w:rsidR="002B10A6" w:rsidRDefault="00000000">
      <w:pPr>
        <w:pStyle w:val="Normal49"/>
        <w:widowControl w:val="0"/>
        <w:spacing w:before="120" w:line="260" w:lineRule="atLeast"/>
      </w:pPr>
      <w:r>
        <w:rPr>
          <w:rFonts w:ascii="Arial" w:eastAsia="Arial" w:hAnsi="Arial" w:cs="Arial"/>
          <w:color w:val="000000"/>
          <w:sz w:val="20"/>
        </w:rPr>
        <w:t>Matheis v. CSL Plasma, Inc., 346 F. Supp. 3d 723, 2018 U.S. Dist. LEXIS 167007 (M.D. Pa., Sept. 27, 2018)</w:t>
      </w:r>
    </w:p>
    <w:p w14:paraId="51BDF1F7" w14:textId="77777777" w:rsidR="002B10A6" w:rsidRDefault="00000000">
      <w:pPr>
        <w:pStyle w:val="Normal49"/>
        <w:widowControl w:val="0"/>
        <w:spacing w:before="240" w:line="260" w:lineRule="atLeast"/>
      </w:pPr>
      <w:bookmarkStart w:id="8799" w:name="Counsel_47"/>
      <w:bookmarkEnd w:id="8799"/>
      <w:r>
        <w:rPr>
          <w:rFonts w:ascii="Arial" w:eastAsia="Arial" w:hAnsi="Arial" w:cs="Arial"/>
          <w:b/>
          <w:color w:val="000000"/>
          <w:sz w:val="20"/>
        </w:rPr>
        <w:t>Counsel:</w:t>
      </w:r>
      <w:r>
        <w:rPr>
          <w:rFonts w:ascii="Arial" w:eastAsia="Arial" w:hAnsi="Arial" w:cs="Arial"/>
          <w:color w:val="000000"/>
          <w:sz w:val="20"/>
        </w:rPr>
        <w:t> Rees Griffiths, Zachary E. Nahass (Argued), CGA Law Firm, York, PA, Counsel for Appellant.</w:t>
      </w:r>
    </w:p>
    <w:p w14:paraId="7EF8732F" w14:textId="77777777" w:rsidR="002B10A6" w:rsidRDefault="00000000">
      <w:pPr>
        <w:pStyle w:val="Normal49"/>
        <w:widowControl w:val="0"/>
        <w:spacing w:before="120" w:line="260" w:lineRule="atLeast"/>
      </w:pPr>
      <w:r>
        <w:rPr>
          <w:rFonts w:ascii="Arial" w:eastAsia="Arial" w:hAnsi="Arial" w:cs="Arial"/>
          <w:color w:val="000000"/>
          <w:sz w:val="20"/>
        </w:rPr>
        <w:t>Bruce J. Douglas (Argued), Ogletree Deakins Nash Smoak &amp; Stewart, Minneapolis, MN; Donald D. Gamburg, Rachel C. Stone, Ogletree Deakins Nash Smoak &amp; Stewart, Philadelphia, PA, Counsel for Appellee.</w:t>
      </w:r>
    </w:p>
    <w:p w14:paraId="1C67C5D7" w14:textId="77777777" w:rsidR="002B10A6" w:rsidRDefault="00000000">
      <w:pPr>
        <w:pStyle w:val="Normal49"/>
        <w:widowControl w:val="0"/>
        <w:spacing w:before="120" w:line="260" w:lineRule="atLeast"/>
      </w:pPr>
      <w:r>
        <w:rPr>
          <w:rFonts w:ascii="Arial" w:eastAsia="Arial" w:hAnsi="Arial" w:cs="Arial"/>
          <w:color w:val="000000"/>
          <w:sz w:val="20"/>
        </w:rPr>
        <w:t>Lauri A. Mazzuchetti, Kelley Drye &amp; Warren, Parsippany, NJ; John T. Delacourt (Argued), Joshua Penrod, Plasma Protein Therapeutics Association, Washington, DC, Counsel for Amicus Appellee/Cross Amicus Appellant The Plasma Protein Therapeutics Association.</w:t>
      </w:r>
    </w:p>
    <w:p w14:paraId="541D9502" w14:textId="77777777" w:rsidR="002B10A6" w:rsidRDefault="00000000">
      <w:pPr>
        <w:pStyle w:val="Normal49"/>
        <w:widowControl w:val="0"/>
        <w:spacing w:before="240" w:line="260" w:lineRule="atLeast"/>
      </w:pPr>
      <w:bookmarkStart w:id="8800" w:name="Judges_48"/>
      <w:bookmarkEnd w:id="8800"/>
      <w:r>
        <w:rPr>
          <w:rFonts w:ascii="Arial" w:eastAsia="Arial" w:hAnsi="Arial" w:cs="Arial"/>
          <w:b/>
          <w:color w:val="000000"/>
          <w:sz w:val="20"/>
        </w:rPr>
        <w:t>Judges:</w:t>
      </w:r>
      <w:r>
        <w:rPr>
          <w:rFonts w:ascii="Arial" w:eastAsia="Arial" w:hAnsi="Arial" w:cs="Arial"/>
          <w:color w:val="000000"/>
          <w:sz w:val="20"/>
        </w:rPr>
        <w:t> Before: AMBRO, RESTREPO, and FISHER, Circuit Judges.</w:t>
      </w:r>
    </w:p>
    <w:p w14:paraId="0DEA47A5" w14:textId="77777777" w:rsidR="002B10A6" w:rsidRDefault="00000000">
      <w:pPr>
        <w:pStyle w:val="Normal49"/>
        <w:widowControl w:val="0"/>
        <w:spacing w:before="240" w:line="260" w:lineRule="atLeast"/>
      </w:pPr>
      <w:bookmarkStart w:id="8801" w:name="Opinion_by_33"/>
      <w:bookmarkEnd w:id="8801"/>
      <w:r>
        <w:rPr>
          <w:rFonts w:ascii="Arial" w:eastAsia="Arial" w:hAnsi="Arial" w:cs="Arial"/>
          <w:b/>
          <w:color w:val="000000"/>
          <w:sz w:val="20"/>
        </w:rPr>
        <w:t>Opinion by:</w:t>
      </w:r>
      <w:r>
        <w:rPr>
          <w:rFonts w:ascii="Arial" w:eastAsia="Arial" w:hAnsi="Arial" w:cs="Arial"/>
          <w:color w:val="000000"/>
          <w:sz w:val="20"/>
        </w:rPr>
        <w:t> AMBRO</w:t>
      </w:r>
    </w:p>
    <w:p w14:paraId="6FCB3737" w14:textId="77777777" w:rsidR="002B10A6" w:rsidRDefault="00000000">
      <w:pPr>
        <w:pStyle w:val="Normal49"/>
        <w:keepNext/>
        <w:widowControl w:val="0"/>
        <w:spacing w:before="240" w:line="340" w:lineRule="atLeast"/>
      </w:pPr>
      <w:bookmarkStart w:id="8802" w:name="Opinion_48"/>
      <w:bookmarkEnd w:id="8802"/>
      <w:r>
        <w:rPr>
          <w:rFonts w:ascii="Arial" w:eastAsia="Arial" w:hAnsi="Arial" w:cs="Arial"/>
          <w:b/>
          <w:color w:val="000000"/>
          <w:sz w:val="28"/>
        </w:rPr>
        <w:t>Opinion</w:t>
      </w:r>
    </w:p>
    <w:p w14:paraId="6212349C" w14:textId="752F40E4" w:rsidR="002B10A6" w:rsidRDefault="002D6974">
      <w:pPr>
        <w:pStyle w:val="Normal49"/>
        <w:spacing w:line="60" w:lineRule="exact"/>
      </w:pPr>
      <w:r>
        <w:rPr>
          <w:noProof/>
        </w:rPr>
        <mc:AlternateContent>
          <mc:Choice Requires="wps">
            <w:drawing>
              <wp:anchor distT="0" distB="0" distL="114300" distR="114300" simplePos="0" relativeHeight="251766784" behindDoc="0" locked="0" layoutInCell="1" allowOverlap="1" wp14:anchorId="5875521B" wp14:editId="3A1C928F">
                <wp:simplePos x="0" y="0"/>
                <wp:positionH relativeFrom="column">
                  <wp:posOffset>0</wp:posOffset>
                </wp:positionH>
                <wp:positionV relativeFrom="paragraph">
                  <wp:posOffset>25400</wp:posOffset>
                </wp:positionV>
                <wp:extent cx="3187700" cy="0"/>
                <wp:effectExtent l="19050" t="15875" r="12700" b="12700"/>
                <wp:wrapTopAndBottom/>
                <wp:docPr id="1917727872"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77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FB9979"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25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" strokecolor="#009ddb" strokeweight="2pt">
                <w10:wrap type="topAndBottom"/>
              </v:line>
            </w:pict>
          </mc:Fallback>
        </mc:AlternateContent>
      </w:r>
    </w:p>
    <w:p w14:paraId="6F7939C8" w14:textId="77777777" w:rsidR="002B10A6" w:rsidRDefault="002B10A6">
      <w:pPr>
        <w:pStyle w:val="Normal49"/>
        <w:spacing w:line="120" w:lineRule="exact"/>
      </w:pPr>
    </w:p>
    <w:p w14:paraId="18AAAA31" w14:textId="77777777" w:rsidR="002B10A6" w:rsidRDefault="00000000">
      <w:pPr>
        <w:pStyle w:val="Normal49"/>
        <w:widowControl w:val="0"/>
        <w:spacing w:before="240" w:line="260" w:lineRule="atLeast"/>
      </w:pPr>
      <w:r>
        <w:br/>
      </w:r>
      <w:r>
        <w:rPr>
          <w:rFonts w:ascii="Arial" w:eastAsia="Arial" w:hAnsi="Arial" w:cs="Arial"/>
          <w:color w:val="000000"/>
          <w:sz w:val="20"/>
        </w:rPr>
        <w:t> [*174]  OPINION OF THE COURT</w:t>
      </w:r>
    </w:p>
    <w:p w14:paraId="664FC914" w14:textId="77777777" w:rsidR="002B10A6" w:rsidRDefault="00000000">
      <w:pPr>
        <w:pStyle w:val="Normal49"/>
        <w:widowControl w:val="0"/>
        <w:spacing w:before="200" w:line="260" w:lineRule="atLeast"/>
        <w:jc w:val="both"/>
      </w:pPr>
      <w:bookmarkStart w:id="8803" w:name="Bookmark_para_2_48"/>
      <w:bookmarkEnd w:id="8803"/>
      <w:r>
        <w:rPr>
          <w:rFonts w:ascii="Arial" w:eastAsia="Arial" w:hAnsi="Arial" w:cs="Arial"/>
          <w:color w:val="000000"/>
          <w:sz w:val="20"/>
        </w:rPr>
        <w:t xml:space="preserve">AMBRO, </w:t>
      </w:r>
      <w:r>
        <w:rPr>
          <w:rFonts w:ascii="Arial" w:eastAsia="Arial" w:hAnsi="Arial" w:cs="Arial"/>
          <w:color w:val="000000"/>
          <w:sz w:val="20"/>
          <w:u w:val="single"/>
        </w:rPr>
        <w:t>Circuit Judge</w:t>
      </w:r>
    </w:p>
    <w:p w14:paraId="1DE1F5B6" w14:textId="77777777" w:rsidR="002B10A6" w:rsidRDefault="00000000">
      <w:pPr>
        <w:pStyle w:val="Normal49"/>
        <w:widowControl w:val="0"/>
        <w:spacing w:before="200" w:line="260" w:lineRule="atLeast"/>
        <w:jc w:val="both"/>
      </w:pPr>
      <w:bookmarkStart w:id="8804" w:name="Bookmark_para_3_48"/>
      <w:bookmarkEnd w:id="8804"/>
      <w:r>
        <w:rPr>
          <w:rFonts w:ascii="Arial" w:eastAsia="Arial" w:hAnsi="Arial" w:cs="Arial"/>
          <w:color w:val="000000"/>
          <w:sz w:val="20"/>
        </w:rPr>
        <w:t>Congress, when it passed the Americans with Disabilities Act ("ADA"), found that "physical or mental disabilities in no way diminish a person's right to fully participate in all aspects of society, yet many people with physical or mental disabilities have been precluded from doing so because of discrimination." 42 U.S.C. § 12101(a)(1). The remedy for this finding was "to provide a clear and comprehensive national mandate [**2]  for the elimination of discrimination against individuals with disabilities." 42 U.S.C. § 12101(b)(1). But is it discrimination for an establishment, in the name of safety, to bar everyone who uses a psychiatric service animal, including someone who safely participated more than four score times without assistance?</w:t>
      </w:r>
    </w:p>
    <w:p w14:paraId="009BFABF" w14:textId="77777777" w:rsidR="002B10A6" w:rsidRDefault="00000000">
      <w:pPr>
        <w:pStyle w:val="Normal49"/>
        <w:widowControl w:val="0"/>
        <w:spacing w:before="200" w:line="260" w:lineRule="atLeast"/>
        <w:jc w:val="both"/>
      </w:pPr>
      <w:bookmarkStart w:id="8805" w:name="Bookmark_para_4_48"/>
      <w:bookmarkEnd w:id="8805"/>
      <w:r>
        <w:rPr>
          <w:rFonts w:ascii="Arial" w:eastAsia="Arial" w:hAnsi="Arial" w:cs="Arial"/>
          <w:color w:val="000000"/>
          <w:sz w:val="20"/>
        </w:rPr>
        <w:t>George Matheis, a retired police officer who has successfully managed a diagnosis of post-traumatic stress disorder ("PTSD"), routinely and safely donated plasma roughly 90 times in an 11-month period at CSL Plasma, Inc.'s plasma donation facility. CSL barred him from making further donations when he brought his new service dog, Odin, to the facility the next time. It reasoned that it has a policy to bar any individual who is prescribed daily more than two separate anxiety medications or who uses a service animal to manage anxiety.</w:t>
      </w:r>
      <w:r>
        <w:rPr>
          <w:rFonts w:ascii="Arial" w:eastAsia="Arial" w:hAnsi="Arial" w:cs="Arial"/>
          <w:vertAlign w:val="superscript"/>
        </w:rPr>
        <w:footnoteReference w:customMarkFollows="1" w:id="451"/>
        <w:t>1</w:t>
      </w:r>
      <w:r>
        <w:rPr>
          <w:rFonts w:ascii="Arial" w:eastAsia="Arial" w:hAnsi="Arial" w:cs="Arial"/>
          <w:color w:val="000000"/>
          <w:sz w:val="20"/>
        </w:rPr>
        <w:t xml:space="preserve"> In its view, these people are categorically unsafe to donate plasma. The company required Matheis to provide a letter from his doctor stating he had no need for a service animal before it would screen him for further plasma donation. He sued, lost, and appeals to us.</w:t>
      </w:r>
    </w:p>
    <w:p w14:paraId="7AEF2AA1" w14:textId="77777777" w:rsidR="002B10A6" w:rsidRDefault="00000000">
      <w:pPr>
        <w:pStyle w:val="Normal49"/>
        <w:widowControl w:val="0"/>
        <w:spacing w:before="200" w:line="260" w:lineRule="atLeast"/>
        <w:jc w:val="both"/>
      </w:pPr>
      <w:bookmarkStart w:id="8807" w:name="Bookmark_para_5_48"/>
      <w:bookmarkEnd w:id="8807"/>
      <w:r>
        <w:rPr>
          <w:rFonts w:ascii="Arial" w:eastAsia="Arial" w:hAnsi="Arial" w:cs="Arial"/>
          <w:color w:val="000000"/>
          <w:sz w:val="20"/>
        </w:rPr>
        <w:t>We have two issues. We determine first whether plasma donation centers—facilities where members of the [**3]  public have their plasma extracted in exchange for money—are subject to the ADA's prohibition on unreasonable discrimination. This turns on whether these facilities are "service establishments" under 42 U.S.C. § 12181(7)(F), which has produced a circuit split between the Tenth and Fifth Circuits. We conclude, like the District Court here, that the Tenth Circuit got it right: the ADA applies to plasma donation centers.</w:t>
      </w:r>
    </w:p>
    <w:p w14:paraId="44435A00" w14:textId="77777777" w:rsidR="002B10A6" w:rsidRDefault="00000000">
      <w:pPr>
        <w:pStyle w:val="Normal49"/>
        <w:widowControl w:val="0"/>
        <w:spacing w:before="200" w:line="260" w:lineRule="atLeast"/>
        <w:jc w:val="both"/>
      </w:pPr>
      <w:bookmarkStart w:id="8808" w:name="Bookmark_para_6_48"/>
      <w:bookmarkEnd w:id="8808"/>
      <w:r>
        <w:rPr>
          <w:rFonts w:ascii="Arial" w:eastAsia="Arial" w:hAnsi="Arial" w:cs="Arial"/>
          <w:color w:val="000000"/>
          <w:sz w:val="20"/>
        </w:rPr>
        <w:t>So we next consider the question posed initially, whether CSL violated the ADA by imposing a blanket ban on prospective donors who use a psychiatric service animal. Here we part with the District Court. Public accommodations like CSL must permit disabled individuals to use service animals unless they can show a regulatory exception applies. CSL has failed to provide evidence to satisfy the relevant exception here—that any safety rule "be based on actual risks and not on mere speculation, stereotypes, or generalizations about individuals with disabilities." 28 C.F.R. § 36.301(b). Thus we reverse the grant of summary judgment and remand.</w:t>
      </w:r>
    </w:p>
    <w:p w14:paraId="66E08C96" w14:textId="77777777" w:rsidR="002B10A6" w:rsidRDefault="00000000">
      <w:pPr>
        <w:pStyle w:val="Normal49"/>
        <w:widowControl w:val="0"/>
        <w:spacing w:before="120" w:line="260" w:lineRule="atLeast"/>
      </w:pPr>
      <w:r>
        <w:rPr>
          <w:rFonts w:ascii="Arial" w:eastAsia="Arial" w:hAnsi="Arial" w:cs="Arial"/>
          <w:color w:val="000000"/>
          <w:sz w:val="20"/>
        </w:rPr>
        <w:t>I. Factual Background</w:t>
      </w:r>
    </w:p>
    <w:p w14:paraId="4F7E477C" w14:textId="77777777" w:rsidR="002B10A6" w:rsidRDefault="00000000">
      <w:pPr>
        <w:pStyle w:val="Normal49"/>
        <w:widowControl w:val="0"/>
        <w:spacing w:before="200" w:line="260" w:lineRule="atLeast"/>
        <w:jc w:val="both"/>
      </w:pPr>
      <w:bookmarkStart w:id="8809" w:name="Bookmark_para_7_47"/>
      <w:bookmarkEnd w:id="8809"/>
      <w:r>
        <w:rPr>
          <w:rFonts w:ascii="Arial" w:eastAsia="Arial" w:hAnsi="Arial" w:cs="Arial"/>
          <w:color w:val="000000"/>
          <w:sz w:val="20"/>
        </w:rPr>
        <w:t>CSL owns and operates a plasma donation facility in York, Pennsylvania. Its business is collecting human blood plasma from the public and selling it to third parties. [**4]  It screens prospective donors for known health risks, extracts plasma from qualifying individuals, freezes it, and then ships it to manufacturing plants to be made into medicines. The donation process is intense; each session lasts as long as two  [*175]  hours, and donors, who give blood as often as twice a week, must each time pass an individualized screening process. This process includes a check of the donor's blood pressure and protein levels, along with questions to see how the donor is feeling and to check that he or she has not engaged in risky activities. CSL pays its donors as much as several hundred dollars a month for their plasma.</w:t>
      </w:r>
    </w:p>
    <w:p w14:paraId="3A893697" w14:textId="77777777" w:rsidR="002B10A6" w:rsidRDefault="00000000">
      <w:pPr>
        <w:pStyle w:val="Normal49"/>
        <w:widowControl w:val="0"/>
        <w:spacing w:before="200" w:line="260" w:lineRule="atLeast"/>
        <w:jc w:val="both"/>
      </w:pPr>
      <w:bookmarkStart w:id="8810" w:name="Bookmark_para_8_47"/>
      <w:bookmarkEnd w:id="8810"/>
      <w:r>
        <w:rPr>
          <w:rFonts w:ascii="Arial" w:eastAsia="Arial" w:hAnsi="Arial" w:cs="Arial"/>
          <w:color w:val="000000"/>
          <w:sz w:val="20"/>
        </w:rPr>
        <w:t>Matheis was involved in a deadly shooting incident while on duty as a SWAT officer with his police department in 2000. After that incident, he had problems socializing and was soon diagnosed with PTSD. His condition sometimes causes him to suffer panic attacks when exposed to crowded or confined spaces, altercations, or helicopter noise. He retired from the police force in 2007 to become a small business owner.</w:t>
      </w:r>
    </w:p>
    <w:p w14:paraId="3D0010D4" w14:textId="77777777" w:rsidR="002B10A6" w:rsidRDefault="00000000">
      <w:pPr>
        <w:pStyle w:val="Normal49"/>
        <w:widowControl w:val="0"/>
        <w:spacing w:before="200" w:line="260" w:lineRule="atLeast"/>
        <w:jc w:val="both"/>
      </w:pPr>
      <w:bookmarkStart w:id="8811" w:name="Bookmark_para_9_47"/>
      <w:bookmarkEnd w:id="8811"/>
      <w:r>
        <w:rPr>
          <w:rFonts w:ascii="Arial" w:eastAsia="Arial" w:hAnsi="Arial" w:cs="Arial"/>
          <w:color w:val="000000"/>
          <w:sz w:val="20"/>
        </w:rPr>
        <w:t>In 2016, Matheis decided to donate plasma to raise extra money. As noted, he did so approximately 90 times during that year at the CSL facility [**5]  in York. These went off without a hitch, and CSL paid Matheis between $250-300 a month for his donations.</w:t>
      </w:r>
    </w:p>
    <w:p w14:paraId="469263EA" w14:textId="77777777" w:rsidR="002B10A6" w:rsidRDefault="00000000">
      <w:pPr>
        <w:pStyle w:val="Normal49"/>
        <w:widowControl w:val="0"/>
        <w:spacing w:before="200" w:line="260" w:lineRule="atLeast"/>
        <w:jc w:val="both"/>
      </w:pPr>
      <w:bookmarkStart w:id="8812" w:name="Bookmark_para_10_45"/>
      <w:bookmarkEnd w:id="8812"/>
      <w:r>
        <w:rPr>
          <w:rFonts w:ascii="Arial" w:eastAsia="Arial" w:hAnsi="Arial" w:cs="Arial"/>
          <w:color w:val="000000"/>
          <w:sz w:val="20"/>
        </w:rPr>
        <w:t>In October 2016, Matheis's eldest daughter enlisted in the Navy. Seeing the stress that her leaving caused her father, she bought him a dog, Odin, to help him cope with her absence. Odin was trained as a service dog for Matheis soon thereafter.</w:t>
      </w:r>
    </w:p>
    <w:p w14:paraId="790FEC1C" w14:textId="77777777" w:rsidR="002B10A6" w:rsidRDefault="00000000">
      <w:pPr>
        <w:pStyle w:val="Normal49"/>
        <w:widowControl w:val="0"/>
        <w:spacing w:before="200" w:line="260" w:lineRule="atLeast"/>
        <w:jc w:val="both"/>
      </w:pPr>
      <w:bookmarkStart w:id="8813" w:name="Bookmark_para_11_40"/>
      <w:bookmarkEnd w:id="8813"/>
      <w:r>
        <w:rPr>
          <w:rFonts w:ascii="Arial" w:eastAsia="Arial" w:hAnsi="Arial" w:cs="Arial"/>
          <w:color w:val="000000"/>
          <w:sz w:val="20"/>
        </w:rPr>
        <w:t>During Odin's initial training, Matheis brought him to CSL to introduce him to the facility. Immediately on entering the building, his phlebotomist (someone trained to draw blood from patients or donors) told him he could not have a dog on the premises. Matheis did not undergo CSL's individualized assessment to determine if he could safely donate that day; instead his phlebotomist referred him to the CSL nurses' station. There he explained that Odin was a service animal that helped him manage his PTSD. The nurse referred him to a CSL manger, who explained that, under its policies, CSL permitted service animals for the blind but not for anxiety. Matheis again explained that Odin helped him manage his PTSD, a disability under the ADA. After a phone call, the manager told him he could not donate. Matheis offered to leave Odin in his car and donate [**6]  without him. The manager rejected this, stating he could not donate until he brought back a letter from his healthcare provider saying he could safely donate without Odin. Matheis left CSL and has not returned to donate plasma since.</w:t>
      </w:r>
    </w:p>
    <w:p w14:paraId="72E1E1C9" w14:textId="77777777" w:rsidR="002B10A6" w:rsidRDefault="00000000">
      <w:pPr>
        <w:pStyle w:val="Normal49"/>
        <w:widowControl w:val="0"/>
        <w:spacing w:before="200" w:line="260" w:lineRule="atLeast"/>
        <w:jc w:val="both"/>
      </w:pPr>
      <w:bookmarkStart w:id="8814" w:name="Bookmark_para_12_39"/>
      <w:bookmarkEnd w:id="8814"/>
      <w:r>
        <w:rPr>
          <w:rFonts w:ascii="Arial" w:eastAsia="Arial" w:hAnsi="Arial" w:cs="Arial"/>
          <w:color w:val="000000"/>
          <w:sz w:val="20"/>
        </w:rPr>
        <w:t>CSL's concern is not related to any health concerns that dogs like Odin pose; rather it has concluded that using a service animal for anxiety means that the donor's condition is too severe to undergo safely the donation process.</w:t>
      </w:r>
    </w:p>
    <w:p w14:paraId="5E9FC059" w14:textId="77777777" w:rsidR="002B10A6" w:rsidRDefault="00000000">
      <w:pPr>
        <w:pStyle w:val="Normal49"/>
        <w:widowControl w:val="0"/>
        <w:spacing w:before="200" w:line="260" w:lineRule="atLeast"/>
        <w:jc w:val="both"/>
      </w:pPr>
      <w:bookmarkStart w:id="8815" w:name="Bookmark_para_13_39"/>
      <w:bookmarkStart w:id="8816" w:name="Bookmark_I4H9SW8HS0H000090740002M"/>
      <w:bookmarkStart w:id="8817" w:name="Bookmark_I4H9SW8HWRG000090740002N"/>
      <w:bookmarkStart w:id="8818" w:name="Bookmark_I5X03C4228T4YY0020000400"/>
      <w:bookmarkEnd w:id="8815"/>
      <w:bookmarkEnd w:id="8816"/>
      <w:bookmarkEnd w:id="8817"/>
      <w:bookmarkEnd w:id="8818"/>
      <w:r>
        <w:rPr>
          <w:rFonts w:ascii="Arial" w:eastAsia="Arial" w:hAnsi="Arial" w:cs="Arial"/>
          <w:color w:val="000000"/>
          <w:sz w:val="20"/>
        </w:rPr>
        <w:t xml:space="preserve">Matheis filed suit alleging discrimination for a failure to accommodate his condition. To establish his claim, he must show that (1) he is disabled, (2) CSL is a "public accommodation" under Title III of the ADA, and (3) it unlawfully discriminated against him on the basis of his disability by (a) failing to make a reasonable modification that was (b) necessary to accommodate his disability. </w:t>
      </w:r>
      <w:r>
        <w:rPr>
          <w:rFonts w:ascii="Arial" w:eastAsia="Arial" w:hAnsi="Arial" w:cs="Arial"/>
          <w:i/>
          <w:color w:val="000000"/>
          <w:sz w:val="20"/>
        </w:rPr>
        <w:t xml:space="preserve">See </w:t>
      </w:r>
      <w:bookmarkStart w:id="8819" w:name="Bookmark_I5X03C4228T4YY0010000400"/>
      <w:bookmarkEnd w:id="8819"/>
      <w:r>
        <w:rPr>
          <w:rFonts w:ascii="Arial" w:eastAsia="Arial" w:hAnsi="Arial" w:cs="Arial"/>
          <w:i/>
          <w:color w:val="000000"/>
          <w:sz w:val="20"/>
        </w:rPr>
        <w:t>PGA Tour, Inc. v. Martin</w:t>
      </w:r>
      <w:r>
        <w:rPr>
          <w:rFonts w:ascii="Arial" w:eastAsia="Arial" w:hAnsi="Arial" w:cs="Arial"/>
          <w:color w:val="000000"/>
          <w:sz w:val="20"/>
        </w:rPr>
        <w:t xml:space="preserve">, 532 U.S. 661, 683 n.38, 121 S. Ct. 1879, 149 L. Ed. 2d 904 (2001); </w:t>
      </w:r>
      <w:bookmarkStart w:id="8820" w:name="Bookmark_I5X03C4228T4YY0030000400"/>
      <w:bookmarkEnd w:id="8820"/>
      <w:r>
        <w:rPr>
          <w:rFonts w:ascii="Arial" w:eastAsia="Arial" w:hAnsi="Arial" w:cs="Arial"/>
          <w:i/>
          <w:color w:val="000000"/>
          <w:sz w:val="20"/>
        </w:rPr>
        <w:t>Berardelli v. Allied Servs. Inst. of Rehab. Med.</w:t>
      </w:r>
      <w:r>
        <w:rPr>
          <w:rFonts w:ascii="Arial" w:eastAsia="Arial" w:hAnsi="Arial" w:cs="Arial"/>
          <w:color w:val="000000"/>
          <w:sz w:val="20"/>
        </w:rPr>
        <w:t>, 900 F.3d 104, 123 (3d Cir. 2018).</w:t>
      </w:r>
    </w:p>
    <w:p w14:paraId="31A2F890" w14:textId="77777777" w:rsidR="002B10A6" w:rsidRDefault="00000000">
      <w:pPr>
        <w:pStyle w:val="Normal49"/>
        <w:widowControl w:val="0"/>
        <w:spacing w:before="200" w:line="260" w:lineRule="atLeast"/>
        <w:jc w:val="both"/>
      </w:pPr>
      <w:bookmarkStart w:id="8821" w:name="Bookmark_para_14_39"/>
      <w:bookmarkStart w:id="8822" w:name="Bookmark_I5X03C422N1R900010000400"/>
      <w:bookmarkEnd w:id="8821"/>
      <w:bookmarkEnd w:id="8822"/>
      <w:r>
        <w:rPr>
          <w:rFonts w:ascii="Arial" w:eastAsia="Arial" w:hAnsi="Arial" w:cs="Arial"/>
          <w:color w:val="000000"/>
          <w:sz w:val="20"/>
        </w:rPr>
        <w:t xml:space="preserve">CSL does not dispute that Matheis is disabled or that Odin is a trained service animal. Thus this appeal hinges on the two issues noted above: whether the ADA applies to CSL; and, if so, whether its conduct was unlawful discrimination under the ADA. It moved for summary judgment contending that it was not subject to the ADA or, alternatively, [**7]  that its policy— [*176]  barring all individuals who use service animals for anxiety—was reasonable. </w:t>
      </w:r>
      <w:r>
        <w:rPr>
          <w:rFonts w:ascii="Arial" w:eastAsia="Arial" w:hAnsi="Arial" w:cs="Arial"/>
          <w:i/>
          <w:color w:val="000000"/>
          <w:sz w:val="20"/>
        </w:rPr>
        <w:t>See</w:t>
      </w:r>
      <w:r>
        <w:rPr>
          <w:rFonts w:ascii="Arial" w:eastAsia="Arial" w:hAnsi="Arial" w:cs="Arial"/>
          <w:color w:val="000000"/>
          <w:sz w:val="20"/>
        </w:rPr>
        <w:t xml:space="preserve"> Defendant's Mot. for Summ. J. at 12-19, </w:t>
      </w:r>
      <w:bookmarkStart w:id="8823" w:name="Bookmark_I5X03C4228T4YY0050000400"/>
      <w:bookmarkEnd w:id="8823"/>
      <w:r>
        <w:rPr>
          <w:rFonts w:ascii="Arial" w:eastAsia="Arial" w:hAnsi="Arial" w:cs="Arial"/>
          <w:i/>
          <w:color w:val="000000"/>
          <w:sz w:val="20"/>
        </w:rPr>
        <w:t>Matheis v. CSL Plasma, Inc.</w:t>
      </w:r>
      <w:r>
        <w:rPr>
          <w:rFonts w:ascii="Arial" w:eastAsia="Arial" w:hAnsi="Arial" w:cs="Arial"/>
          <w:color w:val="000000"/>
          <w:sz w:val="20"/>
        </w:rPr>
        <w:t>, No. 1:17-cv-00785-SHR, 346 F. Supp. 3d 723, 734 (M.D. Pa. 2018) (ECF No. 27).</w:t>
      </w:r>
    </w:p>
    <w:p w14:paraId="54268B2C" w14:textId="77777777" w:rsidR="002B10A6" w:rsidRDefault="00000000">
      <w:pPr>
        <w:pStyle w:val="Normal49"/>
        <w:widowControl w:val="0"/>
        <w:spacing w:before="200" w:line="260" w:lineRule="atLeast"/>
        <w:jc w:val="both"/>
      </w:pPr>
      <w:bookmarkStart w:id="8824" w:name="Bookmark_para_15_39"/>
      <w:bookmarkStart w:id="8825" w:name="Bookmark_I5X03C422N1R900030000400"/>
      <w:bookmarkStart w:id="8826" w:name="Bookmark_I5X03C422N1R900050000400"/>
      <w:bookmarkEnd w:id="8824"/>
      <w:bookmarkEnd w:id="8825"/>
      <w:bookmarkEnd w:id="8826"/>
      <w:r>
        <w:rPr>
          <w:rFonts w:ascii="Arial" w:eastAsia="Arial" w:hAnsi="Arial" w:cs="Arial"/>
          <w:color w:val="000000"/>
          <w:sz w:val="20"/>
        </w:rPr>
        <w:t xml:space="preserve">The District Court ruled that the ADA covered CSL, but that the company did not unlawfully discriminate because it had a legitimate, non-discriminatory reason for refusing to allow Matheis to donate plasma, a concern that he had severe anxiety. </w:t>
      </w:r>
      <w:bookmarkStart w:id="8827" w:name="Bookmark_I5X03C4328T5010020000400"/>
      <w:bookmarkStart w:id="8828" w:name="Bookmark_I5X03C422N1R900020000400"/>
      <w:bookmarkEnd w:id="8827"/>
      <w:bookmarkEnd w:id="8828"/>
      <w:r>
        <w:rPr>
          <w:rFonts w:ascii="Arial" w:eastAsia="Arial" w:hAnsi="Arial" w:cs="Arial"/>
          <w:i/>
          <w:color w:val="000000"/>
          <w:sz w:val="20"/>
        </w:rPr>
        <w:t>Matheis v. CSL Plasma, Inc.</w:t>
      </w:r>
      <w:r>
        <w:rPr>
          <w:rFonts w:ascii="Arial" w:eastAsia="Arial" w:hAnsi="Arial" w:cs="Arial"/>
          <w:color w:val="000000"/>
          <w:sz w:val="20"/>
        </w:rPr>
        <w:t xml:space="preserve">, 346 F. Supp. 3d 723, 734 (M.D. Pa. 2018). The Court buttressed what it recognized as a "necessary, yet counterintuitive," conclusion, </w:t>
      </w:r>
      <w:bookmarkStart w:id="8829" w:name="Bookmark_I5X03C422N1R900040000400"/>
      <w:bookmarkEnd w:id="8829"/>
      <w:r>
        <w:rPr>
          <w:rFonts w:ascii="Arial" w:eastAsia="Arial" w:hAnsi="Arial" w:cs="Arial"/>
          <w:i/>
          <w:color w:val="000000"/>
          <w:sz w:val="20"/>
        </w:rPr>
        <w:t>id.</w:t>
      </w:r>
      <w:r>
        <w:rPr>
          <w:rFonts w:ascii="Arial" w:eastAsia="Arial" w:hAnsi="Arial" w:cs="Arial"/>
          <w:color w:val="000000"/>
          <w:sz w:val="20"/>
        </w:rPr>
        <w:t xml:space="preserve"> at 735, by stressing CSL would let Matheis donate with Odin once he cleared it with a doctor. </w:t>
      </w:r>
      <w:bookmarkStart w:id="8830" w:name="Bookmark_I5X03C4328T5010020000400_2"/>
      <w:bookmarkStart w:id="8831" w:name="Bookmark_I5X03C4328T5010010000400"/>
      <w:bookmarkEnd w:id="8830"/>
      <w:bookmarkEnd w:id="8831"/>
      <w:r>
        <w:rPr>
          <w:rFonts w:ascii="Arial" w:eastAsia="Arial" w:hAnsi="Arial" w:cs="Arial"/>
          <w:i/>
          <w:color w:val="000000"/>
          <w:sz w:val="20"/>
        </w:rPr>
        <w:t>Id.</w:t>
      </w:r>
      <w:r>
        <w:rPr>
          <w:rFonts w:ascii="Arial" w:eastAsia="Arial" w:hAnsi="Arial" w:cs="Arial"/>
          <w:color w:val="000000"/>
          <w:sz w:val="20"/>
        </w:rPr>
        <w:t xml:space="preserve"> at 737 ("CSL stated that it would admit Plaintiff if he provided it with a note from a psychologist stating that he could donate safely </w:t>
      </w:r>
      <w:r>
        <w:rPr>
          <w:rFonts w:ascii="Arial" w:eastAsia="Arial" w:hAnsi="Arial" w:cs="Arial"/>
          <w:i/>
          <w:color w:val="000000"/>
          <w:sz w:val="20"/>
        </w:rPr>
        <w:t>with</w:t>
      </w:r>
      <w:r>
        <w:rPr>
          <w:rFonts w:ascii="Arial" w:eastAsia="Arial" w:hAnsi="Arial" w:cs="Arial"/>
          <w:color w:val="000000"/>
          <w:sz w:val="20"/>
        </w:rPr>
        <w:t xml:space="preserve"> Odin accompanying him.") (emphasis added). But CSL's stance is that Matheis may not donate until he can safely donate </w:t>
      </w:r>
      <w:r>
        <w:rPr>
          <w:rFonts w:ascii="Arial" w:eastAsia="Arial" w:hAnsi="Arial" w:cs="Arial"/>
          <w:i/>
          <w:color w:val="000000"/>
          <w:sz w:val="20"/>
        </w:rPr>
        <w:t>without</w:t>
      </w:r>
      <w:r>
        <w:rPr>
          <w:rFonts w:ascii="Arial" w:eastAsia="Arial" w:hAnsi="Arial" w:cs="Arial"/>
          <w:color w:val="000000"/>
          <w:sz w:val="20"/>
        </w:rPr>
        <w:t xml:space="preserve"> Odin.</w:t>
      </w:r>
    </w:p>
    <w:p w14:paraId="65B5EF2C" w14:textId="77777777" w:rsidR="002B10A6" w:rsidRDefault="00000000">
      <w:pPr>
        <w:pStyle w:val="Normal49"/>
        <w:widowControl w:val="0"/>
        <w:spacing w:before="200" w:line="260" w:lineRule="atLeast"/>
        <w:jc w:val="both"/>
      </w:pPr>
      <w:bookmarkStart w:id="8832" w:name="Bookmark_para_16_36"/>
      <w:bookmarkEnd w:id="8832"/>
      <w:r>
        <w:rPr>
          <w:rFonts w:ascii="Arial" w:eastAsia="Arial" w:hAnsi="Arial" w:cs="Arial"/>
          <w:color w:val="000000"/>
          <w:sz w:val="20"/>
        </w:rPr>
        <w:t xml:space="preserve">Matheis appeals the ruling, while CSL cross-appeals contending it is not subject to the ADA at all. The Plasma Protein Therapeutics Association also filed an </w:t>
      </w:r>
      <w:r>
        <w:rPr>
          <w:rFonts w:ascii="Arial" w:eastAsia="Arial" w:hAnsi="Arial" w:cs="Arial"/>
          <w:i/>
          <w:color w:val="000000"/>
          <w:sz w:val="20"/>
        </w:rPr>
        <w:t>amicus</w:t>
      </w:r>
      <w:r>
        <w:rPr>
          <w:rFonts w:ascii="Arial" w:eastAsia="Arial" w:hAnsi="Arial" w:cs="Arial"/>
          <w:color w:val="000000"/>
          <w:sz w:val="20"/>
        </w:rPr>
        <w:t xml:space="preserve"> brief and participated in oral argument, arguing that Title III of the ADA does not apply to plasma donation centers like CSL.</w:t>
      </w:r>
    </w:p>
    <w:p w14:paraId="0FA5632C" w14:textId="77777777" w:rsidR="002B10A6" w:rsidRDefault="00000000">
      <w:pPr>
        <w:pStyle w:val="Normal49"/>
        <w:widowControl w:val="0"/>
        <w:spacing w:before="120" w:line="260" w:lineRule="atLeast"/>
      </w:pPr>
      <w:r>
        <w:rPr>
          <w:rFonts w:ascii="Arial" w:eastAsia="Arial" w:hAnsi="Arial" w:cs="Arial"/>
          <w:color w:val="000000"/>
          <w:sz w:val="20"/>
        </w:rPr>
        <w:t>II. Jurisdiction and [**8]  Standard of Review</w:t>
      </w:r>
    </w:p>
    <w:p w14:paraId="56DA4FF2" w14:textId="77777777" w:rsidR="002B10A6" w:rsidRDefault="00000000">
      <w:pPr>
        <w:pStyle w:val="Normal49"/>
        <w:widowControl w:val="0"/>
        <w:spacing w:before="200" w:line="260" w:lineRule="atLeast"/>
        <w:jc w:val="both"/>
      </w:pPr>
      <w:bookmarkStart w:id="8833" w:name="Bookmark_para_17_36"/>
      <w:bookmarkEnd w:id="8833"/>
      <w:r>
        <w:rPr>
          <w:rFonts w:ascii="Arial" w:eastAsia="Arial" w:hAnsi="Arial" w:cs="Arial"/>
          <w:color w:val="000000"/>
          <w:sz w:val="20"/>
        </w:rPr>
        <w:t>The District Court had jurisdiction per 28 U.S.C. §§ 1331 and 1343(a)(4). Its grant of summary judgment was a final order, and so we have jurisdiction under 28 U.S.C. § 1291.</w:t>
      </w:r>
    </w:p>
    <w:p w14:paraId="1039E343" w14:textId="77777777" w:rsidR="002B10A6" w:rsidRDefault="00000000">
      <w:pPr>
        <w:pStyle w:val="Normal49"/>
        <w:widowControl w:val="0"/>
        <w:spacing w:before="200" w:line="260" w:lineRule="atLeast"/>
        <w:jc w:val="both"/>
      </w:pPr>
      <w:bookmarkStart w:id="8834" w:name="Bookmark_para_18_35"/>
      <w:bookmarkStart w:id="8835" w:name="Bookmark_I5X03C4328T5010040000400"/>
      <w:bookmarkStart w:id="8836" w:name="Bookmark_I5X03C432N1R910010000400"/>
      <w:bookmarkStart w:id="8837" w:name="Bookmark_LNHNREFclscc1_38"/>
      <w:bookmarkEnd w:id="8834"/>
      <w:bookmarkEnd w:id="8835"/>
      <w:bookmarkEnd w:id="8836"/>
      <w:bookmarkEnd w:id="8837"/>
      <w:r>
        <w:rPr>
          <w:rFonts w:ascii="Arial" w:eastAsia="Arial" w:hAnsi="Arial" w:cs="Arial"/>
          <w:color w:val="000000"/>
          <w:sz w:val="20"/>
        </w:rPr>
        <w:t xml:space="preserve">We review </w:t>
      </w:r>
      <w:r>
        <w:rPr>
          <w:rFonts w:ascii="Arial" w:eastAsia="Arial" w:hAnsi="Arial" w:cs="Arial"/>
          <w:i/>
          <w:color w:val="000000"/>
          <w:sz w:val="20"/>
        </w:rPr>
        <w:t>de novo</w:t>
      </w:r>
      <w:r>
        <w:rPr>
          <w:rFonts w:ascii="Arial" w:eastAsia="Arial" w:hAnsi="Arial" w:cs="Arial"/>
          <w:color w:val="000000"/>
          <w:sz w:val="20"/>
        </w:rPr>
        <w:t xml:space="preserve"> a grant of summary judgment. </w:t>
      </w:r>
      <w:bookmarkStart w:id="8838" w:name="Bookmark_I5X03C4328T5010030000400"/>
      <w:bookmarkEnd w:id="8838"/>
      <w:r>
        <w:rPr>
          <w:rFonts w:ascii="Arial" w:eastAsia="Arial" w:hAnsi="Arial" w:cs="Arial"/>
          <w:i/>
          <w:color w:val="000000"/>
          <w:sz w:val="20"/>
        </w:rPr>
        <w:t>Metro Transp. Co. v. N. Star Reinsurance Co.</w:t>
      </w:r>
      <w:r>
        <w:rPr>
          <w:rFonts w:ascii="Arial" w:eastAsia="Arial" w:hAnsi="Arial" w:cs="Arial"/>
          <w:color w:val="000000"/>
          <w:sz w:val="20"/>
        </w:rPr>
        <w:t xml:space="preserve">, 912 F.2d 672, 678 (3d Cir. 1990). </w:t>
      </w:r>
      <w:bookmarkStart w:id="8839" w:name="Bookmark_LNHNREFclscc2_38"/>
      <w:bookmarkEnd w:id="8839"/>
      <w:r>
        <w:rPr>
          <w:rFonts w:ascii="Arial" w:eastAsia="Arial" w:hAnsi="Arial" w:cs="Arial"/>
          <w:color w:val="000000"/>
          <w:sz w:val="20"/>
        </w:rPr>
        <w:t xml:space="preserve">We apply the same test the District Court would use. </w:t>
      </w:r>
      <w:bookmarkStart w:id="8840" w:name="Bookmark_I5X03C4328T5010050000400"/>
      <w:bookmarkEnd w:id="8840"/>
      <w:r>
        <w:rPr>
          <w:rFonts w:ascii="Arial" w:eastAsia="Arial" w:hAnsi="Arial" w:cs="Arial"/>
          <w:i/>
          <w:color w:val="000000"/>
          <w:sz w:val="20"/>
        </w:rPr>
        <w:t>Dwyer v. Cappell</w:t>
      </w:r>
      <w:r>
        <w:rPr>
          <w:rFonts w:ascii="Arial" w:eastAsia="Arial" w:hAnsi="Arial" w:cs="Arial"/>
          <w:color w:val="000000"/>
          <w:sz w:val="20"/>
        </w:rPr>
        <w:t>, 762 F.3d 275, 279 (3d Cir. 2014). Under this test, reviewing the facts in the light most favorable to the non-mover, we grant summary judgment "if the movant shows that there is no genuine dispute as to any material fact and the movant is entitled to judgment as a matter of law." Fed. R. Civ. P. 56(a).</w:t>
      </w:r>
    </w:p>
    <w:p w14:paraId="17D04DD8" w14:textId="77777777" w:rsidR="002B10A6" w:rsidRDefault="00000000">
      <w:pPr>
        <w:pStyle w:val="Normal49"/>
        <w:widowControl w:val="0"/>
        <w:spacing w:before="120" w:line="260" w:lineRule="atLeast"/>
      </w:pPr>
      <w:r>
        <w:rPr>
          <w:rFonts w:ascii="Arial" w:eastAsia="Arial" w:hAnsi="Arial" w:cs="Arial"/>
          <w:color w:val="000000"/>
          <w:sz w:val="20"/>
        </w:rPr>
        <w:t>III. Discussion</w:t>
      </w:r>
    </w:p>
    <w:p w14:paraId="2D471C67" w14:textId="77777777" w:rsidR="002B10A6" w:rsidRDefault="00000000">
      <w:pPr>
        <w:pStyle w:val="Normal49"/>
        <w:widowControl w:val="0"/>
        <w:spacing w:before="120" w:line="260" w:lineRule="atLeast"/>
      </w:pPr>
      <w:r>
        <w:rPr>
          <w:rFonts w:ascii="Arial" w:eastAsia="Arial" w:hAnsi="Arial" w:cs="Arial"/>
          <w:color w:val="000000"/>
          <w:sz w:val="20"/>
        </w:rPr>
        <w:t>A. Does the ADA apply to plasma donation centers?</w:t>
      </w:r>
    </w:p>
    <w:p w14:paraId="1C197975" w14:textId="77777777" w:rsidR="002B10A6" w:rsidRDefault="00000000">
      <w:pPr>
        <w:pStyle w:val="Normal49"/>
        <w:widowControl w:val="0"/>
        <w:spacing w:before="200" w:line="260" w:lineRule="atLeast"/>
        <w:jc w:val="both"/>
      </w:pPr>
      <w:bookmarkStart w:id="8841" w:name="Bookmark_para_19_34"/>
      <w:bookmarkStart w:id="8842" w:name="Bookmark_I5X03C432N1R910030000400"/>
      <w:bookmarkStart w:id="8843" w:name="Bookmark_LNHNREFclscc3_37"/>
      <w:bookmarkEnd w:id="8841"/>
      <w:bookmarkEnd w:id="8842"/>
      <w:bookmarkEnd w:id="8843"/>
      <w:r>
        <w:rPr>
          <w:rFonts w:ascii="Arial" w:eastAsia="Arial" w:hAnsi="Arial" w:cs="Arial"/>
          <w:color w:val="000000"/>
          <w:sz w:val="20"/>
        </w:rPr>
        <w:t xml:space="preserve">The ADA is divided into three titles of regulation—Title I (employers), Title II (governments), and Title III (public accommodations). Title III states that "[n]o individual shall be discriminated against on the basis of disability in the full and equal enjoyment of the goods, services, facilities, privileges, advantages, or accommodations of any place of public accommodation . . . ." 42 U.S.C. § 12182. It reflects the ADA's "comprehensive character," </w:t>
      </w:r>
      <w:bookmarkStart w:id="8844" w:name="Bookmark_I5X03C432N1R910020000400"/>
      <w:bookmarkEnd w:id="8844"/>
      <w:r>
        <w:rPr>
          <w:rFonts w:ascii="Arial" w:eastAsia="Arial" w:hAnsi="Arial" w:cs="Arial"/>
          <w:i/>
          <w:color w:val="000000"/>
          <w:sz w:val="20"/>
        </w:rPr>
        <w:t>Martin</w:t>
      </w:r>
      <w:r>
        <w:rPr>
          <w:rFonts w:ascii="Arial" w:eastAsia="Arial" w:hAnsi="Arial" w:cs="Arial"/>
          <w:color w:val="000000"/>
          <w:sz w:val="20"/>
        </w:rPr>
        <w:t>, 532 U.S. at 675 (quotation omitted), and defines "public accommodation" to include, in relevant part:</w:t>
      </w:r>
    </w:p>
    <w:p w14:paraId="18552F69" w14:textId="77777777" w:rsidR="002B10A6" w:rsidRDefault="00000000">
      <w:pPr>
        <w:pStyle w:val="Normal49"/>
        <w:widowControl w:val="0"/>
        <w:spacing w:before="200" w:line="260" w:lineRule="atLeast"/>
        <w:ind w:left="400"/>
        <w:jc w:val="both"/>
      </w:pPr>
      <w:bookmarkStart w:id="8845" w:name="Bookmark_para_20_33"/>
      <w:bookmarkEnd w:id="8845"/>
      <w:r>
        <w:rPr>
          <w:rFonts w:ascii="Arial" w:eastAsia="Arial" w:hAnsi="Arial" w:cs="Arial"/>
          <w:color w:val="000000"/>
          <w:sz w:val="20"/>
        </w:rPr>
        <w:t xml:space="preserve">a laundromat, dry-cleaner, bank, barber shop, beauty shop, travel service, shoe repair service, funeral parlor, [**9]  gas station, office of an accountant or lawyer, pharmacy, insurance office, professional office of a health care provider, hospital, </w:t>
      </w:r>
      <w:r>
        <w:rPr>
          <w:rFonts w:ascii="Arial" w:eastAsia="Arial" w:hAnsi="Arial" w:cs="Arial"/>
          <w:i/>
          <w:color w:val="000000"/>
          <w:sz w:val="20"/>
        </w:rPr>
        <w:t>or other service establishment</w:t>
      </w:r>
      <w:r>
        <w:rPr>
          <w:rFonts w:ascii="Arial" w:eastAsia="Arial" w:hAnsi="Arial" w:cs="Arial"/>
          <w:color w:val="000000"/>
          <w:sz w:val="20"/>
        </w:rPr>
        <w:t>; . . . .</w:t>
      </w:r>
    </w:p>
    <w:p w14:paraId="17088193" w14:textId="77777777" w:rsidR="002B10A6" w:rsidRDefault="00000000">
      <w:pPr>
        <w:pStyle w:val="Normal49"/>
        <w:widowControl w:val="0"/>
        <w:spacing w:line="260" w:lineRule="atLeast"/>
        <w:ind w:left="400"/>
        <w:jc w:val="both"/>
      </w:pPr>
      <w:bookmarkStart w:id="8846" w:name="Bookmark_para_21_33"/>
      <w:bookmarkEnd w:id="8846"/>
      <w:r>
        <w:rPr>
          <w:rFonts w:ascii="Arial" w:eastAsia="Arial" w:hAnsi="Arial" w:cs="Arial"/>
          <w:color w:val="000000"/>
          <w:sz w:val="20"/>
        </w:rPr>
        <w:t>. . . .</w:t>
      </w:r>
    </w:p>
    <w:p w14:paraId="3C5FA13F" w14:textId="77777777" w:rsidR="002B10A6" w:rsidRDefault="00000000">
      <w:pPr>
        <w:pStyle w:val="Normal49"/>
        <w:widowControl w:val="0"/>
        <w:spacing w:line="260" w:lineRule="atLeast"/>
        <w:jc w:val="both"/>
      </w:pPr>
      <w:r>
        <w:rPr>
          <w:rFonts w:ascii="Arial" w:eastAsia="Arial" w:hAnsi="Arial" w:cs="Arial"/>
          <w:color w:val="000000"/>
          <w:sz w:val="20"/>
        </w:rPr>
        <w:t>42 U.S.C. § 12181(7)(F) (emphasis added). Our focus narrows to whether a plasma donation facility is an "other service establishment."</w:t>
      </w:r>
    </w:p>
    <w:p w14:paraId="3BB9B43F" w14:textId="77777777" w:rsidR="002B10A6" w:rsidRDefault="00000000">
      <w:pPr>
        <w:pStyle w:val="Normal49"/>
        <w:widowControl w:val="0"/>
        <w:spacing w:before="200" w:line="260" w:lineRule="atLeast"/>
        <w:jc w:val="both"/>
      </w:pPr>
      <w:bookmarkStart w:id="8847" w:name="Bookmark_para_22_32"/>
      <w:bookmarkStart w:id="8848" w:name="Bookmark_I4H9SW8J1BT000090740002P"/>
      <w:bookmarkStart w:id="8849" w:name="Bookmark_I5X03C432N1R910050000400"/>
      <w:bookmarkEnd w:id="8847"/>
      <w:bookmarkEnd w:id="8848"/>
      <w:bookmarkEnd w:id="8849"/>
      <w:r>
        <w:rPr>
          <w:rFonts w:ascii="Arial" w:eastAsia="Arial" w:hAnsi="Arial" w:cs="Arial"/>
          <w:color w:val="000000"/>
          <w:sz w:val="20"/>
        </w:rPr>
        <w:t xml:space="preserve">This question has already produced a circuit split. </w:t>
      </w:r>
      <w:bookmarkStart w:id="8850" w:name="Bookmark_I5X03C442D6N650020000400"/>
      <w:bookmarkEnd w:id="8850"/>
      <w:r>
        <w:rPr>
          <w:rFonts w:ascii="Arial" w:eastAsia="Arial" w:hAnsi="Arial" w:cs="Arial"/>
          <w:color w:val="000000"/>
          <w:sz w:val="20"/>
        </w:rPr>
        <w:t xml:space="preserve">In </w:t>
      </w:r>
      <w:bookmarkStart w:id="8851" w:name="Bookmark_I5X03C432N1R910040000400"/>
      <w:bookmarkEnd w:id="8851"/>
      <w:r>
        <w:rPr>
          <w:rFonts w:ascii="Arial" w:eastAsia="Arial" w:hAnsi="Arial" w:cs="Arial"/>
          <w:i/>
          <w:color w:val="000000"/>
          <w:sz w:val="20"/>
        </w:rPr>
        <w:t>Levorsen v. Octapharma Plasma, Inc.</w:t>
      </w:r>
      <w:r>
        <w:rPr>
          <w:rFonts w:ascii="Arial" w:eastAsia="Arial" w:hAnsi="Arial" w:cs="Arial"/>
          <w:color w:val="000000"/>
          <w:sz w:val="20"/>
        </w:rPr>
        <w:t xml:space="preserve">, 828 F.3d 1227, 1229 (10th Cir. 2016), a divided panel held that plasma donation centers were subject to the ADA as service establishments. The Court relied on a broad, common definition of "service" and "establishment"—"conduct  [*177]  or performance that assists or benefits someone or something" and a "place of business," respectively. </w:t>
      </w:r>
      <w:bookmarkStart w:id="8852" w:name="Bookmark_I5X03C442D6N650020000400_2"/>
      <w:bookmarkStart w:id="8853" w:name="Bookmark_I5X03C442D6N650010000400"/>
      <w:bookmarkEnd w:id="8852"/>
      <w:bookmarkEnd w:id="8853"/>
      <w:r>
        <w:rPr>
          <w:rFonts w:ascii="Arial" w:eastAsia="Arial" w:hAnsi="Arial" w:cs="Arial"/>
          <w:i/>
          <w:color w:val="000000"/>
          <w:sz w:val="20"/>
        </w:rPr>
        <w:t>Id.</w:t>
      </w:r>
      <w:r>
        <w:rPr>
          <w:rFonts w:ascii="Arial" w:eastAsia="Arial" w:hAnsi="Arial" w:cs="Arial"/>
          <w:color w:val="000000"/>
          <w:sz w:val="20"/>
        </w:rPr>
        <w:t xml:space="preserve"> at 1231 (quoting </w:t>
      </w:r>
      <w:r>
        <w:rPr>
          <w:rFonts w:ascii="Arial" w:eastAsia="Arial" w:hAnsi="Arial" w:cs="Arial"/>
          <w:i/>
          <w:color w:val="000000"/>
          <w:sz w:val="20"/>
        </w:rPr>
        <w:t>Webster's Third New International Dictionary</w:t>
      </w:r>
      <w:r>
        <w:rPr>
          <w:rFonts w:ascii="Arial" w:eastAsia="Arial" w:hAnsi="Arial" w:cs="Arial"/>
          <w:color w:val="000000"/>
          <w:sz w:val="20"/>
        </w:rPr>
        <w:t xml:space="preserve"> 778, 2075 (2002)). </w:t>
      </w:r>
      <w:bookmarkStart w:id="8854" w:name="Bookmark_I5X03C442D6N650040000400"/>
      <w:bookmarkEnd w:id="8854"/>
      <w:r>
        <w:rPr>
          <w:rFonts w:ascii="Arial" w:eastAsia="Arial" w:hAnsi="Arial" w:cs="Arial"/>
          <w:color w:val="000000"/>
          <w:sz w:val="20"/>
        </w:rPr>
        <w:t xml:space="preserve">It reasoned that giving the term "service establishment" the ordinary meaning of its components yielded neither ambiguity nor an irrational result. Plasma donation centers "are 'place[s] of business.' . . . And they 'assist[] or benefit[]' those who wish to provide plasma for medical use—whether for altruistic reasons or for pecuniary gain—by supplying the trained personnel and medical equipment necessary to accomplish that goal." </w:t>
      </w:r>
      <w:bookmarkStart w:id="8855" w:name="Bookmark_I5X03C442D6N650030000400"/>
      <w:bookmarkEnd w:id="8855"/>
      <w:r>
        <w:rPr>
          <w:rFonts w:ascii="Arial" w:eastAsia="Arial" w:hAnsi="Arial" w:cs="Arial"/>
          <w:i/>
          <w:color w:val="000000"/>
          <w:sz w:val="20"/>
        </w:rPr>
        <w:t>Id.</w:t>
      </w:r>
      <w:r>
        <w:rPr>
          <w:rFonts w:ascii="Arial" w:eastAsia="Arial" w:hAnsi="Arial" w:cs="Arial"/>
          <w:color w:val="000000"/>
          <w:sz w:val="20"/>
        </w:rPr>
        <w:t xml:space="preserve"> at 1234 (same) (alterations supplied in opinion).</w:t>
      </w:r>
    </w:p>
    <w:p w14:paraId="5E449DDE" w14:textId="77777777" w:rsidR="002B10A6" w:rsidRDefault="00000000">
      <w:pPr>
        <w:pStyle w:val="Normal49"/>
        <w:widowControl w:val="0"/>
        <w:spacing w:before="200" w:line="260" w:lineRule="atLeast"/>
        <w:jc w:val="both"/>
      </w:pPr>
      <w:bookmarkStart w:id="8856" w:name="Bookmark_para_23_29"/>
      <w:bookmarkStart w:id="8857" w:name="Bookmark_I4H9SW8J51N000090740002R"/>
      <w:bookmarkStart w:id="8858" w:name="Bookmark_I5X03C442SF89V0010000400"/>
      <w:bookmarkEnd w:id="8856"/>
      <w:bookmarkEnd w:id="8857"/>
      <w:bookmarkEnd w:id="8858"/>
      <w:r>
        <w:rPr>
          <w:rFonts w:ascii="Arial" w:eastAsia="Arial" w:hAnsi="Arial" w:cs="Arial"/>
          <w:color w:val="000000"/>
          <w:sz w:val="20"/>
        </w:rPr>
        <w:t xml:space="preserve">The Fifth [**10]  Circuit in </w:t>
      </w:r>
      <w:bookmarkStart w:id="8859" w:name="Bookmark_I5X03C442D6N650050000400"/>
      <w:bookmarkEnd w:id="8859"/>
      <w:r>
        <w:rPr>
          <w:rFonts w:ascii="Arial" w:eastAsia="Arial" w:hAnsi="Arial" w:cs="Arial"/>
          <w:i/>
          <w:color w:val="000000"/>
          <w:sz w:val="20"/>
        </w:rPr>
        <w:t>Silguero v. CSL Plasma, Inc.</w:t>
      </w:r>
      <w:r>
        <w:rPr>
          <w:rFonts w:ascii="Arial" w:eastAsia="Arial" w:hAnsi="Arial" w:cs="Arial"/>
          <w:color w:val="000000"/>
          <w:sz w:val="20"/>
        </w:rPr>
        <w:t xml:space="preserve">, 907 F.3d 323 (5th Cir. 2018), viewed things differently. </w:t>
      </w:r>
      <w:bookmarkStart w:id="8860" w:name="Bookmark_I5X03C442SF89V0030000400"/>
      <w:bookmarkEnd w:id="8860"/>
      <w:r>
        <w:rPr>
          <w:rFonts w:ascii="Arial" w:eastAsia="Arial" w:hAnsi="Arial" w:cs="Arial"/>
          <w:color w:val="000000"/>
          <w:sz w:val="20"/>
        </w:rPr>
        <w:t xml:space="preserve">It made two base observations—the donor is not benefited by donating, and each of the listed service establishments provides services to the public in exchange for money. These features did not apply to plasma donation services. </w:t>
      </w:r>
      <w:bookmarkStart w:id="8861" w:name="Bookmark_I5X03C442SF89V0030000400_2"/>
      <w:bookmarkStart w:id="8862" w:name="Bookmark_I5X03C442SF89V0020000400"/>
      <w:bookmarkEnd w:id="8861"/>
      <w:bookmarkEnd w:id="8862"/>
      <w:r>
        <w:rPr>
          <w:rFonts w:ascii="Arial" w:eastAsia="Arial" w:hAnsi="Arial" w:cs="Arial"/>
          <w:i/>
          <w:color w:val="000000"/>
          <w:sz w:val="20"/>
        </w:rPr>
        <w:t>Id.</w:t>
      </w:r>
      <w:r>
        <w:rPr>
          <w:rFonts w:ascii="Arial" w:eastAsia="Arial" w:hAnsi="Arial" w:cs="Arial"/>
          <w:color w:val="000000"/>
          <w:sz w:val="20"/>
        </w:rPr>
        <w:t xml:space="preserve"> at 329.</w:t>
      </w:r>
    </w:p>
    <w:p w14:paraId="09692458" w14:textId="77777777" w:rsidR="002B10A6" w:rsidRDefault="00000000">
      <w:pPr>
        <w:pStyle w:val="Normal49"/>
        <w:widowControl w:val="0"/>
        <w:spacing w:before="200" w:line="260" w:lineRule="atLeast"/>
        <w:jc w:val="both"/>
      </w:pPr>
      <w:bookmarkStart w:id="8863" w:name="Bookmark_para_24_28"/>
      <w:bookmarkStart w:id="8864" w:name="Bookmark_I5X03C442SF89V0050000400"/>
      <w:bookmarkEnd w:id="8863"/>
      <w:bookmarkEnd w:id="8864"/>
      <w:r>
        <w:rPr>
          <w:rFonts w:ascii="Arial" w:eastAsia="Arial" w:hAnsi="Arial" w:cs="Arial"/>
          <w:color w:val="000000"/>
          <w:sz w:val="20"/>
        </w:rPr>
        <w:t xml:space="preserve">The dissent in </w:t>
      </w:r>
      <w:r>
        <w:rPr>
          <w:rFonts w:ascii="Arial" w:eastAsia="Arial" w:hAnsi="Arial" w:cs="Arial"/>
          <w:i/>
          <w:color w:val="000000"/>
          <w:sz w:val="20"/>
        </w:rPr>
        <w:t>Levorsen</w:t>
      </w:r>
      <w:r>
        <w:rPr>
          <w:rFonts w:ascii="Arial" w:eastAsia="Arial" w:hAnsi="Arial" w:cs="Arial"/>
          <w:color w:val="000000"/>
          <w:sz w:val="20"/>
        </w:rPr>
        <w:t xml:space="preserve"> took a similar line. It followed </w:t>
      </w:r>
      <w:r>
        <w:rPr>
          <w:rFonts w:ascii="Arial" w:eastAsia="Arial" w:hAnsi="Arial" w:cs="Arial"/>
          <w:i/>
          <w:color w:val="000000"/>
          <w:sz w:val="20"/>
        </w:rPr>
        <w:t>ejusdem generis</w:t>
      </w:r>
      <w:r>
        <w:rPr>
          <w:rFonts w:ascii="Arial" w:eastAsia="Arial" w:hAnsi="Arial" w:cs="Arial"/>
          <w:color w:val="000000"/>
          <w:sz w:val="20"/>
        </w:rPr>
        <w:t xml:space="preserve">, a canon of statutory interpretation that interprets a last, general term by looking to the preceding examples. From these the dissenting judge proposed the following definition: a service establishment "offer[s] the public a 'service' (1) in the form of (a) expertise (e.g., barbers, beauticians. . ., and hospitals) or (b) specialized equipment (e.g., laundromats and gas stations), (2) for use in achieving some desired end, (3) in exchange for monetary compensation." </w:t>
      </w:r>
      <w:bookmarkStart w:id="8865" w:name="Bookmark_I5X03C442SF89V0040000400"/>
      <w:bookmarkEnd w:id="8865"/>
      <w:r>
        <w:rPr>
          <w:rFonts w:ascii="Arial" w:eastAsia="Arial" w:hAnsi="Arial" w:cs="Arial"/>
          <w:i/>
          <w:color w:val="000000"/>
          <w:sz w:val="20"/>
        </w:rPr>
        <w:t>Levorsen</w:t>
      </w:r>
      <w:r>
        <w:rPr>
          <w:rFonts w:ascii="Arial" w:eastAsia="Arial" w:hAnsi="Arial" w:cs="Arial"/>
          <w:color w:val="000000"/>
          <w:sz w:val="20"/>
        </w:rPr>
        <w:t xml:space="preserve">, 828 F.3d at 1235 (Holmes, J., dissenting). </w:t>
      </w:r>
      <w:bookmarkStart w:id="8866" w:name="Bookmark_I5X03C442N1R930020000400"/>
      <w:bookmarkEnd w:id="8866"/>
      <w:r>
        <w:rPr>
          <w:rFonts w:ascii="Arial" w:eastAsia="Arial" w:hAnsi="Arial" w:cs="Arial"/>
          <w:color w:val="000000"/>
          <w:sz w:val="20"/>
        </w:rPr>
        <w:t>He concluded that plasma donation centers could not qualify as service establishments because donors do not pay money for the service and (confusingly) because the donation centers do not offer their services in order to benefit the public.</w:t>
      </w:r>
    </w:p>
    <w:p w14:paraId="21A3FD84" w14:textId="77777777" w:rsidR="002B10A6" w:rsidRDefault="00000000">
      <w:pPr>
        <w:pStyle w:val="Normal49"/>
        <w:widowControl w:val="0"/>
        <w:spacing w:before="200" w:line="260" w:lineRule="atLeast"/>
        <w:ind w:left="400"/>
        <w:jc w:val="both"/>
      </w:pPr>
      <w:bookmarkStart w:id="8867" w:name="Bookmark_para_25_28"/>
      <w:bookmarkStart w:id="8868" w:name="Bookmark_I5X03C442N1R930020000400_2"/>
      <w:bookmarkEnd w:id="8867"/>
      <w:bookmarkEnd w:id="8868"/>
      <w:r>
        <w:rPr>
          <w:rFonts w:ascii="Arial" w:eastAsia="Arial" w:hAnsi="Arial" w:cs="Arial"/>
          <w:color w:val="000000"/>
          <w:sz w:val="20"/>
        </w:rPr>
        <w:t xml:space="preserve">[T]o the extent that plasma-donation centers provide services to the public—such as those services identified by Mr. Levorsen [**11]  and the United States—they do not do so for the </w:t>
      </w:r>
      <w:r>
        <w:rPr>
          <w:rFonts w:ascii="Arial" w:eastAsia="Arial" w:hAnsi="Arial" w:cs="Arial"/>
          <w:i/>
          <w:color w:val="000000"/>
          <w:sz w:val="20"/>
        </w:rPr>
        <w:t>public's</w:t>
      </w:r>
      <w:r>
        <w:rPr>
          <w:rFonts w:ascii="Arial" w:eastAsia="Arial" w:hAnsi="Arial" w:cs="Arial"/>
          <w:color w:val="000000"/>
          <w:sz w:val="20"/>
        </w:rPr>
        <w:t xml:space="preserve"> use in achieving a desired end; instead, they provide them for the </w:t>
      </w:r>
      <w:r>
        <w:rPr>
          <w:rFonts w:ascii="Arial" w:eastAsia="Arial" w:hAnsi="Arial" w:cs="Arial"/>
          <w:i/>
          <w:color w:val="000000"/>
          <w:sz w:val="20"/>
        </w:rPr>
        <w:t>centers</w:t>
      </w:r>
      <w:r>
        <w:rPr>
          <w:rFonts w:ascii="Arial" w:eastAsia="Arial" w:hAnsi="Arial" w:cs="Arial"/>
          <w:color w:val="000000"/>
          <w:sz w:val="20"/>
        </w:rPr>
        <w:t>' use in achieving a desired end. More specifically, plasma-donation centers provide the public with the expertise associated with blood [extraction] . . . so that the centers can sell the plasma to their customers in the pharmaceutical industry (i.e., the desired end)—not so that they can assist the public to achieve some desired end.</w:t>
      </w:r>
    </w:p>
    <w:p w14:paraId="2B41779D" w14:textId="77777777" w:rsidR="002B10A6" w:rsidRDefault="00000000">
      <w:pPr>
        <w:pStyle w:val="Normal49"/>
        <w:widowControl w:val="0"/>
        <w:spacing w:before="200" w:line="260" w:lineRule="atLeast"/>
        <w:jc w:val="both"/>
      </w:pPr>
      <w:bookmarkStart w:id="8869" w:name="Bookmark_I5X03C442N1R930020000400_3"/>
      <w:bookmarkStart w:id="8870" w:name="Bookmark_I5X03C442N1R930010000400"/>
      <w:bookmarkEnd w:id="8869"/>
      <w:bookmarkEnd w:id="8870"/>
      <w:r>
        <w:rPr>
          <w:rFonts w:ascii="Arial" w:eastAsia="Arial" w:hAnsi="Arial" w:cs="Arial"/>
          <w:i/>
          <w:color w:val="000000"/>
          <w:sz w:val="20"/>
        </w:rPr>
        <w:t>Id.</w:t>
      </w:r>
      <w:r>
        <w:rPr>
          <w:rFonts w:ascii="Arial" w:eastAsia="Arial" w:hAnsi="Arial" w:cs="Arial"/>
          <w:color w:val="000000"/>
          <w:sz w:val="20"/>
        </w:rPr>
        <w:t xml:space="preserve"> at 1243 (emphases in original).</w:t>
      </w:r>
    </w:p>
    <w:p w14:paraId="09968087" w14:textId="77777777" w:rsidR="002B10A6" w:rsidRDefault="00000000">
      <w:pPr>
        <w:pStyle w:val="Normal49"/>
        <w:widowControl w:val="0"/>
        <w:spacing w:before="200" w:line="260" w:lineRule="atLeast"/>
        <w:jc w:val="both"/>
      </w:pPr>
      <w:bookmarkStart w:id="8871" w:name="Bookmark_para_26_28"/>
      <w:bookmarkEnd w:id="8871"/>
      <w:r>
        <w:rPr>
          <w:rFonts w:ascii="Arial" w:eastAsia="Arial" w:hAnsi="Arial" w:cs="Arial"/>
          <w:color w:val="000000"/>
          <w:sz w:val="20"/>
        </w:rPr>
        <w:t>We align with the majority in the Tenth Circuit. First, at least here no support exists for the Fifth Circuit's statement that donors "do not benefit" from the act of donating. The record is unequivocal that Matheis and other donors receive money, a clear benefit, to donate plasma.</w:t>
      </w:r>
    </w:p>
    <w:p w14:paraId="6DCD8140" w14:textId="77777777" w:rsidR="002B10A6" w:rsidRDefault="00000000">
      <w:pPr>
        <w:pStyle w:val="Normal49"/>
        <w:widowControl w:val="0"/>
        <w:spacing w:before="200" w:line="260" w:lineRule="atLeast"/>
        <w:jc w:val="both"/>
      </w:pPr>
      <w:bookmarkStart w:id="8872" w:name="Bookmark_para_27_27"/>
      <w:bookmarkEnd w:id="8872"/>
      <w:r>
        <w:rPr>
          <w:rFonts w:ascii="Arial" w:eastAsia="Arial" w:hAnsi="Arial" w:cs="Arial"/>
          <w:color w:val="000000"/>
          <w:sz w:val="20"/>
        </w:rPr>
        <w:t>Second, Judge Holmes's attempt in his dissent to distinguish this benefit on the basis of the secondary profit motive of plasma facilities is unpersuasive. A bank, one of the listed examples in § 12181(7)(F), is an obvious example of a service establishment that uses the fruits of its public-facing services for subsequent profit. Not only does it provide the means and expertise to hold safely the public's money, it also may provide interest [**12]  or other benefits (including cash or rewards) to convince customers to entrust them with their savings. That a bank subsequently invests, trades, or loans this money to third parties does not make it any less a service establishment with respect to the public.</w:t>
      </w:r>
    </w:p>
    <w:p w14:paraId="7FE455A7" w14:textId="77777777" w:rsidR="002B10A6" w:rsidRDefault="00000000">
      <w:pPr>
        <w:pStyle w:val="Normal49"/>
        <w:widowControl w:val="0"/>
        <w:spacing w:before="200" w:line="260" w:lineRule="atLeast"/>
        <w:jc w:val="both"/>
      </w:pPr>
      <w:bookmarkStart w:id="8873" w:name="Bookmark_para_28_27"/>
      <w:bookmarkEnd w:id="8873"/>
      <w:r>
        <w:rPr>
          <w:rFonts w:ascii="Arial" w:eastAsia="Arial" w:hAnsi="Arial" w:cs="Arial"/>
          <w:color w:val="000000"/>
          <w:sz w:val="20"/>
        </w:rPr>
        <w:t>Moreover, any emphasis on the direction of monetary compensation is, to us, unhelpful. Businesses that offer services to  [*178]  the public convey something of economic value in return for something else of economic value. The value received by the service provider and given by the customer is often money, but it need not be. Money is one proxy for economic value, and economic value is fungible.</w:t>
      </w:r>
    </w:p>
    <w:p w14:paraId="75B6ECF6" w14:textId="77777777" w:rsidR="002B10A6" w:rsidRDefault="00000000">
      <w:pPr>
        <w:pStyle w:val="Normal49"/>
        <w:widowControl w:val="0"/>
        <w:spacing w:before="200" w:line="260" w:lineRule="atLeast"/>
        <w:jc w:val="both"/>
      </w:pPr>
      <w:bookmarkStart w:id="8874" w:name="Bookmark_para_29_26"/>
      <w:bookmarkEnd w:id="8874"/>
      <w:r>
        <w:rPr>
          <w:rFonts w:ascii="Arial" w:eastAsia="Arial" w:hAnsi="Arial" w:cs="Arial"/>
          <w:color w:val="000000"/>
          <w:sz w:val="20"/>
        </w:rPr>
        <w:t xml:space="preserve">The bank example shows we should not arbitrarily narrow the scope of "service establishments" to entities that receive compensation from customers in the form of money. Banks and their customers exchange sources of economic value that do not always fit into a simple "money for service" model. As noted, customers often receive money from banks for using the bank's service. </w:t>
      </w:r>
      <w:bookmarkStart w:id="8875" w:name="Bookmark_I5X03C442N1R930040000400"/>
      <w:bookmarkEnd w:id="8875"/>
      <w:r>
        <w:rPr>
          <w:rFonts w:ascii="Arial" w:eastAsia="Arial" w:hAnsi="Arial" w:cs="Arial"/>
          <w:color w:val="000000"/>
          <w:sz w:val="20"/>
        </w:rPr>
        <w:t>Banks are hardly the only example of companies that pay the public to use their services. A</w:t>
      </w:r>
      <w:r>
        <w:rPr>
          <w:rFonts w:ascii="Arial" w:eastAsia="Arial" w:hAnsi="Arial" w:cs="Arial"/>
          <w:i/>
          <w:color w:val="000000"/>
          <w:sz w:val="20"/>
        </w:rPr>
        <w:t>micus</w:t>
      </w:r>
      <w:r>
        <w:rPr>
          <w:rFonts w:ascii="Arial" w:eastAsia="Arial" w:hAnsi="Arial" w:cs="Arial"/>
          <w:color w:val="000000"/>
          <w:sz w:val="20"/>
        </w:rPr>
        <w:t xml:space="preserve"> Plasma Protein Therapeutics Association conceded at oral argument that a pawnshop [**13]  is a service establishment under Title III. It pays money in exchange for people's possessions. So too, as the District Court noted, is a recycling center a service establishment; it compensates consumers in exchange for their waste and has been held subject to the ADA. </w:t>
      </w:r>
      <w:bookmarkStart w:id="8876" w:name="Bookmark_I5X03C442N1R930030000400"/>
      <w:bookmarkEnd w:id="8876"/>
      <w:r>
        <w:rPr>
          <w:rFonts w:ascii="Arial" w:eastAsia="Arial" w:hAnsi="Arial" w:cs="Arial"/>
          <w:i/>
          <w:color w:val="000000"/>
          <w:sz w:val="20"/>
        </w:rPr>
        <w:t>Matheis</w:t>
      </w:r>
      <w:r>
        <w:rPr>
          <w:rFonts w:ascii="Arial" w:eastAsia="Arial" w:hAnsi="Arial" w:cs="Arial"/>
          <w:color w:val="000000"/>
          <w:sz w:val="20"/>
        </w:rPr>
        <w:t xml:space="preserve">, 346 F. Supp. 3d at 734 n.9 (citing </w:t>
      </w:r>
      <w:bookmarkStart w:id="8877" w:name="Bookmark_I5X03C442N1R930050000400"/>
      <w:bookmarkEnd w:id="8877"/>
      <w:r>
        <w:rPr>
          <w:rFonts w:ascii="Arial" w:eastAsia="Arial" w:hAnsi="Arial" w:cs="Arial"/>
          <w:i/>
          <w:color w:val="000000"/>
          <w:sz w:val="20"/>
        </w:rPr>
        <w:t>Estrada v. S. St. Prop., LLC</w:t>
      </w:r>
      <w:r>
        <w:rPr>
          <w:rFonts w:ascii="Arial" w:eastAsia="Arial" w:hAnsi="Arial" w:cs="Arial"/>
          <w:color w:val="000000"/>
          <w:sz w:val="20"/>
        </w:rPr>
        <w:t>, No. 17-cv-259, 2017 U.S. Dist. LEXIS 128256, 2017 WL 3461290, *3 (C.D. Cal. Aug. 11, 2017)). These examples underscore a simple fact: providing services means providing something of economic value to the public; it does not matter whether it is paid for with money or something else of value.</w:t>
      </w:r>
    </w:p>
    <w:p w14:paraId="05AD9EF8" w14:textId="77777777" w:rsidR="002B10A6" w:rsidRDefault="00000000">
      <w:pPr>
        <w:pStyle w:val="Normal49"/>
        <w:widowControl w:val="0"/>
        <w:spacing w:before="200" w:line="260" w:lineRule="atLeast"/>
        <w:jc w:val="both"/>
      </w:pPr>
      <w:bookmarkStart w:id="8878" w:name="Bookmark_para_30_25"/>
      <w:bookmarkEnd w:id="8878"/>
      <w:r>
        <w:rPr>
          <w:rFonts w:ascii="Arial" w:eastAsia="Arial" w:hAnsi="Arial" w:cs="Arial"/>
          <w:color w:val="000000"/>
          <w:sz w:val="20"/>
        </w:rPr>
        <w:t>Hence we conclude that a plasma donation center is a service establishment under the ADA. It offers a service to the public, the extracting of plasma for money, with the plasma then used by the center in its business of supplying a vital product to healthcare providers. That both the center and members of the public derive economic value from the center's provision and public's use of a commercial service does not divorce the center from the other listed examples in § 12181(7)(F). Indeed this is an irreducible feature of a market system.</w:t>
      </w:r>
    </w:p>
    <w:p w14:paraId="70B83E79" w14:textId="77777777" w:rsidR="002B10A6" w:rsidRDefault="00000000">
      <w:pPr>
        <w:pStyle w:val="Normal49"/>
        <w:widowControl w:val="0"/>
        <w:spacing w:before="120" w:line="260" w:lineRule="atLeast"/>
      </w:pPr>
      <w:r>
        <w:rPr>
          <w:rFonts w:ascii="Arial" w:eastAsia="Arial" w:hAnsi="Arial" w:cs="Arial"/>
          <w:color w:val="000000"/>
          <w:sz w:val="20"/>
        </w:rPr>
        <w:t>B. Did CSL discriminate against Matheis?</w:t>
      </w:r>
    </w:p>
    <w:p w14:paraId="67419281" w14:textId="77777777" w:rsidR="002B10A6" w:rsidRDefault="00000000">
      <w:pPr>
        <w:pStyle w:val="Normal49"/>
        <w:widowControl w:val="0"/>
        <w:spacing w:before="200" w:line="260" w:lineRule="atLeast"/>
        <w:jc w:val="both"/>
      </w:pPr>
      <w:bookmarkStart w:id="8879" w:name="Bookmark_para_31_25"/>
      <w:bookmarkEnd w:id="8879"/>
      <w:r>
        <w:rPr>
          <w:rFonts w:ascii="Arial" w:eastAsia="Arial" w:hAnsi="Arial" w:cs="Arial"/>
          <w:color w:val="000000"/>
          <w:sz w:val="20"/>
        </w:rPr>
        <w:t>We next turn to whether CSL violated the ADA when it barred Matheis from donating plasma.</w:t>
      </w:r>
    </w:p>
    <w:p w14:paraId="599E4417" w14:textId="77777777" w:rsidR="002B10A6" w:rsidRDefault="00000000">
      <w:pPr>
        <w:pStyle w:val="Normal49"/>
        <w:widowControl w:val="0"/>
        <w:spacing w:before="120" w:line="260" w:lineRule="atLeast"/>
      </w:pPr>
      <w:r>
        <w:rPr>
          <w:rFonts w:ascii="Arial" w:eastAsia="Arial" w:hAnsi="Arial" w:cs="Arial"/>
          <w:color w:val="000000"/>
          <w:sz w:val="20"/>
        </w:rPr>
        <w:t>i. Legal standard [**14] </w:t>
      </w:r>
    </w:p>
    <w:p w14:paraId="27A70F68" w14:textId="77777777" w:rsidR="002B10A6" w:rsidRDefault="00000000">
      <w:pPr>
        <w:pStyle w:val="Normal49"/>
        <w:widowControl w:val="0"/>
        <w:spacing w:before="200" w:line="260" w:lineRule="atLeast"/>
        <w:jc w:val="both"/>
      </w:pPr>
      <w:bookmarkStart w:id="8880" w:name="Bookmark_para_32_25"/>
      <w:bookmarkStart w:id="8881" w:name="Bookmark_LNHNREFclscc4_37"/>
      <w:bookmarkEnd w:id="8880"/>
      <w:bookmarkEnd w:id="8881"/>
      <w:r>
        <w:rPr>
          <w:rFonts w:ascii="Arial" w:eastAsia="Arial" w:hAnsi="Arial" w:cs="Arial"/>
          <w:color w:val="000000"/>
          <w:sz w:val="20"/>
        </w:rPr>
        <w:t>The statute requires that public accommodations not discriminate on the basis of disability. Discrimination includes:</w:t>
      </w:r>
    </w:p>
    <w:p w14:paraId="4F06D595" w14:textId="77777777" w:rsidR="002B10A6" w:rsidRDefault="00000000">
      <w:pPr>
        <w:pStyle w:val="Normal49"/>
        <w:widowControl w:val="0"/>
        <w:spacing w:before="200" w:line="260" w:lineRule="atLeast"/>
        <w:ind w:left="400"/>
        <w:jc w:val="both"/>
      </w:pPr>
      <w:bookmarkStart w:id="8882" w:name="Bookmark_para_33_24"/>
      <w:bookmarkEnd w:id="8882"/>
      <w:r>
        <w:rPr>
          <w:rFonts w:ascii="Arial" w:eastAsia="Arial" w:hAnsi="Arial" w:cs="Arial"/>
          <w:color w:val="000000"/>
          <w:sz w:val="20"/>
        </w:rPr>
        <w:t xml:space="preserve">a failure to make </w:t>
      </w:r>
      <w:r>
        <w:rPr>
          <w:rFonts w:ascii="Arial" w:eastAsia="Arial" w:hAnsi="Arial" w:cs="Arial"/>
          <w:i/>
          <w:color w:val="000000"/>
          <w:sz w:val="20"/>
        </w:rPr>
        <w:t>reasonable</w:t>
      </w:r>
      <w:r>
        <w:rPr>
          <w:rFonts w:ascii="Arial" w:eastAsia="Arial" w:hAnsi="Arial" w:cs="Arial"/>
          <w:color w:val="000000"/>
          <w:sz w:val="20"/>
        </w:rPr>
        <w:t xml:space="preserve"> modifications in policies, practices, or procedures, when such modifications are </w:t>
      </w:r>
      <w:r>
        <w:rPr>
          <w:rFonts w:ascii="Arial" w:eastAsia="Arial" w:hAnsi="Arial" w:cs="Arial"/>
          <w:i/>
          <w:color w:val="000000"/>
          <w:sz w:val="20"/>
        </w:rPr>
        <w:t>necessary</w:t>
      </w:r>
      <w:r>
        <w:rPr>
          <w:rFonts w:ascii="Arial" w:eastAsia="Arial" w:hAnsi="Arial" w:cs="Arial"/>
          <w:color w:val="000000"/>
          <w:sz w:val="20"/>
        </w:rPr>
        <w:t xml:space="preserve"> to afford such goods, services, facilities, privileges, advantages, or accommodations to individuals with disabilities, unless the entity can demonstrate that making such modifications would </w:t>
      </w:r>
      <w:r>
        <w:rPr>
          <w:rFonts w:ascii="Arial" w:eastAsia="Arial" w:hAnsi="Arial" w:cs="Arial"/>
          <w:i/>
          <w:color w:val="000000"/>
          <w:sz w:val="20"/>
        </w:rPr>
        <w:t>fundamentally alter the nature</w:t>
      </w:r>
      <w:r>
        <w:rPr>
          <w:rFonts w:ascii="Arial" w:eastAsia="Arial" w:hAnsi="Arial" w:cs="Arial"/>
          <w:color w:val="000000"/>
          <w:sz w:val="20"/>
        </w:rPr>
        <w:t xml:space="preserve"> of such goods, services, [etc.].</w:t>
      </w:r>
    </w:p>
    <w:p w14:paraId="543C95EF" w14:textId="77777777" w:rsidR="002B10A6" w:rsidRDefault="00000000">
      <w:pPr>
        <w:pStyle w:val="Normal49"/>
        <w:widowControl w:val="0"/>
        <w:spacing w:line="260" w:lineRule="atLeast"/>
        <w:jc w:val="both"/>
      </w:pPr>
      <w:r>
        <w:rPr>
          <w:rFonts w:ascii="Arial" w:eastAsia="Arial" w:hAnsi="Arial" w:cs="Arial"/>
          <w:color w:val="000000"/>
          <w:sz w:val="20"/>
        </w:rPr>
        <w:t>42 U.S.C. § 12182(b)(2)(A)(ii) (emphases added).</w:t>
      </w:r>
    </w:p>
    <w:p w14:paraId="3350E5BD" w14:textId="77777777" w:rsidR="002B10A6" w:rsidRDefault="00000000">
      <w:pPr>
        <w:pStyle w:val="Normal49"/>
        <w:widowControl w:val="0"/>
        <w:spacing w:before="200" w:line="260" w:lineRule="atLeast"/>
        <w:jc w:val="both"/>
      </w:pPr>
      <w:bookmarkStart w:id="8883" w:name="Bookmark_para_34_22"/>
      <w:bookmarkStart w:id="8884" w:name="Bookmark_I5X03C442N1R940030000400"/>
      <w:bookmarkStart w:id="8885" w:name="Bookmark_LNHNREFclscc5_36"/>
      <w:bookmarkEnd w:id="8883"/>
      <w:bookmarkEnd w:id="8884"/>
      <w:bookmarkEnd w:id="8885"/>
      <w:r>
        <w:rPr>
          <w:rFonts w:ascii="Arial" w:eastAsia="Arial" w:hAnsi="Arial" w:cs="Arial"/>
          <w:color w:val="000000"/>
          <w:sz w:val="20"/>
        </w:rPr>
        <w:t xml:space="preserve">A company regulated under Title III may be held liable for failing to accommodate. </w:t>
      </w:r>
      <w:bookmarkStart w:id="8886" w:name="Bookmark_I5X03C442D6N670020000400"/>
      <w:bookmarkEnd w:id="8886"/>
      <w:r>
        <w:rPr>
          <w:rFonts w:ascii="Arial" w:eastAsia="Arial" w:hAnsi="Arial" w:cs="Arial"/>
          <w:color w:val="000000"/>
          <w:sz w:val="20"/>
        </w:rPr>
        <w:t xml:space="preserve">This is "a standard that turn[s] on (1) whether the requested accommodation to the program was 'reasonable'; (2) whether it was necessary 'to assure meaningful access'; and (3) whether it would represent 'a fundamental alteration in the nature of [the] program.'" </w:t>
      </w:r>
      <w:bookmarkStart w:id="8887" w:name="Bookmark_I5X03C442N1R940020000400"/>
      <w:bookmarkEnd w:id="8887"/>
      <w:r>
        <w:rPr>
          <w:rFonts w:ascii="Arial" w:eastAsia="Arial" w:hAnsi="Arial" w:cs="Arial"/>
          <w:i/>
          <w:color w:val="000000"/>
          <w:sz w:val="20"/>
        </w:rPr>
        <w:t>Berardelli</w:t>
      </w:r>
      <w:r>
        <w:rPr>
          <w:rFonts w:ascii="Arial" w:eastAsia="Arial" w:hAnsi="Arial" w:cs="Arial"/>
          <w:color w:val="000000"/>
          <w:sz w:val="20"/>
        </w:rPr>
        <w:t xml:space="preserve">, 900 F.3d at 115 (quoting </w:t>
      </w:r>
      <w:bookmarkStart w:id="8888" w:name="Bookmark_I5X03C442N1R940040000400"/>
      <w:bookmarkEnd w:id="8888"/>
      <w:r>
        <w:rPr>
          <w:rFonts w:ascii="Arial" w:eastAsia="Arial" w:hAnsi="Arial" w:cs="Arial"/>
          <w:i/>
          <w:color w:val="000000"/>
          <w:sz w:val="20"/>
        </w:rPr>
        <w:t>Alexander v. Choate</w:t>
      </w:r>
      <w:r>
        <w:rPr>
          <w:rFonts w:ascii="Arial" w:eastAsia="Arial" w:hAnsi="Arial" w:cs="Arial"/>
          <w:color w:val="000000"/>
          <w:sz w:val="20"/>
        </w:rPr>
        <w:t xml:space="preserve">, 469 U.S. 287, 105 S. Ct. 712, 83 L. Ed. 2d 661 (1985)). The plaintiff bears the initial burden of establishing that the desired accommodation is reasonable and necessary, while the defendant bears the burden of showing that it would fundamentally alter the nature of the program. </w:t>
      </w:r>
      <w:bookmarkStart w:id="8889" w:name="Bookmark_I5X03C442D6N670020000400_2"/>
      <w:bookmarkStart w:id="8890" w:name="Bookmark_I5X03C442D6N670010000400"/>
      <w:bookmarkEnd w:id="8889"/>
      <w:bookmarkEnd w:id="8890"/>
      <w:r>
        <w:rPr>
          <w:rFonts w:ascii="Arial" w:eastAsia="Arial" w:hAnsi="Arial" w:cs="Arial"/>
          <w:i/>
          <w:color w:val="000000"/>
          <w:sz w:val="20"/>
        </w:rPr>
        <w:t>Id.</w:t>
      </w:r>
      <w:r>
        <w:rPr>
          <w:rFonts w:ascii="Arial" w:eastAsia="Arial" w:hAnsi="Arial" w:cs="Arial"/>
          <w:color w:val="000000"/>
          <w:sz w:val="20"/>
        </w:rPr>
        <w:t xml:space="preserve"> at 124; </w:t>
      </w:r>
      <w:r>
        <w:rPr>
          <w:rFonts w:ascii="Arial" w:eastAsia="Arial" w:hAnsi="Arial" w:cs="Arial"/>
          <w:i/>
          <w:color w:val="000000"/>
          <w:sz w:val="20"/>
        </w:rPr>
        <w:t xml:space="preserve">see </w:t>
      </w:r>
      <w:bookmarkStart w:id="8891" w:name="Bookmark_I5X03C442D6N670030000400"/>
      <w:bookmarkEnd w:id="8891"/>
      <w:r>
        <w:rPr>
          <w:rFonts w:ascii="Arial" w:eastAsia="Arial" w:hAnsi="Arial" w:cs="Arial"/>
          <w:i/>
          <w:color w:val="000000"/>
          <w:sz w:val="20"/>
        </w:rPr>
        <w:t>J.D. by Doherty v. Colonial Williamsburg Found.</w:t>
      </w:r>
      <w:r>
        <w:rPr>
          <w:rFonts w:ascii="Arial" w:eastAsia="Arial" w:hAnsi="Arial" w:cs="Arial"/>
          <w:color w:val="000000"/>
          <w:sz w:val="20"/>
        </w:rPr>
        <w:t>, 925 F.3d 663, 671 (4th Cir. 2019).</w:t>
      </w:r>
    </w:p>
    <w:p w14:paraId="418A5D6D" w14:textId="77777777" w:rsidR="002B10A6" w:rsidRDefault="00000000">
      <w:pPr>
        <w:pStyle w:val="Normal49"/>
        <w:widowControl w:val="0"/>
        <w:spacing w:before="200" w:line="260" w:lineRule="atLeast"/>
        <w:jc w:val="both"/>
      </w:pPr>
      <w:bookmarkStart w:id="8892" w:name="Bookmark_para_35_22"/>
      <w:bookmarkEnd w:id="8892"/>
      <w:r>
        <w:rPr>
          <w:rFonts w:ascii="Arial" w:eastAsia="Arial" w:hAnsi="Arial" w:cs="Arial"/>
          <w:color w:val="000000"/>
          <w:sz w:val="20"/>
        </w:rPr>
        <w:t> [*179]  CSL does not contend that permitting Odin to accompany Matheis would fundamentally alter the nature of [**15]  its service. Nor does it dispute Matheis's evidence showing that Odin is a necessary accommodation (indeed, CSL's policy assumes that Odin is a necessary accommodation and bars Matheis outright for it). The only question is whether his use of Odin is reasonable.</w:t>
      </w:r>
    </w:p>
    <w:p w14:paraId="742EE94C" w14:textId="77777777" w:rsidR="002B10A6" w:rsidRDefault="00000000">
      <w:pPr>
        <w:pStyle w:val="Normal49"/>
        <w:widowControl w:val="0"/>
        <w:spacing w:before="200" w:line="260" w:lineRule="atLeast"/>
        <w:jc w:val="both"/>
      </w:pPr>
      <w:bookmarkStart w:id="8893" w:name="Bookmark_para_36_22"/>
      <w:bookmarkStart w:id="8894" w:name="Bookmark_I5X03C4528T5050010000400"/>
      <w:bookmarkStart w:id="8895" w:name="Bookmark_I5X03C4528T5050030000400"/>
      <w:bookmarkStart w:id="8896" w:name="Bookmark_I5X03C4528T5050050000400"/>
      <w:bookmarkStart w:id="8897" w:name="Bookmark_LNHNREFclscc6_34"/>
      <w:bookmarkEnd w:id="8893"/>
      <w:bookmarkEnd w:id="8894"/>
      <w:bookmarkEnd w:id="8895"/>
      <w:bookmarkEnd w:id="8896"/>
      <w:bookmarkEnd w:id="8897"/>
      <w:r>
        <w:rPr>
          <w:rFonts w:ascii="Arial" w:eastAsia="Arial" w:hAnsi="Arial" w:cs="Arial"/>
          <w:color w:val="000000"/>
          <w:sz w:val="20"/>
        </w:rPr>
        <w:t xml:space="preserve">Title III entities are required by regulation to "modify policies, practices, or procedures to permit the use of a service animal by an individual with a disability." 28 C.F.R. § 36.302. In other words, use of a service animal by a disabled individual "is reasonable under the ADA as a matter of law" so long as no Department of Justice-promulgated regulation supersedes this general rule. </w:t>
      </w:r>
      <w:bookmarkStart w:id="8898" w:name="Bookmark_I5X03C442D6N670050000400"/>
      <w:bookmarkEnd w:id="8898"/>
      <w:r>
        <w:rPr>
          <w:rFonts w:ascii="Arial" w:eastAsia="Arial" w:hAnsi="Arial" w:cs="Arial"/>
          <w:i/>
          <w:color w:val="000000"/>
          <w:sz w:val="20"/>
        </w:rPr>
        <w:t>Berardelli</w:t>
      </w:r>
      <w:r>
        <w:rPr>
          <w:rFonts w:ascii="Arial" w:eastAsia="Arial" w:hAnsi="Arial" w:cs="Arial"/>
          <w:color w:val="000000"/>
          <w:sz w:val="20"/>
        </w:rPr>
        <w:t>, 900 F.3d at 119 (vacating a jury verdict for a school district that denied one of its students with epilepsy use of her service dog).</w:t>
      </w:r>
      <w:r>
        <w:rPr>
          <w:rFonts w:ascii="Arial" w:eastAsia="Arial" w:hAnsi="Arial" w:cs="Arial"/>
          <w:vertAlign w:val="superscript"/>
        </w:rPr>
        <w:footnoteReference w:customMarkFollows="1" w:id="452"/>
        <w:t>2</w:t>
      </w:r>
      <w:r>
        <w:rPr>
          <w:rFonts w:ascii="Arial" w:eastAsia="Arial" w:hAnsi="Arial" w:cs="Arial"/>
          <w:color w:val="000000"/>
          <w:sz w:val="20"/>
        </w:rPr>
        <w:t xml:space="preserve"> The service-animal regulations satisfy Matheis's initial burden to show an accommodation is reasonable; CSL must establish that an exception to those regulations applies. </w:t>
      </w:r>
      <w:bookmarkStart w:id="8901" w:name="Bookmark_I5X03C4528T5050020000400"/>
      <w:bookmarkEnd w:id="8901"/>
      <w:r>
        <w:rPr>
          <w:rFonts w:ascii="Arial" w:eastAsia="Arial" w:hAnsi="Arial" w:cs="Arial"/>
          <w:i/>
          <w:color w:val="000000"/>
          <w:sz w:val="20"/>
        </w:rPr>
        <w:t>Id.</w:t>
      </w:r>
      <w:r>
        <w:rPr>
          <w:rFonts w:ascii="Arial" w:eastAsia="Arial" w:hAnsi="Arial" w:cs="Arial"/>
          <w:color w:val="000000"/>
          <w:sz w:val="20"/>
        </w:rPr>
        <w:t xml:space="preserve"> at 124.</w:t>
      </w:r>
    </w:p>
    <w:p w14:paraId="46B90C7C" w14:textId="77777777" w:rsidR="002B10A6" w:rsidRDefault="00000000">
      <w:pPr>
        <w:pStyle w:val="Normal49"/>
        <w:widowControl w:val="0"/>
        <w:spacing w:before="200" w:line="260" w:lineRule="atLeast"/>
        <w:jc w:val="both"/>
      </w:pPr>
      <w:bookmarkStart w:id="8902" w:name="Bookmark_para_37_21"/>
      <w:bookmarkStart w:id="8903" w:name="Bookmark_I5X03C4528T5060020000400"/>
      <w:bookmarkEnd w:id="8902"/>
      <w:bookmarkEnd w:id="8903"/>
      <w:r>
        <w:rPr>
          <w:rFonts w:ascii="Arial" w:eastAsia="Arial" w:hAnsi="Arial" w:cs="Arial"/>
          <w:color w:val="000000"/>
          <w:sz w:val="20"/>
        </w:rPr>
        <w:t xml:space="preserve">This burden differs significantly from the test the District Court seems to have applied when it concluded CSL's denial was not based on a "discriminatory animus." It borrowed the employment discrimination framework from </w:t>
      </w:r>
      <w:bookmarkStart w:id="8904" w:name="Bookmark_I5X03C4528T5060010000400"/>
      <w:bookmarkEnd w:id="8904"/>
      <w:r>
        <w:rPr>
          <w:rFonts w:ascii="Arial" w:eastAsia="Arial" w:hAnsi="Arial" w:cs="Arial"/>
          <w:i/>
          <w:color w:val="000000"/>
          <w:sz w:val="20"/>
        </w:rPr>
        <w:t>McDonnell Douglas Corp. v. Green</w:t>
      </w:r>
      <w:r>
        <w:rPr>
          <w:rFonts w:ascii="Arial" w:eastAsia="Arial" w:hAnsi="Arial" w:cs="Arial"/>
          <w:color w:val="000000"/>
          <w:sz w:val="20"/>
        </w:rPr>
        <w:t xml:space="preserve">, 411 U.S. 792, 93 S. Ct. 1817, 36 L. Ed. 2d 668 (1973). </w:t>
      </w:r>
      <w:bookmarkStart w:id="8905" w:name="Bookmark_I5X03C4528T5060040000400"/>
      <w:bookmarkEnd w:id="8905"/>
      <w:r>
        <w:rPr>
          <w:rFonts w:ascii="Arial" w:eastAsia="Arial" w:hAnsi="Arial" w:cs="Arial"/>
          <w:color w:val="000000"/>
          <w:sz w:val="20"/>
        </w:rPr>
        <w:t xml:space="preserve">That framework involves burden shifting: a [**16]  plaintiff must establish a </w:t>
      </w:r>
      <w:r>
        <w:rPr>
          <w:rFonts w:ascii="Arial" w:eastAsia="Arial" w:hAnsi="Arial" w:cs="Arial"/>
          <w:i/>
          <w:color w:val="000000"/>
          <w:sz w:val="20"/>
        </w:rPr>
        <w:t>prima facie</w:t>
      </w:r>
      <w:r>
        <w:rPr>
          <w:rFonts w:ascii="Arial" w:eastAsia="Arial" w:hAnsi="Arial" w:cs="Arial"/>
          <w:color w:val="000000"/>
          <w:sz w:val="20"/>
        </w:rPr>
        <w:t xml:space="preserve"> case of discrimination; when he does, the burden shifts to the employer to articulate some legitimate, nondiscriminatory reason for the adverse action against the employee. If the employer does so, the employee may attempt to show the reason is a pretext to hide discrimination. </w:t>
      </w:r>
      <w:bookmarkStart w:id="8906" w:name="Bookmark_I5X03C4528T5060040000400_2"/>
      <w:bookmarkEnd w:id="8906"/>
      <w:r>
        <w:rPr>
          <w:rFonts w:ascii="Arial" w:eastAsia="Arial" w:hAnsi="Arial" w:cs="Arial"/>
          <w:i/>
          <w:color w:val="000000"/>
          <w:sz w:val="20"/>
        </w:rPr>
        <w:t xml:space="preserve">See, e.g., </w:t>
      </w:r>
      <w:bookmarkStart w:id="8907" w:name="Bookmark_I5X03C4528T5060030000400"/>
      <w:bookmarkEnd w:id="8907"/>
      <w:r>
        <w:rPr>
          <w:rFonts w:ascii="Arial" w:eastAsia="Arial" w:hAnsi="Arial" w:cs="Arial"/>
          <w:i/>
          <w:color w:val="000000"/>
          <w:sz w:val="20"/>
        </w:rPr>
        <w:t>Walton v. Mental Health Ass'n. of Se. Pennsylvania</w:t>
      </w:r>
      <w:r>
        <w:rPr>
          <w:rFonts w:ascii="Arial" w:eastAsia="Arial" w:hAnsi="Arial" w:cs="Arial"/>
          <w:color w:val="000000"/>
          <w:sz w:val="20"/>
        </w:rPr>
        <w:t>, 168 F.3d 661, 668 (3d Cir. 1999).</w:t>
      </w:r>
    </w:p>
    <w:p w14:paraId="4420BEE6" w14:textId="77777777" w:rsidR="002B10A6" w:rsidRDefault="00000000">
      <w:pPr>
        <w:pStyle w:val="Normal49"/>
        <w:widowControl w:val="0"/>
        <w:spacing w:before="200" w:line="260" w:lineRule="atLeast"/>
        <w:jc w:val="both"/>
      </w:pPr>
      <w:bookmarkStart w:id="8908" w:name="Bookmark_para_38_18"/>
      <w:bookmarkStart w:id="8909" w:name="Bookmark_I4H9SW8J8NF000090740002S"/>
      <w:bookmarkStart w:id="8910" w:name="Bookmark_I4H9SW8JD8P000090740002T"/>
      <w:bookmarkStart w:id="8911" w:name="Bookmark_I5X03C452HM67W0010000400"/>
      <w:bookmarkEnd w:id="8908"/>
      <w:bookmarkEnd w:id="8909"/>
      <w:bookmarkEnd w:id="8910"/>
      <w:bookmarkEnd w:id="8911"/>
      <w:r>
        <w:rPr>
          <w:rFonts w:ascii="Arial" w:eastAsia="Arial" w:hAnsi="Arial" w:cs="Arial"/>
          <w:color w:val="000000"/>
          <w:sz w:val="20"/>
        </w:rPr>
        <w:t xml:space="preserve">Because a plaintiff need not show intentional discrimination to demonstrate a violation of Title III of the ADA, </w:t>
      </w:r>
      <w:bookmarkStart w:id="8912" w:name="Bookmark_I5X03C4528T5060050000400"/>
      <w:bookmarkEnd w:id="8912"/>
      <w:r>
        <w:rPr>
          <w:rFonts w:ascii="Arial" w:eastAsia="Arial" w:hAnsi="Arial" w:cs="Arial"/>
          <w:i/>
          <w:color w:val="000000"/>
          <w:sz w:val="20"/>
        </w:rPr>
        <w:t>Lentini v. Calif. Ctr. for the Arts, Escondido</w:t>
      </w:r>
      <w:r>
        <w:rPr>
          <w:rFonts w:ascii="Arial" w:eastAsia="Arial" w:hAnsi="Arial" w:cs="Arial"/>
          <w:color w:val="000000"/>
          <w:sz w:val="20"/>
        </w:rPr>
        <w:t xml:space="preserve">, 370 F.3d 837, 846-47 (9th Cir. 2004), we reject using </w:t>
      </w:r>
      <w:bookmarkStart w:id="8913" w:name="Bookmark_I5X03C452HM67W0020000400"/>
      <w:bookmarkEnd w:id="8913"/>
      <w:r>
        <w:rPr>
          <w:rFonts w:ascii="Arial" w:eastAsia="Arial" w:hAnsi="Arial" w:cs="Arial"/>
          <w:i/>
          <w:color w:val="000000"/>
          <w:sz w:val="20"/>
        </w:rPr>
        <w:t>McDonnell Douglas</w:t>
      </w:r>
      <w:r>
        <w:rPr>
          <w:rFonts w:ascii="Arial" w:eastAsia="Arial" w:hAnsi="Arial" w:cs="Arial"/>
          <w:color w:val="000000"/>
          <w:sz w:val="20"/>
        </w:rPr>
        <w:t xml:space="preserve"> in this context, and instead follow the </w:t>
      </w:r>
      <w:bookmarkStart w:id="8914" w:name="Bookmark_I5X03C452HM67W0040000400"/>
      <w:bookmarkEnd w:id="8914"/>
      <w:r>
        <w:rPr>
          <w:rFonts w:ascii="Arial" w:eastAsia="Arial" w:hAnsi="Arial" w:cs="Arial"/>
          <w:i/>
          <w:color w:val="000000"/>
          <w:sz w:val="20"/>
        </w:rPr>
        <w:t>Berardelli</w:t>
      </w:r>
      <w:r>
        <w:rPr>
          <w:rFonts w:ascii="Arial" w:eastAsia="Arial" w:hAnsi="Arial" w:cs="Arial"/>
          <w:color w:val="000000"/>
          <w:sz w:val="20"/>
        </w:rPr>
        <w:t xml:space="preserve"> framework for ADA claims against a public accommodation. Thus we must determine whether CSL has established exceptions that permit a plasma donation center to deny a disabled individual's use of a service animal. If none apply, Matheis's use of Odin is a reasonable accommodation, and his claim succeeds.</w:t>
      </w:r>
    </w:p>
    <w:p w14:paraId="37484CD4" w14:textId="77777777" w:rsidR="002B10A6" w:rsidRDefault="00000000">
      <w:pPr>
        <w:pStyle w:val="Normal49"/>
        <w:widowControl w:val="0"/>
        <w:spacing w:before="120" w:line="260" w:lineRule="atLeast"/>
      </w:pPr>
      <w:r>
        <w:rPr>
          <w:rFonts w:ascii="Arial" w:eastAsia="Arial" w:hAnsi="Arial" w:cs="Arial"/>
          <w:color w:val="000000"/>
          <w:sz w:val="20"/>
        </w:rPr>
        <w:t>ii. Regulatory exceptions</w:t>
      </w:r>
    </w:p>
    <w:p w14:paraId="6BB84199" w14:textId="77777777" w:rsidR="002B10A6" w:rsidRDefault="00000000">
      <w:pPr>
        <w:pStyle w:val="Normal49"/>
        <w:widowControl w:val="0"/>
        <w:spacing w:before="200" w:line="260" w:lineRule="atLeast"/>
        <w:jc w:val="both"/>
      </w:pPr>
      <w:bookmarkStart w:id="8915" w:name="Bookmark_para_39_18"/>
      <w:bookmarkEnd w:id="8915"/>
      <w:r>
        <w:rPr>
          <w:rFonts w:ascii="Arial" w:eastAsia="Arial" w:hAnsi="Arial" w:cs="Arial"/>
          <w:color w:val="000000"/>
          <w:sz w:val="20"/>
        </w:rPr>
        <w:t xml:space="preserve">In </w:t>
      </w:r>
      <w:r>
        <w:rPr>
          <w:rFonts w:ascii="Arial" w:eastAsia="Arial" w:hAnsi="Arial" w:cs="Arial"/>
          <w:i/>
          <w:color w:val="000000"/>
          <w:sz w:val="20"/>
        </w:rPr>
        <w:t>Berardelli</w:t>
      </w:r>
      <w:r>
        <w:rPr>
          <w:rFonts w:ascii="Arial" w:eastAsia="Arial" w:hAnsi="Arial" w:cs="Arial"/>
          <w:color w:val="000000"/>
          <w:sz w:val="20"/>
        </w:rPr>
        <w:t xml:space="preserve"> we concluded that a small group of regulatory exceptions, both within the animal service regulations and listed elsewhere in Part 35, formed the exclusive bases for a government entity to deny a service animal who is a necessary accommodation for a disabled person:</w:t>
      </w:r>
    </w:p>
    <w:p w14:paraId="16B96998" w14:textId="77777777" w:rsidR="002B10A6" w:rsidRDefault="00000000">
      <w:pPr>
        <w:pStyle w:val="Normal49"/>
        <w:widowControl w:val="0"/>
        <w:spacing w:before="200" w:line="260" w:lineRule="atLeast"/>
        <w:ind w:left="400"/>
        <w:jc w:val="both"/>
      </w:pPr>
      <w:bookmarkStart w:id="8916" w:name="Bookmark_para_40_18"/>
      <w:bookmarkStart w:id="8917" w:name="Bookmark_I5X03C4528T5070020000400"/>
      <w:bookmarkStart w:id="8918" w:name="Bookmark_LNHNREFclscc7_32"/>
      <w:bookmarkEnd w:id="8916"/>
      <w:bookmarkEnd w:id="8917"/>
      <w:bookmarkEnd w:id="8918"/>
      <w:r>
        <w:rPr>
          <w:rFonts w:ascii="Arial" w:eastAsia="Arial" w:hAnsi="Arial" w:cs="Arial"/>
          <w:color w:val="000000"/>
          <w:sz w:val="20"/>
        </w:rPr>
        <w:t xml:space="preserve">[The regulations] specify the limited circumstances in which it [**17]  would be unreasonable to require these actors to allow the use of service animals: if granting access would . . . pose a "direct threat" to the health or safety of others, </w:t>
      </w:r>
      <w:r>
        <w:rPr>
          <w:rFonts w:ascii="Arial" w:eastAsia="Arial" w:hAnsi="Arial" w:cs="Arial"/>
          <w:i/>
          <w:color w:val="000000"/>
          <w:sz w:val="20"/>
        </w:rPr>
        <w:t>id.</w:t>
      </w:r>
      <w:r>
        <w:rPr>
          <w:rFonts w:ascii="Arial" w:eastAsia="Arial" w:hAnsi="Arial" w:cs="Arial"/>
          <w:color w:val="000000"/>
          <w:sz w:val="20"/>
        </w:rPr>
        <w:t xml:space="preserve"> §§ 35.139, 36.208, or if the animal is either "out of control" or "not housebroken," </w:t>
      </w:r>
      <w:r>
        <w:rPr>
          <w:rFonts w:ascii="Arial" w:eastAsia="Arial" w:hAnsi="Arial" w:cs="Arial"/>
          <w:i/>
          <w:color w:val="000000"/>
          <w:sz w:val="20"/>
        </w:rPr>
        <w:t>id.</w:t>
      </w:r>
      <w:r>
        <w:rPr>
          <w:rFonts w:ascii="Arial" w:eastAsia="Arial" w:hAnsi="Arial" w:cs="Arial"/>
          <w:color w:val="000000"/>
          <w:sz w:val="20"/>
        </w:rPr>
        <w:t xml:space="preserve"> §§ 35.136(b)(1)-(2), 36.302(c)(2)(i)-(ii) . . . . Subject to these exceptions, however, the regulations mandate that "[i]ndividuals with disabilities  [*180]  shall be permitted to be accompanied by their service animals in all areas of [a covered actor's facilities] where . . . program participants . . . are allowed to go." </w:t>
      </w:r>
      <w:r>
        <w:rPr>
          <w:rFonts w:ascii="Arial" w:eastAsia="Arial" w:hAnsi="Arial" w:cs="Arial"/>
          <w:i/>
          <w:color w:val="000000"/>
          <w:sz w:val="20"/>
        </w:rPr>
        <w:t>Id.</w:t>
      </w:r>
      <w:r>
        <w:rPr>
          <w:rFonts w:ascii="Arial" w:eastAsia="Arial" w:hAnsi="Arial" w:cs="Arial"/>
          <w:color w:val="000000"/>
          <w:sz w:val="20"/>
        </w:rPr>
        <w:t xml:space="preserve"> § 36.302(c)(7); </w:t>
      </w:r>
      <w:r>
        <w:rPr>
          <w:rFonts w:ascii="Arial" w:eastAsia="Arial" w:hAnsi="Arial" w:cs="Arial"/>
          <w:i/>
          <w:color w:val="000000"/>
          <w:sz w:val="20"/>
        </w:rPr>
        <w:t>see also id.</w:t>
      </w:r>
      <w:r>
        <w:rPr>
          <w:rFonts w:ascii="Arial" w:eastAsia="Arial" w:hAnsi="Arial" w:cs="Arial"/>
          <w:color w:val="000000"/>
          <w:sz w:val="20"/>
        </w:rPr>
        <w:t xml:space="preserve"> § 35.136(g).</w:t>
      </w:r>
    </w:p>
    <w:p w14:paraId="6214ABFB" w14:textId="77777777" w:rsidR="002B10A6" w:rsidRDefault="00000000">
      <w:pPr>
        <w:pStyle w:val="Normal49"/>
        <w:widowControl w:val="0"/>
        <w:spacing w:before="200" w:line="260" w:lineRule="atLeast"/>
        <w:jc w:val="both"/>
      </w:pPr>
      <w:bookmarkStart w:id="8919" w:name="Bookmark_I5X03C4528T5070020000400_2"/>
      <w:bookmarkStart w:id="8920" w:name="Bookmark_I5X03C4528T5070010000400"/>
      <w:bookmarkEnd w:id="8919"/>
      <w:bookmarkEnd w:id="8920"/>
      <w:r>
        <w:rPr>
          <w:rFonts w:ascii="Arial" w:eastAsia="Arial" w:hAnsi="Arial" w:cs="Arial"/>
          <w:i/>
          <w:color w:val="000000"/>
          <w:sz w:val="20"/>
        </w:rPr>
        <w:t>Id.</w:t>
      </w:r>
      <w:r>
        <w:rPr>
          <w:rFonts w:ascii="Arial" w:eastAsia="Arial" w:hAnsi="Arial" w:cs="Arial"/>
          <w:color w:val="000000"/>
          <w:sz w:val="20"/>
        </w:rPr>
        <w:t xml:space="preserve"> at 119.</w:t>
      </w:r>
    </w:p>
    <w:p w14:paraId="4E16AC20" w14:textId="77777777" w:rsidR="002B10A6" w:rsidRDefault="00000000">
      <w:pPr>
        <w:pStyle w:val="Normal49"/>
        <w:widowControl w:val="0"/>
        <w:spacing w:before="200" w:line="260" w:lineRule="atLeast"/>
        <w:jc w:val="both"/>
      </w:pPr>
      <w:bookmarkStart w:id="8921" w:name="Bookmark_para_41_18"/>
      <w:bookmarkEnd w:id="8921"/>
      <w:r>
        <w:rPr>
          <w:rFonts w:ascii="Arial" w:eastAsia="Arial" w:hAnsi="Arial" w:cs="Arial"/>
          <w:color w:val="000000"/>
          <w:sz w:val="20"/>
        </w:rPr>
        <w:t xml:space="preserve">As the citations to Part 36 indicate, identical regulations exist for Title III entities. None is relevant here. The closest fit is 28 C.F.R. § 36.208, which permits public accommodations to deny anyone who poses a "direct threat" to others. While CSL expresses concern that people like Matheis are a threat to staff and other donors, </w:t>
      </w:r>
      <w:bookmarkStart w:id="8922" w:name="Bookmark_LNHNREFclscc8_31"/>
      <w:bookmarkEnd w:id="8922"/>
      <w:r>
        <w:rPr>
          <w:rFonts w:ascii="Arial" w:eastAsia="Arial" w:hAnsi="Arial" w:cs="Arial"/>
          <w:color w:val="000000"/>
          <w:sz w:val="20"/>
        </w:rPr>
        <w:t>the "direct threat" exception requires "an individualized assessment" to determine "[t]he nature, duration, and severity of the risk; the probability that the potential injury will actually occur; and whether reasonable modifications of policies, practices, or procedures or the provision of auxiliary aids or services will mitigate [**18]  the risk," 28 C.F.R. § 36.208, an assessment CSL did not perform.</w:t>
      </w:r>
    </w:p>
    <w:p w14:paraId="56D62FB3" w14:textId="77777777" w:rsidR="002B10A6" w:rsidRDefault="00000000">
      <w:pPr>
        <w:pStyle w:val="Normal49"/>
        <w:widowControl w:val="0"/>
        <w:spacing w:before="200" w:line="260" w:lineRule="atLeast"/>
        <w:jc w:val="both"/>
      </w:pPr>
      <w:bookmarkStart w:id="8923" w:name="Bookmark_para_42_17"/>
      <w:bookmarkEnd w:id="8923"/>
      <w:r>
        <w:rPr>
          <w:rFonts w:ascii="Arial" w:eastAsia="Arial" w:hAnsi="Arial" w:cs="Arial"/>
          <w:color w:val="000000"/>
          <w:sz w:val="20"/>
        </w:rPr>
        <w:t>That is not all that is relevant, however. The parties and the District Court each note the eligibility regulation for Title III public accommodations, 28 C.F.R. § 36.301, and it ultimately controls our inquiry. It states that "[a] public accommodation may impose legitimate safety requirements that are necessary for safe operation. Safety requirements must be based on actual risks and not on mere speculation, stereotypes, or generalizations about individuals with disabilities." 28 C.F.R. § 36.301(b). The parties agree CSL's policy deferring donors who use multiple anxiety medications or a service animal is a safety rule, so it must pass muster under § 36.301(b).</w:t>
      </w:r>
    </w:p>
    <w:p w14:paraId="71F0CB54" w14:textId="77777777" w:rsidR="002B10A6" w:rsidRDefault="00000000">
      <w:pPr>
        <w:pStyle w:val="Normal49"/>
        <w:widowControl w:val="0"/>
        <w:spacing w:before="200" w:line="260" w:lineRule="atLeast"/>
        <w:jc w:val="both"/>
      </w:pPr>
      <w:bookmarkStart w:id="8924" w:name="Bookmark_para_43_16"/>
      <w:bookmarkEnd w:id="8924"/>
      <w:r>
        <w:rPr>
          <w:rFonts w:ascii="Arial" w:eastAsia="Arial" w:hAnsi="Arial" w:cs="Arial"/>
          <w:color w:val="000000"/>
          <w:sz w:val="20"/>
        </w:rPr>
        <w:t>The parties and the District Court also note the blood transfusion regulation in 21 C.F.R. § 630.10, but this does not alleviate CSL's burden under § 36.301(b). It states a donor is ineligible if the donation "could adversely affect the health of th[at] donor," 21 C.F.R. § 630.10(a), but the facility "must determine the donor's eligibility" by the specified procedures for individualized assessment, 21 C.F.R. § 630.10(d). The individualized assessment must check for</w:t>
      </w:r>
    </w:p>
    <w:p w14:paraId="3DB54589" w14:textId="77777777" w:rsidR="002B10A6" w:rsidRDefault="00000000">
      <w:pPr>
        <w:pStyle w:val="Normal49"/>
        <w:widowControl w:val="0"/>
        <w:spacing w:line="260" w:lineRule="atLeast"/>
        <w:ind w:left="400"/>
        <w:jc w:val="both"/>
      </w:pPr>
      <w:bookmarkStart w:id="8925" w:name="Bookmark_para_44_16"/>
      <w:bookmarkEnd w:id="8925"/>
      <w:r>
        <w:rPr>
          <w:rFonts w:ascii="Arial" w:eastAsia="Arial" w:hAnsi="Arial" w:cs="Arial"/>
          <w:color w:val="000000"/>
          <w:sz w:val="20"/>
        </w:rPr>
        <w:t>factors that make the donor ineligible to donate. . . . Your assessment must include each of the following factors:</w:t>
      </w:r>
    </w:p>
    <w:p w14:paraId="6E396186" w14:textId="77777777" w:rsidR="002B10A6" w:rsidRDefault="00000000">
      <w:pPr>
        <w:pStyle w:val="Normal49"/>
        <w:widowControl w:val="0"/>
        <w:spacing w:before="200" w:line="260" w:lineRule="atLeast"/>
        <w:ind w:left="800"/>
        <w:jc w:val="both"/>
      </w:pPr>
      <w:bookmarkStart w:id="8926" w:name="Bookmark_para_45_16"/>
      <w:bookmarkEnd w:id="8926"/>
      <w:r>
        <w:rPr>
          <w:rFonts w:ascii="Arial" w:eastAsia="Arial" w:hAnsi="Arial" w:cs="Arial"/>
          <w:color w:val="000000"/>
          <w:sz w:val="20"/>
        </w:rPr>
        <w:t>(i) Symptoms of a recent [**19]  or current illness;</w:t>
      </w:r>
    </w:p>
    <w:p w14:paraId="2A5F39D5" w14:textId="77777777" w:rsidR="002B10A6" w:rsidRDefault="00000000">
      <w:pPr>
        <w:pStyle w:val="Normal49"/>
        <w:widowControl w:val="0"/>
        <w:spacing w:line="260" w:lineRule="atLeast"/>
        <w:ind w:left="800"/>
        <w:jc w:val="both"/>
      </w:pPr>
      <w:bookmarkStart w:id="8927" w:name="Bookmark_para_46_15"/>
      <w:bookmarkEnd w:id="8927"/>
      <w:r>
        <w:rPr>
          <w:rFonts w:ascii="Arial" w:eastAsia="Arial" w:hAnsi="Arial" w:cs="Arial"/>
          <w:color w:val="000000"/>
          <w:sz w:val="20"/>
        </w:rPr>
        <w:t>(ii) Certain medical treatments or medications;</w:t>
      </w:r>
    </w:p>
    <w:p w14:paraId="223A6670" w14:textId="77777777" w:rsidR="002B10A6" w:rsidRDefault="00000000">
      <w:pPr>
        <w:pStyle w:val="Normal49"/>
        <w:widowControl w:val="0"/>
        <w:spacing w:line="260" w:lineRule="atLeast"/>
        <w:ind w:left="800"/>
        <w:jc w:val="both"/>
      </w:pPr>
      <w:bookmarkStart w:id="8928" w:name="Bookmark_para_47_15"/>
      <w:bookmarkEnd w:id="8928"/>
      <w:r>
        <w:rPr>
          <w:rFonts w:ascii="Arial" w:eastAsia="Arial" w:hAnsi="Arial" w:cs="Arial"/>
          <w:color w:val="000000"/>
          <w:sz w:val="20"/>
        </w:rPr>
        <w:t>. . . .</w:t>
      </w:r>
    </w:p>
    <w:p w14:paraId="3578AA29" w14:textId="77777777" w:rsidR="002B10A6" w:rsidRDefault="00000000">
      <w:pPr>
        <w:pStyle w:val="Normal49"/>
        <w:widowControl w:val="0"/>
        <w:spacing w:line="260" w:lineRule="atLeast"/>
        <w:jc w:val="both"/>
      </w:pPr>
      <w:r>
        <w:rPr>
          <w:rFonts w:ascii="Arial" w:eastAsia="Arial" w:hAnsi="Arial" w:cs="Arial"/>
          <w:color w:val="000000"/>
          <w:sz w:val="20"/>
        </w:rPr>
        <w:t>21 C.F.R. § 630.10(e)(2). The regulation does not clarify which treatments are included among the "[c]ertain medical treatments."</w:t>
      </w:r>
    </w:p>
    <w:p w14:paraId="7124A7B4" w14:textId="77777777" w:rsidR="002B10A6" w:rsidRDefault="00000000">
      <w:pPr>
        <w:pStyle w:val="Normal49"/>
        <w:widowControl w:val="0"/>
        <w:spacing w:before="200" w:line="260" w:lineRule="atLeast"/>
        <w:jc w:val="both"/>
      </w:pPr>
      <w:bookmarkStart w:id="8929" w:name="Bookmark_para_48_15"/>
      <w:bookmarkEnd w:id="8929"/>
      <w:r>
        <w:rPr>
          <w:rFonts w:ascii="Arial" w:eastAsia="Arial" w:hAnsi="Arial" w:cs="Arial"/>
          <w:color w:val="000000"/>
          <w:sz w:val="20"/>
        </w:rPr>
        <w:t>CSL contends that it has complete discretion to determine what treatments, including use of service animals, show a donor may be harmed by donating. This overreads the blood transfusion regulation.</w:t>
      </w:r>
      <w:bookmarkStart w:id="8930" w:name="Bookmark_LNHNREFclscc9_29"/>
      <w:bookmarkEnd w:id="8930"/>
      <w:r>
        <w:rPr>
          <w:rFonts w:ascii="Arial" w:eastAsia="Arial" w:hAnsi="Arial" w:cs="Arial"/>
          <w:color w:val="000000"/>
          <w:sz w:val="20"/>
        </w:rPr>
        <w:t xml:space="preserve"> It does not give plasma donation centers </w:t>
      </w:r>
      <w:r>
        <w:rPr>
          <w:rFonts w:ascii="Arial" w:eastAsia="Arial" w:hAnsi="Arial" w:cs="Arial"/>
          <w:i/>
          <w:color w:val="000000"/>
          <w:sz w:val="20"/>
        </w:rPr>
        <w:t>carte blanche</w:t>
      </w:r>
      <w:r>
        <w:rPr>
          <w:rFonts w:ascii="Arial" w:eastAsia="Arial" w:hAnsi="Arial" w:cs="Arial"/>
          <w:color w:val="000000"/>
          <w:sz w:val="20"/>
        </w:rPr>
        <w:t xml:space="preserve"> to ignore U.S. law, which not only mandates that service animals be allowed, 28 C.F.R. § 36.302(c), but also specifies when public accommodations may adopt rules that exclude disabled individuals in the name of safety, 28 C.F.R. 36.301. Applied to our case, CSL may consider a service animal among the list of "[c]ertain medical treatments" it can assess for eligible donating of plasma so long as it can show that the safety policy it adopts is based on "actual risk and not mere speculation, stereotypes, or generalizations about individuals with disabilities."</w:t>
      </w:r>
    </w:p>
    <w:p w14:paraId="2642A92A" w14:textId="77777777" w:rsidR="002B10A6" w:rsidRDefault="00000000">
      <w:pPr>
        <w:pStyle w:val="Normal49"/>
        <w:widowControl w:val="0"/>
        <w:spacing w:before="120" w:line="260" w:lineRule="atLeast"/>
      </w:pPr>
      <w:r>
        <w:rPr>
          <w:rFonts w:ascii="Arial" w:eastAsia="Arial" w:hAnsi="Arial" w:cs="Arial"/>
          <w:color w:val="000000"/>
          <w:sz w:val="20"/>
        </w:rPr>
        <w:t>iii. Is CSL's policy a valid safety rule?</w:t>
      </w:r>
    </w:p>
    <w:p w14:paraId="66608500" w14:textId="77777777" w:rsidR="002B10A6" w:rsidRDefault="00000000">
      <w:pPr>
        <w:pStyle w:val="Normal49"/>
        <w:widowControl w:val="0"/>
        <w:spacing w:before="200" w:line="260" w:lineRule="atLeast"/>
        <w:jc w:val="both"/>
      </w:pPr>
      <w:bookmarkStart w:id="8931" w:name="Bookmark_para_49_13"/>
      <w:bookmarkEnd w:id="8931"/>
      <w:r>
        <w:rPr>
          <w:rFonts w:ascii="Arial" w:eastAsia="Arial" w:hAnsi="Arial" w:cs="Arial"/>
          <w:color w:val="000000"/>
          <w:sz w:val="20"/>
        </w:rPr>
        <w:t xml:space="preserve">Though CSL bears the burden to show its service animal policy is valid under § 36.301(b), the evidence it marshals on its behalf is unimpressive and not remotely  [*181]  adequate to confer summary judgment. It relies exclusively [**20]  on a declaration from Dr. John Nelson, its divisional medical director, stating that "[d]onors with severe anxiety may be unable to follow directions, cause disturbances, impact the donation process . . .[,] putting staff at risk of getting stuck with the needle and other donors at risk of getting blood on them." J.A. at 89. It also states that "[i]t is my professional medical opinion that donors with severe anxiety present serious health and safety risks to themselves, medical staff, and other donors." </w:t>
      </w:r>
      <w:r>
        <w:rPr>
          <w:rFonts w:ascii="Arial" w:eastAsia="Arial" w:hAnsi="Arial" w:cs="Arial"/>
          <w:i/>
          <w:color w:val="000000"/>
          <w:sz w:val="20"/>
        </w:rPr>
        <w:t>Id.</w:t>
      </w:r>
      <w:r>
        <w:rPr>
          <w:rFonts w:ascii="Arial" w:eastAsia="Arial" w:hAnsi="Arial" w:cs="Arial"/>
          <w:color w:val="000000"/>
          <w:sz w:val="20"/>
        </w:rPr>
        <w:t xml:space="preserve"> at 90. The declaration's lone statement addressing the use of a service animal is that</w:t>
      </w:r>
    </w:p>
    <w:p w14:paraId="1FDB3B8D" w14:textId="77777777" w:rsidR="002B10A6" w:rsidRDefault="00000000">
      <w:pPr>
        <w:pStyle w:val="Normal49"/>
        <w:widowControl w:val="0"/>
        <w:spacing w:line="260" w:lineRule="atLeast"/>
        <w:ind w:left="400"/>
        <w:jc w:val="both"/>
      </w:pPr>
      <w:bookmarkStart w:id="8932" w:name="Bookmark_para_50_12"/>
      <w:bookmarkEnd w:id="8932"/>
      <w:r>
        <w:rPr>
          <w:rFonts w:ascii="Arial" w:eastAsia="Arial" w:hAnsi="Arial" w:cs="Arial"/>
          <w:color w:val="000000"/>
          <w:sz w:val="20"/>
        </w:rPr>
        <w:t>CSL's general policy is to defer a donor who requires more than two medications daily or a service animal for anxiety, until the need for medications or service animal decreases. . . . This policy is not directed to the use of a service dog, as CSL allows service dogs for vision-and hearing-impaired donors, but is based on the severity of the anxiety.</w:t>
      </w:r>
    </w:p>
    <w:p w14:paraId="38884EF0" w14:textId="77777777" w:rsidR="002B10A6" w:rsidRDefault="00000000">
      <w:pPr>
        <w:pStyle w:val="Normal49"/>
        <w:widowControl w:val="0"/>
        <w:spacing w:before="200" w:line="260" w:lineRule="atLeast"/>
        <w:jc w:val="both"/>
      </w:pPr>
      <w:r>
        <w:rPr>
          <w:rFonts w:ascii="Arial" w:eastAsia="Arial" w:hAnsi="Arial" w:cs="Arial"/>
          <w:i/>
          <w:color w:val="000000"/>
          <w:sz w:val="20"/>
        </w:rPr>
        <w:t>Id.</w:t>
      </w:r>
    </w:p>
    <w:p w14:paraId="6049284C" w14:textId="77777777" w:rsidR="002B10A6" w:rsidRDefault="00000000">
      <w:pPr>
        <w:pStyle w:val="Normal49"/>
        <w:widowControl w:val="0"/>
        <w:spacing w:before="200" w:line="260" w:lineRule="atLeast"/>
        <w:jc w:val="both"/>
      </w:pPr>
      <w:bookmarkStart w:id="8933" w:name="Bookmark_para_51_11"/>
      <w:bookmarkEnd w:id="8933"/>
      <w:r>
        <w:rPr>
          <w:rFonts w:ascii="Arial" w:eastAsia="Arial" w:hAnsi="Arial" w:cs="Arial"/>
          <w:color w:val="000000"/>
          <w:sz w:val="20"/>
        </w:rPr>
        <w:t>These statements don't get the job done. Indeed, they seem clearly speculative and to generalize widely about individuals who use psychiatric service animals, all of whom CSL apparently views as people with "severe anxiety." No medical justification or other [**21]  scientific evidence undergirds CSL's implicit conclusion that all those persons have "severe anxiety" and will put staff, other donors, or themselves at risk when donating plasma. This conclusion is not even stated; Dr. Nelson does not connect the dots by attesting that using a service animal indicates "severe anxiety." This is clearly inadequate to show that CSL's policy is based on actual risk and not based on speculation, stereotypes, or generalizations.</w:t>
      </w:r>
    </w:p>
    <w:p w14:paraId="719BE703" w14:textId="77777777" w:rsidR="002B10A6" w:rsidRDefault="00000000">
      <w:pPr>
        <w:pStyle w:val="Normal49"/>
        <w:widowControl w:val="0"/>
        <w:spacing w:before="200" w:line="260" w:lineRule="atLeast"/>
        <w:jc w:val="both"/>
      </w:pPr>
      <w:bookmarkStart w:id="8934" w:name="Bookmark_para_52_10"/>
      <w:bookmarkEnd w:id="8934"/>
      <w:r>
        <w:rPr>
          <w:rFonts w:ascii="Arial" w:eastAsia="Arial" w:hAnsi="Arial" w:cs="Arial"/>
          <w:color w:val="000000"/>
          <w:sz w:val="20"/>
        </w:rPr>
        <w:t xml:space="preserve">CSL's main retort is that Matheis cannot now challenge Dr. Nelson's declaration because he failed to challenge its reliability before the District Court under Federal Rule of Evidence 702. </w:t>
      </w:r>
      <w:bookmarkStart w:id="8935" w:name="Bookmark_I5X03C4528T5070040000400"/>
      <w:bookmarkEnd w:id="8935"/>
      <w:r>
        <w:rPr>
          <w:rFonts w:ascii="Arial" w:eastAsia="Arial" w:hAnsi="Arial" w:cs="Arial"/>
          <w:color w:val="000000"/>
          <w:sz w:val="20"/>
        </w:rPr>
        <w:t xml:space="preserve">(CSL Br. at 31.) Though Matheis did not move to exclude the declaration, this is not fatal; he argued before the District Court that the testimony fails to satisfy the safety rule regulation. </w:t>
      </w:r>
      <w:r>
        <w:rPr>
          <w:rFonts w:ascii="Arial" w:eastAsia="Arial" w:hAnsi="Arial" w:cs="Arial"/>
          <w:i/>
          <w:color w:val="000000"/>
          <w:sz w:val="20"/>
        </w:rPr>
        <w:t>See</w:t>
      </w:r>
      <w:r>
        <w:rPr>
          <w:rFonts w:ascii="Arial" w:eastAsia="Arial" w:hAnsi="Arial" w:cs="Arial"/>
          <w:color w:val="000000"/>
          <w:sz w:val="20"/>
        </w:rPr>
        <w:t xml:space="preserve"> Plaintiff's Br. in Opp'n to Def.'s Mot. for Summ. J. at 15-16, </w:t>
      </w:r>
      <w:bookmarkStart w:id="8936" w:name="Bookmark_I5X03C4528T5070030000400"/>
      <w:bookmarkEnd w:id="8936"/>
      <w:r>
        <w:rPr>
          <w:rFonts w:ascii="Arial" w:eastAsia="Arial" w:hAnsi="Arial" w:cs="Arial"/>
          <w:i/>
          <w:color w:val="000000"/>
          <w:sz w:val="20"/>
        </w:rPr>
        <w:t>Matheis</w:t>
      </w:r>
      <w:r>
        <w:rPr>
          <w:rFonts w:ascii="Arial" w:eastAsia="Arial" w:hAnsi="Arial" w:cs="Arial"/>
          <w:color w:val="000000"/>
          <w:sz w:val="20"/>
        </w:rPr>
        <w:t>, No. 1:17-cv-00785-SHR, 346 F. Supp. 3d 723 (ECF No. 30). He can press this issue on appeal, as he does, without challenging Dr. Nelson's reliability as a witness. (</w:t>
      </w:r>
      <w:r>
        <w:rPr>
          <w:rFonts w:ascii="Arial" w:eastAsia="Arial" w:hAnsi="Arial" w:cs="Arial"/>
          <w:i/>
          <w:color w:val="000000"/>
          <w:sz w:val="20"/>
        </w:rPr>
        <w:t>See</w:t>
      </w:r>
      <w:r>
        <w:rPr>
          <w:rFonts w:ascii="Arial" w:eastAsia="Arial" w:hAnsi="Arial" w:cs="Arial"/>
          <w:color w:val="000000"/>
          <w:sz w:val="20"/>
        </w:rPr>
        <w:t xml:space="preserve"> Matheis Br. at 19, Reply at 8-9.)</w:t>
      </w:r>
    </w:p>
    <w:p w14:paraId="04FA6484" w14:textId="77777777" w:rsidR="002B10A6" w:rsidRDefault="00000000">
      <w:pPr>
        <w:pStyle w:val="Normal49"/>
        <w:widowControl w:val="0"/>
        <w:spacing w:before="200" w:line="260" w:lineRule="atLeast"/>
        <w:jc w:val="both"/>
      </w:pPr>
      <w:bookmarkStart w:id="8937" w:name="Bookmark_para_53_10"/>
      <w:bookmarkEnd w:id="8937"/>
      <w:r>
        <w:rPr>
          <w:rFonts w:ascii="Arial" w:eastAsia="Arial" w:hAnsi="Arial" w:cs="Arial"/>
          <w:color w:val="000000"/>
          <w:sz w:val="20"/>
        </w:rPr>
        <w:t>As a final Hail Mary, CSL argues it had other reasons for concluding Matheis had severe anxiety (which we assume for the sake of argument [**22]  could support deferral for the reasons stated in the Nelson Declaration). Discovery revealed that Matheis had a panic attack after he was deferred from CSL (he confronted a homeless man while leaving the facility) and that some of his past panic attacks have been accompanied by violent symptoms. (</w:t>
      </w:r>
      <w:r>
        <w:rPr>
          <w:rFonts w:ascii="Arial" w:eastAsia="Arial" w:hAnsi="Arial" w:cs="Arial"/>
          <w:i/>
          <w:color w:val="000000"/>
          <w:sz w:val="20"/>
        </w:rPr>
        <w:t>See generally</w:t>
      </w:r>
      <w:r>
        <w:rPr>
          <w:rFonts w:ascii="Arial" w:eastAsia="Arial" w:hAnsi="Arial" w:cs="Arial"/>
          <w:color w:val="000000"/>
          <w:sz w:val="20"/>
        </w:rPr>
        <w:t xml:space="preserve"> CSL Br. at 21-29.) It asserts that these facts show it reasonably required him to seek a doctor's signoff that he was safe to donate without Odin.</w:t>
      </w:r>
    </w:p>
    <w:p w14:paraId="14EECA56" w14:textId="77777777" w:rsidR="002B10A6" w:rsidRDefault="00000000">
      <w:pPr>
        <w:pStyle w:val="Normal49"/>
        <w:widowControl w:val="0"/>
        <w:spacing w:before="200" w:line="260" w:lineRule="atLeast"/>
        <w:jc w:val="both"/>
      </w:pPr>
      <w:bookmarkStart w:id="8938" w:name="Bookmark_para_54_10"/>
      <w:bookmarkStart w:id="8939" w:name="Bookmark_I5X03C452SF8B00010000400"/>
      <w:bookmarkEnd w:id="8938"/>
      <w:bookmarkEnd w:id="8939"/>
      <w:r>
        <w:rPr>
          <w:rFonts w:ascii="Arial" w:eastAsia="Arial" w:hAnsi="Arial" w:cs="Arial"/>
          <w:color w:val="000000"/>
          <w:sz w:val="20"/>
        </w:rPr>
        <w:t xml:space="preserve">While we disagree, we note a predicate problem as well. CSL raises this issue for the first time on appeal. </w:t>
      </w:r>
      <w:bookmarkStart w:id="8940" w:name="Bookmark_I5X03C452SF8B00030000400"/>
      <w:bookmarkEnd w:id="8940"/>
      <w:r>
        <w:rPr>
          <w:rFonts w:ascii="Arial" w:eastAsia="Arial" w:hAnsi="Arial" w:cs="Arial"/>
          <w:color w:val="000000"/>
          <w:sz w:val="20"/>
        </w:rPr>
        <w:t xml:space="preserve">Before the District Court it moved for summary judgment on two narrow grounds: (1) that CSL was not a public accommodation under Title III of the ADA; and (2) that its policy barring all anxiety patients who use a service animal to treat anxiety was a legitimate safety rule. </w:t>
      </w:r>
      <w:r>
        <w:rPr>
          <w:rFonts w:ascii="Arial" w:eastAsia="Arial" w:hAnsi="Arial" w:cs="Arial"/>
          <w:i/>
          <w:color w:val="000000"/>
          <w:sz w:val="20"/>
        </w:rPr>
        <w:t>See</w:t>
      </w:r>
      <w:r>
        <w:rPr>
          <w:rFonts w:ascii="Arial" w:eastAsia="Arial" w:hAnsi="Arial" w:cs="Arial"/>
          <w:color w:val="000000"/>
          <w:sz w:val="20"/>
        </w:rPr>
        <w:t xml:space="preserve"> Defendant's Mot. for Summ. J. at 12-19, </w:t>
      </w:r>
      <w:bookmarkStart w:id="8941" w:name="Bookmark_I5X03C4528T5070050000400"/>
      <w:bookmarkEnd w:id="8941"/>
      <w:r>
        <w:rPr>
          <w:rFonts w:ascii="Arial" w:eastAsia="Arial" w:hAnsi="Arial" w:cs="Arial"/>
          <w:i/>
          <w:color w:val="000000"/>
          <w:sz w:val="20"/>
        </w:rPr>
        <w:t>Matheis</w:t>
      </w:r>
      <w:r>
        <w:rPr>
          <w:rFonts w:ascii="Arial" w:eastAsia="Arial" w:hAnsi="Arial" w:cs="Arial"/>
          <w:color w:val="000000"/>
          <w:sz w:val="20"/>
        </w:rPr>
        <w:t xml:space="preserve">, No. 1:17-cv-00785-SHR, 346 F. Supp. 3d 723 (ECF No. 27). We will not consider its new argument in favor of summary judgment. </w:t>
      </w:r>
      <w:bookmarkStart w:id="8942" w:name="Bookmark_I5X03C452SF8B00030000400_2"/>
      <w:bookmarkEnd w:id="8942"/>
      <w:r>
        <w:rPr>
          <w:rFonts w:ascii="Arial" w:eastAsia="Arial" w:hAnsi="Arial" w:cs="Arial"/>
          <w:i/>
          <w:color w:val="000000"/>
          <w:sz w:val="20"/>
        </w:rPr>
        <w:t xml:space="preserve">See </w:t>
      </w:r>
      <w:bookmarkStart w:id="8943" w:name="Bookmark_I5X03C452SF8B00020000400"/>
      <w:bookmarkEnd w:id="8943"/>
      <w:r>
        <w:rPr>
          <w:rFonts w:ascii="Arial" w:eastAsia="Arial" w:hAnsi="Arial" w:cs="Arial"/>
          <w:i/>
          <w:color w:val="000000"/>
          <w:sz w:val="20"/>
        </w:rPr>
        <w:t>Tri-M Grp., LLC v. Sharp</w:t>
      </w:r>
      <w:r>
        <w:rPr>
          <w:rFonts w:ascii="Arial" w:eastAsia="Arial" w:hAnsi="Arial" w:cs="Arial"/>
          <w:color w:val="000000"/>
          <w:sz w:val="20"/>
        </w:rPr>
        <w:t>, 638 F.3d 406, 416 (3d Cir. 2011) (</w:t>
      </w:r>
      <w:bookmarkStart w:id="8944" w:name="Bookmark_LNHNREFclscc10_27"/>
      <w:bookmarkEnd w:id="8944"/>
      <w:r>
        <w:rPr>
          <w:rFonts w:ascii="Arial" w:eastAsia="Arial" w:hAnsi="Arial" w:cs="Arial"/>
          <w:color w:val="000000"/>
          <w:sz w:val="20"/>
        </w:rPr>
        <w:t>"It is axiomatic that arguments asserted for the first time on appeal are  [*182]  deemed to be waived and consequently are not susceptible to review in this Court absent exceptional circumstances.") (quotation [**23]  omitted).</w:t>
      </w:r>
      <w:r>
        <w:rPr>
          <w:rFonts w:ascii="Arial" w:eastAsia="Arial" w:hAnsi="Arial" w:cs="Arial"/>
          <w:vertAlign w:val="superscript"/>
        </w:rPr>
        <w:footnoteReference w:customMarkFollows="1" w:id="453"/>
        <w:t>3</w:t>
      </w:r>
      <w:r>
        <w:rPr>
          <w:rFonts w:ascii="Arial" w:eastAsia="Arial" w:hAnsi="Arial" w:cs="Arial"/>
          <w:color w:val="000000"/>
          <w:sz w:val="20"/>
        </w:rPr>
        <w:t xml:space="preserve"> As CSL's two timely justifications for summary judgment fail, we reverse.</w:t>
      </w:r>
    </w:p>
    <w:p w14:paraId="27D5096E" w14:textId="77777777" w:rsidR="002B10A6" w:rsidRDefault="00000000">
      <w:pPr>
        <w:pStyle w:val="Normal49"/>
        <w:widowControl w:val="0"/>
        <w:spacing w:before="120" w:line="260" w:lineRule="atLeast"/>
      </w:pPr>
      <w:r>
        <w:rPr>
          <w:rFonts w:ascii="Arial" w:eastAsia="Arial" w:hAnsi="Arial" w:cs="Arial"/>
          <w:color w:val="000000"/>
          <w:sz w:val="20"/>
        </w:rPr>
        <w:t>IV. Conclusion</w:t>
      </w:r>
    </w:p>
    <w:p w14:paraId="32D77FAD" w14:textId="77777777" w:rsidR="002B10A6" w:rsidRDefault="00000000">
      <w:pPr>
        <w:pStyle w:val="Normal49"/>
        <w:widowControl w:val="0"/>
        <w:spacing w:before="200" w:line="260" w:lineRule="atLeast"/>
        <w:jc w:val="both"/>
      </w:pPr>
      <w:bookmarkStart w:id="8946" w:name="Bookmark_para_55_8"/>
      <w:bookmarkEnd w:id="8946"/>
      <w:r>
        <w:rPr>
          <w:rFonts w:ascii="Arial" w:eastAsia="Arial" w:hAnsi="Arial" w:cs="Arial"/>
          <w:color w:val="000000"/>
          <w:sz w:val="20"/>
        </w:rPr>
        <w:t>CSL is a public accommodation under Title III of the ADA, and so it applies to CSL's plasma donation center. Hence we affirm the District Court's ruling on this issue.</w:t>
      </w:r>
    </w:p>
    <w:p w14:paraId="1049EAF7" w14:textId="77777777" w:rsidR="002B10A6" w:rsidRDefault="00000000">
      <w:pPr>
        <w:pStyle w:val="Normal49"/>
        <w:widowControl w:val="0"/>
        <w:spacing w:before="200" w:line="260" w:lineRule="atLeast"/>
        <w:jc w:val="both"/>
      </w:pPr>
      <w:bookmarkStart w:id="8947" w:name="Bookmark_para_56_8"/>
      <w:bookmarkEnd w:id="8947"/>
      <w:r>
        <w:rPr>
          <w:rFonts w:ascii="Arial" w:eastAsia="Arial" w:hAnsi="Arial" w:cs="Arial"/>
          <w:color w:val="000000"/>
          <w:sz w:val="20"/>
        </w:rPr>
        <w:t xml:space="preserve">We reverse, however, its grant of summary judgment to CSL on whether it complied with the ADA. In doing so, we do not suggest that CSL would be wrong in the future to require a doctor's note stating Matheis may safely donate with Odin. Indeed, had CSL adopted such a stance from the start, we might agree with how the District Court ruled. But CSL concedes that it will only consider Matheis as a potential donor when he provides a doctor's note attesting he can safely donate </w:t>
      </w:r>
      <w:r>
        <w:rPr>
          <w:rFonts w:ascii="Arial" w:eastAsia="Arial" w:hAnsi="Arial" w:cs="Arial"/>
          <w:i/>
          <w:color w:val="000000"/>
          <w:sz w:val="20"/>
        </w:rPr>
        <w:t>without</w:t>
      </w:r>
      <w:r>
        <w:rPr>
          <w:rFonts w:ascii="Arial" w:eastAsia="Arial" w:hAnsi="Arial" w:cs="Arial"/>
          <w:color w:val="000000"/>
          <w:sz w:val="20"/>
        </w:rPr>
        <w:t xml:space="preserve"> Odin. CSL's lone justification is its service animal policy, which it does not support with evidence showing that policy is based on actual risk and not speculation, generalizations, or stereotypes. Moreover, CSL fails to explain why Matheis, who has managed his PTSD for nearly two decades and safely donated plasma roughly 90 times, should only be considered safe to donate when he renounces the new service animal that helps him </w:t>
      </w:r>
      <w:r>
        <w:rPr>
          <w:rFonts w:ascii="Arial" w:eastAsia="Arial" w:hAnsi="Arial" w:cs="Arial"/>
          <w:i/>
          <w:color w:val="000000"/>
          <w:sz w:val="20"/>
        </w:rPr>
        <w:t>better</w:t>
      </w:r>
      <w:r>
        <w:rPr>
          <w:rFonts w:ascii="Arial" w:eastAsia="Arial" w:hAnsi="Arial" w:cs="Arial"/>
          <w:color w:val="000000"/>
          <w:sz w:val="20"/>
        </w:rPr>
        <w:t xml:space="preserve"> manage his PTSD. [**24] </w:t>
      </w:r>
    </w:p>
    <w:p w14:paraId="7EC7B468" w14:textId="77777777" w:rsidR="002B10A6" w:rsidRDefault="00000000">
      <w:pPr>
        <w:pStyle w:val="Normal49"/>
        <w:widowControl w:val="0"/>
        <w:spacing w:before="200" w:line="260" w:lineRule="atLeast"/>
        <w:jc w:val="both"/>
      </w:pPr>
      <w:bookmarkStart w:id="8948" w:name="Bookmark_para_57_7"/>
      <w:bookmarkEnd w:id="8948"/>
      <w:r>
        <w:rPr>
          <w:rFonts w:ascii="Arial" w:eastAsia="Arial" w:hAnsi="Arial" w:cs="Arial"/>
          <w:color w:val="000000"/>
          <w:sz w:val="20"/>
        </w:rPr>
        <w:t>Thus we reverse and remand the District Court's grant of summary judgment in favor of CSL. On remand, the Court may determine whether to permit CSL to move for summary judgment on other grounds, to hold trial, or to conclude on the facts presented that CSL violated the ADA.</w:t>
      </w:r>
    </w:p>
    <w:p w14:paraId="4E610034" w14:textId="77777777" w:rsidR="002B10A6" w:rsidRDefault="002B10A6">
      <w:pPr>
        <w:pStyle w:val="Normal49"/>
      </w:pPr>
    </w:p>
    <w:p w14:paraId="7A519FA2" w14:textId="054BC67D" w:rsidR="002B10A6" w:rsidRDefault="00000000">
      <w:pPr>
        <w:pStyle w:val="Normal49"/>
        <w:ind w:left="200"/>
      </w:pPr>
      <w:r>
        <w:br/>
      </w:r>
      <w:r w:rsidR="002D6974">
        <w:rPr>
          <w:noProof/>
        </w:rPr>
        <mc:AlternateContent>
          <mc:Choice Requires="wps">
            <w:drawing>
              <wp:anchor distT="0" distB="0" distL="114300" distR="114300" simplePos="0" relativeHeight="251767808" behindDoc="0" locked="0" layoutInCell="1" allowOverlap="1" wp14:anchorId="27DBCC92" wp14:editId="2C70FAA1">
                <wp:simplePos x="0" y="0"/>
                <wp:positionH relativeFrom="column">
                  <wp:posOffset>0</wp:posOffset>
                </wp:positionH>
                <wp:positionV relativeFrom="paragraph">
                  <wp:posOffset>127000</wp:posOffset>
                </wp:positionV>
                <wp:extent cx="6502400" cy="0"/>
                <wp:effectExtent l="9525" t="12700" r="12700" b="6350"/>
                <wp:wrapNone/>
                <wp:docPr id="1186808055"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212A6"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sectPr w:rsidR="002B10A6">
      <w:type w:val="continuous"/>
      <w:pgSz w:w="12240" w:h="15840"/>
      <w:pgMar w:top="840" w:right="1000" w:bottom="840" w:left="1000" w:header="400" w:footer="40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98623" w14:textId="77777777" w:rsidR="002C571C" w:rsidRDefault="002C571C">
      <w:r>
        <w:separator/>
      </w:r>
    </w:p>
  </w:endnote>
  <w:endnote w:type="continuationSeparator" w:id="0">
    <w:p w14:paraId="4DDCF6C7" w14:textId="77777777" w:rsidR="002C571C" w:rsidRDefault="002C5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829DB" w14:textId="77777777" w:rsidR="002B10A6" w:rsidRDefault="002B10A6">
    <w:pPr>
      <w:pStyle w:val="Norm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286AC5D3" w14:textId="77777777">
      <w:trPr>
        <w:jc w:val="center"/>
      </w:trPr>
      <w:tc>
        <w:tcPr>
          <w:tcW w:w="2600" w:type="dxa"/>
          <w:tcMar>
            <w:top w:w="200" w:type="dxa"/>
          </w:tcMar>
          <w:vAlign w:val="center"/>
        </w:tcPr>
        <w:p w14:paraId="61AF54F1" w14:textId="77777777" w:rsidR="002B10A6" w:rsidRDefault="002B10A6">
          <w:pPr>
            <w:pStyle w:val="Normal0"/>
          </w:pPr>
        </w:p>
      </w:tc>
      <w:tc>
        <w:tcPr>
          <w:tcW w:w="4880" w:type="dxa"/>
          <w:tcMar>
            <w:top w:w="200" w:type="dxa"/>
          </w:tcMar>
          <w:vAlign w:val="center"/>
        </w:tcPr>
        <w:p w14:paraId="1E5A8D9A" w14:textId="77777777" w:rsidR="002B10A6" w:rsidRDefault="002B10A6">
          <w:pPr>
            <w:pStyle w:val="Normal0"/>
            <w:jc w:val="center"/>
          </w:pPr>
        </w:p>
      </w:tc>
      <w:tc>
        <w:tcPr>
          <w:tcW w:w="2600" w:type="dxa"/>
          <w:tcMar>
            <w:top w:w="200" w:type="dxa"/>
          </w:tcMar>
          <w:vAlign w:val="center"/>
        </w:tcPr>
        <w:p w14:paraId="12F6FD94" w14:textId="77777777" w:rsidR="002B10A6" w:rsidRDefault="002B10A6">
          <w:pPr>
            <w:pStyle w:val="Normal0"/>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0BA8B" w14:textId="77777777" w:rsidR="002B10A6" w:rsidRDefault="002B10A6">
    <w:pPr>
      <w:pStyle w:val="Normal0"/>
      <w:spacing w:before="20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FDB74" w14:textId="77777777" w:rsidR="002B10A6" w:rsidRDefault="002B10A6">
    <w:pPr>
      <w:pStyle w:val="Norm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469D0A1A" w14:textId="77777777">
      <w:trPr>
        <w:jc w:val="center"/>
      </w:trPr>
      <w:tc>
        <w:tcPr>
          <w:tcW w:w="2600" w:type="dxa"/>
          <w:tcMar>
            <w:top w:w="200" w:type="dxa"/>
          </w:tcMar>
          <w:vAlign w:val="center"/>
        </w:tcPr>
        <w:p w14:paraId="30DA6611" w14:textId="77777777" w:rsidR="002B10A6" w:rsidRDefault="002B10A6">
          <w:pPr>
            <w:pStyle w:val="Normal1"/>
          </w:pPr>
        </w:p>
      </w:tc>
      <w:tc>
        <w:tcPr>
          <w:tcW w:w="4880" w:type="dxa"/>
          <w:tcMar>
            <w:top w:w="200" w:type="dxa"/>
          </w:tcMar>
          <w:vAlign w:val="center"/>
        </w:tcPr>
        <w:p w14:paraId="458A64E1" w14:textId="77777777" w:rsidR="002B10A6" w:rsidRDefault="002B10A6">
          <w:pPr>
            <w:pStyle w:val="Normal1"/>
            <w:jc w:val="center"/>
          </w:pPr>
        </w:p>
      </w:tc>
      <w:tc>
        <w:tcPr>
          <w:tcW w:w="2600" w:type="dxa"/>
          <w:tcMar>
            <w:top w:w="200" w:type="dxa"/>
          </w:tcMar>
          <w:vAlign w:val="center"/>
        </w:tcPr>
        <w:p w14:paraId="694CE93F" w14:textId="77777777" w:rsidR="002B10A6" w:rsidRDefault="002B10A6">
          <w:pPr>
            <w:pStyle w:val="Normal1"/>
          </w:pP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FFD6F" w14:textId="77777777" w:rsidR="002B10A6" w:rsidRDefault="002B10A6">
    <w:pPr>
      <w:pStyle w:val="Normal1"/>
      <w:spacing w:before="20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A5984" w14:textId="77777777" w:rsidR="002B10A6" w:rsidRDefault="002B10A6">
    <w:pPr>
      <w:pStyle w:val="Normal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6F1E71B6" w14:textId="77777777">
      <w:trPr>
        <w:jc w:val="center"/>
      </w:trPr>
      <w:tc>
        <w:tcPr>
          <w:tcW w:w="2600" w:type="dxa"/>
          <w:tcMar>
            <w:top w:w="200" w:type="dxa"/>
          </w:tcMar>
          <w:vAlign w:val="center"/>
        </w:tcPr>
        <w:p w14:paraId="31E391FF" w14:textId="77777777" w:rsidR="002B10A6" w:rsidRDefault="002B10A6">
          <w:pPr>
            <w:pStyle w:val="Normal2"/>
          </w:pPr>
        </w:p>
      </w:tc>
      <w:tc>
        <w:tcPr>
          <w:tcW w:w="4880" w:type="dxa"/>
          <w:tcMar>
            <w:top w:w="200" w:type="dxa"/>
          </w:tcMar>
          <w:vAlign w:val="center"/>
        </w:tcPr>
        <w:p w14:paraId="0264A368" w14:textId="77777777" w:rsidR="002B10A6" w:rsidRDefault="002B10A6">
          <w:pPr>
            <w:pStyle w:val="Normal2"/>
            <w:jc w:val="center"/>
          </w:pPr>
        </w:p>
      </w:tc>
      <w:tc>
        <w:tcPr>
          <w:tcW w:w="2600" w:type="dxa"/>
          <w:tcMar>
            <w:top w:w="200" w:type="dxa"/>
          </w:tcMar>
          <w:vAlign w:val="center"/>
        </w:tcPr>
        <w:p w14:paraId="69DD6FFF" w14:textId="77777777" w:rsidR="002B10A6" w:rsidRDefault="002B10A6">
          <w:pPr>
            <w:pStyle w:val="Normal2"/>
          </w:pP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6EB7E" w14:textId="77777777" w:rsidR="002B10A6" w:rsidRDefault="002B10A6">
    <w:pPr>
      <w:pStyle w:val="Normal2"/>
      <w:spacing w:before="20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50C28" w14:textId="77777777" w:rsidR="002B10A6" w:rsidRDefault="002B10A6">
    <w:pPr>
      <w:pStyle w:val="Normal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46C83811" w14:textId="77777777">
      <w:trPr>
        <w:jc w:val="center"/>
      </w:trPr>
      <w:tc>
        <w:tcPr>
          <w:tcW w:w="2600" w:type="dxa"/>
          <w:tcMar>
            <w:top w:w="200" w:type="dxa"/>
          </w:tcMar>
          <w:vAlign w:val="center"/>
        </w:tcPr>
        <w:p w14:paraId="2636F118" w14:textId="77777777" w:rsidR="002B10A6" w:rsidRDefault="002B10A6">
          <w:pPr>
            <w:pStyle w:val="Normal3"/>
          </w:pPr>
        </w:p>
      </w:tc>
      <w:tc>
        <w:tcPr>
          <w:tcW w:w="4880" w:type="dxa"/>
          <w:tcMar>
            <w:top w:w="200" w:type="dxa"/>
          </w:tcMar>
          <w:vAlign w:val="center"/>
        </w:tcPr>
        <w:p w14:paraId="24CBF299" w14:textId="77777777" w:rsidR="002B10A6" w:rsidRDefault="002B10A6">
          <w:pPr>
            <w:pStyle w:val="Normal3"/>
            <w:jc w:val="center"/>
          </w:pPr>
        </w:p>
      </w:tc>
      <w:tc>
        <w:tcPr>
          <w:tcW w:w="2600" w:type="dxa"/>
          <w:tcMar>
            <w:top w:w="200" w:type="dxa"/>
          </w:tcMar>
          <w:vAlign w:val="center"/>
        </w:tcPr>
        <w:p w14:paraId="3F2698FF" w14:textId="77777777" w:rsidR="002B10A6" w:rsidRDefault="002B10A6">
          <w:pPr>
            <w:pStyle w:val="Normal3"/>
          </w:pP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8527E" w14:textId="77777777" w:rsidR="002B10A6" w:rsidRDefault="002B10A6">
    <w:pPr>
      <w:pStyle w:val="Normal3"/>
      <w:spacing w:before="20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FC02E" w14:textId="77777777" w:rsidR="002B10A6" w:rsidRDefault="002B10A6">
    <w:pPr>
      <w:pStyle w:val="Normal4"/>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4D44F4DD" w14:textId="77777777">
      <w:trPr>
        <w:jc w:val="center"/>
      </w:trPr>
      <w:tc>
        <w:tcPr>
          <w:tcW w:w="2600" w:type="dxa"/>
          <w:tcMar>
            <w:top w:w="200" w:type="dxa"/>
          </w:tcMar>
          <w:vAlign w:val="center"/>
        </w:tcPr>
        <w:p w14:paraId="68D744CA" w14:textId="77777777" w:rsidR="002B10A6" w:rsidRDefault="002B10A6">
          <w:pPr>
            <w:pStyle w:val="Normal4"/>
          </w:pPr>
        </w:p>
      </w:tc>
      <w:tc>
        <w:tcPr>
          <w:tcW w:w="4880" w:type="dxa"/>
          <w:tcMar>
            <w:top w:w="200" w:type="dxa"/>
          </w:tcMar>
          <w:vAlign w:val="center"/>
        </w:tcPr>
        <w:p w14:paraId="2576F4A4" w14:textId="77777777" w:rsidR="002B10A6" w:rsidRDefault="002B10A6">
          <w:pPr>
            <w:pStyle w:val="Normal4"/>
            <w:jc w:val="center"/>
          </w:pPr>
        </w:p>
      </w:tc>
      <w:tc>
        <w:tcPr>
          <w:tcW w:w="2600" w:type="dxa"/>
          <w:tcMar>
            <w:top w:w="200" w:type="dxa"/>
          </w:tcMar>
          <w:vAlign w:val="center"/>
        </w:tcPr>
        <w:p w14:paraId="5F9409B3" w14:textId="77777777" w:rsidR="002B10A6" w:rsidRDefault="002B10A6">
          <w:pPr>
            <w:pStyle w:val="Normal4"/>
          </w:pP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FBDB2" w14:textId="77777777" w:rsidR="002B10A6" w:rsidRDefault="002B10A6">
    <w:pPr>
      <w:pStyle w:val="Normal4"/>
      <w:spacing w:before="20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691CB" w14:textId="77777777" w:rsidR="002B10A6" w:rsidRDefault="002B10A6">
    <w:pPr>
      <w:pStyle w:val="Normal5"/>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9DC5719" w14:textId="77777777">
      <w:trPr>
        <w:jc w:val="center"/>
      </w:trPr>
      <w:tc>
        <w:tcPr>
          <w:tcW w:w="2600" w:type="dxa"/>
          <w:tcMar>
            <w:top w:w="200" w:type="dxa"/>
          </w:tcMar>
          <w:vAlign w:val="center"/>
        </w:tcPr>
        <w:p w14:paraId="67F4D9DB" w14:textId="77777777" w:rsidR="002B10A6" w:rsidRDefault="002B10A6">
          <w:pPr>
            <w:pStyle w:val="Normal5"/>
          </w:pPr>
        </w:p>
      </w:tc>
      <w:tc>
        <w:tcPr>
          <w:tcW w:w="4880" w:type="dxa"/>
          <w:tcMar>
            <w:top w:w="200" w:type="dxa"/>
          </w:tcMar>
          <w:vAlign w:val="center"/>
        </w:tcPr>
        <w:p w14:paraId="375698FA" w14:textId="77777777" w:rsidR="002B10A6" w:rsidRDefault="002B10A6">
          <w:pPr>
            <w:pStyle w:val="Normal5"/>
            <w:jc w:val="center"/>
          </w:pPr>
        </w:p>
      </w:tc>
      <w:tc>
        <w:tcPr>
          <w:tcW w:w="2600" w:type="dxa"/>
          <w:tcMar>
            <w:top w:w="200" w:type="dxa"/>
          </w:tcMar>
          <w:vAlign w:val="center"/>
        </w:tcPr>
        <w:p w14:paraId="10377050" w14:textId="77777777" w:rsidR="002B10A6" w:rsidRDefault="002B10A6">
          <w:pPr>
            <w:pStyle w:val="Normal5"/>
          </w:pP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CA4DF" w14:textId="77777777" w:rsidR="002B10A6" w:rsidRDefault="002B10A6">
    <w:pPr>
      <w:pStyle w:val="Normal5"/>
      <w:spacing w:before="20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F884E" w14:textId="77777777" w:rsidR="002B10A6" w:rsidRDefault="002B10A6">
    <w:pPr>
      <w:pStyle w:val="Normal6"/>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1C3FCD34" w14:textId="77777777">
      <w:trPr>
        <w:jc w:val="center"/>
      </w:trPr>
      <w:tc>
        <w:tcPr>
          <w:tcW w:w="2600" w:type="dxa"/>
          <w:tcMar>
            <w:top w:w="200" w:type="dxa"/>
          </w:tcMar>
          <w:vAlign w:val="center"/>
        </w:tcPr>
        <w:p w14:paraId="27807AF1" w14:textId="77777777" w:rsidR="002B10A6" w:rsidRDefault="002B10A6">
          <w:pPr>
            <w:pStyle w:val="Normal6"/>
          </w:pPr>
        </w:p>
      </w:tc>
      <w:tc>
        <w:tcPr>
          <w:tcW w:w="4880" w:type="dxa"/>
          <w:tcMar>
            <w:top w:w="200" w:type="dxa"/>
          </w:tcMar>
          <w:vAlign w:val="center"/>
        </w:tcPr>
        <w:p w14:paraId="06F94619" w14:textId="77777777" w:rsidR="002B10A6" w:rsidRDefault="002B10A6">
          <w:pPr>
            <w:pStyle w:val="Normal6"/>
            <w:jc w:val="center"/>
          </w:pPr>
        </w:p>
      </w:tc>
      <w:tc>
        <w:tcPr>
          <w:tcW w:w="2600" w:type="dxa"/>
          <w:tcMar>
            <w:top w:w="200" w:type="dxa"/>
          </w:tcMar>
          <w:vAlign w:val="center"/>
        </w:tcPr>
        <w:p w14:paraId="2402D8B1" w14:textId="77777777" w:rsidR="002B10A6" w:rsidRDefault="002B10A6">
          <w:pPr>
            <w:pStyle w:val="Normal6"/>
          </w:pP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F6C38" w14:textId="77777777" w:rsidR="002B10A6" w:rsidRDefault="002B10A6">
    <w:pPr>
      <w:pStyle w:val="Normal6"/>
      <w:spacing w:before="20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7B3B4" w14:textId="77777777" w:rsidR="002B10A6" w:rsidRDefault="002B10A6">
    <w:pPr>
      <w:pStyle w:val="Normal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628D9EB4" w14:textId="77777777">
      <w:trPr>
        <w:jc w:val="center"/>
      </w:trPr>
      <w:tc>
        <w:tcPr>
          <w:tcW w:w="2600" w:type="dxa"/>
          <w:tcMar>
            <w:top w:w="200" w:type="dxa"/>
          </w:tcMar>
          <w:vAlign w:val="center"/>
        </w:tcPr>
        <w:p w14:paraId="77CC8109" w14:textId="77777777" w:rsidR="002B10A6" w:rsidRDefault="002B10A6">
          <w:pPr>
            <w:pStyle w:val="Normal7"/>
          </w:pPr>
        </w:p>
      </w:tc>
      <w:tc>
        <w:tcPr>
          <w:tcW w:w="4880" w:type="dxa"/>
          <w:tcMar>
            <w:top w:w="200" w:type="dxa"/>
          </w:tcMar>
          <w:vAlign w:val="center"/>
        </w:tcPr>
        <w:p w14:paraId="7B7F2D1B" w14:textId="77777777" w:rsidR="002B10A6" w:rsidRDefault="002B10A6">
          <w:pPr>
            <w:pStyle w:val="Normal7"/>
            <w:jc w:val="center"/>
          </w:pPr>
        </w:p>
      </w:tc>
      <w:tc>
        <w:tcPr>
          <w:tcW w:w="2600" w:type="dxa"/>
          <w:tcMar>
            <w:top w:w="200" w:type="dxa"/>
          </w:tcMar>
          <w:vAlign w:val="center"/>
        </w:tcPr>
        <w:p w14:paraId="58F24D55" w14:textId="77777777" w:rsidR="002B10A6" w:rsidRDefault="002B10A6">
          <w:pPr>
            <w:pStyle w:val="Normal7"/>
          </w:pP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4CD96" w14:textId="77777777" w:rsidR="002B10A6" w:rsidRDefault="002B10A6">
    <w:pPr>
      <w:pStyle w:val="Normal7"/>
      <w:spacing w:before="20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43BD" w14:textId="77777777" w:rsidR="002B10A6" w:rsidRDefault="002B10A6">
    <w:pPr>
      <w:pStyle w:val="Normal8"/>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0E77E496" w14:textId="77777777">
      <w:trPr>
        <w:jc w:val="center"/>
      </w:trPr>
      <w:tc>
        <w:tcPr>
          <w:tcW w:w="2600" w:type="dxa"/>
          <w:tcMar>
            <w:top w:w="200" w:type="dxa"/>
          </w:tcMar>
          <w:vAlign w:val="center"/>
        </w:tcPr>
        <w:p w14:paraId="41E585A9" w14:textId="77777777" w:rsidR="002B10A6" w:rsidRDefault="002B10A6">
          <w:pPr>
            <w:pStyle w:val="Normal8"/>
          </w:pPr>
        </w:p>
      </w:tc>
      <w:tc>
        <w:tcPr>
          <w:tcW w:w="4880" w:type="dxa"/>
          <w:tcMar>
            <w:top w:w="200" w:type="dxa"/>
          </w:tcMar>
          <w:vAlign w:val="center"/>
        </w:tcPr>
        <w:p w14:paraId="1D456D61" w14:textId="77777777" w:rsidR="002B10A6" w:rsidRDefault="002B10A6">
          <w:pPr>
            <w:pStyle w:val="Normal8"/>
            <w:jc w:val="center"/>
          </w:pPr>
        </w:p>
      </w:tc>
      <w:tc>
        <w:tcPr>
          <w:tcW w:w="2600" w:type="dxa"/>
          <w:tcMar>
            <w:top w:w="200" w:type="dxa"/>
          </w:tcMar>
          <w:vAlign w:val="center"/>
        </w:tcPr>
        <w:p w14:paraId="0B81D292" w14:textId="77777777" w:rsidR="002B10A6" w:rsidRDefault="002B10A6">
          <w:pPr>
            <w:pStyle w:val="Normal8"/>
          </w:pP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C395A" w14:textId="77777777" w:rsidR="002B10A6" w:rsidRDefault="002B10A6">
    <w:pPr>
      <w:pStyle w:val="Normal8"/>
      <w:spacing w:before="200"/>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90805" w14:textId="77777777" w:rsidR="002B10A6" w:rsidRDefault="002B10A6">
    <w:pPr>
      <w:pStyle w:val="Normal9"/>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53517617" w14:textId="77777777">
      <w:trPr>
        <w:jc w:val="center"/>
      </w:trPr>
      <w:tc>
        <w:tcPr>
          <w:tcW w:w="2600" w:type="dxa"/>
          <w:tcMar>
            <w:top w:w="200" w:type="dxa"/>
          </w:tcMar>
          <w:vAlign w:val="center"/>
        </w:tcPr>
        <w:p w14:paraId="3155D13F" w14:textId="77777777" w:rsidR="002B10A6" w:rsidRDefault="002B10A6">
          <w:pPr>
            <w:pStyle w:val="Normal9"/>
          </w:pPr>
        </w:p>
      </w:tc>
      <w:tc>
        <w:tcPr>
          <w:tcW w:w="4880" w:type="dxa"/>
          <w:tcMar>
            <w:top w:w="200" w:type="dxa"/>
          </w:tcMar>
          <w:vAlign w:val="center"/>
        </w:tcPr>
        <w:p w14:paraId="4449230C" w14:textId="77777777" w:rsidR="002B10A6" w:rsidRDefault="002B10A6">
          <w:pPr>
            <w:pStyle w:val="Normal9"/>
            <w:jc w:val="center"/>
          </w:pPr>
        </w:p>
      </w:tc>
      <w:tc>
        <w:tcPr>
          <w:tcW w:w="2600" w:type="dxa"/>
          <w:tcMar>
            <w:top w:w="200" w:type="dxa"/>
          </w:tcMar>
          <w:vAlign w:val="center"/>
        </w:tcPr>
        <w:p w14:paraId="44D24FF0" w14:textId="77777777" w:rsidR="002B10A6" w:rsidRDefault="002B10A6">
          <w:pPr>
            <w:pStyle w:val="Normal9"/>
          </w:pP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64EB9" w14:textId="77777777" w:rsidR="002B10A6" w:rsidRDefault="002B10A6">
    <w:pPr>
      <w:pStyle w:val="Normal9"/>
      <w:spacing w:before="200"/>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D5EEF" w14:textId="77777777" w:rsidR="002B10A6" w:rsidRDefault="002B10A6">
    <w:pPr>
      <w:pStyle w:val="Normal1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0013024" w14:textId="77777777">
      <w:trPr>
        <w:jc w:val="center"/>
      </w:trPr>
      <w:tc>
        <w:tcPr>
          <w:tcW w:w="2600" w:type="dxa"/>
          <w:tcMar>
            <w:top w:w="200" w:type="dxa"/>
          </w:tcMar>
          <w:vAlign w:val="center"/>
        </w:tcPr>
        <w:p w14:paraId="583F36A5" w14:textId="77777777" w:rsidR="002B10A6" w:rsidRDefault="002B10A6">
          <w:pPr>
            <w:pStyle w:val="Normal10"/>
          </w:pPr>
        </w:p>
      </w:tc>
      <w:tc>
        <w:tcPr>
          <w:tcW w:w="4880" w:type="dxa"/>
          <w:tcMar>
            <w:top w:w="200" w:type="dxa"/>
          </w:tcMar>
          <w:vAlign w:val="center"/>
        </w:tcPr>
        <w:p w14:paraId="0C20324F" w14:textId="77777777" w:rsidR="002B10A6" w:rsidRDefault="002B10A6">
          <w:pPr>
            <w:pStyle w:val="Normal10"/>
            <w:jc w:val="center"/>
          </w:pPr>
        </w:p>
      </w:tc>
      <w:tc>
        <w:tcPr>
          <w:tcW w:w="2600" w:type="dxa"/>
          <w:tcMar>
            <w:top w:w="200" w:type="dxa"/>
          </w:tcMar>
          <w:vAlign w:val="center"/>
        </w:tcPr>
        <w:p w14:paraId="4A36B66C" w14:textId="77777777" w:rsidR="002B10A6" w:rsidRDefault="002B10A6">
          <w:pPr>
            <w:pStyle w:val="Normal10"/>
          </w:pP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3A5DC" w14:textId="77777777" w:rsidR="002B10A6" w:rsidRDefault="002B10A6">
    <w:pPr>
      <w:pStyle w:val="Normal10"/>
      <w:spacing w:before="200"/>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6CF6B" w14:textId="77777777" w:rsidR="002B10A6" w:rsidRDefault="002B10A6">
    <w:pPr>
      <w:pStyle w:val="Normal11"/>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73127A21" w14:textId="77777777">
      <w:trPr>
        <w:jc w:val="center"/>
      </w:trPr>
      <w:tc>
        <w:tcPr>
          <w:tcW w:w="2600" w:type="dxa"/>
          <w:tcMar>
            <w:top w:w="200" w:type="dxa"/>
          </w:tcMar>
          <w:vAlign w:val="center"/>
        </w:tcPr>
        <w:p w14:paraId="6A611B30" w14:textId="77777777" w:rsidR="002B10A6" w:rsidRDefault="002B10A6">
          <w:pPr>
            <w:pStyle w:val="Normal11"/>
          </w:pPr>
        </w:p>
      </w:tc>
      <w:tc>
        <w:tcPr>
          <w:tcW w:w="4880" w:type="dxa"/>
          <w:tcMar>
            <w:top w:w="200" w:type="dxa"/>
          </w:tcMar>
          <w:vAlign w:val="center"/>
        </w:tcPr>
        <w:p w14:paraId="2A5CEFDC" w14:textId="77777777" w:rsidR="002B10A6" w:rsidRDefault="002B10A6">
          <w:pPr>
            <w:pStyle w:val="Normal11"/>
            <w:jc w:val="center"/>
          </w:pPr>
        </w:p>
      </w:tc>
      <w:tc>
        <w:tcPr>
          <w:tcW w:w="2600" w:type="dxa"/>
          <w:tcMar>
            <w:top w:w="200" w:type="dxa"/>
          </w:tcMar>
          <w:vAlign w:val="center"/>
        </w:tcPr>
        <w:p w14:paraId="4A6A8238" w14:textId="77777777" w:rsidR="002B10A6" w:rsidRDefault="002B10A6">
          <w:pPr>
            <w:pStyle w:val="Normal11"/>
          </w:pP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935AA" w14:textId="77777777" w:rsidR="002B10A6" w:rsidRDefault="002B10A6">
    <w:pPr>
      <w:pStyle w:val="Normal11"/>
      <w:spacing w:before="200"/>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12891" w14:textId="77777777" w:rsidR="002B10A6" w:rsidRDefault="002B10A6">
    <w:pPr>
      <w:pStyle w:val="Normal12"/>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41FD688B" w14:textId="77777777">
      <w:trPr>
        <w:jc w:val="center"/>
      </w:trPr>
      <w:tc>
        <w:tcPr>
          <w:tcW w:w="2600" w:type="dxa"/>
          <w:tcMar>
            <w:top w:w="200" w:type="dxa"/>
          </w:tcMar>
          <w:vAlign w:val="center"/>
        </w:tcPr>
        <w:p w14:paraId="79922E3B" w14:textId="77777777" w:rsidR="002B10A6" w:rsidRDefault="002B10A6">
          <w:pPr>
            <w:pStyle w:val="Normal12"/>
          </w:pPr>
        </w:p>
      </w:tc>
      <w:tc>
        <w:tcPr>
          <w:tcW w:w="4880" w:type="dxa"/>
          <w:tcMar>
            <w:top w:w="200" w:type="dxa"/>
          </w:tcMar>
          <w:vAlign w:val="center"/>
        </w:tcPr>
        <w:p w14:paraId="780482D8" w14:textId="77777777" w:rsidR="002B10A6" w:rsidRDefault="002B10A6">
          <w:pPr>
            <w:pStyle w:val="Normal12"/>
            <w:jc w:val="center"/>
          </w:pPr>
        </w:p>
      </w:tc>
      <w:tc>
        <w:tcPr>
          <w:tcW w:w="2600" w:type="dxa"/>
          <w:tcMar>
            <w:top w:w="200" w:type="dxa"/>
          </w:tcMar>
          <w:vAlign w:val="center"/>
        </w:tcPr>
        <w:p w14:paraId="601C8A95" w14:textId="77777777" w:rsidR="002B10A6" w:rsidRDefault="002B10A6">
          <w:pPr>
            <w:pStyle w:val="Normal12"/>
          </w:pP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35133" w14:textId="77777777" w:rsidR="002B10A6" w:rsidRDefault="002B10A6">
    <w:pPr>
      <w:pStyle w:val="Normal12"/>
      <w:spacing w:before="200"/>
      <w:jc w:val="cen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10BBD" w14:textId="77777777" w:rsidR="002B10A6" w:rsidRDefault="002B10A6">
    <w:pPr>
      <w:pStyle w:val="Normal13"/>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7BE81F5D" w14:textId="77777777">
      <w:trPr>
        <w:jc w:val="center"/>
      </w:trPr>
      <w:tc>
        <w:tcPr>
          <w:tcW w:w="2600" w:type="dxa"/>
          <w:tcMar>
            <w:top w:w="200" w:type="dxa"/>
          </w:tcMar>
          <w:vAlign w:val="center"/>
        </w:tcPr>
        <w:p w14:paraId="165FE375" w14:textId="77777777" w:rsidR="002B10A6" w:rsidRDefault="002B10A6">
          <w:pPr>
            <w:pStyle w:val="Normal13"/>
          </w:pPr>
        </w:p>
      </w:tc>
      <w:tc>
        <w:tcPr>
          <w:tcW w:w="4880" w:type="dxa"/>
          <w:tcMar>
            <w:top w:w="200" w:type="dxa"/>
          </w:tcMar>
          <w:vAlign w:val="center"/>
        </w:tcPr>
        <w:p w14:paraId="77A5CE1A" w14:textId="77777777" w:rsidR="002B10A6" w:rsidRDefault="002B10A6">
          <w:pPr>
            <w:pStyle w:val="Normal13"/>
            <w:jc w:val="center"/>
          </w:pPr>
        </w:p>
      </w:tc>
      <w:tc>
        <w:tcPr>
          <w:tcW w:w="2600" w:type="dxa"/>
          <w:tcMar>
            <w:top w:w="200" w:type="dxa"/>
          </w:tcMar>
          <w:vAlign w:val="center"/>
        </w:tcPr>
        <w:p w14:paraId="2EE0AA0A" w14:textId="77777777" w:rsidR="002B10A6" w:rsidRDefault="002B10A6">
          <w:pPr>
            <w:pStyle w:val="Normal13"/>
          </w:pP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8FE73" w14:textId="77777777" w:rsidR="002B10A6" w:rsidRDefault="002B10A6">
    <w:pPr>
      <w:pStyle w:val="Normal13"/>
      <w:spacing w:before="200"/>
      <w:jc w:val="cen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6451F" w14:textId="77777777" w:rsidR="002B10A6" w:rsidRDefault="002B10A6">
    <w:pPr>
      <w:pStyle w:val="Normal14"/>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63B55DD6" w14:textId="77777777">
      <w:trPr>
        <w:jc w:val="center"/>
      </w:trPr>
      <w:tc>
        <w:tcPr>
          <w:tcW w:w="2600" w:type="dxa"/>
          <w:tcMar>
            <w:top w:w="200" w:type="dxa"/>
          </w:tcMar>
          <w:vAlign w:val="center"/>
        </w:tcPr>
        <w:p w14:paraId="4C6F2869" w14:textId="77777777" w:rsidR="002B10A6" w:rsidRDefault="002B10A6">
          <w:pPr>
            <w:pStyle w:val="Normal14"/>
          </w:pPr>
        </w:p>
      </w:tc>
      <w:tc>
        <w:tcPr>
          <w:tcW w:w="4880" w:type="dxa"/>
          <w:tcMar>
            <w:top w:w="200" w:type="dxa"/>
          </w:tcMar>
          <w:vAlign w:val="center"/>
        </w:tcPr>
        <w:p w14:paraId="5F6E3536" w14:textId="77777777" w:rsidR="002B10A6" w:rsidRDefault="002B10A6">
          <w:pPr>
            <w:pStyle w:val="Normal14"/>
            <w:jc w:val="center"/>
          </w:pPr>
        </w:p>
      </w:tc>
      <w:tc>
        <w:tcPr>
          <w:tcW w:w="2600" w:type="dxa"/>
          <w:tcMar>
            <w:top w:w="200" w:type="dxa"/>
          </w:tcMar>
          <w:vAlign w:val="center"/>
        </w:tcPr>
        <w:p w14:paraId="21FC3621" w14:textId="77777777" w:rsidR="002B10A6" w:rsidRDefault="002B10A6">
          <w:pPr>
            <w:pStyle w:val="Normal14"/>
          </w:pP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D65BC" w14:textId="77777777" w:rsidR="002B10A6" w:rsidRDefault="002B10A6">
    <w:pPr>
      <w:pStyle w:val="Normal14"/>
      <w:spacing w:before="200"/>
      <w:jc w:val="cen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C6F70" w14:textId="77777777" w:rsidR="002B10A6" w:rsidRDefault="002B10A6">
    <w:pPr>
      <w:pStyle w:val="Normal15"/>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11F3E2EE" w14:textId="77777777">
      <w:trPr>
        <w:jc w:val="center"/>
      </w:trPr>
      <w:tc>
        <w:tcPr>
          <w:tcW w:w="2600" w:type="dxa"/>
          <w:tcMar>
            <w:top w:w="200" w:type="dxa"/>
          </w:tcMar>
          <w:vAlign w:val="center"/>
        </w:tcPr>
        <w:p w14:paraId="43CD9EF5" w14:textId="77777777" w:rsidR="002B10A6" w:rsidRDefault="002B10A6">
          <w:pPr>
            <w:pStyle w:val="Normal15"/>
          </w:pPr>
        </w:p>
      </w:tc>
      <w:tc>
        <w:tcPr>
          <w:tcW w:w="4880" w:type="dxa"/>
          <w:tcMar>
            <w:top w:w="200" w:type="dxa"/>
          </w:tcMar>
          <w:vAlign w:val="center"/>
        </w:tcPr>
        <w:p w14:paraId="4257E649" w14:textId="77777777" w:rsidR="002B10A6" w:rsidRDefault="002B10A6">
          <w:pPr>
            <w:pStyle w:val="Normal15"/>
            <w:jc w:val="center"/>
          </w:pPr>
        </w:p>
      </w:tc>
      <w:tc>
        <w:tcPr>
          <w:tcW w:w="2600" w:type="dxa"/>
          <w:tcMar>
            <w:top w:w="200" w:type="dxa"/>
          </w:tcMar>
          <w:vAlign w:val="center"/>
        </w:tcPr>
        <w:p w14:paraId="412A61BA" w14:textId="77777777" w:rsidR="002B10A6" w:rsidRDefault="002B10A6">
          <w:pPr>
            <w:pStyle w:val="Normal15"/>
          </w:pP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9FD7C" w14:textId="77777777" w:rsidR="002B10A6" w:rsidRDefault="002B10A6">
    <w:pPr>
      <w:pStyle w:val="Normal15"/>
      <w:spacing w:before="200"/>
      <w:jc w:val="cen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BD3C7" w14:textId="77777777" w:rsidR="002B10A6" w:rsidRDefault="002B10A6">
    <w:pPr>
      <w:pStyle w:val="Normal16"/>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18A6605C" w14:textId="77777777">
      <w:trPr>
        <w:jc w:val="center"/>
      </w:trPr>
      <w:tc>
        <w:tcPr>
          <w:tcW w:w="2600" w:type="dxa"/>
          <w:tcMar>
            <w:top w:w="200" w:type="dxa"/>
          </w:tcMar>
          <w:vAlign w:val="center"/>
        </w:tcPr>
        <w:p w14:paraId="015741B6" w14:textId="77777777" w:rsidR="002B10A6" w:rsidRDefault="002B10A6">
          <w:pPr>
            <w:pStyle w:val="Normal16"/>
          </w:pPr>
        </w:p>
      </w:tc>
      <w:tc>
        <w:tcPr>
          <w:tcW w:w="4880" w:type="dxa"/>
          <w:tcMar>
            <w:top w:w="200" w:type="dxa"/>
          </w:tcMar>
          <w:vAlign w:val="center"/>
        </w:tcPr>
        <w:p w14:paraId="0B8090AD" w14:textId="77777777" w:rsidR="002B10A6" w:rsidRDefault="002B10A6">
          <w:pPr>
            <w:pStyle w:val="Normal16"/>
            <w:jc w:val="center"/>
          </w:pPr>
        </w:p>
      </w:tc>
      <w:tc>
        <w:tcPr>
          <w:tcW w:w="2600" w:type="dxa"/>
          <w:tcMar>
            <w:top w:w="200" w:type="dxa"/>
          </w:tcMar>
          <w:vAlign w:val="center"/>
        </w:tcPr>
        <w:p w14:paraId="5E3B011B" w14:textId="77777777" w:rsidR="002B10A6" w:rsidRDefault="002B10A6">
          <w:pPr>
            <w:pStyle w:val="Normal16"/>
          </w:pP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8EBED" w14:textId="77777777" w:rsidR="002B10A6" w:rsidRDefault="002B10A6">
    <w:pPr>
      <w:pStyle w:val="Normal16"/>
      <w:spacing w:before="200"/>
      <w:jc w:val="cen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5D05A" w14:textId="77777777" w:rsidR="002B10A6" w:rsidRDefault="002B10A6">
    <w:pPr>
      <w:pStyle w:val="Normal17"/>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47634ECA" w14:textId="77777777">
      <w:trPr>
        <w:jc w:val="center"/>
      </w:trPr>
      <w:tc>
        <w:tcPr>
          <w:tcW w:w="2600" w:type="dxa"/>
          <w:tcMar>
            <w:top w:w="200" w:type="dxa"/>
          </w:tcMar>
          <w:vAlign w:val="center"/>
        </w:tcPr>
        <w:p w14:paraId="785D746D" w14:textId="77777777" w:rsidR="002B10A6" w:rsidRDefault="002B10A6">
          <w:pPr>
            <w:pStyle w:val="Normal17"/>
          </w:pPr>
        </w:p>
      </w:tc>
      <w:tc>
        <w:tcPr>
          <w:tcW w:w="4880" w:type="dxa"/>
          <w:tcMar>
            <w:top w:w="200" w:type="dxa"/>
          </w:tcMar>
          <w:vAlign w:val="center"/>
        </w:tcPr>
        <w:p w14:paraId="3448815E" w14:textId="77777777" w:rsidR="002B10A6" w:rsidRDefault="002B10A6">
          <w:pPr>
            <w:pStyle w:val="Normal17"/>
            <w:jc w:val="center"/>
          </w:pPr>
        </w:p>
      </w:tc>
      <w:tc>
        <w:tcPr>
          <w:tcW w:w="2600" w:type="dxa"/>
          <w:tcMar>
            <w:top w:w="200" w:type="dxa"/>
          </w:tcMar>
          <w:vAlign w:val="center"/>
        </w:tcPr>
        <w:p w14:paraId="5C97D215" w14:textId="77777777" w:rsidR="002B10A6" w:rsidRDefault="002B10A6">
          <w:pPr>
            <w:pStyle w:val="Normal17"/>
          </w:pP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E4CF0" w14:textId="77777777" w:rsidR="002B10A6" w:rsidRDefault="002B10A6">
    <w:pPr>
      <w:pStyle w:val="Normal17"/>
      <w:spacing w:before="200"/>
      <w:jc w:val="cen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DF159" w14:textId="77777777" w:rsidR="002B10A6" w:rsidRDefault="002B10A6">
    <w:pPr>
      <w:pStyle w:val="Normal18"/>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1440CBB4" w14:textId="77777777">
      <w:trPr>
        <w:jc w:val="center"/>
      </w:trPr>
      <w:tc>
        <w:tcPr>
          <w:tcW w:w="2600" w:type="dxa"/>
          <w:tcMar>
            <w:top w:w="200" w:type="dxa"/>
          </w:tcMar>
          <w:vAlign w:val="center"/>
        </w:tcPr>
        <w:p w14:paraId="1929A092" w14:textId="77777777" w:rsidR="002B10A6" w:rsidRDefault="002B10A6">
          <w:pPr>
            <w:pStyle w:val="Normal18"/>
          </w:pPr>
        </w:p>
      </w:tc>
      <w:tc>
        <w:tcPr>
          <w:tcW w:w="4880" w:type="dxa"/>
          <w:tcMar>
            <w:top w:w="200" w:type="dxa"/>
          </w:tcMar>
          <w:vAlign w:val="center"/>
        </w:tcPr>
        <w:p w14:paraId="6D01B93C" w14:textId="77777777" w:rsidR="002B10A6" w:rsidRDefault="002B10A6">
          <w:pPr>
            <w:pStyle w:val="Normal18"/>
            <w:jc w:val="center"/>
          </w:pPr>
        </w:p>
      </w:tc>
      <w:tc>
        <w:tcPr>
          <w:tcW w:w="2600" w:type="dxa"/>
          <w:tcMar>
            <w:top w:w="200" w:type="dxa"/>
          </w:tcMar>
          <w:vAlign w:val="center"/>
        </w:tcPr>
        <w:p w14:paraId="762C1579" w14:textId="77777777" w:rsidR="002B10A6" w:rsidRDefault="002B10A6">
          <w:pPr>
            <w:pStyle w:val="Normal18"/>
          </w:pP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55A71" w14:textId="77777777" w:rsidR="002B10A6" w:rsidRDefault="002B10A6">
    <w:pPr>
      <w:pStyle w:val="Normal18"/>
      <w:spacing w:before="200"/>
      <w:jc w:val="cen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953C0" w14:textId="77777777" w:rsidR="002B10A6" w:rsidRDefault="002B10A6">
    <w:pPr>
      <w:pStyle w:val="Normal19"/>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21896B1B" w14:textId="77777777">
      <w:trPr>
        <w:jc w:val="center"/>
      </w:trPr>
      <w:tc>
        <w:tcPr>
          <w:tcW w:w="2600" w:type="dxa"/>
          <w:tcMar>
            <w:top w:w="200" w:type="dxa"/>
          </w:tcMar>
          <w:vAlign w:val="center"/>
        </w:tcPr>
        <w:p w14:paraId="77B4EE8C" w14:textId="77777777" w:rsidR="002B10A6" w:rsidRDefault="002B10A6">
          <w:pPr>
            <w:pStyle w:val="Normal19"/>
          </w:pPr>
        </w:p>
      </w:tc>
      <w:tc>
        <w:tcPr>
          <w:tcW w:w="4880" w:type="dxa"/>
          <w:tcMar>
            <w:top w:w="200" w:type="dxa"/>
          </w:tcMar>
          <w:vAlign w:val="center"/>
        </w:tcPr>
        <w:p w14:paraId="7330734F" w14:textId="77777777" w:rsidR="002B10A6" w:rsidRDefault="002B10A6">
          <w:pPr>
            <w:pStyle w:val="Normal19"/>
            <w:jc w:val="center"/>
          </w:pPr>
        </w:p>
      </w:tc>
      <w:tc>
        <w:tcPr>
          <w:tcW w:w="2600" w:type="dxa"/>
          <w:tcMar>
            <w:top w:w="200" w:type="dxa"/>
          </w:tcMar>
          <w:vAlign w:val="center"/>
        </w:tcPr>
        <w:p w14:paraId="24C480AE" w14:textId="77777777" w:rsidR="002B10A6" w:rsidRDefault="002B10A6">
          <w:pPr>
            <w:pStyle w:val="Normal19"/>
          </w:pP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0B1B9" w14:textId="77777777" w:rsidR="002B10A6" w:rsidRDefault="002B10A6">
    <w:pPr>
      <w:pStyle w:val="Normal19"/>
      <w:spacing w:before="200"/>
      <w:jc w:val="cen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F57B8" w14:textId="77777777" w:rsidR="002B10A6" w:rsidRDefault="002B10A6">
    <w:pPr>
      <w:pStyle w:val="Normal2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CFF5A03" w14:textId="77777777">
      <w:trPr>
        <w:jc w:val="center"/>
      </w:trPr>
      <w:tc>
        <w:tcPr>
          <w:tcW w:w="2600" w:type="dxa"/>
          <w:tcMar>
            <w:top w:w="200" w:type="dxa"/>
          </w:tcMar>
          <w:vAlign w:val="center"/>
        </w:tcPr>
        <w:p w14:paraId="64E9DFC2" w14:textId="77777777" w:rsidR="002B10A6" w:rsidRDefault="002B10A6">
          <w:pPr>
            <w:pStyle w:val="Normal20"/>
          </w:pPr>
        </w:p>
      </w:tc>
      <w:tc>
        <w:tcPr>
          <w:tcW w:w="4880" w:type="dxa"/>
          <w:tcMar>
            <w:top w:w="200" w:type="dxa"/>
          </w:tcMar>
          <w:vAlign w:val="center"/>
        </w:tcPr>
        <w:p w14:paraId="7B3A0172" w14:textId="77777777" w:rsidR="002B10A6" w:rsidRDefault="002B10A6">
          <w:pPr>
            <w:pStyle w:val="Normal20"/>
            <w:jc w:val="center"/>
          </w:pPr>
        </w:p>
      </w:tc>
      <w:tc>
        <w:tcPr>
          <w:tcW w:w="2600" w:type="dxa"/>
          <w:tcMar>
            <w:top w:w="200" w:type="dxa"/>
          </w:tcMar>
          <w:vAlign w:val="center"/>
        </w:tcPr>
        <w:p w14:paraId="7B5668CC" w14:textId="77777777" w:rsidR="002B10A6" w:rsidRDefault="002B10A6">
          <w:pPr>
            <w:pStyle w:val="Normal20"/>
          </w:pPr>
        </w:p>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C2CD1" w14:textId="77777777" w:rsidR="002B10A6" w:rsidRDefault="002B10A6">
    <w:pPr>
      <w:pStyle w:val="Normal20"/>
      <w:spacing w:before="200"/>
      <w:jc w:val="cen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36FD6" w14:textId="77777777" w:rsidR="002B10A6" w:rsidRDefault="002B10A6">
    <w:pPr>
      <w:pStyle w:val="Normal21"/>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04CBE4F7" w14:textId="77777777">
      <w:trPr>
        <w:jc w:val="center"/>
      </w:trPr>
      <w:tc>
        <w:tcPr>
          <w:tcW w:w="2600" w:type="dxa"/>
          <w:tcMar>
            <w:top w:w="200" w:type="dxa"/>
          </w:tcMar>
          <w:vAlign w:val="center"/>
        </w:tcPr>
        <w:p w14:paraId="1C8421CE" w14:textId="77777777" w:rsidR="002B10A6" w:rsidRDefault="002B10A6">
          <w:pPr>
            <w:pStyle w:val="Normal21"/>
          </w:pPr>
        </w:p>
      </w:tc>
      <w:tc>
        <w:tcPr>
          <w:tcW w:w="4880" w:type="dxa"/>
          <w:tcMar>
            <w:top w:w="200" w:type="dxa"/>
          </w:tcMar>
          <w:vAlign w:val="center"/>
        </w:tcPr>
        <w:p w14:paraId="14119F93" w14:textId="77777777" w:rsidR="002B10A6" w:rsidRDefault="002B10A6">
          <w:pPr>
            <w:pStyle w:val="Normal21"/>
            <w:jc w:val="center"/>
          </w:pPr>
        </w:p>
      </w:tc>
      <w:tc>
        <w:tcPr>
          <w:tcW w:w="2600" w:type="dxa"/>
          <w:tcMar>
            <w:top w:w="200" w:type="dxa"/>
          </w:tcMar>
          <w:vAlign w:val="center"/>
        </w:tcPr>
        <w:p w14:paraId="032385AD" w14:textId="77777777" w:rsidR="002B10A6" w:rsidRDefault="002B10A6">
          <w:pPr>
            <w:pStyle w:val="Normal21"/>
          </w:pPr>
        </w:p>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A73CC" w14:textId="77777777" w:rsidR="002B10A6" w:rsidRDefault="002B10A6">
    <w:pPr>
      <w:pStyle w:val="Normal21"/>
      <w:spacing w:before="200"/>
      <w:jc w:val="cen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130EE" w14:textId="77777777" w:rsidR="002B10A6" w:rsidRDefault="002B10A6">
    <w:pPr>
      <w:pStyle w:val="Normal22"/>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6EFE6D50" w14:textId="77777777">
      <w:trPr>
        <w:jc w:val="center"/>
      </w:trPr>
      <w:tc>
        <w:tcPr>
          <w:tcW w:w="2600" w:type="dxa"/>
          <w:tcMar>
            <w:top w:w="200" w:type="dxa"/>
          </w:tcMar>
          <w:vAlign w:val="center"/>
        </w:tcPr>
        <w:p w14:paraId="16C56307" w14:textId="77777777" w:rsidR="002B10A6" w:rsidRDefault="002B10A6">
          <w:pPr>
            <w:pStyle w:val="Normal22"/>
          </w:pPr>
        </w:p>
      </w:tc>
      <w:tc>
        <w:tcPr>
          <w:tcW w:w="4880" w:type="dxa"/>
          <w:tcMar>
            <w:top w:w="200" w:type="dxa"/>
          </w:tcMar>
          <w:vAlign w:val="center"/>
        </w:tcPr>
        <w:p w14:paraId="2D74B54C" w14:textId="77777777" w:rsidR="002B10A6" w:rsidRDefault="002B10A6">
          <w:pPr>
            <w:pStyle w:val="Normal22"/>
            <w:jc w:val="center"/>
          </w:pPr>
        </w:p>
      </w:tc>
      <w:tc>
        <w:tcPr>
          <w:tcW w:w="2600" w:type="dxa"/>
          <w:tcMar>
            <w:top w:w="200" w:type="dxa"/>
          </w:tcMar>
          <w:vAlign w:val="center"/>
        </w:tcPr>
        <w:p w14:paraId="715BEF76" w14:textId="77777777" w:rsidR="002B10A6" w:rsidRDefault="002B10A6">
          <w:pPr>
            <w:pStyle w:val="Normal22"/>
          </w:pPr>
        </w:p>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7BEA0" w14:textId="77777777" w:rsidR="002B10A6" w:rsidRDefault="002B10A6">
    <w:pPr>
      <w:pStyle w:val="Normal22"/>
      <w:spacing w:before="200"/>
      <w:jc w:val="cen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22322" w14:textId="77777777" w:rsidR="002B10A6" w:rsidRDefault="002B10A6">
    <w:pPr>
      <w:pStyle w:val="Normal23"/>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C64D8D7" w14:textId="77777777">
      <w:trPr>
        <w:jc w:val="center"/>
      </w:trPr>
      <w:tc>
        <w:tcPr>
          <w:tcW w:w="2600" w:type="dxa"/>
          <w:tcMar>
            <w:top w:w="200" w:type="dxa"/>
          </w:tcMar>
          <w:vAlign w:val="center"/>
        </w:tcPr>
        <w:p w14:paraId="4C346E6A" w14:textId="77777777" w:rsidR="002B10A6" w:rsidRDefault="002B10A6">
          <w:pPr>
            <w:pStyle w:val="Normal23"/>
          </w:pPr>
        </w:p>
      </w:tc>
      <w:tc>
        <w:tcPr>
          <w:tcW w:w="4880" w:type="dxa"/>
          <w:tcMar>
            <w:top w:w="200" w:type="dxa"/>
          </w:tcMar>
          <w:vAlign w:val="center"/>
        </w:tcPr>
        <w:p w14:paraId="127CBF50" w14:textId="77777777" w:rsidR="002B10A6" w:rsidRDefault="002B10A6">
          <w:pPr>
            <w:pStyle w:val="Normal23"/>
            <w:jc w:val="center"/>
          </w:pPr>
        </w:p>
      </w:tc>
      <w:tc>
        <w:tcPr>
          <w:tcW w:w="2600" w:type="dxa"/>
          <w:tcMar>
            <w:top w:w="200" w:type="dxa"/>
          </w:tcMar>
          <w:vAlign w:val="center"/>
        </w:tcPr>
        <w:p w14:paraId="56C41BA1" w14:textId="77777777" w:rsidR="002B10A6" w:rsidRDefault="002B10A6">
          <w:pPr>
            <w:pStyle w:val="Normal23"/>
          </w:pPr>
        </w:p>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B9DA9" w14:textId="77777777" w:rsidR="002B10A6" w:rsidRDefault="002B10A6">
    <w:pPr>
      <w:pStyle w:val="Normal23"/>
      <w:spacing w:before="200"/>
      <w:jc w:val="cen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B5414" w14:textId="77777777" w:rsidR="002B10A6" w:rsidRDefault="002B10A6">
    <w:pPr>
      <w:pStyle w:val="Normal24"/>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F8042EF" w14:textId="77777777">
      <w:trPr>
        <w:jc w:val="center"/>
      </w:trPr>
      <w:tc>
        <w:tcPr>
          <w:tcW w:w="2600" w:type="dxa"/>
          <w:tcMar>
            <w:top w:w="200" w:type="dxa"/>
          </w:tcMar>
          <w:vAlign w:val="center"/>
        </w:tcPr>
        <w:p w14:paraId="04C5AA9F" w14:textId="77777777" w:rsidR="002B10A6" w:rsidRDefault="002B10A6">
          <w:pPr>
            <w:pStyle w:val="Normal24"/>
          </w:pPr>
        </w:p>
      </w:tc>
      <w:tc>
        <w:tcPr>
          <w:tcW w:w="4880" w:type="dxa"/>
          <w:tcMar>
            <w:top w:w="200" w:type="dxa"/>
          </w:tcMar>
          <w:vAlign w:val="center"/>
        </w:tcPr>
        <w:p w14:paraId="2E2F5993" w14:textId="77777777" w:rsidR="002B10A6" w:rsidRDefault="002B10A6">
          <w:pPr>
            <w:pStyle w:val="Normal24"/>
            <w:jc w:val="center"/>
          </w:pPr>
        </w:p>
      </w:tc>
      <w:tc>
        <w:tcPr>
          <w:tcW w:w="2600" w:type="dxa"/>
          <w:tcMar>
            <w:top w:w="200" w:type="dxa"/>
          </w:tcMar>
          <w:vAlign w:val="center"/>
        </w:tcPr>
        <w:p w14:paraId="698C1EA3" w14:textId="77777777" w:rsidR="002B10A6" w:rsidRDefault="002B10A6">
          <w:pPr>
            <w:pStyle w:val="Normal24"/>
          </w:pPr>
        </w:p>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F60E1" w14:textId="77777777" w:rsidR="002B10A6" w:rsidRDefault="002B10A6">
    <w:pPr>
      <w:pStyle w:val="Normal24"/>
      <w:spacing w:before="200"/>
      <w:jc w:val="cen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8F75E" w14:textId="77777777" w:rsidR="002B10A6" w:rsidRDefault="002B10A6">
    <w:pPr>
      <w:pStyle w:val="Normal25"/>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2671FA0E" w14:textId="77777777">
      <w:trPr>
        <w:jc w:val="center"/>
      </w:trPr>
      <w:tc>
        <w:tcPr>
          <w:tcW w:w="2600" w:type="dxa"/>
          <w:tcMar>
            <w:top w:w="200" w:type="dxa"/>
          </w:tcMar>
          <w:vAlign w:val="center"/>
        </w:tcPr>
        <w:p w14:paraId="352369D0" w14:textId="77777777" w:rsidR="002B10A6" w:rsidRDefault="002B10A6">
          <w:pPr>
            <w:pStyle w:val="Normal25"/>
          </w:pPr>
        </w:p>
      </w:tc>
      <w:tc>
        <w:tcPr>
          <w:tcW w:w="4880" w:type="dxa"/>
          <w:tcMar>
            <w:top w:w="200" w:type="dxa"/>
          </w:tcMar>
          <w:vAlign w:val="center"/>
        </w:tcPr>
        <w:p w14:paraId="2A9F1FEA" w14:textId="77777777" w:rsidR="002B10A6" w:rsidRDefault="002B10A6">
          <w:pPr>
            <w:pStyle w:val="Normal25"/>
            <w:jc w:val="center"/>
          </w:pPr>
        </w:p>
      </w:tc>
      <w:tc>
        <w:tcPr>
          <w:tcW w:w="2600" w:type="dxa"/>
          <w:tcMar>
            <w:top w:w="200" w:type="dxa"/>
          </w:tcMar>
          <w:vAlign w:val="center"/>
        </w:tcPr>
        <w:p w14:paraId="35981532" w14:textId="77777777" w:rsidR="002B10A6" w:rsidRDefault="002B10A6">
          <w:pPr>
            <w:pStyle w:val="Normal25"/>
          </w:pPr>
        </w:p>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EA69F" w14:textId="77777777" w:rsidR="002B10A6" w:rsidRDefault="002B10A6">
    <w:pPr>
      <w:pStyle w:val="Normal25"/>
      <w:spacing w:before="200"/>
      <w:jc w:val="cen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BE82B" w14:textId="77777777" w:rsidR="002B10A6" w:rsidRDefault="002B10A6">
    <w:pPr>
      <w:pStyle w:val="Normal26"/>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077C5030" w14:textId="77777777">
      <w:trPr>
        <w:jc w:val="center"/>
      </w:trPr>
      <w:tc>
        <w:tcPr>
          <w:tcW w:w="2600" w:type="dxa"/>
          <w:tcMar>
            <w:top w:w="200" w:type="dxa"/>
          </w:tcMar>
          <w:vAlign w:val="center"/>
        </w:tcPr>
        <w:p w14:paraId="3F6D7582" w14:textId="77777777" w:rsidR="002B10A6" w:rsidRDefault="002B10A6">
          <w:pPr>
            <w:pStyle w:val="Normal26"/>
          </w:pPr>
        </w:p>
      </w:tc>
      <w:tc>
        <w:tcPr>
          <w:tcW w:w="4880" w:type="dxa"/>
          <w:tcMar>
            <w:top w:w="200" w:type="dxa"/>
          </w:tcMar>
          <w:vAlign w:val="center"/>
        </w:tcPr>
        <w:p w14:paraId="6541C654" w14:textId="77777777" w:rsidR="002B10A6" w:rsidRDefault="002B10A6">
          <w:pPr>
            <w:pStyle w:val="Normal26"/>
            <w:jc w:val="center"/>
          </w:pPr>
        </w:p>
      </w:tc>
      <w:tc>
        <w:tcPr>
          <w:tcW w:w="2600" w:type="dxa"/>
          <w:tcMar>
            <w:top w:w="200" w:type="dxa"/>
          </w:tcMar>
          <w:vAlign w:val="center"/>
        </w:tcPr>
        <w:p w14:paraId="27627702" w14:textId="77777777" w:rsidR="002B10A6" w:rsidRDefault="002B10A6">
          <w:pPr>
            <w:pStyle w:val="Normal26"/>
          </w:pPr>
        </w:p>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E1F78" w14:textId="77777777" w:rsidR="002B10A6" w:rsidRDefault="002B10A6">
    <w:pPr>
      <w:pStyle w:val="Normal26"/>
      <w:spacing w:before="200"/>
      <w:jc w:val="cente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76B0A" w14:textId="77777777" w:rsidR="002B10A6" w:rsidRDefault="002B10A6">
    <w:pPr>
      <w:pStyle w:val="Normal27"/>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4BD90B87" w14:textId="77777777">
      <w:trPr>
        <w:jc w:val="center"/>
      </w:trPr>
      <w:tc>
        <w:tcPr>
          <w:tcW w:w="2600" w:type="dxa"/>
          <w:tcMar>
            <w:top w:w="200" w:type="dxa"/>
          </w:tcMar>
          <w:vAlign w:val="center"/>
        </w:tcPr>
        <w:p w14:paraId="2A6CC4D9" w14:textId="77777777" w:rsidR="002B10A6" w:rsidRDefault="002B10A6">
          <w:pPr>
            <w:pStyle w:val="Normal27"/>
          </w:pPr>
        </w:p>
      </w:tc>
      <w:tc>
        <w:tcPr>
          <w:tcW w:w="4880" w:type="dxa"/>
          <w:tcMar>
            <w:top w:w="200" w:type="dxa"/>
          </w:tcMar>
          <w:vAlign w:val="center"/>
        </w:tcPr>
        <w:p w14:paraId="29C89033" w14:textId="77777777" w:rsidR="002B10A6" w:rsidRDefault="002B10A6">
          <w:pPr>
            <w:pStyle w:val="Normal27"/>
            <w:jc w:val="center"/>
          </w:pPr>
        </w:p>
      </w:tc>
      <w:tc>
        <w:tcPr>
          <w:tcW w:w="2600" w:type="dxa"/>
          <w:tcMar>
            <w:top w:w="200" w:type="dxa"/>
          </w:tcMar>
          <w:vAlign w:val="center"/>
        </w:tcPr>
        <w:p w14:paraId="0E50C66D" w14:textId="77777777" w:rsidR="002B10A6" w:rsidRDefault="002B10A6">
          <w:pPr>
            <w:pStyle w:val="Normal27"/>
          </w:pPr>
        </w:p>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455F3" w14:textId="77777777" w:rsidR="002B10A6" w:rsidRDefault="002B10A6">
    <w:pPr>
      <w:pStyle w:val="Normal27"/>
      <w:spacing w:before="200"/>
      <w:jc w:val="cente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84A3E" w14:textId="77777777" w:rsidR="002B10A6" w:rsidRDefault="002B10A6">
    <w:pPr>
      <w:pStyle w:val="Normal28"/>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111F5C96" w14:textId="77777777">
      <w:trPr>
        <w:jc w:val="center"/>
      </w:trPr>
      <w:tc>
        <w:tcPr>
          <w:tcW w:w="2600" w:type="dxa"/>
          <w:tcMar>
            <w:top w:w="200" w:type="dxa"/>
          </w:tcMar>
          <w:vAlign w:val="center"/>
        </w:tcPr>
        <w:p w14:paraId="78A25707" w14:textId="77777777" w:rsidR="002B10A6" w:rsidRDefault="002B10A6">
          <w:pPr>
            <w:pStyle w:val="Normal28"/>
          </w:pPr>
        </w:p>
      </w:tc>
      <w:tc>
        <w:tcPr>
          <w:tcW w:w="4880" w:type="dxa"/>
          <w:tcMar>
            <w:top w:w="200" w:type="dxa"/>
          </w:tcMar>
          <w:vAlign w:val="center"/>
        </w:tcPr>
        <w:p w14:paraId="06F1A25B" w14:textId="77777777" w:rsidR="002B10A6" w:rsidRDefault="002B10A6">
          <w:pPr>
            <w:pStyle w:val="Normal28"/>
            <w:jc w:val="center"/>
          </w:pPr>
        </w:p>
      </w:tc>
      <w:tc>
        <w:tcPr>
          <w:tcW w:w="2600" w:type="dxa"/>
          <w:tcMar>
            <w:top w:w="200" w:type="dxa"/>
          </w:tcMar>
          <w:vAlign w:val="center"/>
        </w:tcPr>
        <w:p w14:paraId="7EEE2571" w14:textId="77777777" w:rsidR="002B10A6" w:rsidRDefault="002B10A6">
          <w:pPr>
            <w:pStyle w:val="Normal28"/>
          </w:pPr>
        </w:p>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131E8" w14:textId="77777777" w:rsidR="002B10A6" w:rsidRDefault="002B10A6">
    <w:pPr>
      <w:pStyle w:val="Normal28"/>
      <w:spacing w:before="200"/>
      <w:jc w:val="cen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7E7CF" w14:textId="77777777" w:rsidR="002B10A6" w:rsidRDefault="002B10A6">
    <w:pPr>
      <w:pStyle w:val="Normal29"/>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7D05882A" w14:textId="77777777">
      <w:trPr>
        <w:jc w:val="center"/>
      </w:trPr>
      <w:tc>
        <w:tcPr>
          <w:tcW w:w="2600" w:type="dxa"/>
          <w:tcMar>
            <w:top w:w="200" w:type="dxa"/>
          </w:tcMar>
          <w:vAlign w:val="center"/>
        </w:tcPr>
        <w:p w14:paraId="2F5C69BC" w14:textId="77777777" w:rsidR="002B10A6" w:rsidRDefault="002B10A6">
          <w:pPr>
            <w:pStyle w:val="Normal29"/>
          </w:pPr>
        </w:p>
      </w:tc>
      <w:tc>
        <w:tcPr>
          <w:tcW w:w="4880" w:type="dxa"/>
          <w:tcMar>
            <w:top w:w="200" w:type="dxa"/>
          </w:tcMar>
          <w:vAlign w:val="center"/>
        </w:tcPr>
        <w:p w14:paraId="07512CA3" w14:textId="77777777" w:rsidR="002B10A6" w:rsidRDefault="002B10A6">
          <w:pPr>
            <w:pStyle w:val="Normal29"/>
            <w:jc w:val="center"/>
          </w:pPr>
        </w:p>
      </w:tc>
      <w:tc>
        <w:tcPr>
          <w:tcW w:w="2600" w:type="dxa"/>
          <w:tcMar>
            <w:top w:w="200" w:type="dxa"/>
          </w:tcMar>
          <w:vAlign w:val="center"/>
        </w:tcPr>
        <w:p w14:paraId="502A2CCD" w14:textId="77777777" w:rsidR="002B10A6" w:rsidRDefault="002B10A6">
          <w:pPr>
            <w:pStyle w:val="Normal29"/>
          </w:pPr>
        </w:p>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AB1C1" w14:textId="77777777" w:rsidR="002B10A6" w:rsidRDefault="002B10A6">
    <w:pPr>
      <w:pStyle w:val="Normal29"/>
      <w:spacing w:before="200"/>
      <w:jc w:val="cente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43ED4" w14:textId="77777777" w:rsidR="002B10A6" w:rsidRDefault="002B10A6">
    <w:pPr>
      <w:pStyle w:val="Normal3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7A02D977" w14:textId="77777777">
      <w:trPr>
        <w:jc w:val="center"/>
      </w:trPr>
      <w:tc>
        <w:tcPr>
          <w:tcW w:w="2600" w:type="dxa"/>
          <w:tcMar>
            <w:top w:w="200" w:type="dxa"/>
          </w:tcMar>
          <w:vAlign w:val="center"/>
        </w:tcPr>
        <w:p w14:paraId="5F4900E9" w14:textId="77777777" w:rsidR="002B10A6" w:rsidRDefault="002B10A6">
          <w:pPr>
            <w:pStyle w:val="Normal30"/>
          </w:pPr>
        </w:p>
      </w:tc>
      <w:tc>
        <w:tcPr>
          <w:tcW w:w="4880" w:type="dxa"/>
          <w:tcMar>
            <w:top w:w="200" w:type="dxa"/>
          </w:tcMar>
          <w:vAlign w:val="center"/>
        </w:tcPr>
        <w:p w14:paraId="0EB4E5E8" w14:textId="77777777" w:rsidR="002B10A6" w:rsidRDefault="002B10A6">
          <w:pPr>
            <w:pStyle w:val="Normal30"/>
            <w:jc w:val="center"/>
          </w:pPr>
        </w:p>
      </w:tc>
      <w:tc>
        <w:tcPr>
          <w:tcW w:w="2600" w:type="dxa"/>
          <w:tcMar>
            <w:top w:w="200" w:type="dxa"/>
          </w:tcMar>
          <w:vAlign w:val="center"/>
        </w:tcPr>
        <w:p w14:paraId="4CE4A10A" w14:textId="77777777" w:rsidR="002B10A6" w:rsidRDefault="002B10A6">
          <w:pPr>
            <w:pStyle w:val="Normal30"/>
          </w:pPr>
        </w:p>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E9107" w14:textId="77777777" w:rsidR="002B10A6" w:rsidRDefault="002B10A6">
    <w:pPr>
      <w:pStyle w:val="Normal30"/>
      <w:spacing w:before="200"/>
      <w:jc w:val="cente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27094" w14:textId="77777777" w:rsidR="002B10A6" w:rsidRDefault="002B10A6">
    <w:pPr>
      <w:pStyle w:val="Normal31"/>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523E542" w14:textId="77777777">
      <w:trPr>
        <w:jc w:val="center"/>
      </w:trPr>
      <w:tc>
        <w:tcPr>
          <w:tcW w:w="2600" w:type="dxa"/>
          <w:tcMar>
            <w:top w:w="200" w:type="dxa"/>
          </w:tcMar>
          <w:vAlign w:val="center"/>
        </w:tcPr>
        <w:p w14:paraId="621BB26F" w14:textId="77777777" w:rsidR="002B10A6" w:rsidRDefault="002B10A6">
          <w:pPr>
            <w:pStyle w:val="Normal31"/>
          </w:pPr>
        </w:p>
      </w:tc>
      <w:tc>
        <w:tcPr>
          <w:tcW w:w="4880" w:type="dxa"/>
          <w:tcMar>
            <w:top w:w="200" w:type="dxa"/>
          </w:tcMar>
          <w:vAlign w:val="center"/>
        </w:tcPr>
        <w:p w14:paraId="5B99294F" w14:textId="77777777" w:rsidR="002B10A6" w:rsidRDefault="002B10A6">
          <w:pPr>
            <w:pStyle w:val="Normal31"/>
            <w:jc w:val="center"/>
          </w:pPr>
        </w:p>
      </w:tc>
      <w:tc>
        <w:tcPr>
          <w:tcW w:w="2600" w:type="dxa"/>
          <w:tcMar>
            <w:top w:w="200" w:type="dxa"/>
          </w:tcMar>
          <w:vAlign w:val="center"/>
        </w:tcPr>
        <w:p w14:paraId="1DD2A580" w14:textId="77777777" w:rsidR="002B10A6" w:rsidRDefault="002B10A6">
          <w:pPr>
            <w:pStyle w:val="Normal31"/>
          </w:pPr>
        </w:p>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368D7" w14:textId="77777777" w:rsidR="002B10A6" w:rsidRDefault="002B10A6">
    <w:pPr>
      <w:pStyle w:val="Normal31"/>
      <w:spacing w:before="200"/>
      <w:jc w:val="cen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E611" w14:textId="77777777" w:rsidR="002B10A6" w:rsidRDefault="002B10A6">
    <w:pPr>
      <w:pStyle w:val="Normal32"/>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32592CA" w14:textId="77777777">
      <w:trPr>
        <w:jc w:val="center"/>
      </w:trPr>
      <w:tc>
        <w:tcPr>
          <w:tcW w:w="2600" w:type="dxa"/>
          <w:tcMar>
            <w:top w:w="200" w:type="dxa"/>
          </w:tcMar>
          <w:vAlign w:val="center"/>
        </w:tcPr>
        <w:p w14:paraId="310522BA" w14:textId="77777777" w:rsidR="002B10A6" w:rsidRDefault="002B10A6">
          <w:pPr>
            <w:pStyle w:val="Normal32"/>
          </w:pPr>
        </w:p>
      </w:tc>
      <w:tc>
        <w:tcPr>
          <w:tcW w:w="4880" w:type="dxa"/>
          <w:tcMar>
            <w:top w:w="200" w:type="dxa"/>
          </w:tcMar>
          <w:vAlign w:val="center"/>
        </w:tcPr>
        <w:p w14:paraId="2D121941" w14:textId="77777777" w:rsidR="002B10A6" w:rsidRDefault="002B10A6">
          <w:pPr>
            <w:pStyle w:val="Normal32"/>
            <w:jc w:val="center"/>
          </w:pPr>
        </w:p>
      </w:tc>
      <w:tc>
        <w:tcPr>
          <w:tcW w:w="2600" w:type="dxa"/>
          <w:tcMar>
            <w:top w:w="200" w:type="dxa"/>
          </w:tcMar>
          <w:vAlign w:val="center"/>
        </w:tcPr>
        <w:p w14:paraId="2A5FAABB" w14:textId="77777777" w:rsidR="002B10A6" w:rsidRDefault="002B10A6">
          <w:pPr>
            <w:pStyle w:val="Normal32"/>
          </w:pPr>
        </w:p>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BC98D" w14:textId="77777777" w:rsidR="002B10A6" w:rsidRDefault="002B10A6">
    <w:pPr>
      <w:pStyle w:val="Normal32"/>
      <w:spacing w:before="200"/>
      <w:jc w:val="cente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C89BC" w14:textId="77777777" w:rsidR="002B10A6" w:rsidRDefault="002B10A6">
    <w:pPr>
      <w:pStyle w:val="Normal33"/>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0C819309" w14:textId="77777777">
      <w:trPr>
        <w:jc w:val="center"/>
      </w:trPr>
      <w:tc>
        <w:tcPr>
          <w:tcW w:w="2600" w:type="dxa"/>
          <w:tcMar>
            <w:top w:w="200" w:type="dxa"/>
          </w:tcMar>
          <w:vAlign w:val="center"/>
        </w:tcPr>
        <w:p w14:paraId="2AE84572" w14:textId="77777777" w:rsidR="002B10A6" w:rsidRDefault="002B10A6">
          <w:pPr>
            <w:pStyle w:val="Normal33"/>
          </w:pPr>
        </w:p>
      </w:tc>
      <w:tc>
        <w:tcPr>
          <w:tcW w:w="4880" w:type="dxa"/>
          <w:tcMar>
            <w:top w:w="200" w:type="dxa"/>
          </w:tcMar>
          <w:vAlign w:val="center"/>
        </w:tcPr>
        <w:p w14:paraId="2BBCFC0F" w14:textId="77777777" w:rsidR="002B10A6" w:rsidRDefault="002B10A6">
          <w:pPr>
            <w:pStyle w:val="Normal33"/>
            <w:jc w:val="center"/>
          </w:pPr>
        </w:p>
      </w:tc>
      <w:tc>
        <w:tcPr>
          <w:tcW w:w="2600" w:type="dxa"/>
          <w:tcMar>
            <w:top w:w="200" w:type="dxa"/>
          </w:tcMar>
          <w:vAlign w:val="center"/>
        </w:tcPr>
        <w:p w14:paraId="0C1E9688" w14:textId="77777777" w:rsidR="002B10A6" w:rsidRDefault="002B10A6">
          <w:pPr>
            <w:pStyle w:val="Normal33"/>
          </w:pPr>
        </w:p>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7D5F3" w14:textId="77777777" w:rsidR="002B10A6" w:rsidRDefault="002B10A6">
    <w:pPr>
      <w:pStyle w:val="Normal33"/>
      <w:spacing w:before="200"/>
      <w:jc w:val="cente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07C1B" w14:textId="77777777" w:rsidR="002B10A6" w:rsidRDefault="002B10A6">
    <w:pPr>
      <w:pStyle w:val="Normal34"/>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5F64603C" w14:textId="77777777">
      <w:trPr>
        <w:jc w:val="center"/>
      </w:trPr>
      <w:tc>
        <w:tcPr>
          <w:tcW w:w="2600" w:type="dxa"/>
          <w:tcMar>
            <w:top w:w="200" w:type="dxa"/>
          </w:tcMar>
          <w:vAlign w:val="center"/>
        </w:tcPr>
        <w:p w14:paraId="238FDF92" w14:textId="77777777" w:rsidR="002B10A6" w:rsidRDefault="002B10A6">
          <w:pPr>
            <w:pStyle w:val="Normal34"/>
          </w:pPr>
        </w:p>
      </w:tc>
      <w:tc>
        <w:tcPr>
          <w:tcW w:w="4880" w:type="dxa"/>
          <w:tcMar>
            <w:top w:w="200" w:type="dxa"/>
          </w:tcMar>
          <w:vAlign w:val="center"/>
        </w:tcPr>
        <w:p w14:paraId="618099C3" w14:textId="77777777" w:rsidR="002B10A6" w:rsidRDefault="002B10A6">
          <w:pPr>
            <w:pStyle w:val="Normal34"/>
            <w:jc w:val="center"/>
          </w:pPr>
        </w:p>
      </w:tc>
      <w:tc>
        <w:tcPr>
          <w:tcW w:w="2600" w:type="dxa"/>
          <w:tcMar>
            <w:top w:w="200" w:type="dxa"/>
          </w:tcMar>
          <w:vAlign w:val="center"/>
        </w:tcPr>
        <w:p w14:paraId="1D97B0BF" w14:textId="77777777" w:rsidR="002B10A6" w:rsidRDefault="002B10A6">
          <w:pPr>
            <w:pStyle w:val="Normal34"/>
          </w:pPr>
        </w:p>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F98C6" w14:textId="77777777" w:rsidR="002B10A6" w:rsidRDefault="002B10A6">
    <w:pPr>
      <w:pStyle w:val="Normal34"/>
      <w:spacing w:before="200"/>
      <w:jc w:val="cente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AC4F7" w14:textId="77777777" w:rsidR="002B10A6" w:rsidRDefault="002B10A6">
    <w:pPr>
      <w:pStyle w:val="Normal35"/>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5EA50565" w14:textId="77777777">
      <w:trPr>
        <w:jc w:val="center"/>
      </w:trPr>
      <w:tc>
        <w:tcPr>
          <w:tcW w:w="2600" w:type="dxa"/>
          <w:tcMar>
            <w:top w:w="200" w:type="dxa"/>
          </w:tcMar>
          <w:vAlign w:val="center"/>
        </w:tcPr>
        <w:p w14:paraId="3A7FCADA" w14:textId="77777777" w:rsidR="002B10A6" w:rsidRDefault="002B10A6">
          <w:pPr>
            <w:pStyle w:val="Normal35"/>
          </w:pPr>
        </w:p>
      </w:tc>
      <w:tc>
        <w:tcPr>
          <w:tcW w:w="4880" w:type="dxa"/>
          <w:tcMar>
            <w:top w:w="200" w:type="dxa"/>
          </w:tcMar>
          <w:vAlign w:val="center"/>
        </w:tcPr>
        <w:p w14:paraId="5395D01B" w14:textId="77777777" w:rsidR="002B10A6" w:rsidRDefault="002B10A6">
          <w:pPr>
            <w:pStyle w:val="Normal35"/>
            <w:jc w:val="center"/>
          </w:pPr>
        </w:p>
      </w:tc>
      <w:tc>
        <w:tcPr>
          <w:tcW w:w="2600" w:type="dxa"/>
          <w:tcMar>
            <w:top w:w="200" w:type="dxa"/>
          </w:tcMar>
          <w:vAlign w:val="center"/>
        </w:tcPr>
        <w:p w14:paraId="355D7D84" w14:textId="77777777" w:rsidR="002B10A6" w:rsidRDefault="002B10A6">
          <w:pPr>
            <w:pStyle w:val="Normal35"/>
          </w:pPr>
        </w:p>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018CF" w14:textId="77777777" w:rsidR="002B10A6" w:rsidRDefault="002B10A6">
    <w:pPr>
      <w:pStyle w:val="Normal35"/>
      <w:spacing w:before="200"/>
      <w:jc w:val="cente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96F66" w14:textId="77777777" w:rsidR="002B10A6" w:rsidRDefault="002B10A6">
    <w:pPr>
      <w:pStyle w:val="Normal36"/>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2C8A2F0C" w14:textId="77777777">
      <w:trPr>
        <w:jc w:val="center"/>
      </w:trPr>
      <w:tc>
        <w:tcPr>
          <w:tcW w:w="2600" w:type="dxa"/>
          <w:tcMar>
            <w:top w:w="200" w:type="dxa"/>
          </w:tcMar>
          <w:vAlign w:val="center"/>
        </w:tcPr>
        <w:p w14:paraId="2EB53701" w14:textId="77777777" w:rsidR="002B10A6" w:rsidRDefault="002B10A6">
          <w:pPr>
            <w:pStyle w:val="Normal36"/>
          </w:pPr>
        </w:p>
      </w:tc>
      <w:tc>
        <w:tcPr>
          <w:tcW w:w="4880" w:type="dxa"/>
          <w:tcMar>
            <w:top w:w="200" w:type="dxa"/>
          </w:tcMar>
          <w:vAlign w:val="center"/>
        </w:tcPr>
        <w:p w14:paraId="790BF6DA" w14:textId="77777777" w:rsidR="002B10A6" w:rsidRDefault="002B10A6">
          <w:pPr>
            <w:pStyle w:val="Normal36"/>
            <w:jc w:val="center"/>
          </w:pPr>
        </w:p>
      </w:tc>
      <w:tc>
        <w:tcPr>
          <w:tcW w:w="2600" w:type="dxa"/>
          <w:tcMar>
            <w:top w:w="200" w:type="dxa"/>
          </w:tcMar>
          <w:vAlign w:val="center"/>
        </w:tcPr>
        <w:p w14:paraId="5B0A1310" w14:textId="77777777" w:rsidR="002B10A6" w:rsidRDefault="002B10A6">
          <w:pPr>
            <w:pStyle w:val="Normal36"/>
          </w:pPr>
        </w:p>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9475D" w14:textId="77777777" w:rsidR="002B10A6" w:rsidRDefault="002B10A6">
    <w:pPr>
      <w:pStyle w:val="Normal36"/>
      <w:spacing w:before="200"/>
      <w:jc w:val="cente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A5F01" w14:textId="77777777" w:rsidR="002B10A6" w:rsidRDefault="002B10A6">
    <w:pPr>
      <w:pStyle w:val="Normal37"/>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58753780" w14:textId="77777777">
      <w:trPr>
        <w:jc w:val="center"/>
      </w:trPr>
      <w:tc>
        <w:tcPr>
          <w:tcW w:w="2600" w:type="dxa"/>
          <w:tcMar>
            <w:top w:w="200" w:type="dxa"/>
          </w:tcMar>
          <w:vAlign w:val="center"/>
        </w:tcPr>
        <w:p w14:paraId="0E3AD85A" w14:textId="77777777" w:rsidR="002B10A6" w:rsidRDefault="002B10A6">
          <w:pPr>
            <w:pStyle w:val="Normal37"/>
          </w:pPr>
        </w:p>
      </w:tc>
      <w:tc>
        <w:tcPr>
          <w:tcW w:w="4880" w:type="dxa"/>
          <w:tcMar>
            <w:top w:w="200" w:type="dxa"/>
          </w:tcMar>
          <w:vAlign w:val="center"/>
        </w:tcPr>
        <w:p w14:paraId="028AA6C0" w14:textId="77777777" w:rsidR="002B10A6" w:rsidRDefault="002B10A6">
          <w:pPr>
            <w:pStyle w:val="Normal37"/>
            <w:jc w:val="center"/>
          </w:pPr>
        </w:p>
      </w:tc>
      <w:tc>
        <w:tcPr>
          <w:tcW w:w="2600" w:type="dxa"/>
          <w:tcMar>
            <w:top w:w="200" w:type="dxa"/>
          </w:tcMar>
          <w:vAlign w:val="center"/>
        </w:tcPr>
        <w:p w14:paraId="1C2BD41E" w14:textId="77777777" w:rsidR="002B10A6" w:rsidRDefault="002B10A6">
          <w:pPr>
            <w:pStyle w:val="Normal37"/>
          </w:pPr>
        </w:p>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71FDB" w14:textId="77777777" w:rsidR="002B10A6" w:rsidRDefault="002B10A6">
    <w:pPr>
      <w:pStyle w:val="Normal37"/>
      <w:spacing w:before="200"/>
      <w:jc w:val="cente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DC721" w14:textId="77777777" w:rsidR="002B10A6" w:rsidRDefault="002B10A6">
    <w:pPr>
      <w:pStyle w:val="Normal38"/>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2D528A4F" w14:textId="77777777">
      <w:trPr>
        <w:jc w:val="center"/>
      </w:trPr>
      <w:tc>
        <w:tcPr>
          <w:tcW w:w="2600" w:type="dxa"/>
          <w:tcMar>
            <w:top w:w="200" w:type="dxa"/>
          </w:tcMar>
          <w:vAlign w:val="center"/>
        </w:tcPr>
        <w:p w14:paraId="45332AEE" w14:textId="77777777" w:rsidR="002B10A6" w:rsidRDefault="002B10A6">
          <w:pPr>
            <w:pStyle w:val="Normal38"/>
          </w:pPr>
        </w:p>
      </w:tc>
      <w:tc>
        <w:tcPr>
          <w:tcW w:w="4880" w:type="dxa"/>
          <w:tcMar>
            <w:top w:w="200" w:type="dxa"/>
          </w:tcMar>
          <w:vAlign w:val="center"/>
        </w:tcPr>
        <w:p w14:paraId="5702D822" w14:textId="77777777" w:rsidR="002B10A6" w:rsidRDefault="002B10A6">
          <w:pPr>
            <w:pStyle w:val="Normal38"/>
            <w:jc w:val="center"/>
          </w:pPr>
        </w:p>
      </w:tc>
      <w:tc>
        <w:tcPr>
          <w:tcW w:w="2600" w:type="dxa"/>
          <w:tcMar>
            <w:top w:w="200" w:type="dxa"/>
          </w:tcMar>
          <w:vAlign w:val="center"/>
        </w:tcPr>
        <w:p w14:paraId="232A6ADE" w14:textId="77777777" w:rsidR="002B10A6" w:rsidRDefault="002B10A6">
          <w:pPr>
            <w:pStyle w:val="Normal38"/>
          </w:pPr>
        </w:p>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29A87" w14:textId="77777777" w:rsidR="002B10A6" w:rsidRDefault="002B10A6">
    <w:pPr>
      <w:pStyle w:val="Normal38"/>
      <w:spacing w:before="200"/>
      <w:jc w:val="cente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EC5B9" w14:textId="77777777" w:rsidR="002B10A6" w:rsidRDefault="002B10A6">
    <w:pPr>
      <w:pStyle w:val="Normal39"/>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25314C6F" w14:textId="77777777">
      <w:trPr>
        <w:jc w:val="center"/>
      </w:trPr>
      <w:tc>
        <w:tcPr>
          <w:tcW w:w="2600" w:type="dxa"/>
          <w:tcMar>
            <w:top w:w="200" w:type="dxa"/>
          </w:tcMar>
          <w:vAlign w:val="center"/>
        </w:tcPr>
        <w:p w14:paraId="3A731068" w14:textId="77777777" w:rsidR="002B10A6" w:rsidRDefault="002B10A6">
          <w:pPr>
            <w:pStyle w:val="Normal39"/>
          </w:pPr>
        </w:p>
      </w:tc>
      <w:tc>
        <w:tcPr>
          <w:tcW w:w="4880" w:type="dxa"/>
          <w:tcMar>
            <w:top w:w="200" w:type="dxa"/>
          </w:tcMar>
          <w:vAlign w:val="center"/>
        </w:tcPr>
        <w:p w14:paraId="6B4941DE" w14:textId="77777777" w:rsidR="002B10A6" w:rsidRDefault="002B10A6">
          <w:pPr>
            <w:pStyle w:val="Normal39"/>
            <w:jc w:val="center"/>
          </w:pPr>
        </w:p>
      </w:tc>
      <w:tc>
        <w:tcPr>
          <w:tcW w:w="2600" w:type="dxa"/>
          <w:tcMar>
            <w:top w:w="200" w:type="dxa"/>
          </w:tcMar>
          <w:vAlign w:val="center"/>
        </w:tcPr>
        <w:p w14:paraId="7470C48D" w14:textId="77777777" w:rsidR="002B10A6" w:rsidRDefault="002B10A6">
          <w:pPr>
            <w:pStyle w:val="Normal39"/>
          </w:pPr>
        </w:p>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70359" w14:textId="77777777" w:rsidR="002B10A6" w:rsidRDefault="002B10A6">
    <w:pPr>
      <w:pStyle w:val="Normal39"/>
      <w:spacing w:before="200"/>
      <w:jc w:val="cente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5E137" w14:textId="77777777" w:rsidR="002B10A6" w:rsidRDefault="002B10A6">
    <w:pPr>
      <w:pStyle w:val="Normal40"/>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529F6C3B" w14:textId="77777777">
      <w:trPr>
        <w:jc w:val="center"/>
      </w:trPr>
      <w:tc>
        <w:tcPr>
          <w:tcW w:w="2600" w:type="dxa"/>
          <w:tcMar>
            <w:top w:w="200" w:type="dxa"/>
          </w:tcMar>
          <w:vAlign w:val="center"/>
        </w:tcPr>
        <w:p w14:paraId="467F3A4E" w14:textId="77777777" w:rsidR="002B10A6" w:rsidRDefault="002B10A6">
          <w:pPr>
            <w:pStyle w:val="Normal40"/>
          </w:pPr>
        </w:p>
      </w:tc>
      <w:tc>
        <w:tcPr>
          <w:tcW w:w="4880" w:type="dxa"/>
          <w:tcMar>
            <w:top w:w="200" w:type="dxa"/>
          </w:tcMar>
          <w:vAlign w:val="center"/>
        </w:tcPr>
        <w:p w14:paraId="19EC8F24" w14:textId="77777777" w:rsidR="002B10A6" w:rsidRDefault="002B10A6">
          <w:pPr>
            <w:pStyle w:val="Normal40"/>
            <w:jc w:val="center"/>
          </w:pPr>
        </w:p>
      </w:tc>
      <w:tc>
        <w:tcPr>
          <w:tcW w:w="2600" w:type="dxa"/>
          <w:tcMar>
            <w:top w:w="200" w:type="dxa"/>
          </w:tcMar>
          <w:vAlign w:val="center"/>
        </w:tcPr>
        <w:p w14:paraId="233C1286" w14:textId="77777777" w:rsidR="002B10A6" w:rsidRDefault="002B10A6">
          <w:pPr>
            <w:pStyle w:val="Normal40"/>
          </w:pPr>
        </w:p>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93DC4" w14:textId="77777777" w:rsidR="002B10A6" w:rsidRDefault="002B10A6">
    <w:pPr>
      <w:pStyle w:val="Normal40"/>
      <w:spacing w:before="200"/>
      <w:jc w:val="cente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9BD4C" w14:textId="77777777" w:rsidR="002B10A6" w:rsidRDefault="002B10A6">
    <w:pPr>
      <w:pStyle w:val="Normal41"/>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5F2F2601" w14:textId="77777777">
      <w:trPr>
        <w:jc w:val="center"/>
      </w:trPr>
      <w:tc>
        <w:tcPr>
          <w:tcW w:w="2600" w:type="dxa"/>
          <w:tcMar>
            <w:top w:w="200" w:type="dxa"/>
          </w:tcMar>
          <w:vAlign w:val="center"/>
        </w:tcPr>
        <w:p w14:paraId="5C7E042B" w14:textId="77777777" w:rsidR="002B10A6" w:rsidRDefault="002B10A6">
          <w:pPr>
            <w:pStyle w:val="Normal41"/>
          </w:pPr>
        </w:p>
      </w:tc>
      <w:tc>
        <w:tcPr>
          <w:tcW w:w="4880" w:type="dxa"/>
          <w:tcMar>
            <w:top w:w="200" w:type="dxa"/>
          </w:tcMar>
          <w:vAlign w:val="center"/>
        </w:tcPr>
        <w:p w14:paraId="6972D87C" w14:textId="77777777" w:rsidR="002B10A6" w:rsidRDefault="002B10A6">
          <w:pPr>
            <w:pStyle w:val="Normal41"/>
            <w:jc w:val="center"/>
          </w:pPr>
        </w:p>
      </w:tc>
      <w:tc>
        <w:tcPr>
          <w:tcW w:w="2600" w:type="dxa"/>
          <w:tcMar>
            <w:top w:w="200" w:type="dxa"/>
          </w:tcMar>
          <w:vAlign w:val="center"/>
        </w:tcPr>
        <w:p w14:paraId="75E7F857" w14:textId="77777777" w:rsidR="002B10A6" w:rsidRDefault="002B10A6">
          <w:pPr>
            <w:pStyle w:val="Normal41"/>
          </w:pPr>
        </w:p>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49E8F" w14:textId="77777777" w:rsidR="002B10A6" w:rsidRDefault="002B10A6">
    <w:pPr>
      <w:pStyle w:val="Normal41"/>
      <w:spacing w:before="200"/>
      <w:jc w:val="cente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3FC6F" w14:textId="77777777" w:rsidR="002B10A6" w:rsidRDefault="002B10A6">
    <w:pPr>
      <w:pStyle w:val="Normal42"/>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AF59FC6" w14:textId="77777777">
      <w:trPr>
        <w:jc w:val="center"/>
      </w:trPr>
      <w:tc>
        <w:tcPr>
          <w:tcW w:w="2600" w:type="dxa"/>
          <w:tcMar>
            <w:top w:w="200" w:type="dxa"/>
          </w:tcMar>
          <w:vAlign w:val="center"/>
        </w:tcPr>
        <w:p w14:paraId="6F99F222" w14:textId="77777777" w:rsidR="002B10A6" w:rsidRDefault="002B10A6">
          <w:pPr>
            <w:pStyle w:val="Normal42"/>
          </w:pPr>
        </w:p>
      </w:tc>
      <w:tc>
        <w:tcPr>
          <w:tcW w:w="4880" w:type="dxa"/>
          <w:tcMar>
            <w:top w:w="200" w:type="dxa"/>
          </w:tcMar>
          <w:vAlign w:val="center"/>
        </w:tcPr>
        <w:p w14:paraId="7FEB071F" w14:textId="77777777" w:rsidR="002B10A6" w:rsidRDefault="002B10A6">
          <w:pPr>
            <w:pStyle w:val="Normal42"/>
            <w:jc w:val="center"/>
          </w:pPr>
        </w:p>
      </w:tc>
      <w:tc>
        <w:tcPr>
          <w:tcW w:w="2600" w:type="dxa"/>
          <w:tcMar>
            <w:top w:w="200" w:type="dxa"/>
          </w:tcMar>
          <w:vAlign w:val="center"/>
        </w:tcPr>
        <w:p w14:paraId="767D2B5E" w14:textId="77777777" w:rsidR="002B10A6" w:rsidRDefault="002B10A6">
          <w:pPr>
            <w:pStyle w:val="Normal42"/>
          </w:pPr>
        </w:p>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458D8" w14:textId="77777777" w:rsidR="002B10A6" w:rsidRDefault="002B10A6">
    <w:pPr>
      <w:pStyle w:val="Normal42"/>
      <w:spacing w:before="200"/>
      <w:jc w:val="cente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7AD87" w14:textId="77777777" w:rsidR="002B10A6" w:rsidRDefault="002B10A6">
    <w:pPr>
      <w:pStyle w:val="Normal43"/>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14A8AFA1" w14:textId="77777777">
      <w:trPr>
        <w:jc w:val="center"/>
      </w:trPr>
      <w:tc>
        <w:tcPr>
          <w:tcW w:w="2600" w:type="dxa"/>
          <w:tcMar>
            <w:top w:w="200" w:type="dxa"/>
          </w:tcMar>
          <w:vAlign w:val="center"/>
        </w:tcPr>
        <w:p w14:paraId="3DEB97EC" w14:textId="77777777" w:rsidR="002B10A6" w:rsidRDefault="002B10A6">
          <w:pPr>
            <w:pStyle w:val="Normal43"/>
          </w:pPr>
        </w:p>
      </w:tc>
      <w:tc>
        <w:tcPr>
          <w:tcW w:w="4880" w:type="dxa"/>
          <w:tcMar>
            <w:top w:w="200" w:type="dxa"/>
          </w:tcMar>
          <w:vAlign w:val="center"/>
        </w:tcPr>
        <w:p w14:paraId="12301F3B" w14:textId="77777777" w:rsidR="002B10A6" w:rsidRDefault="002B10A6">
          <w:pPr>
            <w:pStyle w:val="Normal43"/>
            <w:jc w:val="center"/>
          </w:pPr>
        </w:p>
      </w:tc>
      <w:tc>
        <w:tcPr>
          <w:tcW w:w="2600" w:type="dxa"/>
          <w:tcMar>
            <w:top w:w="200" w:type="dxa"/>
          </w:tcMar>
          <w:vAlign w:val="center"/>
        </w:tcPr>
        <w:p w14:paraId="5B2AD134" w14:textId="77777777" w:rsidR="002B10A6" w:rsidRDefault="002B10A6">
          <w:pPr>
            <w:pStyle w:val="Normal43"/>
          </w:pPr>
        </w:p>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53198" w14:textId="77777777" w:rsidR="002B10A6" w:rsidRDefault="002B10A6">
    <w:pPr>
      <w:pStyle w:val="Normal43"/>
      <w:spacing w:before="200"/>
      <w:jc w:val="cente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CC353" w14:textId="77777777" w:rsidR="002B10A6" w:rsidRDefault="002B10A6">
    <w:pPr>
      <w:pStyle w:val="Normal44"/>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12BAD95E" w14:textId="77777777">
      <w:trPr>
        <w:jc w:val="center"/>
      </w:trPr>
      <w:tc>
        <w:tcPr>
          <w:tcW w:w="2600" w:type="dxa"/>
          <w:tcMar>
            <w:top w:w="200" w:type="dxa"/>
          </w:tcMar>
          <w:vAlign w:val="center"/>
        </w:tcPr>
        <w:p w14:paraId="3D106741" w14:textId="77777777" w:rsidR="002B10A6" w:rsidRDefault="002B10A6">
          <w:pPr>
            <w:pStyle w:val="Normal44"/>
          </w:pPr>
        </w:p>
      </w:tc>
      <w:tc>
        <w:tcPr>
          <w:tcW w:w="4880" w:type="dxa"/>
          <w:tcMar>
            <w:top w:w="200" w:type="dxa"/>
          </w:tcMar>
          <w:vAlign w:val="center"/>
        </w:tcPr>
        <w:p w14:paraId="3955EE4C" w14:textId="77777777" w:rsidR="002B10A6" w:rsidRDefault="002B10A6">
          <w:pPr>
            <w:pStyle w:val="Normal44"/>
            <w:jc w:val="center"/>
          </w:pPr>
        </w:p>
      </w:tc>
      <w:tc>
        <w:tcPr>
          <w:tcW w:w="2600" w:type="dxa"/>
          <w:tcMar>
            <w:top w:w="200" w:type="dxa"/>
          </w:tcMar>
          <w:vAlign w:val="center"/>
        </w:tcPr>
        <w:p w14:paraId="30A3B09A" w14:textId="77777777" w:rsidR="002B10A6" w:rsidRDefault="002B10A6">
          <w:pPr>
            <w:pStyle w:val="Normal44"/>
          </w:pPr>
        </w:p>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D9C1A" w14:textId="77777777" w:rsidR="002B10A6" w:rsidRDefault="002B10A6">
    <w:pPr>
      <w:pStyle w:val="Normal44"/>
      <w:spacing w:before="200"/>
      <w:jc w:val="center"/>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FEFF7" w14:textId="77777777" w:rsidR="002B10A6" w:rsidRDefault="002B10A6">
    <w:pPr>
      <w:pStyle w:val="Normal45"/>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5FD98E0" w14:textId="77777777">
      <w:trPr>
        <w:jc w:val="center"/>
      </w:trPr>
      <w:tc>
        <w:tcPr>
          <w:tcW w:w="2600" w:type="dxa"/>
          <w:tcMar>
            <w:top w:w="200" w:type="dxa"/>
          </w:tcMar>
          <w:vAlign w:val="center"/>
        </w:tcPr>
        <w:p w14:paraId="77A0299A" w14:textId="77777777" w:rsidR="002B10A6" w:rsidRDefault="002B10A6">
          <w:pPr>
            <w:pStyle w:val="Normal45"/>
          </w:pPr>
        </w:p>
      </w:tc>
      <w:tc>
        <w:tcPr>
          <w:tcW w:w="4880" w:type="dxa"/>
          <w:tcMar>
            <w:top w:w="200" w:type="dxa"/>
          </w:tcMar>
          <w:vAlign w:val="center"/>
        </w:tcPr>
        <w:p w14:paraId="5668F82C" w14:textId="77777777" w:rsidR="002B10A6" w:rsidRDefault="002B10A6">
          <w:pPr>
            <w:pStyle w:val="Normal45"/>
            <w:jc w:val="center"/>
          </w:pPr>
        </w:p>
      </w:tc>
      <w:tc>
        <w:tcPr>
          <w:tcW w:w="2600" w:type="dxa"/>
          <w:tcMar>
            <w:top w:w="200" w:type="dxa"/>
          </w:tcMar>
          <w:vAlign w:val="center"/>
        </w:tcPr>
        <w:p w14:paraId="14059A50" w14:textId="77777777" w:rsidR="002B10A6" w:rsidRDefault="002B10A6">
          <w:pPr>
            <w:pStyle w:val="Normal45"/>
          </w:pPr>
        </w:p>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F00C2" w14:textId="77777777" w:rsidR="002B10A6" w:rsidRDefault="002B10A6">
    <w:pPr>
      <w:pStyle w:val="Normal45"/>
      <w:spacing w:before="200"/>
      <w:jc w:val="center"/>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9E475" w14:textId="77777777" w:rsidR="002B10A6" w:rsidRDefault="002B10A6">
    <w:pPr>
      <w:pStyle w:val="Normal46"/>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0DA511CA" w14:textId="77777777">
      <w:trPr>
        <w:jc w:val="center"/>
      </w:trPr>
      <w:tc>
        <w:tcPr>
          <w:tcW w:w="2600" w:type="dxa"/>
          <w:tcMar>
            <w:top w:w="200" w:type="dxa"/>
          </w:tcMar>
          <w:vAlign w:val="center"/>
        </w:tcPr>
        <w:p w14:paraId="6907B472" w14:textId="77777777" w:rsidR="002B10A6" w:rsidRDefault="002B10A6">
          <w:pPr>
            <w:pStyle w:val="Normal46"/>
          </w:pPr>
        </w:p>
      </w:tc>
      <w:tc>
        <w:tcPr>
          <w:tcW w:w="4880" w:type="dxa"/>
          <w:tcMar>
            <w:top w:w="200" w:type="dxa"/>
          </w:tcMar>
          <w:vAlign w:val="center"/>
        </w:tcPr>
        <w:p w14:paraId="67A25772" w14:textId="77777777" w:rsidR="002B10A6" w:rsidRDefault="002B10A6">
          <w:pPr>
            <w:pStyle w:val="Normal46"/>
            <w:jc w:val="center"/>
          </w:pPr>
        </w:p>
      </w:tc>
      <w:tc>
        <w:tcPr>
          <w:tcW w:w="2600" w:type="dxa"/>
          <w:tcMar>
            <w:top w:w="200" w:type="dxa"/>
          </w:tcMar>
          <w:vAlign w:val="center"/>
        </w:tcPr>
        <w:p w14:paraId="5A01AF0B" w14:textId="77777777" w:rsidR="002B10A6" w:rsidRDefault="002B10A6">
          <w:pPr>
            <w:pStyle w:val="Normal46"/>
          </w:pPr>
        </w:p>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1023F" w14:textId="77777777" w:rsidR="002B10A6" w:rsidRDefault="002B10A6">
    <w:pPr>
      <w:pStyle w:val="Normal46"/>
      <w:spacing w:before="200"/>
      <w:jc w:val="center"/>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35B5B" w14:textId="77777777" w:rsidR="002B10A6" w:rsidRDefault="002B10A6">
    <w:pPr>
      <w:pStyle w:val="Normal47"/>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04D0D352" w14:textId="77777777">
      <w:trPr>
        <w:jc w:val="center"/>
      </w:trPr>
      <w:tc>
        <w:tcPr>
          <w:tcW w:w="2600" w:type="dxa"/>
          <w:tcMar>
            <w:top w:w="200" w:type="dxa"/>
          </w:tcMar>
          <w:vAlign w:val="center"/>
        </w:tcPr>
        <w:p w14:paraId="59B00ABE" w14:textId="77777777" w:rsidR="002B10A6" w:rsidRDefault="002B10A6">
          <w:pPr>
            <w:pStyle w:val="Normal47"/>
          </w:pPr>
        </w:p>
      </w:tc>
      <w:tc>
        <w:tcPr>
          <w:tcW w:w="4880" w:type="dxa"/>
          <w:tcMar>
            <w:top w:w="200" w:type="dxa"/>
          </w:tcMar>
          <w:vAlign w:val="center"/>
        </w:tcPr>
        <w:p w14:paraId="5198F649" w14:textId="77777777" w:rsidR="002B10A6" w:rsidRDefault="002B10A6">
          <w:pPr>
            <w:pStyle w:val="Normal47"/>
            <w:jc w:val="center"/>
          </w:pPr>
        </w:p>
      </w:tc>
      <w:tc>
        <w:tcPr>
          <w:tcW w:w="2600" w:type="dxa"/>
          <w:tcMar>
            <w:top w:w="200" w:type="dxa"/>
          </w:tcMar>
          <w:vAlign w:val="center"/>
        </w:tcPr>
        <w:p w14:paraId="742D317F" w14:textId="77777777" w:rsidR="002B10A6" w:rsidRDefault="002B10A6">
          <w:pPr>
            <w:pStyle w:val="Normal47"/>
          </w:pPr>
        </w:p>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1C4C3" w14:textId="77777777" w:rsidR="002B10A6" w:rsidRDefault="002B10A6">
    <w:pPr>
      <w:pStyle w:val="Normal47"/>
      <w:spacing w:before="200"/>
      <w:jc w:val="cente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F60C1" w14:textId="77777777" w:rsidR="002B10A6" w:rsidRDefault="002B10A6">
    <w:pPr>
      <w:pStyle w:val="Normal48"/>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3FE385A2" w14:textId="77777777">
      <w:trPr>
        <w:jc w:val="center"/>
      </w:trPr>
      <w:tc>
        <w:tcPr>
          <w:tcW w:w="2600" w:type="dxa"/>
          <w:tcMar>
            <w:top w:w="200" w:type="dxa"/>
          </w:tcMar>
          <w:vAlign w:val="center"/>
        </w:tcPr>
        <w:p w14:paraId="5FA55247" w14:textId="77777777" w:rsidR="002B10A6" w:rsidRDefault="002B10A6">
          <w:pPr>
            <w:pStyle w:val="Normal48"/>
          </w:pPr>
        </w:p>
      </w:tc>
      <w:tc>
        <w:tcPr>
          <w:tcW w:w="4880" w:type="dxa"/>
          <w:tcMar>
            <w:top w:w="200" w:type="dxa"/>
          </w:tcMar>
          <w:vAlign w:val="center"/>
        </w:tcPr>
        <w:p w14:paraId="64524CBA" w14:textId="77777777" w:rsidR="002B10A6" w:rsidRDefault="002B10A6">
          <w:pPr>
            <w:pStyle w:val="Normal48"/>
            <w:jc w:val="center"/>
          </w:pPr>
        </w:p>
      </w:tc>
      <w:tc>
        <w:tcPr>
          <w:tcW w:w="2600" w:type="dxa"/>
          <w:tcMar>
            <w:top w:w="200" w:type="dxa"/>
          </w:tcMar>
          <w:vAlign w:val="center"/>
        </w:tcPr>
        <w:p w14:paraId="44565ABB" w14:textId="77777777" w:rsidR="002B10A6" w:rsidRDefault="002B10A6">
          <w:pPr>
            <w:pStyle w:val="Normal48"/>
          </w:pPr>
        </w:p>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CB191" w14:textId="77777777" w:rsidR="002B10A6" w:rsidRDefault="002B10A6">
    <w:pPr>
      <w:pStyle w:val="Normal48"/>
      <w:spacing w:before="200"/>
      <w:jc w:val="center"/>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1D2D2" w14:textId="77777777" w:rsidR="002B10A6" w:rsidRDefault="002B10A6">
    <w:pPr>
      <w:pStyle w:val="Normal49"/>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2B10A6" w14:paraId="7F9F4DB2" w14:textId="77777777">
      <w:trPr>
        <w:jc w:val="center"/>
      </w:trPr>
      <w:tc>
        <w:tcPr>
          <w:tcW w:w="2600" w:type="dxa"/>
          <w:tcMar>
            <w:top w:w="200" w:type="dxa"/>
          </w:tcMar>
          <w:vAlign w:val="center"/>
        </w:tcPr>
        <w:p w14:paraId="330F0E3D" w14:textId="77777777" w:rsidR="002B10A6" w:rsidRDefault="002B10A6">
          <w:pPr>
            <w:pStyle w:val="Normal49"/>
          </w:pPr>
        </w:p>
      </w:tc>
      <w:tc>
        <w:tcPr>
          <w:tcW w:w="4880" w:type="dxa"/>
          <w:tcMar>
            <w:top w:w="200" w:type="dxa"/>
          </w:tcMar>
          <w:vAlign w:val="center"/>
        </w:tcPr>
        <w:p w14:paraId="63A20C94" w14:textId="77777777" w:rsidR="002B10A6" w:rsidRDefault="002B10A6">
          <w:pPr>
            <w:pStyle w:val="Normal49"/>
            <w:jc w:val="center"/>
          </w:pPr>
        </w:p>
      </w:tc>
      <w:tc>
        <w:tcPr>
          <w:tcW w:w="2600" w:type="dxa"/>
          <w:tcMar>
            <w:top w:w="200" w:type="dxa"/>
          </w:tcMar>
          <w:vAlign w:val="center"/>
        </w:tcPr>
        <w:p w14:paraId="5AC98279" w14:textId="77777777" w:rsidR="002B10A6" w:rsidRDefault="002B10A6">
          <w:pPr>
            <w:pStyle w:val="Normal49"/>
          </w:pPr>
        </w:p>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716D8" w14:textId="77777777" w:rsidR="002B10A6" w:rsidRDefault="002B10A6">
    <w:pPr>
      <w:pStyle w:val="Normal49"/>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79042" w14:textId="77777777" w:rsidR="002C571C" w:rsidRDefault="002C571C">
      <w:r>
        <w:separator/>
      </w:r>
    </w:p>
  </w:footnote>
  <w:footnote w:type="continuationSeparator" w:id="0">
    <w:p w14:paraId="5AA7DB73" w14:textId="77777777" w:rsidR="002C571C" w:rsidRDefault="002C571C">
      <w:r>
        <w:continuationSeparator/>
      </w:r>
    </w:p>
  </w:footnote>
  <w:footnote w:id="1">
    <w:p w14:paraId="56884884" w14:textId="77777777" w:rsidR="002B10A6" w:rsidRDefault="00000000">
      <w:pPr>
        <w:pStyle w:val="Normal0"/>
        <w:widowControl w:val="0"/>
        <w:spacing w:before="120" w:line="240" w:lineRule="atLeast"/>
        <w:jc w:val="both"/>
      </w:pPr>
      <w:r>
        <w:rPr>
          <w:rFonts w:ascii="Arial" w:eastAsia="Arial" w:hAnsi="Arial" w:cs="Arial"/>
          <w:color w:val="000000"/>
          <w:sz w:val="18"/>
          <w:vertAlign w:val="superscript"/>
        </w:rPr>
        <w:t>1 </w:t>
      </w:r>
      <w:bookmarkStart w:id="15" w:name="Bookmark_fnpara_1"/>
      <w:bookmarkEnd w:id="15"/>
      <w:r>
        <w:rPr>
          <w:rFonts w:ascii="Arial" w:eastAsia="Arial" w:hAnsi="Arial" w:cs="Arial"/>
          <w:color w:val="000000"/>
          <w:sz w:val="18"/>
        </w:rPr>
        <w:t>In his briefs on appeal, Hamilton makes clear that he is pursuing his appeal only as to his ADA claim against the County.</w:t>
      </w:r>
    </w:p>
  </w:footnote>
  <w:footnote w:id="2">
    <w:p w14:paraId="4552D362" w14:textId="77777777" w:rsidR="002B10A6" w:rsidRDefault="00000000">
      <w:pPr>
        <w:pStyle w:val="Normal0"/>
        <w:widowControl w:val="0"/>
        <w:spacing w:before="200" w:line="240" w:lineRule="atLeast"/>
        <w:jc w:val="both"/>
      </w:pPr>
      <w:r>
        <w:rPr>
          <w:rFonts w:ascii="Arial" w:eastAsia="Arial" w:hAnsi="Arial" w:cs="Arial"/>
          <w:color w:val="000000"/>
          <w:sz w:val="18"/>
          <w:vertAlign w:val="superscript"/>
        </w:rPr>
        <w:t>2 </w:t>
      </w:r>
      <w:bookmarkStart w:id="27" w:name="Bookmark_fnpara_2"/>
      <w:bookmarkEnd w:id="27"/>
      <w:r>
        <w:rPr>
          <w:rFonts w:ascii="Arial" w:eastAsia="Arial" w:hAnsi="Arial" w:cs="Arial"/>
          <w:color w:val="000000"/>
          <w:sz w:val="18"/>
        </w:rPr>
        <w:t xml:space="preserve">The district court did not enter a separate judgment dismissing the action as required by Fed. R. Civ. P. 58(a). </w:t>
      </w:r>
      <w:bookmarkStart w:id="28" w:name="Bookmark_LNHNREFclscc1"/>
      <w:bookmarkEnd w:id="28"/>
      <w:r>
        <w:rPr>
          <w:rFonts w:ascii="Arial" w:eastAsia="Arial" w:hAnsi="Arial" w:cs="Arial"/>
          <w:color w:val="000000"/>
          <w:sz w:val="18"/>
        </w:rPr>
        <w:t xml:space="preserve">When a judgment is required to be set out in a separate document but is not, judgment is deemed entered 150 days after the entry of the dispositive order. </w:t>
      </w:r>
      <w:bookmarkStart w:id="29" w:name="Bookmark_I6329WWY2N1RRN0040000400"/>
      <w:bookmarkEnd w:id="29"/>
      <w:r>
        <w:rPr>
          <w:rFonts w:ascii="Arial" w:eastAsia="Arial" w:hAnsi="Arial" w:cs="Arial"/>
          <w:color w:val="000000"/>
          <w:sz w:val="18"/>
        </w:rPr>
        <w:t xml:space="preserve">Fed. R. Civ. P. 58(c)(2)(B). Despite the lack of a judgment, this Court has jurisdiction to hear the appeal of the opinion and order, which was a "final decision" within the meaning of 28 U.S.C. § 1291. </w:t>
      </w:r>
      <w:r>
        <w:rPr>
          <w:rFonts w:ascii="Arial" w:eastAsia="Arial" w:hAnsi="Arial" w:cs="Arial"/>
          <w:i/>
          <w:color w:val="000000"/>
          <w:sz w:val="18"/>
        </w:rPr>
        <w:t xml:space="preserve">See </w:t>
      </w:r>
      <w:bookmarkStart w:id="30" w:name="Bookmark_I6329WWY2N1RRN0030000400"/>
      <w:bookmarkEnd w:id="30"/>
      <w:r>
        <w:rPr>
          <w:rFonts w:ascii="Arial" w:eastAsia="Arial" w:hAnsi="Arial" w:cs="Arial"/>
          <w:i/>
          <w:color w:val="000000"/>
          <w:sz w:val="18"/>
        </w:rPr>
        <w:t>Leftridge v. Conn. State Trooper Officer No. 1283</w:t>
      </w:r>
      <w:r>
        <w:rPr>
          <w:rFonts w:ascii="Arial" w:eastAsia="Arial" w:hAnsi="Arial" w:cs="Arial"/>
          <w:color w:val="000000"/>
          <w:sz w:val="18"/>
        </w:rPr>
        <w:t xml:space="preserve">, 640 F.3d 62, 66-67 (2d Cir. 2011) (concluding that this Court has jurisdiction to review a "final decision" -- "one which ends the litigation on the merits and leaves nothing for the court to do but execute the judgment" (quoting </w:t>
      </w:r>
      <w:bookmarkStart w:id="31" w:name="Bookmark_I6329WWY2N1RRN0050000400"/>
      <w:bookmarkEnd w:id="31"/>
      <w:r>
        <w:rPr>
          <w:rFonts w:ascii="Arial" w:eastAsia="Arial" w:hAnsi="Arial" w:cs="Arial"/>
          <w:i/>
          <w:color w:val="000000"/>
          <w:sz w:val="18"/>
        </w:rPr>
        <w:t>Catlin v. United States</w:t>
      </w:r>
      <w:r>
        <w:rPr>
          <w:rFonts w:ascii="Arial" w:eastAsia="Arial" w:hAnsi="Arial" w:cs="Arial"/>
          <w:color w:val="000000"/>
          <w:sz w:val="18"/>
        </w:rPr>
        <w:t>, 324 U.S. 229, 233, 65 S. Ct. 631, 89 L. Ed. 911 (1945) (emphasis omitted)).</w:t>
      </w:r>
    </w:p>
  </w:footnote>
  <w:footnote w:id="3">
    <w:p w14:paraId="158431DE" w14:textId="77777777" w:rsidR="002B10A6" w:rsidRDefault="00000000">
      <w:pPr>
        <w:pStyle w:val="Normal0"/>
        <w:widowControl w:val="0"/>
        <w:spacing w:before="200" w:line="240" w:lineRule="atLeast"/>
        <w:jc w:val="both"/>
      </w:pPr>
      <w:r>
        <w:rPr>
          <w:rFonts w:ascii="Arial" w:eastAsia="Arial" w:hAnsi="Arial" w:cs="Arial"/>
          <w:color w:val="000000"/>
          <w:sz w:val="18"/>
          <w:vertAlign w:val="superscript"/>
        </w:rPr>
        <w:t>3 </w:t>
      </w:r>
      <w:bookmarkStart w:id="50" w:name="Bookmark_fnpara_3"/>
      <w:bookmarkStart w:id="51" w:name="Bookmark_LNHNREFclscc4"/>
      <w:bookmarkEnd w:id="50"/>
      <w:bookmarkEnd w:id="51"/>
      <w:r>
        <w:rPr>
          <w:rFonts w:ascii="Arial" w:eastAsia="Arial" w:hAnsi="Arial" w:cs="Arial"/>
          <w:color w:val="000000"/>
          <w:sz w:val="18"/>
        </w:rPr>
        <w:t xml:space="preserve">"The ADA defines 'discriminate' as, inter alia, 'not making reasonable accommodations to the known physical or mental limitations of an otherwise qualified individual with a disability . . . unless [the defendant] can demonstrate that the accommodation would impose an undue hardship on' its operations." </w:t>
      </w:r>
      <w:r>
        <w:rPr>
          <w:rFonts w:ascii="Arial" w:eastAsia="Arial" w:hAnsi="Arial" w:cs="Arial"/>
          <w:i/>
          <w:color w:val="000000"/>
          <w:sz w:val="18"/>
        </w:rPr>
        <w:t>Id.</w:t>
      </w:r>
      <w:r>
        <w:rPr>
          <w:rFonts w:ascii="Arial" w:eastAsia="Arial" w:hAnsi="Arial" w:cs="Arial"/>
          <w:color w:val="000000"/>
          <w:sz w:val="18"/>
        </w:rPr>
        <w:t xml:space="preserve"> (ellipsis in original) (quoting 42 U.S.C. § 12112(b)(5)(A)).</w:t>
      </w:r>
    </w:p>
  </w:footnote>
  <w:footnote w:id="4">
    <w:p w14:paraId="0B79CE45" w14:textId="77777777" w:rsidR="002B10A6" w:rsidRDefault="00000000">
      <w:pPr>
        <w:pStyle w:val="Normal0"/>
        <w:widowControl w:val="0"/>
        <w:spacing w:before="120" w:line="240" w:lineRule="atLeast"/>
        <w:jc w:val="both"/>
      </w:pPr>
      <w:r>
        <w:rPr>
          <w:rFonts w:ascii="Arial" w:eastAsia="Arial" w:hAnsi="Arial" w:cs="Arial"/>
          <w:color w:val="000000"/>
          <w:sz w:val="18"/>
          <w:vertAlign w:val="superscript"/>
        </w:rPr>
        <w:t>4 </w:t>
      </w:r>
      <w:bookmarkStart w:id="69" w:name="Bookmark_fnpara_4"/>
      <w:bookmarkEnd w:id="69"/>
      <w:r>
        <w:rPr>
          <w:rFonts w:ascii="Arial" w:eastAsia="Arial" w:hAnsi="Arial" w:cs="Arial"/>
          <w:color w:val="000000"/>
          <w:sz w:val="18"/>
        </w:rPr>
        <w:t>Here, Hamilton alleged an "actual disability" under 42 U.S.C. § 12102(1)(A), as opposed to having a "record of such an impairment" or "being regarded as having such an impairment," under § 12102(1)(B) and § 12102(1)(C), respectively.</w:t>
      </w:r>
    </w:p>
  </w:footnote>
  <w:footnote w:id="5">
    <w:p w14:paraId="5AEADE85" w14:textId="77777777" w:rsidR="002B10A6" w:rsidRDefault="00000000">
      <w:pPr>
        <w:pStyle w:val="Normal0"/>
        <w:widowControl w:val="0"/>
        <w:spacing w:before="200" w:line="240" w:lineRule="atLeast"/>
        <w:jc w:val="both"/>
      </w:pPr>
      <w:r>
        <w:rPr>
          <w:rFonts w:ascii="Arial" w:eastAsia="Arial" w:hAnsi="Arial" w:cs="Arial"/>
          <w:color w:val="000000"/>
          <w:sz w:val="18"/>
          <w:vertAlign w:val="superscript"/>
        </w:rPr>
        <w:t>5 </w:t>
      </w:r>
      <w:bookmarkStart w:id="101" w:name="Bookmark_fnpara_5"/>
      <w:bookmarkEnd w:id="101"/>
      <w:r>
        <w:rPr>
          <w:rFonts w:ascii="Arial" w:eastAsia="Arial" w:hAnsi="Arial" w:cs="Arial"/>
          <w:i/>
          <w:color w:val="000000"/>
          <w:sz w:val="18"/>
        </w:rPr>
        <w:t xml:space="preserve">See </w:t>
      </w:r>
      <w:bookmarkStart w:id="102" w:name="Bookmark_I6329WX42N1RS10020000400"/>
      <w:bookmarkEnd w:id="102"/>
      <w:r>
        <w:rPr>
          <w:rFonts w:ascii="Arial" w:eastAsia="Arial" w:hAnsi="Arial" w:cs="Arial"/>
          <w:i/>
          <w:color w:val="000000"/>
          <w:sz w:val="18"/>
        </w:rPr>
        <w:t>Mancini</w:t>
      </w:r>
      <w:r>
        <w:rPr>
          <w:rFonts w:ascii="Arial" w:eastAsia="Arial" w:hAnsi="Arial" w:cs="Arial"/>
          <w:color w:val="000000"/>
          <w:sz w:val="18"/>
        </w:rPr>
        <w:t xml:space="preserve">, 909 F.3d at 40 ("[A] cognizable impairment may last fewer than six months as long as it is sufficiently severe" (internal quotation marks and citation omitted)); </w:t>
      </w:r>
      <w:bookmarkStart w:id="103" w:name="Bookmark_I6329WX42N1RS10040000400"/>
      <w:bookmarkEnd w:id="103"/>
      <w:r>
        <w:rPr>
          <w:rFonts w:ascii="Arial" w:eastAsia="Arial" w:hAnsi="Arial" w:cs="Arial"/>
          <w:i/>
          <w:color w:val="000000"/>
          <w:sz w:val="18"/>
        </w:rPr>
        <w:t>Summers</w:t>
      </w:r>
      <w:r>
        <w:rPr>
          <w:rFonts w:ascii="Arial" w:eastAsia="Arial" w:hAnsi="Arial" w:cs="Arial"/>
          <w:color w:val="000000"/>
          <w:sz w:val="18"/>
        </w:rPr>
        <w:t>, 740 F.3d at 330 n.2, 332 (holding that the ADAAA "imposes no . . . durational requirement for 'actual' disabilities" but referencing previous Fourth Circuit decision recognizing that "a minor lifting restriction . . . was not severe enough to constitute a disability even under the ADAAA's liberal new standard").</w:t>
      </w:r>
    </w:p>
  </w:footnote>
  <w:footnote w:id="6">
    <w:p w14:paraId="7F6769A8" w14:textId="77777777" w:rsidR="002B10A6" w:rsidRDefault="00000000">
      <w:pPr>
        <w:pStyle w:val="Normal1"/>
        <w:widowControl w:val="0"/>
        <w:spacing w:before="200" w:line="240" w:lineRule="atLeast"/>
        <w:jc w:val="both"/>
      </w:pPr>
      <w:r>
        <w:rPr>
          <w:rFonts w:ascii="Arial" w:eastAsia="Arial" w:hAnsi="Arial" w:cs="Arial"/>
          <w:color w:val="000000"/>
          <w:sz w:val="18"/>
          <w:vertAlign w:val="superscript"/>
        </w:rPr>
        <w:t>1 </w:t>
      </w:r>
      <w:bookmarkStart w:id="169" w:name="Bookmark_fnpara_1_0"/>
      <w:bookmarkStart w:id="170" w:name="Bookmark_I62XXC732D6N9H0010000400"/>
      <w:bookmarkStart w:id="171" w:name="Bookmark_LNHNREFclscc3_0"/>
      <w:bookmarkEnd w:id="169"/>
      <w:bookmarkEnd w:id="170"/>
      <w:bookmarkEnd w:id="171"/>
      <w:r>
        <w:rPr>
          <w:rFonts w:ascii="Arial" w:eastAsia="Arial" w:hAnsi="Arial" w:cs="Arial"/>
          <w:color w:val="000000"/>
          <w:sz w:val="18"/>
        </w:rPr>
        <w:t xml:space="preserve">The ADA defines "public entit[ies]" to include "any State or local government" or "any department, agency, . . . or other instrumentality of a State or . . . local government." 42 U.S.C. § 12131(1). The parties do not dispute that the Chippewa County Board of Commissioners, which operates the county jail, meets this definition. </w:t>
      </w:r>
      <w:r>
        <w:rPr>
          <w:rFonts w:ascii="Arial" w:eastAsia="Arial" w:hAnsi="Arial" w:cs="Arial"/>
          <w:i/>
          <w:color w:val="000000"/>
          <w:sz w:val="18"/>
        </w:rPr>
        <w:t xml:space="preserve">See also </w:t>
      </w:r>
      <w:bookmarkStart w:id="172" w:name="Bookmark_I62XXC732SF8CF0050000400"/>
      <w:bookmarkEnd w:id="172"/>
      <w:r>
        <w:rPr>
          <w:rFonts w:ascii="Arial" w:eastAsia="Arial" w:hAnsi="Arial" w:cs="Arial"/>
          <w:i/>
          <w:color w:val="000000"/>
          <w:sz w:val="18"/>
        </w:rPr>
        <w:t>Pa. Dep't of Corr. v. Yeskey</w:t>
      </w:r>
      <w:r>
        <w:rPr>
          <w:rFonts w:ascii="Arial" w:eastAsia="Arial" w:hAnsi="Arial" w:cs="Arial"/>
          <w:color w:val="000000"/>
          <w:sz w:val="18"/>
        </w:rPr>
        <w:t>, 524 U.S. 206, 210, 118 S. Ct. 1952, 141 L. Ed. 2d 215 (1998) (holding that the ADA definition of "public entity" covers state prisons).</w:t>
      </w:r>
    </w:p>
  </w:footnote>
  <w:footnote w:id="7">
    <w:p w14:paraId="3D4D4DF7" w14:textId="77777777" w:rsidR="002B10A6" w:rsidRDefault="00000000">
      <w:pPr>
        <w:pStyle w:val="Normal2"/>
        <w:widowControl w:val="0"/>
        <w:spacing w:before="200" w:line="240" w:lineRule="atLeast"/>
        <w:jc w:val="both"/>
      </w:pPr>
      <w:r>
        <w:rPr>
          <w:rFonts w:ascii="Arial" w:eastAsia="Arial" w:hAnsi="Arial" w:cs="Arial"/>
          <w:color w:val="000000"/>
          <w:sz w:val="18"/>
          <w:vertAlign w:val="superscript"/>
        </w:rPr>
        <w:t>1 </w:t>
      </w:r>
      <w:bookmarkStart w:id="299" w:name="Bookmark_fnpara_1_1"/>
      <w:bookmarkStart w:id="300" w:name="Bookmark_I62WMJDD2D6NM40030000400"/>
      <w:bookmarkEnd w:id="299"/>
      <w:bookmarkEnd w:id="300"/>
      <w:r>
        <w:rPr>
          <w:rFonts w:ascii="Arial" w:eastAsia="Arial" w:hAnsi="Arial" w:cs="Arial"/>
          <w:color w:val="000000"/>
          <w:sz w:val="18"/>
        </w:rPr>
        <w:t xml:space="preserve">Perdue argues at the outset that the district court improperly applied the summary-judgment standard by using the language "forecast of evidence" to discuss Perdue's burden to survive summary judgment. But we find no error in the district court's use of that terminology. </w:t>
      </w:r>
      <w:bookmarkStart w:id="301" w:name="Bookmark_LNHNREFclscc3_1"/>
      <w:bookmarkEnd w:id="301"/>
      <w:r>
        <w:rPr>
          <w:rFonts w:ascii="Arial" w:eastAsia="Arial" w:hAnsi="Arial" w:cs="Arial"/>
          <w:color w:val="000000"/>
          <w:sz w:val="18"/>
        </w:rPr>
        <w:t xml:space="preserve">"The summary judgment inquiry . . . scrutinizes the plaintiff's case to determine whether the plaintiff has proffered sufficient proof, in the form of admissible evidence, that could carry the burden of proof of h[er] claim at trial." </w:t>
      </w:r>
      <w:bookmarkStart w:id="302" w:name="Bookmark_I62WMJDD2D6NM40020000400"/>
      <w:bookmarkEnd w:id="302"/>
      <w:r>
        <w:rPr>
          <w:rFonts w:ascii="Arial" w:eastAsia="Arial" w:hAnsi="Arial" w:cs="Arial"/>
          <w:i/>
          <w:color w:val="000000"/>
          <w:sz w:val="18"/>
        </w:rPr>
        <w:t>Mitchell v. Data Gen. Corp.</w:t>
      </w:r>
      <w:r>
        <w:rPr>
          <w:rFonts w:ascii="Arial" w:eastAsia="Arial" w:hAnsi="Arial" w:cs="Arial"/>
          <w:color w:val="000000"/>
          <w:sz w:val="18"/>
        </w:rPr>
        <w:t xml:space="preserve">, 12 F.3d 1310, 1316 (4th Cir. 1993). That inquiry necessarily requires the district court to consider a "forecast of evidence" that the parties intend to present at trial to determine whether it raises any "genuine dispute[s]" of "material fact." Fed. R. Civ. P. 56(a). And if Perdue's contention is instead that the district court improperly required her to show that she </w:t>
      </w:r>
      <w:r>
        <w:rPr>
          <w:rFonts w:ascii="Arial" w:eastAsia="Arial" w:hAnsi="Arial" w:cs="Arial"/>
          <w:i/>
          <w:color w:val="000000"/>
          <w:sz w:val="18"/>
        </w:rPr>
        <w:t>would</w:t>
      </w:r>
      <w:r>
        <w:rPr>
          <w:rFonts w:ascii="Arial" w:eastAsia="Arial" w:hAnsi="Arial" w:cs="Arial"/>
          <w:color w:val="000000"/>
          <w:sz w:val="18"/>
        </w:rPr>
        <w:t xml:space="preserve"> win at trial, rather than that she </w:t>
      </w:r>
      <w:r>
        <w:rPr>
          <w:rFonts w:ascii="Arial" w:eastAsia="Arial" w:hAnsi="Arial" w:cs="Arial"/>
          <w:i/>
          <w:color w:val="000000"/>
          <w:sz w:val="18"/>
        </w:rPr>
        <w:t>could</w:t>
      </w:r>
      <w:r>
        <w:rPr>
          <w:rFonts w:ascii="Arial" w:eastAsia="Arial" w:hAnsi="Arial" w:cs="Arial"/>
          <w:color w:val="000000"/>
          <w:sz w:val="18"/>
        </w:rPr>
        <w:t xml:space="preserve"> win at trial, that argument is not supported by the opinion's language or analysis.</w:t>
      </w:r>
    </w:p>
  </w:footnote>
  <w:footnote w:id="8">
    <w:p w14:paraId="59B4C0FD" w14:textId="77777777" w:rsidR="002B10A6" w:rsidRDefault="00000000">
      <w:pPr>
        <w:pStyle w:val="Normal2"/>
        <w:widowControl w:val="0"/>
        <w:spacing w:before="200" w:line="240" w:lineRule="atLeast"/>
        <w:jc w:val="both"/>
      </w:pPr>
      <w:r>
        <w:rPr>
          <w:rFonts w:ascii="Arial" w:eastAsia="Arial" w:hAnsi="Arial" w:cs="Arial"/>
          <w:color w:val="000000"/>
          <w:sz w:val="18"/>
          <w:vertAlign w:val="superscript"/>
        </w:rPr>
        <w:t>2 </w:t>
      </w:r>
      <w:bookmarkStart w:id="312" w:name="Bookmark_fnpara_2_0"/>
      <w:bookmarkEnd w:id="312"/>
      <w:r>
        <w:rPr>
          <w:rFonts w:ascii="Arial" w:eastAsia="Arial" w:hAnsi="Arial" w:cs="Arial"/>
          <w:color w:val="000000"/>
          <w:sz w:val="18"/>
        </w:rPr>
        <w:t xml:space="preserve">Perdue argues on appeal that the district court erred in finding that Sanofi denied the job share for a "legitimate business reason" when the evidence showed those reasons were "pretextual." Appellant Br. 2. </w:t>
      </w:r>
      <w:bookmarkStart w:id="313" w:name="Bookmark_I62WMJDD28T4P50040000400"/>
      <w:bookmarkEnd w:id="313"/>
      <w:r>
        <w:rPr>
          <w:rFonts w:ascii="Arial" w:eastAsia="Arial" w:hAnsi="Arial" w:cs="Arial"/>
          <w:color w:val="000000"/>
          <w:sz w:val="18"/>
        </w:rPr>
        <w:t xml:space="preserve">But the district court's analysis of those aspects of the </w:t>
      </w:r>
      <w:r>
        <w:rPr>
          <w:rFonts w:ascii="Arial" w:eastAsia="Arial" w:hAnsi="Arial" w:cs="Arial"/>
          <w:i/>
          <w:color w:val="000000"/>
          <w:sz w:val="18"/>
        </w:rPr>
        <w:t>McDonnell-Douglas</w:t>
      </w:r>
      <w:r>
        <w:rPr>
          <w:rFonts w:ascii="Arial" w:eastAsia="Arial" w:hAnsi="Arial" w:cs="Arial"/>
          <w:color w:val="000000"/>
          <w:sz w:val="18"/>
        </w:rPr>
        <w:t xml:space="preserve"> burden-shifting approach was irrelevant to the legal claim Perdue brought. Her failure-to-accommodate claim requires no evidence of discriminatory intent. So </w:t>
      </w:r>
      <w:r>
        <w:rPr>
          <w:rFonts w:ascii="Arial" w:eastAsia="Arial" w:hAnsi="Arial" w:cs="Arial"/>
          <w:i/>
          <w:color w:val="000000"/>
          <w:sz w:val="18"/>
        </w:rPr>
        <w:t>McDonnell-Douglas</w:t>
      </w:r>
      <w:r>
        <w:rPr>
          <w:rFonts w:ascii="Arial" w:eastAsia="Arial" w:hAnsi="Arial" w:cs="Arial"/>
          <w:color w:val="000000"/>
          <w:sz w:val="18"/>
        </w:rPr>
        <w:t xml:space="preserve">—addressing legitimate business reasons and pretext to infer discriminatory intent—does not apply here. </w:t>
      </w:r>
      <w:bookmarkStart w:id="314" w:name="Bookmark_LNHNREFclscc6_1"/>
      <w:bookmarkEnd w:id="314"/>
      <w:r>
        <w:rPr>
          <w:rFonts w:ascii="Arial" w:eastAsia="Arial" w:hAnsi="Arial" w:cs="Arial"/>
          <w:color w:val="000000"/>
          <w:sz w:val="18"/>
        </w:rPr>
        <w:t xml:space="preserve">The failure to provide a "reasonable accommodation" that would not impose an "undue hardship" is itself the discriminatory act prohibited by the ADA. </w:t>
      </w:r>
      <w:r>
        <w:rPr>
          <w:rFonts w:ascii="Arial" w:eastAsia="Arial" w:hAnsi="Arial" w:cs="Arial"/>
          <w:i/>
          <w:color w:val="000000"/>
          <w:sz w:val="18"/>
        </w:rPr>
        <w:t xml:space="preserve">See </w:t>
      </w:r>
      <w:bookmarkStart w:id="315" w:name="Bookmark_I62WMJDD28T4P50030000400"/>
      <w:bookmarkEnd w:id="315"/>
      <w:r>
        <w:rPr>
          <w:rFonts w:ascii="Arial" w:eastAsia="Arial" w:hAnsi="Arial" w:cs="Arial"/>
          <w:i/>
          <w:color w:val="000000"/>
          <w:sz w:val="18"/>
        </w:rPr>
        <w:t>Punt v. Kelly Servs.</w:t>
      </w:r>
      <w:r>
        <w:rPr>
          <w:rFonts w:ascii="Arial" w:eastAsia="Arial" w:hAnsi="Arial" w:cs="Arial"/>
          <w:color w:val="000000"/>
          <w:sz w:val="18"/>
        </w:rPr>
        <w:t xml:space="preserve">, 862 F.3d 1040, 1049 (10th Cir. 2017) ("The </w:t>
      </w:r>
      <w:r>
        <w:rPr>
          <w:rFonts w:ascii="Arial" w:eastAsia="Arial" w:hAnsi="Arial" w:cs="Arial"/>
          <w:i/>
          <w:color w:val="000000"/>
          <w:sz w:val="18"/>
        </w:rPr>
        <w:t>McDonnell Douglas</w:t>
      </w:r>
      <w:r>
        <w:rPr>
          <w:rFonts w:ascii="Arial" w:eastAsia="Arial" w:hAnsi="Arial" w:cs="Arial"/>
          <w:color w:val="000000"/>
          <w:sz w:val="18"/>
        </w:rPr>
        <w:t xml:space="preserve"> test is inapposite in a failure-to-accommodate case" because a failure-to-accommodate case does not require proof of the employer's motives.); </w:t>
      </w:r>
      <w:bookmarkStart w:id="316" w:name="Bookmark_I62WMJDD28T4P50050000400"/>
      <w:bookmarkEnd w:id="316"/>
      <w:r>
        <w:rPr>
          <w:rFonts w:ascii="Arial" w:eastAsia="Arial" w:hAnsi="Arial" w:cs="Arial"/>
          <w:i/>
          <w:color w:val="000000"/>
          <w:sz w:val="18"/>
        </w:rPr>
        <w:t>Lenker v. Methodist Hosp.</w:t>
      </w:r>
      <w:r>
        <w:rPr>
          <w:rFonts w:ascii="Arial" w:eastAsia="Arial" w:hAnsi="Arial" w:cs="Arial"/>
          <w:color w:val="000000"/>
          <w:sz w:val="18"/>
        </w:rPr>
        <w:t xml:space="preserve">, 210 F.3d 792, 799 (7th Cir. 2002) (describing </w:t>
      </w:r>
      <w:r>
        <w:rPr>
          <w:rFonts w:ascii="Arial" w:eastAsia="Arial" w:hAnsi="Arial" w:cs="Arial"/>
          <w:i/>
          <w:color w:val="000000"/>
          <w:sz w:val="18"/>
        </w:rPr>
        <w:t>McDonnell-Douglas</w:t>
      </w:r>
      <w:r>
        <w:rPr>
          <w:rFonts w:ascii="Arial" w:eastAsia="Arial" w:hAnsi="Arial" w:cs="Arial"/>
          <w:color w:val="000000"/>
          <w:sz w:val="18"/>
        </w:rPr>
        <w:t>'s burden shifting as "both unnecessary and inappropriate" in a failure-to-accommodate case).</w:t>
      </w:r>
    </w:p>
  </w:footnote>
  <w:footnote w:id="9">
    <w:p w14:paraId="065C95F6" w14:textId="77777777" w:rsidR="002B10A6" w:rsidRDefault="00000000">
      <w:pPr>
        <w:pStyle w:val="Normal2"/>
        <w:widowControl w:val="0"/>
        <w:spacing w:before="200" w:line="240" w:lineRule="atLeast"/>
        <w:jc w:val="both"/>
      </w:pPr>
      <w:r>
        <w:rPr>
          <w:rFonts w:ascii="Arial" w:eastAsia="Arial" w:hAnsi="Arial" w:cs="Arial"/>
          <w:color w:val="000000"/>
          <w:sz w:val="18"/>
          <w:vertAlign w:val="superscript"/>
        </w:rPr>
        <w:t>3 </w:t>
      </w:r>
      <w:bookmarkStart w:id="323" w:name="Bookmark_fnpara_3_0"/>
      <w:bookmarkStart w:id="324" w:name="Bookmark_I62WMJDF2D6NM90020000400"/>
      <w:bookmarkEnd w:id="323"/>
      <w:bookmarkEnd w:id="324"/>
      <w:r>
        <w:rPr>
          <w:rFonts w:ascii="Arial" w:eastAsia="Arial" w:hAnsi="Arial" w:cs="Arial"/>
          <w:color w:val="000000"/>
          <w:sz w:val="18"/>
        </w:rPr>
        <w:t xml:space="preserve">Sanofi argues that Perdue's claim is barred because she rejected other "reasonable accommodations" that Sanofi offered. And it is true that rejecting another reasonable accommodation would defeat her reasonable-accommodation claim. </w:t>
      </w:r>
      <w:r>
        <w:rPr>
          <w:rFonts w:ascii="Arial" w:eastAsia="Arial" w:hAnsi="Arial" w:cs="Arial"/>
          <w:i/>
          <w:color w:val="000000"/>
          <w:sz w:val="18"/>
        </w:rPr>
        <w:t xml:space="preserve">See </w:t>
      </w:r>
      <w:bookmarkStart w:id="325" w:name="Bookmark_I62WMJDF2D6NM90010000400"/>
      <w:bookmarkEnd w:id="325"/>
      <w:r>
        <w:rPr>
          <w:rFonts w:ascii="Arial" w:eastAsia="Arial" w:hAnsi="Arial" w:cs="Arial"/>
          <w:i/>
          <w:color w:val="000000"/>
          <w:sz w:val="18"/>
        </w:rPr>
        <w:t>Elledge v. Lowe's Home Ctrs., LLC</w:t>
      </w:r>
      <w:r>
        <w:rPr>
          <w:rFonts w:ascii="Arial" w:eastAsia="Arial" w:hAnsi="Arial" w:cs="Arial"/>
          <w:color w:val="000000"/>
          <w:sz w:val="18"/>
        </w:rPr>
        <w:t xml:space="preserve">, 979 F.3d 1004, 1013-14 (4th Cir. 2020); </w:t>
      </w:r>
      <w:bookmarkStart w:id="326" w:name="Bookmark_I62WMJDF2D6NM90030000400"/>
      <w:bookmarkEnd w:id="326"/>
      <w:r>
        <w:rPr>
          <w:rFonts w:ascii="Arial" w:eastAsia="Arial" w:hAnsi="Arial" w:cs="Arial"/>
          <w:i/>
          <w:color w:val="000000"/>
          <w:sz w:val="18"/>
        </w:rPr>
        <w:t>Talley v. Fam. Dollar Stores of Ohio, Inc.</w:t>
      </w:r>
      <w:r>
        <w:rPr>
          <w:rFonts w:ascii="Arial" w:eastAsia="Arial" w:hAnsi="Arial" w:cs="Arial"/>
          <w:color w:val="000000"/>
          <w:sz w:val="18"/>
        </w:rPr>
        <w:t>, 542 F.3d 1099, 1108 (6th Cir. 2008). But since we otherwise affirm the district court's grant of summary judgment to Sanofi, we need not decide whether the hotel stays, a new car, or the potential position in Greenville's cardiovascular business unit were reasonable accommodations.</w:t>
      </w:r>
    </w:p>
  </w:footnote>
  <w:footnote w:id="10">
    <w:p w14:paraId="28F1AEFF" w14:textId="77777777" w:rsidR="002B10A6" w:rsidRDefault="00000000">
      <w:pPr>
        <w:pStyle w:val="Normal2"/>
        <w:widowControl w:val="0"/>
        <w:spacing w:before="200" w:line="240" w:lineRule="atLeast"/>
        <w:jc w:val="both"/>
      </w:pPr>
      <w:r>
        <w:rPr>
          <w:rFonts w:ascii="Arial" w:eastAsia="Arial" w:hAnsi="Arial" w:cs="Arial"/>
          <w:color w:val="000000"/>
          <w:sz w:val="18"/>
          <w:vertAlign w:val="superscript"/>
        </w:rPr>
        <w:t>4 </w:t>
      </w:r>
      <w:bookmarkStart w:id="334" w:name="Bookmark_fnpara_4_0"/>
      <w:bookmarkStart w:id="335" w:name="Bookmark_LNHNREFclscc9_0"/>
      <w:bookmarkEnd w:id="334"/>
      <w:bookmarkEnd w:id="335"/>
      <w:r>
        <w:rPr>
          <w:rFonts w:ascii="Arial" w:eastAsia="Arial" w:hAnsi="Arial" w:cs="Arial"/>
          <w:color w:val="000000"/>
          <w:sz w:val="18"/>
        </w:rPr>
        <w:t xml:space="preserve">Moving an employee to part-time work may be a reasonable accommodation in some circumstances. </w:t>
      </w:r>
      <w:bookmarkStart w:id="336" w:name="Bookmark_I62WMJDH2N1RRM0020000400"/>
      <w:bookmarkEnd w:id="336"/>
      <w:r>
        <w:rPr>
          <w:rFonts w:ascii="Arial" w:eastAsia="Arial" w:hAnsi="Arial" w:cs="Arial"/>
          <w:i/>
          <w:color w:val="000000"/>
          <w:sz w:val="18"/>
        </w:rPr>
        <w:t>See</w:t>
      </w:r>
      <w:r>
        <w:rPr>
          <w:rFonts w:ascii="Arial" w:eastAsia="Arial" w:hAnsi="Arial" w:cs="Arial"/>
          <w:color w:val="000000"/>
          <w:sz w:val="18"/>
        </w:rPr>
        <w:t xml:space="preserve"> 42 U.S.C. § 12111(9)(B). But it may be required only when "the employer has part-time jobs readily available," </w:t>
      </w:r>
      <w:r>
        <w:rPr>
          <w:rFonts w:ascii="Arial" w:eastAsia="Arial" w:hAnsi="Arial" w:cs="Arial"/>
          <w:i/>
          <w:color w:val="000000"/>
          <w:sz w:val="18"/>
        </w:rPr>
        <w:t>i.e.</w:t>
      </w:r>
      <w:r>
        <w:rPr>
          <w:rFonts w:ascii="Arial" w:eastAsia="Arial" w:hAnsi="Arial" w:cs="Arial"/>
          <w:color w:val="000000"/>
          <w:sz w:val="18"/>
        </w:rPr>
        <w:t xml:space="preserve">, when a new position need not be created. </w:t>
      </w:r>
      <w:r>
        <w:rPr>
          <w:rFonts w:ascii="Arial" w:eastAsia="Arial" w:hAnsi="Arial" w:cs="Arial"/>
          <w:i/>
          <w:color w:val="000000"/>
          <w:sz w:val="18"/>
        </w:rPr>
        <w:t xml:space="preserve">See </w:t>
      </w:r>
      <w:bookmarkStart w:id="337" w:name="Bookmark_I62WMJDH2N1RRM0010000400"/>
      <w:bookmarkEnd w:id="337"/>
      <w:r>
        <w:rPr>
          <w:rFonts w:ascii="Arial" w:eastAsia="Arial" w:hAnsi="Arial" w:cs="Arial"/>
          <w:i/>
          <w:color w:val="000000"/>
          <w:sz w:val="18"/>
        </w:rPr>
        <w:t>Terrell v. USAir</w:t>
      </w:r>
      <w:r>
        <w:rPr>
          <w:rFonts w:ascii="Arial" w:eastAsia="Arial" w:hAnsi="Arial" w:cs="Arial"/>
          <w:color w:val="000000"/>
          <w:sz w:val="18"/>
        </w:rPr>
        <w:t xml:space="preserve">, 132 F.3d 621, 626 (11th Cir. 1998); </w:t>
      </w:r>
      <w:bookmarkStart w:id="338" w:name="Bookmark_I62WMJDH2N1RRM0030000400"/>
      <w:bookmarkEnd w:id="338"/>
      <w:r>
        <w:rPr>
          <w:rFonts w:ascii="Arial" w:eastAsia="Arial" w:hAnsi="Arial" w:cs="Arial"/>
          <w:i/>
          <w:color w:val="000000"/>
          <w:sz w:val="18"/>
        </w:rPr>
        <w:t>Treanor v. MCI Telecomms. Corp.</w:t>
      </w:r>
      <w:r>
        <w:rPr>
          <w:rFonts w:ascii="Arial" w:eastAsia="Arial" w:hAnsi="Arial" w:cs="Arial"/>
          <w:color w:val="000000"/>
          <w:sz w:val="18"/>
        </w:rPr>
        <w:t>, 200 F.3d 570, 575 (8th Cir. 2000).</w:t>
      </w:r>
    </w:p>
  </w:footnote>
  <w:footnote w:id="11">
    <w:p w14:paraId="5AD3420E" w14:textId="77777777" w:rsidR="002B10A6" w:rsidRDefault="00000000">
      <w:pPr>
        <w:pStyle w:val="Normal2"/>
        <w:widowControl w:val="0"/>
        <w:spacing w:before="200" w:line="240" w:lineRule="atLeast"/>
        <w:jc w:val="both"/>
      </w:pPr>
      <w:r>
        <w:rPr>
          <w:rFonts w:ascii="Arial" w:eastAsia="Arial" w:hAnsi="Arial" w:cs="Arial"/>
          <w:color w:val="000000"/>
          <w:sz w:val="18"/>
          <w:vertAlign w:val="superscript"/>
        </w:rPr>
        <w:t>5 </w:t>
      </w:r>
      <w:bookmarkStart w:id="381" w:name="Bookmark_fnpara_5_0"/>
      <w:bookmarkStart w:id="382" w:name="Bookmark_I62WMJDJ2HM5PY0040000400"/>
      <w:bookmarkEnd w:id="381"/>
      <w:bookmarkEnd w:id="382"/>
      <w:r>
        <w:rPr>
          <w:rFonts w:ascii="Arial" w:eastAsia="Arial" w:hAnsi="Arial" w:cs="Arial"/>
          <w:color w:val="000000"/>
          <w:sz w:val="18"/>
        </w:rPr>
        <w:t xml:space="preserve">Perdue also seeks to revive her state-law wrongful-discharge claim on appeal. But her arguments fail for the same reasons her ADA arguments fail. </w:t>
      </w:r>
      <w:r>
        <w:rPr>
          <w:rFonts w:ascii="Arial" w:eastAsia="Arial" w:hAnsi="Arial" w:cs="Arial"/>
          <w:i/>
          <w:color w:val="000000"/>
          <w:sz w:val="18"/>
        </w:rPr>
        <w:t>See</w:t>
      </w:r>
      <w:r>
        <w:rPr>
          <w:rFonts w:ascii="Arial" w:eastAsia="Arial" w:hAnsi="Arial" w:cs="Arial"/>
          <w:color w:val="000000"/>
          <w:sz w:val="18"/>
        </w:rPr>
        <w:t xml:space="preserve"> N.C. Gen. Stat. § 143-422.2(a); </w:t>
      </w:r>
      <w:bookmarkStart w:id="383" w:name="Bookmark_I62WMJDJ2HM5PY0030000400"/>
      <w:bookmarkEnd w:id="383"/>
      <w:r>
        <w:rPr>
          <w:rFonts w:ascii="Arial" w:eastAsia="Arial" w:hAnsi="Arial" w:cs="Arial"/>
          <w:i/>
          <w:color w:val="000000"/>
          <w:sz w:val="18"/>
        </w:rPr>
        <w:t>N.C. Dep't of Corr. v. Gibson</w:t>
      </w:r>
      <w:r>
        <w:rPr>
          <w:rFonts w:ascii="Arial" w:eastAsia="Arial" w:hAnsi="Arial" w:cs="Arial"/>
          <w:color w:val="000000"/>
          <w:sz w:val="18"/>
        </w:rPr>
        <w:t>, 308 N.C. 131, 301 S.E.2d 78, 82 (N.C. 1983) (To determine the content of a state-law wrongful-discharge claim, North Carolina courts "look to federal decisions for guidance in establishing evidentiary standards and principles of law to be applied in discrimination cases.").</w:t>
      </w:r>
    </w:p>
    <w:p w14:paraId="7599EF9F" w14:textId="77777777" w:rsidR="002B10A6" w:rsidRDefault="00000000">
      <w:pPr>
        <w:pStyle w:val="Normal2"/>
        <w:widowControl w:val="0"/>
        <w:spacing w:before="200" w:line="240" w:lineRule="atLeast"/>
        <w:jc w:val="both"/>
      </w:pPr>
      <w:bookmarkStart w:id="384" w:name="Bookmark_fnpara_6"/>
      <w:bookmarkStart w:id="385" w:name="Bookmark_I62WMJDK2D6NMT0010000400"/>
      <w:bookmarkEnd w:id="384"/>
      <w:bookmarkEnd w:id="385"/>
      <w:r>
        <w:rPr>
          <w:rFonts w:ascii="Arial" w:eastAsia="Arial" w:hAnsi="Arial" w:cs="Arial"/>
          <w:color w:val="000000"/>
          <w:sz w:val="18"/>
        </w:rPr>
        <w:t xml:space="preserve">And we reject Perdue's argument that the district court failed to separately consider her cross-motion for partial summary judgment. </w:t>
      </w:r>
      <w:bookmarkStart w:id="386" w:name="Bookmark_I62WMJDK2D6NMT0030000400"/>
      <w:bookmarkEnd w:id="386"/>
      <w:r>
        <w:rPr>
          <w:rFonts w:ascii="Arial" w:eastAsia="Arial" w:hAnsi="Arial" w:cs="Arial"/>
          <w:color w:val="000000"/>
          <w:sz w:val="18"/>
        </w:rPr>
        <w:t xml:space="preserve">Granting summary judgment to Sanofi, which required construing all facts and factual inferences in Perdue's favor, necessarily meant that Perdue's cross-motion for partial summary judgment could not prevail. </w:t>
      </w:r>
      <w:r>
        <w:rPr>
          <w:rFonts w:ascii="Arial" w:eastAsia="Arial" w:hAnsi="Arial" w:cs="Arial"/>
          <w:i/>
          <w:color w:val="000000"/>
          <w:sz w:val="18"/>
        </w:rPr>
        <w:t xml:space="preserve">See </w:t>
      </w:r>
      <w:bookmarkStart w:id="387" w:name="Bookmark_I62WMJDJ2HM5PY0050000400"/>
      <w:bookmarkEnd w:id="387"/>
      <w:r>
        <w:rPr>
          <w:rFonts w:ascii="Arial" w:eastAsia="Arial" w:hAnsi="Arial" w:cs="Arial"/>
          <w:i/>
          <w:color w:val="000000"/>
          <w:sz w:val="18"/>
        </w:rPr>
        <w:t>Rossignol v. Voorhaar</w:t>
      </w:r>
      <w:r>
        <w:rPr>
          <w:rFonts w:ascii="Arial" w:eastAsia="Arial" w:hAnsi="Arial" w:cs="Arial"/>
          <w:color w:val="000000"/>
          <w:sz w:val="18"/>
        </w:rPr>
        <w:t xml:space="preserve">, 316 F.3d 516, 523 (4th Cir. 2003). </w:t>
      </w:r>
      <w:bookmarkStart w:id="388" w:name="Bookmark_I62WMJDK2D6NMT0030000400_2"/>
      <w:bookmarkEnd w:id="388"/>
      <w:r>
        <w:rPr>
          <w:rFonts w:ascii="Arial" w:eastAsia="Arial" w:hAnsi="Arial" w:cs="Arial"/>
          <w:color w:val="000000"/>
          <w:sz w:val="18"/>
        </w:rPr>
        <w:t xml:space="preserve">The district court's opinion said as much. </w:t>
      </w:r>
      <w:r>
        <w:rPr>
          <w:rFonts w:ascii="Arial" w:eastAsia="Arial" w:hAnsi="Arial" w:cs="Arial"/>
          <w:i/>
          <w:color w:val="000000"/>
          <w:sz w:val="18"/>
        </w:rPr>
        <w:t xml:space="preserve">See </w:t>
      </w:r>
      <w:bookmarkStart w:id="389" w:name="Bookmark_I62WMJDK2D6NMT0020000400"/>
      <w:bookmarkEnd w:id="389"/>
      <w:r>
        <w:rPr>
          <w:rFonts w:ascii="Arial" w:eastAsia="Arial" w:hAnsi="Arial" w:cs="Arial"/>
          <w:i/>
          <w:color w:val="000000"/>
          <w:sz w:val="18"/>
        </w:rPr>
        <w:t>Perdue</w:t>
      </w:r>
      <w:r>
        <w:rPr>
          <w:rFonts w:ascii="Arial" w:eastAsia="Arial" w:hAnsi="Arial" w:cs="Arial"/>
          <w:color w:val="000000"/>
          <w:sz w:val="18"/>
        </w:rPr>
        <w:t>, 2019 U.S. Dist. LEXIS 171097, 2019 WL 4874815, at *16 ("The Court having determined that the Defendant's Motion for Summary Judgment should be granted, for the same reasons the Plaintiff's motion is denied.").</w:t>
      </w:r>
    </w:p>
  </w:footnote>
  <w:footnote w:id="12">
    <w:p w14:paraId="2D8A8D1D" w14:textId="77777777" w:rsidR="002B10A6" w:rsidRDefault="00000000">
      <w:pPr>
        <w:pStyle w:val="Normal3"/>
        <w:widowControl w:val="0"/>
        <w:spacing w:before="120" w:line="240" w:lineRule="atLeast"/>
        <w:jc w:val="both"/>
      </w:pPr>
      <w:r>
        <w:rPr>
          <w:rFonts w:ascii="Arial" w:eastAsia="Arial" w:hAnsi="Arial" w:cs="Arial"/>
          <w:color w:val="000000"/>
          <w:sz w:val="18"/>
          <w:vertAlign w:val="superscript"/>
        </w:rPr>
        <w:t>* </w:t>
      </w:r>
      <w:bookmarkStart w:id="391" w:name="Bookmark_fnpara_1_2"/>
      <w:bookmarkEnd w:id="391"/>
      <w:r>
        <w:rPr>
          <w:rFonts w:ascii="Arial" w:eastAsia="Arial" w:hAnsi="Arial" w:cs="Arial"/>
          <w:color w:val="000000"/>
          <w:sz w:val="18"/>
        </w:rPr>
        <w:t>The court ordered that oral argument in this case be vacated after appellant's counsel was granted leave to withdraw. The case is therefore submitted on the briefs and record.</w:t>
      </w:r>
    </w:p>
  </w:footnote>
  <w:footnote w:id="13">
    <w:p w14:paraId="3754702C" w14:textId="77777777" w:rsidR="002B10A6" w:rsidRDefault="00000000">
      <w:pPr>
        <w:pStyle w:val="Normal3"/>
        <w:widowControl w:val="0"/>
        <w:spacing w:before="120" w:line="240" w:lineRule="atLeast"/>
        <w:jc w:val="both"/>
      </w:pPr>
      <w:r>
        <w:rPr>
          <w:rFonts w:ascii="Arial" w:eastAsia="Arial" w:hAnsi="Arial" w:cs="Arial"/>
          <w:color w:val="000000"/>
          <w:sz w:val="18"/>
          <w:vertAlign w:val="superscript"/>
        </w:rPr>
        <w:t>1 </w:t>
      </w:r>
      <w:bookmarkStart w:id="402" w:name="Bookmark_fnpara_2_1"/>
      <w:bookmarkEnd w:id="402"/>
      <w:r>
        <w:rPr>
          <w:rFonts w:ascii="Arial" w:eastAsia="Arial" w:hAnsi="Arial" w:cs="Arial"/>
          <w:color w:val="000000"/>
          <w:sz w:val="18"/>
        </w:rPr>
        <w:t>In addition to the more substantive deficiencies, which we will describe where relevant, Castelino's brief contains numerous hallmarks of carelessness, such as improper case citations and the misspelling of his name both in the caption ("Castelion") and elsewhere in the brief ("Castleino").</w:t>
      </w:r>
    </w:p>
  </w:footnote>
  <w:footnote w:id="14">
    <w:p w14:paraId="3D600B45" w14:textId="77777777" w:rsidR="002B10A6" w:rsidRDefault="00000000">
      <w:pPr>
        <w:pStyle w:val="Normal3"/>
        <w:widowControl w:val="0"/>
        <w:spacing w:before="200" w:line="240" w:lineRule="atLeast"/>
        <w:jc w:val="both"/>
      </w:pPr>
      <w:r>
        <w:rPr>
          <w:rFonts w:ascii="Arial" w:eastAsia="Arial" w:hAnsi="Arial" w:cs="Arial"/>
          <w:color w:val="000000"/>
          <w:sz w:val="18"/>
          <w:vertAlign w:val="superscript"/>
        </w:rPr>
        <w:t>2 </w:t>
      </w:r>
      <w:bookmarkStart w:id="421" w:name="Bookmark_fnpara_3_1"/>
      <w:bookmarkEnd w:id="421"/>
      <w:r>
        <w:rPr>
          <w:rFonts w:ascii="Arial" w:eastAsia="Arial" w:hAnsi="Arial" w:cs="Arial"/>
          <w:color w:val="000000"/>
          <w:sz w:val="18"/>
        </w:rPr>
        <w:t xml:space="preserve">Castelino takes issue with the district court's comment, claiming that it "rejected the responsibility to construct Castelino's arguments, but it had the authority. FRCP Rule 56(e)(3) obligates it to examine Castelino's Motion and </w:t>
      </w:r>
      <w:r>
        <w:rPr>
          <w:rFonts w:ascii="Arial" w:eastAsia="Arial" w:hAnsi="Arial" w:cs="Arial"/>
          <w:i/>
          <w:color w:val="000000"/>
          <w:sz w:val="18"/>
        </w:rPr>
        <w:t>all</w:t>
      </w:r>
      <w:r>
        <w:rPr>
          <w:rFonts w:ascii="Arial" w:eastAsia="Arial" w:hAnsi="Arial" w:cs="Arial"/>
          <w:color w:val="000000"/>
          <w:sz w:val="18"/>
        </w:rPr>
        <w:t xml:space="preserve"> his supporting materials, regardless whether they support or address an assertion of fact properly. That authorized the District Court to construct arguments for a party, but not to decide, arbitrarily, what evidence to consider and what to ignore." First, Rule 56(e)(3) imposes no such duty on the district court . Moreover, Castelino's suggestion that the district court somehow failed to properly consider his claims underscores his fundamental misunderstanding of his obligation to construct coherent arguments for consideration.</w:t>
      </w:r>
    </w:p>
  </w:footnote>
  <w:footnote w:id="15">
    <w:p w14:paraId="289D3441" w14:textId="77777777" w:rsidR="002B10A6" w:rsidRDefault="00000000">
      <w:pPr>
        <w:pStyle w:val="Normal3"/>
        <w:widowControl w:val="0"/>
        <w:spacing w:before="120" w:line="240" w:lineRule="atLeast"/>
        <w:jc w:val="both"/>
      </w:pPr>
      <w:r>
        <w:rPr>
          <w:rFonts w:ascii="Arial" w:eastAsia="Arial" w:hAnsi="Arial" w:cs="Arial"/>
          <w:color w:val="000000"/>
          <w:sz w:val="18"/>
          <w:vertAlign w:val="superscript"/>
        </w:rPr>
        <w:t>3 </w:t>
      </w:r>
      <w:bookmarkStart w:id="485" w:name="Bookmark_fnpara_4_1"/>
      <w:bookmarkEnd w:id="485"/>
      <w:r>
        <w:rPr>
          <w:rFonts w:ascii="Arial" w:eastAsia="Arial" w:hAnsi="Arial" w:cs="Arial"/>
          <w:color w:val="000000"/>
          <w:sz w:val="18"/>
        </w:rPr>
        <w:t>Castelino claims he is not challenging the professional academic judgment, but rather the "practices and procedures that preceded the decision to suspend him, because those differed from the procedures so plainly expressed in the handbooks." (Appellant's Br. 30.) Instead of explaining how the procedures used differed from the handbooks and why those deviations were arbitrary, capricious, or in bad faith, Castelino provides the following: "For example, compare Dckt. #237 at 7 to Dckt. #56-10 at 53 Art. III ¶ 4; #237 at 8 compared to Rule 6, Dckt. #56-10 pp 54-55;Dckt. #237 at 12, compared to Rules and Procedures Handbook, Dckt. #56-18 pp 14-23; and #237 at 29-30." This string of citations to the record, without more, is completely unhelpful in demonstrating that Rose-Hulman breached its contract with Castelino. We examined the listed citations and saw nothing tending to prove that Rose-Hulman acted arbitrarily or in bad faith in its handling of Castelino's behavior.</w:t>
      </w:r>
    </w:p>
  </w:footnote>
  <w:footnote w:id="16">
    <w:p w14:paraId="31EA6174" w14:textId="77777777" w:rsidR="002B10A6" w:rsidRDefault="00000000">
      <w:pPr>
        <w:pStyle w:val="Normal4"/>
        <w:widowControl w:val="0"/>
        <w:spacing w:before="200" w:line="240" w:lineRule="atLeast"/>
        <w:jc w:val="both"/>
      </w:pPr>
      <w:r>
        <w:rPr>
          <w:rFonts w:ascii="Arial" w:eastAsia="Arial" w:hAnsi="Arial" w:cs="Arial"/>
          <w:color w:val="000000"/>
          <w:sz w:val="18"/>
          <w:vertAlign w:val="superscript"/>
        </w:rPr>
        <w:t>1 </w:t>
      </w:r>
      <w:bookmarkStart w:id="537" w:name="Bookmark_fnpara_1_3"/>
      <w:bookmarkEnd w:id="537"/>
      <w:r>
        <w:rPr>
          <w:rFonts w:ascii="Arial" w:eastAsia="Arial" w:hAnsi="Arial" w:cs="Arial"/>
          <w:color w:val="000000"/>
          <w:sz w:val="18"/>
          <w:u w:val="single"/>
        </w:rPr>
        <w:t xml:space="preserve">See </w:t>
      </w:r>
      <w:bookmarkStart w:id="538" w:name="Bookmark_I62TXS222HM6XN0010000400"/>
      <w:bookmarkEnd w:id="538"/>
      <w:r>
        <w:rPr>
          <w:rFonts w:ascii="Arial" w:eastAsia="Arial" w:hAnsi="Arial" w:cs="Arial"/>
          <w:color w:val="000000"/>
          <w:sz w:val="18"/>
          <w:u w:val="single"/>
        </w:rPr>
        <w:t>Kennedy v. Floridian Hotel, Inc.</w:t>
      </w:r>
      <w:r>
        <w:rPr>
          <w:rFonts w:ascii="Arial" w:eastAsia="Arial" w:hAnsi="Arial" w:cs="Arial"/>
          <w:color w:val="000000"/>
          <w:sz w:val="18"/>
        </w:rPr>
        <w:t>, No. 1:18-cv-20839-UU, ECF No. 1 (S.D. Fla. March 5, 2018).</w:t>
      </w:r>
    </w:p>
  </w:footnote>
  <w:footnote w:id="17">
    <w:p w14:paraId="07A96FB1" w14:textId="77777777" w:rsidR="002B10A6" w:rsidRDefault="00000000">
      <w:pPr>
        <w:pStyle w:val="Normal4"/>
        <w:widowControl w:val="0"/>
        <w:spacing w:before="120" w:line="240" w:lineRule="atLeast"/>
        <w:jc w:val="both"/>
      </w:pPr>
      <w:r>
        <w:rPr>
          <w:rFonts w:ascii="Arial" w:eastAsia="Arial" w:hAnsi="Arial" w:cs="Arial"/>
          <w:color w:val="000000"/>
          <w:sz w:val="18"/>
          <w:vertAlign w:val="superscript"/>
        </w:rPr>
        <w:t>2 </w:t>
      </w:r>
      <w:bookmarkStart w:id="539" w:name="Bookmark_fnpara_2_2"/>
      <w:bookmarkStart w:id="540" w:name="Bookmark_LNHNREFclscc1_3"/>
      <w:bookmarkEnd w:id="539"/>
      <w:bookmarkEnd w:id="540"/>
      <w:r>
        <w:rPr>
          <w:rFonts w:ascii="Arial" w:eastAsia="Arial" w:hAnsi="Arial" w:cs="Arial"/>
          <w:color w:val="000000"/>
          <w:sz w:val="18"/>
        </w:rPr>
        <w:t>These guidelines require places of lodging to: (1) ensure individuals with disabilities can make reservations for accessible rooms in the same manner as persons who do not need such rooms; (2) identify and describe accessible features so that individuals with disabilities can assess whether their accessibility needs are met; (3) ensure accessible guest rooms are held for use by individuals with disabilities until all other guest rooms are full; (4) reserve accessible guest rooms upon request; and (5) guarantee that an accessible guest room that has been reserved is held for the reserving customer. 28 C.F.R. § 36.302(e)(1).</w:t>
      </w:r>
    </w:p>
  </w:footnote>
  <w:footnote w:id="18">
    <w:p w14:paraId="0A2E96E5" w14:textId="77777777" w:rsidR="002B10A6" w:rsidRDefault="00000000">
      <w:pPr>
        <w:pStyle w:val="Normal4"/>
        <w:widowControl w:val="0"/>
        <w:spacing w:before="200" w:line="240" w:lineRule="atLeast"/>
        <w:jc w:val="both"/>
      </w:pPr>
      <w:r>
        <w:rPr>
          <w:rFonts w:ascii="Arial" w:eastAsia="Arial" w:hAnsi="Arial" w:cs="Arial"/>
          <w:color w:val="000000"/>
          <w:sz w:val="18"/>
          <w:vertAlign w:val="superscript"/>
        </w:rPr>
        <w:t>3 </w:t>
      </w:r>
      <w:bookmarkStart w:id="594" w:name="Bookmark_fnpara_3_2"/>
      <w:bookmarkEnd w:id="594"/>
      <w:r>
        <w:rPr>
          <w:rFonts w:ascii="Arial" w:eastAsia="Arial" w:hAnsi="Arial" w:cs="Arial"/>
          <w:color w:val="000000"/>
          <w:sz w:val="18"/>
        </w:rPr>
        <w:t xml:space="preserve">For completeness, we note that our recent decision in </w:t>
      </w:r>
      <w:bookmarkStart w:id="595" w:name="Bookmark_I62TXS242N1RNY0030000400"/>
      <w:bookmarkEnd w:id="595"/>
      <w:r>
        <w:rPr>
          <w:rFonts w:ascii="Arial" w:eastAsia="Arial" w:hAnsi="Arial" w:cs="Arial"/>
          <w:color w:val="000000"/>
          <w:sz w:val="18"/>
          <w:u w:val="single"/>
        </w:rPr>
        <w:t>Sierra v. City of Hallandale Beach</w:t>
      </w:r>
      <w:r>
        <w:rPr>
          <w:rFonts w:ascii="Arial" w:eastAsia="Arial" w:hAnsi="Arial" w:cs="Arial"/>
          <w:color w:val="000000"/>
          <w:sz w:val="18"/>
        </w:rPr>
        <w:t xml:space="preserve">, </w:t>
      </w:r>
      <w:r>
        <w:rPr>
          <w:rFonts w:ascii="Arial" w:eastAsia="Arial" w:hAnsi="Arial" w:cs="Arial"/>
          <w:color w:val="000000"/>
          <w:sz w:val="18"/>
          <w:u w:val="single"/>
        </w:rPr>
        <w:t>Florida</w:t>
      </w:r>
      <w:r>
        <w:rPr>
          <w:rFonts w:ascii="Arial" w:eastAsia="Arial" w:hAnsi="Arial" w:cs="Arial"/>
          <w:color w:val="000000"/>
          <w:sz w:val="18"/>
        </w:rPr>
        <w:t xml:space="preserve">, 996 F.3d 1110, No. 19-13694, 2021 U.S. App. LEXIS 13473, 2021 WL 1799848 (11th Cir. May 6, 2021), involved a different inquiry regarding past harm and standing to seek compensatory damages under Title II of the ADA. Although </w:t>
      </w:r>
      <w:r>
        <w:rPr>
          <w:rFonts w:ascii="Arial" w:eastAsia="Arial" w:hAnsi="Arial" w:cs="Arial"/>
          <w:color w:val="000000"/>
          <w:sz w:val="18"/>
          <w:u w:val="single"/>
        </w:rPr>
        <w:t>Sierra</w:t>
      </w:r>
      <w:r>
        <w:rPr>
          <w:rFonts w:ascii="Arial" w:eastAsia="Arial" w:hAnsi="Arial" w:cs="Arial"/>
          <w:color w:val="000000"/>
          <w:sz w:val="18"/>
        </w:rPr>
        <w:t xml:space="preserve"> did not concern injunctive relief, it illustrates how the standing inquiry differs based on the remedy sought. </w:t>
      </w:r>
      <w:r>
        <w:rPr>
          <w:rFonts w:ascii="Arial" w:eastAsia="Arial" w:hAnsi="Arial" w:cs="Arial"/>
          <w:color w:val="000000"/>
          <w:sz w:val="18"/>
          <w:u w:val="single"/>
        </w:rPr>
        <w:t xml:space="preserve">See </w:t>
      </w:r>
      <w:bookmarkStart w:id="596" w:name="Bookmark_I62TXS242N1RNY0050000400"/>
      <w:bookmarkEnd w:id="596"/>
      <w:r>
        <w:rPr>
          <w:rFonts w:ascii="Arial" w:eastAsia="Arial" w:hAnsi="Arial" w:cs="Arial"/>
          <w:color w:val="000000"/>
          <w:sz w:val="18"/>
          <w:u w:val="single"/>
        </w:rPr>
        <w:t>    F.3d    , 2021 U.S. App. LEXIS 13473,</w:t>
      </w:r>
      <w:r>
        <w:rPr>
          <w:rFonts w:ascii="Arial" w:eastAsia="Arial" w:hAnsi="Arial" w:cs="Arial"/>
          <w:color w:val="000000"/>
          <w:sz w:val="18"/>
        </w:rPr>
        <w:t xml:space="preserve"> [WL] at *2-3.</w:t>
      </w:r>
    </w:p>
  </w:footnote>
  <w:footnote w:id="19">
    <w:p w14:paraId="385F8E82" w14:textId="77777777" w:rsidR="002B10A6" w:rsidRDefault="00000000">
      <w:pPr>
        <w:pStyle w:val="Normal4"/>
        <w:widowControl w:val="0"/>
        <w:spacing w:before="200" w:line="240" w:lineRule="atLeast"/>
        <w:jc w:val="both"/>
      </w:pPr>
      <w:r>
        <w:rPr>
          <w:rFonts w:ascii="Arial" w:eastAsia="Arial" w:hAnsi="Arial" w:cs="Arial"/>
          <w:color w:val="000000"/>
          <w:sz w:val="18"/>
          <w:vertAlign w:val="superscript"/>
        </w:rPr>
        <w:t>4 </w:t>
      </w:r>
      <w:bookmarkStart w:id="663" w:name="Bookmark_fnpara_4_2"/>
      <w:bookmarkStart w:id="664" w:name="Bookmark_LNHNREFclscc13_0"/>
      <w:bookmarkEnd w:id="663"/>
      <w:bookmarkEnd w:id="664"/>
      <w:r>
        <w:rPr>
          <w:rFonts w:ascii="Arial" w:eastAsia="Arial" w:hAnsi="Arial" w:cs="Arial"/>
          <w:color w:val="000000"/>
          <w:sz w:val="18"/>
        </w:rPr>
        <w:t xml:space="preserve">We review a district court's decision not to hold an evidentiary hearing for an abuse of discretion. </w:t>
      </w:r>
      <w:bookmarkStart w:id="665" w:name="Bookmark_I62TXS262N1RP60020000400"/>
      <w:bookmarkEnd w:id="665"/>
      <w:r>
        <w:rPr>
          <w:rFonts w:ascii="Arial" w:eastAsia="Arial" w:hAnsi="Arial" w:cs="Arial"/>
          <w:color w:val="000000"/>
          <w:sz w:val="18"/>
          <w:u w:val="single"/>
        </w:rPr>
        <w:t>Odyssey Marine</w:t>
      </w:r>
      <w:r>
        <w:rPr>
          <w:rFonts w:ascii="Arial" w:eastAsia="Arial" w:hAnsi="Arial" w:cs="Arial"/>
          <w:color w:val="000000"/>
          <w:sz w:val="18"/>
        </w:rPr>
        <w:t>, 657 F.3d at 1169.</w:t>
      </w:r>
    </w:p>
  </w:footnote>
  <w:footnote w:id="20">
    <w:p w14:paraId="44EAD75C" w14:textId="77777777" w:rsidR="002B10A6" w:rsidRDefault="00000000">
      <w:pPr>
        <w:pStyle w:val="Normal4"/>
        <w:widowControl w:val="0"/>
        <w:spacing w:before="200" w:line="240" w:lineRule="atLeast"/>
        <w:jc w:val="both"/>
      </w:pPr>
      <w:r>
        <w:rPr>
          <w:rFonts w:ascii="Arial" w:eastAsia="Arial" w:hAnsi="Arial" w:cs="Arial"/>
          <w:color w:val="000000"/>
          <w:sz w:val="18"/>
          <w:vertAlign w:val="superscript"/>
        </w:rPr>
        <w:t>5 </w:t>
      </w:r>
      <w:bookmarkStart w:id="701" w:name="Bookmark_fnpara_5_1"/>
      <w:bookmarkStart w:id="702" w:name="Bookmark_I62TXS2628T41X0010000400"/>
      <w:bookmarkStart w:id="703" w:name="Bookmark_LNHNREFclscc16"/>
      <w:bookmarkEnd w:id="701"/>
      <w:bookmarkEnd w:id="702"/>
      <w:bookmarkEnd w:id="703"/>
      <w:r>
        <w:rPr>
          <w:rFonts w:ascii="Arial" w:eastAsia="Arial" w:hAnsi="Arial" w:cs="Arial"/>
          <w:color w:val="000000"/>
          <w:sz w:val="18"/>
        </w:rPr>
        <w:t xml:space="preserve">In reviewing the dismissal of a complaint for lack of subject matter jurisdiction under Rule 12(b)(1), we review </w:t>
      </w:r>
      <w:r>
        <w:rPr>
          <w:rFonts w:ascii="Arial" w:eastAsia="Arial" w:hAnsi="Arial" w:cs="Arial"/>
          <w:color w:val="000000"/>
          <w:sz w:val="18"/>
          <w:u w:val="single"/>
        </w:rPr>
        <w:t>de novo</w:t>
      </w:r>
      <w:r>
        <w:rPr>
          <w:rFonts w:ascii="Arial" w:eastAsia="Arial" w:hAnsi="Arial" w:cs="Arial"/>
          <w:color w:val="000000"/>
          <w:sz w:val="18"/>
        </w:rPr>
        <w:t xml:space="preserve"> the district court's legal conclusions, including conclusions concerning standing, and we review for clear error the district court's findings of jurisdictional facts. </w:t>
      </w:r>
      <w:bookmarkStart w:id="704" w:name="Bookmark_I62TXS262HM6Y70050000400"/>
      <w:bookmarkEnd w:id="704"/>
      <w:r>
        <w:rPr>
          <w:rFonts w:ascii="Arial" w:eastAsia="Arial" w:hAnsi="Arial" w:cs="Arial"/>
          <w:color w:val="000000"/>
          <w:sz w:val="18"/>
          <w:u w:val="single"/>
        </w:rPr>
        <w:t>Houston</w:t>
      </w:r>
      <w:r>
        <w:rPr>
          <w:rFonts w:ascii="Arial" w:eastAsia="Arial" w:hAnsi="Arial" w:cs="Arial"/>
          <w:color w:val="000000"/>
          <w:sz w:val="18"/>
        </w:rPr>
        <w:t xml:space="preserve">, 733 F.3d at 1328. Kennedy contends the district court made improper credibility determinations in evaluating her evidence regarding her intent to return to the Hotel, but this argument presumes the summary judgment standard should have applied. </w:t>
      </w:r>
      <w:bookmarkStart w:id="705" w:name="Bookmark_I62TXS2628T41X0030000400"/>
      <w:bookmarkEnd w:id="705"/>
      <w:r>
        <w:rPr>
          <w:rFonts w:ascii="Arial" w:eastAsia="Arial" w:hAnsi="Arial" w:cs="Arial"/>
          <w:color w:val="000000"/>
          <w:sz w:val="18"/>
        </w:rPr>
        <w:t xml:space="preserve">As explained above, the district court properly construed Floridian's motion for summary judgment as a Rule 12(b)(1) factual attack on jurisdiction. Thus, the court was permitted to make credibility determinations and weigh the evidence. </w:t>
      </w:r>
      <w:r>
        <w:rPr>
          <w:rFonts w:ascii="Arial" w:eastAsia="Arial" w:hAnsi="Arial" w:cs="Arial"/>
          <w:color w:val="000000"/>
          <w:sz w:val="18"/>
          <w:u w:val="single"/>
        </w:rPr>
        <w:t xml:space="preserve">See </w:t>
      </w:r>
      <w:bookmarkStart w:id="706" w:name="Bookmark_I62TXS2628T41X0020000400"/>
      <w:bookmarkEnd w:id="706"/>
      <w:r>
        <w:rPr>
          <w:rFonts w:ascii="Arial" w:eastAsia="Arial" w:hAnsi="Arial" w:cs="Arial"/>
          <w:color w:val="000000"/>
          <w:sz w:val="18"/>
          <w:u w:val="single"/>
        </w:rPr>
        <w:t>Lawrence</w:t>
      </w:r>
      <w:r>
        <w:rPr>
          <w:rFonts w:ascii="Arial" w:eastAsia="Arial" w:hAnsi="Arial" w:cs="Arial"/>
          <w:color w:val="000000"/>
          <w:sz w:val="18"/>
        </w:rPr>
        <w:t>, 919 F.2d at 1529.</w:t>
      </w:r>
    </w:p>
  </w:footnote>
  <w:footnote w:id="21">
    <w:p w14:paraId="0054BEDD" w14:textId="77777777" w:rsidR="002B10A6" w:rsidRDefault="00000000">
      <w:pPr>
        <w:pStyle w:val="Normal4"/>
        <w:widowControl w:val="0"/>
        <w:spacing w:before="120" w:line="240" w:lineRule="atLeast"/>
        <w:jc w:val="both"/>
      </w:pPr>
      <w:r>
        <w:rPr>
          <w:rFonts w:ascii="Arial" w:eastAsia="Arial" w:hAnsi="Arial" w:cs="Arial"/>
          <w:color w:val="000000"/>
          <w:sz w:val="18"/>
          <w:vertAlign w:val="superscript"/>
        </w:rPr>
        <w:t>6 </w:t>
      </w:r>
      <w:bookmarkStart w:id="738" w:name="Bookmark_fnpara_6_0"/>
      <w:bookmarkEnd w:id="738"/>
      <w:r>
        <w:rPr>
          <w:rFonts w:ascii="Arial" w:eastAsia="Arial" w:hAnsi="Arial" w:cs="Arial"/>
          <w:color w:val="000000"/>
          <w:sz w:val="18"/>
        </w:rPr>
        <w:t>Kennedy's proximity to the Hotel neither helps nor hurts her. Kennedy lives only 50 to 60 miles away from the Hotel. On one hand, this suggests she would not stay overnight at the Hotel. On the other hand, she has a disability and submitted that she normally spends the night in a hotel when she travels any distance. The problem is that Kennedy visited the Hotel only once, did not stay overnight, and could not recall if she ever stayed in a Homestead hotel.</w:t>
      </w:r>
    </w:p>
  </w:footnote>
  <w:footnote w:id="22">
    <w:p w14:paraId="4E2AE0FA" w14:textId="77777777" w:rsidR="002B10A6" w:rsidRDefault="00000000">
      <w:pPr>
        <w:pStyle w:val="Normal4"/>
        <w:widowControl w:val="0"/>
        <w:spacing w:before="200" w:line="240" w:lineRule="atLeast"/>
        <w:jc w:val="both"/>
      </w:pPr>
      <w:r>
        <w:rPr>
          <w:rFonts w:ascii="Arial" w:eastAsia="Arial" w:hAnsi="Arial" w:cs="Arial"/>
          <w:color w:val="000000"/>
          <w:sz w:val="18"/>
          <w:vertAlign w:val="superscript"/>
        </w:rPr>
        <w:t>7 </w:t>
      </w:r>
      <w:bookmarkStart w:id="769" w:name="Bookmark_fnpara_7"/>
      <w:bookmarkStart w:id="770" w:name="Bookmark_LNHNREFclscc20"/>
      <w:bookmarkEnd w:id="769"/>
      <w:bookmarkEnd w:id="770"/>
      <w:r>
        <w:rPr>
          <w:rFonts w:ascii="Arial" w:eastAsia="Arial" w:hAnsi="Arial" w:cs="Arial"/>
          <w:color w:val="000000"/>
          <w:sz w:val="18"/>
        </w:rPr>
        <w:t xml:space="preserve">We review a dismissal for improper claim splitting for an abuse of discretion. </w:t>
      </w:r>
      <w:bookmarkStart w:id="771" w:name="Bookmark_I62TXS282SF7X90040000400"/>
      <w:bookmarkEnd w:id="771"/>
      <w:r>
        <w:rPr>
          <w:rFonts w:ascii="Arial" w:eastAsia="Arial" w:hAnsi="Arial" w:cs="Arial"/>
          <w:color w:val="000000"/>
          <w:sz w:val="18"/>
          <w:u w:val="single"/>
        </w:rPr>
        <w:t>Vanover</w:t>
      </w:r>
      <w:r>
        <w:rPr>
          <w:rFonts w:ascii="Arial" w:eastAsia="Arial" w:hAnsi="Arial" w:cs="Arial"/>
          <w:color w:val="000000"/>
          <w:sz w:val="18"/>
        </w:rPr>
        <w:t>, 857 F.3d at 837.</w:t>
      </w:r>
    </w:p>
  </w:footnote>
  <w:footnote w:id="23">
    <w:p w14:paraId="5E05B59B" w14:textId="77777777" w:rsidR="002B10A6" w:rsidRDefault="00000000">
      <w:pPr>
        <w:pStyle w:val="Normal4"/>
        <w:widowControl w:val="0"/>
        <w:spacing w:before="120" w:line="240" w:lineRule="atLeast"/>
        <w:jc w:val="both"/>
      </w:pPr>
      <w:r>
        <w:rPr>
          <w:rFonts w:ascii="Arial" w:eastAsia="Arial" w:hAnsi="Arial" w:cs="Arial"/>
          <w:color w:val="000000"/>
          <w:sz w:val="18"/>
          <w:vertAlign w:val="superscript"/>
        </w:rPr>
        <w:t>8 </w:t>
      </w:r>
      <w:bookmarkStart w:id="777" w:name="Bookmark_fnpara_8"/>
      <w:bookmarkEnd w:id="777"/>
      <w:r>
        <w:rPr>
          <w:rFonts w:ascii="Arial" w:eastAsia="Arial" w:hAnsi="Arial" w:cs="Arial"/>
          <w:color w:val="000000"/>
          <w:sz w:val="18"/>
        </w:rPr>
        <w:t>Because the district court early on dismissed Count II based on claim splitting, the issue as to standing on Count II was neither factually developed in the district court nor ruled on by that court. While that standing issue as to Count II may be more arguable than as to Count I, we decline to rule on that issue as to Count II without first having a fuller factual development in, and ruling by, the district court.</w:t>
      </w:r>
    </w:p>
  </w:footnote>
  <w:footnote w:id="24">
    <w:p w14:paraId="1C14DAEB" w14:textId="77777777" w:rsidR="002B10A6" w:rsidRDefault="00000000">
      <w:pPr>
        <w:pStyle w:val="Normal5"/>
        <w:widowControl w:val="0"/>
        <w:spacing w:before="200" w:line="240" w:lineRule="atLeast"/>
        <w:jc w:val="both"/>
      </w:pPr>
      <w:r>
        <w:rPr>
          <w:rFonts w:ascii="Arial" w:eastAsia="Arial" w:hAnsi="Arial" w:cs="Arial"/>
          <w:color w:val="000000"/>
          <w:sz w:val="18"/>
          <w:vertAlign w:val="superscript"/>
        </w:rPr>
        <w:t>* </w:t>
      </w:r>
      <w:bookmarkStart w:id="791" w:name="Bookmark_fnpara_1_4"/>
      <w:bookmarkEnd w:id="791"/>
      <w:r>
        <w:rPr>
          <w:rFonts w:ascii="Arial" w:eastAsia="Arial" w:hAnsi="Arial" w:cs="Arial"/>
          <w:color w:val="000000"/>
          <w:sz w:val="18"/>
        </w:rPr>
        <w:t xml:space="preserve">After examining the briefs and appellate record, this panel has determined unanimously to honor the parties' request for a decision on the briefs without oral argument. </w:t>
      </w:r>
      <w:r>
        <w:rPr>
          <w:rFonts w:ascii="Arial" w:eastAsia="Arial" w:hAnsi="Arial" w:cs="Arial"/>
          <w:i/>
          <w:color w:val="000000"/>
          <w:sz w:val="18"/>
        </w:rPr>
        <w:t>See</w:t>
      </w:r>
      <w:r>
        <w:rPr>
          <w:rFonts w:ascii="Arial" w:eastAsia="Arial" w:hAnsi="Arial" w:cs="Arial"/>
          <w:color w:val="000000"/>
          <w:sz w:val="18"/>
        </w:rPr>
        <w:t xml:space="preserve"> Fed. R. App. P. 34(f); 10th Cir. R. 34.1(G). The case is therefore submitted without oral argument. This order and judgment is not binding precedent, except under the doctrines of law of the case, res judicata, and collateral estoppel. It may be cited, however, for its persuasive value consistent with Fed. R. App. P. 32.1 and 10th Cir. R. 32.1.</w:t>
      </w:r>
    </w:p>
  </w:footnote>
  <w:footnote w:id="25">
    <w:p w14:paraId="671F3A84" w14:textId="77777777" w:rsidR="002B10A6" w:rsidRDefault="00000000">
      <w:pPr>
        <w:pStyle w:val="Normal5"/>
        <w:widowControl w:val="0"/>
        <w:spacing w:before="120" w:line="240" w:lineRule="atLeast"/>
        <w:jc w:val="both"/>
      </w:pPr>
      <w:r>
        <w:rPr>
          <w:rFonts w:ascii="Arial" w:eastAsia="Arial" w:hAnsi="Arial" w:cs="Arial"/>
          <w:color w:val="000000"/>
          <w:sz w:val="18"/>
          <w:vertAlign w:val="superscript"/>
        </w:rPr>
        <w:t>1 </w:t>
      </w:r>
      <w:bookmarkStart w:id="793" w:name="Bookmark_fnpara_2_3"/>
      <w:bookmarkEnd w:id="793"/>
      <w:r>
        <w:rPr>
          <w:rFonts w:ascii="Arial" w:eastAsia="Arial" w:hAnsi="Arial" w:cs="Arial"/>
          <w:color w:val="000000"/>
          <w:sz w:val="18"/>
        </w:rPr>
        <w:t>The parties consented to the jurisdiction of the magistrate judge pursuant to 28 U.S.C. § 636(c) thereby permitting the magistrate judge to adjudicate the case on behalf of the district court, including entry of final judgment.</w:t>
      </w:r>
    </w:p>
  </w:footnote>
  <w:footnote w:id="26">
    <w:p w14:paraId="3414CF4B" w14:textId="77777777" w:rsidR="002B10A6" w:rsidRDefault="00000000">
      <w:pPr>
        <w:pStyle w:val="Normal5"/>
        <w:widowControl w:val="0"/>
        <w:spacing w:before="200" w:line="240" w:lineRule="atLeast"/>
        <w:jc w:val="both"/>
      </w:pPr>
      <w:r>
        <w:rPr>
          <w:rFonts w:ascii="Arial" w:eastAsia="Arial" w:hAnsi="Arial" w:cs="Arial"/>
          <w:color w:val="000000"/>
          <w:sz w:val="18"/>
          <w:vertAlign w:val="superscript"/>
        </w:rPr>
        <w:t>2 </w:t>
      </w:r>
      <w:bookmarkStart w:id="794" w:name="Bookmark_fnpara_3_3"/>
      <w:bookmarkEnd w:id="794"/>
      <w:r>
        <w:rPr>
          <w:rFonts w:ascii="Arial" w:eastAsia="Arial" w:hAnsi="Arial" w:cs="Arial"/>
          <w:color w:val="000000"/>
          <w:sz w:val="18"/>
        </w:rPr>
        <w:t xml:space="preserve">Although the caption of the operative complaint refers to the "Larimer County Community Planning Department," R., Vol. I at 95 (capitalization normalized), the allegations in the body of the complaint concern the Planning Commission, </w:t>
      </w:r>
      <w:r>
        <w:rPr>
          <w:rFonts w:ascii="Arial" w:eastAsia="Arial" w:hAnsi="Arial" w:cs="Arial"/>
          <w:i/>
          <w:color w:val="000000"/>
          <w:sz w:val="18"/>
        </w:rPr>
        <w:t>see id.</w:t>
      </w:r>
      <w:r>
        <w:rPr>
          <w:rFonts w:ascii="Arial" w:eastAsia="Arial" w:hAnsi="Arial" w:cs="Arial"/>
          <w:color w:val="000000"/>
          <w:sz w:val="18"/>
        </w:rPr>
        <w:t xml:space="preserve"> at 95-130.</w:t>
      </w:r>
    </w:p>
  </w:footnote>
  <w:footnote w:id="27">
    <w:p w14:paraId="1D6134F5" w14:textId="77777777" w:rsidR="002B10A6" w:rsidRDefault="00000000">
      <w:pPr>
        <w:pStyle w:val="Normal5"/>
        <w:widowControl w:val="0"/>
        <w:spacing w:before="200" w:line="240" w:lineRule="atLeast"/>
        <w:jc w:val="both"/>
      </w:pPr>
      <w:r>
        <w:rPr>
          <w:rFonts w:ascii="Arial" w:eastAsia="Arial" w:hAnsi="Arial" w:cs="Arial"/>
          <w:color w:val="000000"/>
          <w:sz w:val="18"/>
          <w:vertAlign w:val="superscript"/>
        </w:rPr>
        <w:t>3 </w:t>
      </w:r>
      <w:bookmarkStart w:id="832" w:name="Bookmark_fnpara_4_3"/>
      <w:bookmarkEnd w:id="832"/>
      <w:r>
        <w:rPr>
          <w:rFonts w:ascii="Arial" w:eastAsia="Arial" w:hAnsi="Arial" w:cs="Arial"/>
          <w:color w:val="000000"/>
          <w:sz w:val="18"/>
        </w:rPr>
        <w:t xml:space="preserve">Mr. Reyes raises a new due process argument for the first time on appeal—that he was not told prior to the August 15 hearing that he could not give his speaking time to Ms. Reyes to have her speak on his behalf. It is unclear how this new argument would give rise to a due process claim. But in any event, Mr. Reyes forfeited the argument by failing to raise it in the district court and has waived the argument on appeal by failing to argue that the lower court's failure to consider the new theory was plain error. </w:t>
      </w:r>
      <w:r>
        <w:rPr>
          <w:rFonts w:ascii="Arial" w:eastAsia="Arial" w:hAnsi="Arial" w:cs="Arial"/>
          <w:i/>
          <w:color w:val="000000"/>
          <w:sz w:val="18"/>
        </w:rPr>
        <w:t>See Richison v. Ernest Grp., Inc.</w:t>
      </w:r>
      <w:r>
        <w:rPr>
          <w:rFonts w:ascii="Arial" w:eastAsia="Arial" w:hAnsi="Arial" w:cs="Arial"/>
          <w:color w:val="000000"/>
          <w:sz w:val="18"/>
        </w:rPr>
        <w:t>, 634 F.3d 1123, 1127-31 (10th Cir. 2011).</w:t>
      </w:r>
    </w:p>
  </w:footnote>
  <w:footnote w:id="28">
    <w:p w14:paraId="35396423" w14:textId="77777777" w:rsidR="002B10A6" w:rsidRDefault="00000000">
      <w:pPr>
        <w:pStyle w:val="Normal6"/>
        <w:widowControl w:val="0"/>
        <w:spacing w:before="120" w:line="240" w:lineRule="atLeast"/>
        <w:jc w:val="both"/>
      </w:pPr>
      <w:r>
        <w:rPr>
          <w:rFonts w:ascii="Arial" w:eastAsia="Arial" w:hAnsi="Arial" w:cs="Arial"/>
          <w:color w:val="000000"/>
          <w:sz w:val="18"/>
          <w:vertAlign w:val="superscript"/>
        </w:rPr>
        <w:t>1 </w:t>
      </w:r>
      <w:bookmarkStart w:id="865" w:name="Bookmark_fnpara_1_5"/>
      <w:bookmarkEnd w:id="865"/>
      <w:r>
        <w:rPr>
          <w:rFonts w:ascii="Arial" w:eastAsia="Arial" w:hAnsi="Arial" w:cs="Arial"/>
          <w:color w:val="000000"/>
          <w:sz w:val="18"/>
        </w:rPr>
        <w:t>The P6 prospectus was one of mobile home prospectuses authorized by the state of Florida for use at Schalamar Creek at the time.</w:t>
      </w:r>
    </w:p>
  </w:footnote>
  <w:footnote w:id="29">
    <w:p w14:paraId="75C350FA" w14:textId="77777777" w:rsidR="002B10A6" w:rsidRDefault="00000000">
      <w:pPr>
        <w:pStyle w:val="Normal7"/>
        <w:widowControl w:val="0"/>
        <w:spacing w:before="200" w:line="240" w:lineRule="atLeast"/>
        <w:jc w:val="both"/>
      </w:pPr>
      <w:r>
        <w:rPr>
          <w:rFonts w:ascii="Arial" w:eastAsia="Arial" w:hAnsi="Arial" w:cs="Arial"/>
          <w:color w:val="000000"/>
          <w:sz w:val="18"/>
          <w:vertAlign w:val="superscript"/>
        </w:rPr>
        <w:t>1 </w:t>
      </w:r>
      <w:bookmarkStart w:id="1016" w:name="Bookmark_fnpara_1_6"/>
      <w:bookmarkEnd w:id="1016"/>
      <w:r>
        <w:rPr>
          <w:rFonts w:ascii="Arial" w:eastAsia="Arial" w:hAnsi="Arial" w:cs="Arial"/>
          <w:i/>
          <w:color w:val="000000"/>
          <w:sz w:val="18"/>
        </w:rPr>
        <w:t xml:space="preserve">See, e.g., </w:t>
      </w:r>
      <w:bookmarkStart w:id="1017" w:name="Bookmark_I62KHN6R2D6N7H0010000400"/>
      <w:bookmarkEnd w:id="1017"/>
      <w:r>
        <w:rPr>
          <w:rFonts w:ascii="Arial" w:eastAsia="Arial" w:hAnsi="Arial" w:cs="Arial"/>
          <w:i/>
          <w:color w:val="000000"/>
          <w:sz w:val="18"/>
        </w:rPr>
        <w:t>Laufer v. Dove Hess Holdings, LLC</w:t>
      </w:r>
      <w:r>
        <w:rPr>
          <w:rFonts w:ascii="Arial" w:eastAsia="Arial" w:hAnsi="Arial" w:cs="Arial"/>
          <w:color w:val="000000"/>
          <w:sz w:val="18"/>
        </w:rPr>
        <w:t xml:space="preserve">, No. 5:20-CV-379, 2020 U.S. Dist. LEXIS 246614, 2020 WL 7974268, at *17-18 (N.D.N.Y. Nov. 18, 2020) (noting Laufer "has filed over 500 lawsuits in at least 15 states within the last year," which are "nearly identical"); </w:t>
      </w:r>
      <w:bookmarkStart w:id="1018" w:name="Bookmark_I62KHN6R2D6N7H0030000400"/>
      <w:bookmarkEnd w:id="1018"/>
      <w:r>
        <w:rPr>
          <w:rFonts w:ascii="Arial" w:eastAsia="Arial" w:hAnsi="Arial" w:cs="Arial"/>
          <w:i/>
          <w:color w:val="000000"/>
          <w:sz w:val="18"/>
        </w:rPr>
        <w:t>Laufer v. Fort Meade Hosp., LLC</w:t>
      </w:r>
      <w:r>
        <w:rPr>
          <w:rFonts w:ascii="Arial" w:eastAsia="Arial" w:hAnsi="Arial" w:cs="Arial"/>
          <w:color w:val="000000"/>
          <w:sz w:val="18"/>
        </w:rPr>
        <w:t>, No. 8:20-CV-1974, 2020 U.S. Dist. LEXIS 210299, 2020 WL 6585955, at *4 n.1 (D. Md. Nov. 10, 2020) (collecting some cases).</w:t>
      </w:r>
    </w:p>
  </w:footnote>
  <w:footnote w:id="30">
    <w:p w14:paraId="610684D9" w14:textId="77777777" w:rsidR="002B10A6" w:rsidRDefault="00000000">
      <w:pPr>
        <w:pStyle w:val="Normal7"/>
        <w:widowControl w:val="0"/>
        <w:spacing w:before="200" w:line="240" w:lineRule="atLeast"/>
        <w:jc w:val="both"/>
      </w:pPr>
      <w:r>
        <w:rPr>
          <w:rFonts w:ascii="Arial" w:eastAsia="Arial" w:hAnsi="Arial" w:cs="Arial"/>
          <w:color w:val="000000"/>
          <w:sz w:val="18"/>
          <w:vertAlign w:val="superscript"/>
        </w:rPr>
        <w:t>2 </w:t>
      </w:r>
      <w:bookmarkStart w:id="1021" w:name="Bookmark_fnpara_2_4"/>
      <w:bookmarkEnd w:id="1021"/>
      <w:r>
        <w:rPr>
          <w:rFonts w:ascii="Arial" w:eastAsia="Arial" w:hAnsi="Arial" w:cs="Arial"/>
          <w:color w:val="000000"/>
          <w:sz w:val="18"/>
        </w:rPr>
        <w:t xml:space="preserve">District courts have divided on whether Laufer has shown injury in fact in her many lawsuits. </w:t>
      </w:r>
      <w:r>
        <w:rPr>
          <w:rFonts w:ascii="Arial" w:eastAsia="Arial" w:hAnsi="Arial" w:cs="Arial"/>
          <w:i/>
          <w:color w:val="000000"/>
          <w:sz w:val="18"/>
        </w:rPr>
        <w:t xml:space="preserve">Compare </w:t>
      </w:r>
      <w:bookmarkStart w:id="1022" w:name="Bookmark_I62KHN6R2D6N7H0050000400"/>
      <w:bookmarkEnd w:id="1022"/>
      <w:r>
        <w:rPr>
          <w:rFonts w:ascii="Arial" w:eastAsia="Arial" w:hAnsi="Arial" w:cs="Arial"/>
          <w:i/>
          <w:color w:val="000000"/>
          <w:sz w:val="18"/>
        </w:rPr>
        <w:t>Laufer v. Ganesha Hosp., LLC</w:t>
      </w:r>
      <w:r>
        <w:rPr>
          <w:rFonts w:ascii="Arial" w:eastAsia="Arial" w:hAnsi="Arial" w:cs="Arial"/>
          <w:color w:val="000000"/>
          <w:sz w:val="18"/>
        </w:rPr>
        <w:t xml:space="preserve">, No. 3:20-CV-943 (D. Conn. Mar. 25, 2021) (finding standing), </w:t>
      </w:r>
      <w:r>
        <w:rPr>
          <w:rFonts w:ascii="Arial" w:eastAsia="Arial" w:hAnsi="Arial" w:cs="Arial"/>
          <w:i/>
          <w:color w:val="000000"/>
          <w:sz w:val="18"/>
        </w:rPr>
        <w:t xml:space="preserve">and </w:t>
      </w:r>
      <w:bookmarkStart w:id="1023" w:name="Bookmark_I62KHN6T2SF8FX0020000400"/>
      <w:bookmarkEnd w:id="1023"/>
      <w:r>
        <w:rPr>
          <w:rFonts w:ascii="Arial" w:eastAsia="Arial" w:hAnsi="Arial" w:cs="Arial"/>
          <w:i/>
          <w:color w:val="000000"/>
          <w:sz w:val="18"/>
        </w:rPr>
        <w:t>Laufer v. Lily Pond LLC C Series</w:t>
      </w:r>
      <w:r>
        <w:rPr>
          <w:rFonts w:ascii="Arial" w:eastAsia="Arial" w:hAnsi="Arial" w:cs="Arial"/>
          <w:color w:val="000000"/>
          <w:sz w:val="18"/>
        </w:rPr>
        <w:t xml:space="preserve">, No. 20-CV-617, 2020 U.S. Dist. LEXIS 244506, 2020 WL 7768011 (W.D. Wis. Dec. 30, 2020) (same), </w:t>
      </w:r>
      <w:r>
        <w:rPr>
          <w:rFonts w:ascii="Arial" w:eastAsia="Arial" w:hAnsi="Arial" w:cs="Arial"/>
          <w:i/>
          <w:color w:val="000000"/>
          <w:sz w:val="18"/>
        </w:rPr>
        <w:t xml:space="preserve">with </w:t>
      </w:r>
      <w:bookmarkStart w:id="1024" w:name="Bookmark_I62KHN6T2SF8FX0040000400"/>
      <w:bookmarkEnd w:id="1024"/>
      <w:r>
        <w:rPr>
          <w:rFonts w:ascii="Arial" w:eastAsia="Arial" w:hAnsi="Arial" w:cs="Arial"/>
          <w:i/>
          <w:color w:val="000000"/>
          <w:sz w:val="18"/>
        </w:rPr>
        <w:t>Laufer v. Patel</w:t>
      </w:r>
      <w:r>
        <w:rPr>
          <w:rFonts w:ascii="Arial" w:eastAsia="Arial" w:hAnsi="Arial" w:cs="Arial"/>
          <w:color w:val="000000"/>
          <w:sz w:val="18"/>
        </w:rPr>
        <w:t xml:space="preserve">, No. 1:20-CV-631, 2021 U.S. Dist. LEXIS 38155, 2021 WL 796163 (W.D. Tex. Mar. 2, 2021) (dismissing on standing grounds), </w:t>
      </w:r>
      <w:r>
        <w:rPr>
          <w:rFonts w:ascii="Arial" w:eastAsia="Arial" w:hAnsi="Arial" w:cs="Arial"/>
          <w:i/>
          <w:color w:val="000000"/>
          <w:sz w:val="18"/>
        </w:rPr>
        <w:t xml:space="preserve">and </w:t>
      </w:r>
      <w:bookmarkStart w:id="1025" w:name="Bookmark_I62KHN6T2HM6PD0010000400"/>
      <w:bookmarkEnd w:id="1025"/>
      <w:r>
        <w:rPr>
          <w:rFonts w:ascii="Arial" w:eastAsia="Arial" w:hAnsi="Arial" w:cs="Arial"/>
          <w:i/>
          <w:color w:val="000000"/>
          <w:sz w:val="18"/>
        </w:rPr>
        <w:t>Laufer v. Naranda Hotels, LLC</w:t>
      </w:r>
      <w:r>
        <w:rPr>
          <w:rFonts w:ascii="Arial" w:eastAsia="Arial" w:hAnsi="Arial" w:cs="Arial"/>
          <w:color w:val="000000"/>
          <w:sz w:val="18"/>
        </w:rPr>
        <w:t>, No. 20-2136, 2020 U.S. Dist. LEXIS 235894, 2020 WL 7384726 (D. Md. Dec. 16, 2020) (same).</w:t>
      </w:r>
    </w:p>
  </w:footnote>
  <w:footnote w:id="31">
    <w:p w14:paraId="522366C0" w14:textId="77777777" w:rsidR="002B10A6" w:rsidRDefault="00000000">
      <w:pPr>
        <w:pStyle w:val="Normal7"/>
        <w:widowControl w:val="0"/>
        <w:spacing w:before="200" w:line="240" w:lineRule="atLeast"/>
        <w:jc w:val="both"/>
      </w:pPr>
      <w:r>
        <w:rPr>
          <w:rFonts w:ascii="Arial" w:eastAsia="Arial" w:hAnsi="Arial" w:cs="Arial"/>
          <w:color w:val="000000"/>
          <w:sz w:val="18"/>
          <w:vertAlign w:val="superscript"/>
        </w:rPr>
        <w:t>3 </w:t>
      </w:r>
      <w:bookmarkStart w:id="1066" w:name="Bookmark_fnpara_3_4"/>
      <w:bookmarkStart w:id="1067" w:name="Bookmark_LNHNREFclscc7_6"/>
      <w:bookmarkEnd w:id="1066"/>
      <w:bookmarkEnd w:id="1067"/>
      <w:r>
        <w:rPr>
          <w:rFonts w:ascii="Arial" w:eastAsia="Arial" w:hAnsi="Arial" w:cs="Arial"/>
          <w:i/>
          <w:color w:val="000000"/>
          <w:sz w:val="18"/>
        </w:rPr>
        <w:t>See</w:t>
      </w:r>
      <w:r>
        <w:rPr>
          <w:rFonts w:ascii="Arial" w:eastAsia="Arial" w:hAnsi="Arial" w:cs="Arial"/>
          <w:color w:val="000000"/>
          <w:sz w:val="18"/>
        </w:rPr>
        <w:t xml:space="preserve"> 28 C.F.R. § 36.302(e)(1)(ii) (describing duty of places of public accommodation to "[i]dentify and describe accessible features in the hotels and guest rooms offered through its reservations service in enough detail to reasonably permit individuals with disabilities to assess independently whether a given hotel or guest room meets his or her accessibility needs").</w:t>
      </w:r>
    </w:p>
  </w:footnote>
  <w:footnote w:id="32">
    <w:p w14:paraId="3329BF7F" w14:textId="77777777" w:rsidR="002B10A6" w:rsidRDefault="00000000">
      <w:pPr>
        <w:pStyle w:val="Normal7"/>
        <w:widowControl w:val="0"/>
        <w:spacing w:before="200" w:line="240" w:lineRule="atLeast"/>
        <w:jc w:val="both"/>
      </w:pPr>
      <w:r>
        <w:rPr>
          <w:rFonts w:ascii="Arial" w:eastAsia="Arial" w:hAnsi="Arial" w:cs="Arial"/>
          <w:color w:val="000000"/>
          <w:sz w:val="18"/>
          <w:vertAlign w:val="superscript"/>
        </w:rPr>
        <w:t>4 </w:t>
      </w:r>
      <w:bookmarkStart w:id="1075" w:name="Bookmark_fnpara_4_4"/>
      <w:bookmarkEnd w:id="1075"/>
      <w:r>
        <w:rPr>
          <w:rFonts w:ascii="Arial" w:eastAsia="Arial" w:hAnsi="Arial" w:cs="Arial"/>
          <w:i/>
          <w:color w:val="000000"/>
          <w:sz w:val="18"/>
        </w:rPr>
        <w:t xml:space="preserve">See </w:t>
      </w:r>
      <w:bookmarkStart w:id="1076" w:name="Bookmark_I62KHN6W2D6N850020000400"/>
      <w:bookmarkEnd w:id="1076"/>
      <w:r>
        <w:rPr>
          <w:rFonts w:ascii="Arial" w:eastAsia="Arial" w:hAnsi="Arial" w:cs="Arial"/>
          <w:i/>
          <w:color w:val="000000"/>
          <w:sz w:val="18"/>
        </w:rPr>
        <w:t>Houston v. Marod Supermarkets, Inc.</w:t>
      </w:r>
      <w:r>
        <w:rPr>
          <w:rFonts w:ascii="Arial" w:eastAsia="Arial" w:hAnsi="Arial" w:cs="Arial"/>
          <w:color w:val="000000"/>
          <w:sz w:val="18"/>
        </w:rPr>
        <w:t xml:space="preserve">, 733 F.3d 1323, 1334 (11th Cir. 2013) (explaining a "mere tester of ADA compliance" "also must show a real and immediate threat of future injury"); </w:t>
      </w:r>
      <w:bookmarkStart w:id="1077" w:name="Bookmark_I62KHN6W2D6N850040000400"/>
      <w:bookmarkEnd w:id="1077"/>
      <w:r>
        <w:rPr>
          <w:rFonts w:ascii="Arial" w:eastAsia="Arial" w:hAnsi="Arial" w:cs="Arial"/>
          <w:i/>
          <w:color w:val="000000"/>
          <w:sz w:val="18"/>
        </w:rPr>
        <w:t>Griffin</w:t>
      </w:r>
      <w:r>
        <w:rPr>
          <w:rFonts w:ascii="Arial" w:eastAsia="Arial" w:hAnsi="Arial" w:cs="Arial"/>
          <w:color w:val="000000"/>
          <w:sz w:val="18"/>
        </w:rPr>
        <w:t xml:space="preserve">, 912 F.3d at 656 (noting "tester status . . . cannot create standing" absent some concrete injury); </w:t>
      </w:r>
      <w:bookmarkStart w:id="1078" w:name="Bookmark_I62KHN6W2HM6PS0010000400"/>
      <w:bookmarkEnd w:id="1078"/>
      <w:r>
        <w:rPr>
          <w:rFonts w:ascii="Arial" w:eastAsia="Arial" w:hAnsi="Arial" w:cs="Arial"/>
          <w:i/>
          <w:color w:val="000000"/>
          <w:sz w:val="18"/>
        </w:rPr>
        <w:t>Brintley</w:t>
      </w:r>
      <w:r>
        <w:rPr>
          <w:rFonts w:ascii="Arial" w:eastAsia="Arial" w:hAnsi="Arial" w:cs="Arial"/>
          <w:color w:val="000000"/>
          <w:sz w:val="18"/>
        </w:rPr>
        <w:t>, 936 F.3d at 494-95 (explaining tester status did not "give[] Brintley a pass to skip the ordinary constitutional requirements to suing in federal court").</w:t>
      </w:r>
    </w:p>
  </w:footnote>
  <w:footnote w:id="33">
    <w:p w14:paraId="63A44C9E" w14:textId="77777777" w:rsidR="002B10A6" w:rsidRDefault="00000000">
      <w:pPr>
        <w:pStyle w:val="Normal7"/>
        <w:widowControl w:val="0"/>
        <w:spacing w:before="200" w:line="240" w:lineRule="atLeast"/>
        <w:jc w:val="both"/>
      </w:pPr>
      <w:r>
        <w:rPr>
          <w:rFonts w:ascii="Arial" w:eastAsia="Arial" w:hAnsi="Arial" w:cs="Arial"/>
          <w:color w:val="000000"/>
          <w:sz w:val="18"/>
          <w:vertAlign w:val="superscript"/>
        </w:rPr>
        <w:t>5 </w:t>
      </w:r>
      <w:bookmarkStart w:id="1080" w:name="Bookmark_fnpara_5_2"/>
      <w:bookmarkEnd w:id="1080"/>
      <w:r>
        <w:rPr>
          <w:rFonts w:ascii="Arial" w:eastAsia="Arial" w:hAnsi="Arial" w:cs="Arial"/>
          <w:i/>
          <w:color w:val="000000"/>
          <w:sz w:val="18"/>
        </w:rPr>
        <w:t>See</w:t>
      </w:r>
      <w:r>
        <w:rPr>
          <w:rFonts w:ascii="Arial" w:eastAsia="Arial" w:hAnsi="Arial" w:cs="Arial"/>
          <w:color w:val="000000"/>
          <w:sz w:val="18"/>
        </w:rPr>
        <w:t xml:space="preserve"> 42 U.S.C. § 3604(d) ("[I]t shall be unlawful . . . [t]o represent to any person because of race, color, religion, sex, handicap, familial status, or national origin that any dwelling is not available for inspection, sale, or rental when such dwelling is in fact so available.").</w:t>
      </w:r>
    </w:p>
  </w:footnote>
  <w:footnote w:id="34">
    <w:p w14:paraId="311C2F4D" w14:textId="77777777" w:rsidR="002B10A6" w:rsidRDefault="00000000">
      <w:pPr>
        <w:pStyle w:val="Normal7"/>
        <w:widowControl w:val="0"/>
        <w:spacing w:before="120" w:line="240" w:lineRule="atLeast"/>
        <w:jc w:val="both"/>
      </w:pPr>
      <w:r>
        <w:rPr>
          <w:rFonts w:ascii="Arial" w:eastAsia="Arial" w:hAnsi="Arial" w:cs="Arial"/>
          <w:color w:val="000000"/>
          <w:sz w:val="18"/>
          <w:vertAlign w:val="superscript"/>
        </w:rPr>
        <w:t>6 </w:t>
      </w:r>
      <w:bookmarkStart w:id="1088" w:name="Bookmark_fnpara_6_1"/>
      <w:bookmarkEnd w:id="1088"/>
      <w:r>
        <w:rPr>
          <w:rFonts w:ascii="Arial" w:eastAsia="Arial" w:hAnsi="Arial" w:cs="Arial"/>
          <w:color w:val="000000"/>
          <w:sz w:val="18"/>
        </w:rPr>
        <w:t>Section 1919 provides in relevant part, "Whenever any action or suit is dismissed in any district court . . . for want of jurisdiction, such court may order the payment of just costs."</w:t>
      </w:r>
    </w:p>
  </w:footnote>
  <w:footnote w:id="35">
    <w:p w14:paraId="214F7803" w14:textId="77777777" w:rsidR="002B10A6" w:rsidRDefault="00000000">
      <w:pPr>
        <w:pStyle w:val="Normal7"/>
        <w:widowControl w:val="0"/>
        <w:spacing w:before="200" w:line="240" w:lineRule="atLeast"/>
        <w:jc w:val="both"/>
      </w:pPr>
      <w:r>
        <w:rPr>
          <w:rFonts w:ascii="Arial" w:eastAsia="Arial" w:hAnsi="Arial" w:cs="Arial"/>
          <w:color w:val="000000"/>
          <w:sz w:val="18"/>
          <w:vertAlign w:val="superscript"/>
        </w:rPr>
        <w:t>7 </w:t>
      </w:r>
      <w:bookmarkStart w:id="1090" w:name="Bookmark_fnpara_7_0"/>
      <w:bookmarkEnd w:id="1090"/>
      <w:r>
        <w:rPr>
          <w:rFonts w:ascii="Arial" w:eastAsia="Arial" w:hAnsi="Arial" w:cs="Arial"/>
          <w:i/>
          <w:color w:val="000000"/>
          <w:sz w:val="18"/>
        </w:rPr>
        <w:t>Cf., e.g.</w:t>
      </w:r>
      <w:r>
        <w:rPr>
          <w:rFonts w:ascii="Arial" w:eastAsia="Arial" w:hAnsi="Arial" w:cs="Arial"/>
          <w:color w:val="000000"/>
          <w:sz w:val="18"/>
        </w:rPr>
        <w:t>, 28 U.S.C. § 1447(c) ("An order remanding the case may require payment of just costs and any actual expenses, including attorney fees, incurred as a result of the removal."); 42 U.S.C. § 12205 ("[T]he court . . . in its discretion, may allow the prevailing party . . . a reasonable attorney's fee, including litigation expenses, and costs.").</w:t>
      </w:r>
    </w:p>
  </w:footnote>
  <w:footnote w:id="36">
    <w:p w14:paraId="00BBD92B"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 </w:t>
      </w:r>
      <w:bookmarkStart w:id="1169" w:name="Bookmark_fnpara_1_7"/>
      <w:bookmarkEnd w:id="1169"/>
      <w:r>
        <w:rPr>
          <w:rFonts w:ascii="Arial" w:eastAsia="Arial" w:hAnsi="Arial" w:cs="Arial"/>
          <w:color w:val="000000"/>
          <w:sz w:val="18"/>
        </w:rPr>
        <w:t>Honorable Danny C. Reeves, United States District Chief Judge for the Eastern District of Kentucky, sitting by designation.</w:t>
      </w:r>
    </w:p>
  </w:footnote>
  <w:footnote w:id="37">
    <w:p w14:paraId="41870470"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1 </w:t>
      </w:r>
      <w:bookmarkStart w:id="1175" w:name="Bookmark_fnpara_2_5"/>
      <w:bookmarkEnd w:id="1175"/>
      <w:r>
        <w:rPr>
          <w:rFonts w:ascii="Arial" w:eastAsia="Arial" w:hAnsi="Arial" w:cs="Arial"/>
          <w:color w:val="000000"/>
          <w:sz w:val="18"/>
        </w:rPr>
        <w:t>This opinion addresses the functionality and accessibility of Winn-Dixie's website as of the time that Gil filed the underlying complaint in July 2016. Any changes to the website that may have occurred since then are not within the scope of this appeal.</w:t>
      </w:r>
    </w:p>
  </w:footnote>
  <w:footnote w:id="38">
    <w:p w14:paraId="73C210E8"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2 </w:t>
      </w:r>
      <w:bookmarkStart w:id="1178" w:name="Bookmark_fnpara_3_5"/>
      <w:bookmarkEnd w:id="1178"/>
      <w:r>
        <w:rPr>
          <w:rFonts w:ascii="Arial" w:eastAsia="Arial" w:hAnsi="Arial" w:cs="Arial"/>
          <w:color w:val="000000"/>
          <w:sz w:val="18"/>
        </w:rPr>
        <w:t>Many of the various informational services on Winn-Dixie's website (including those not at issue) are provided by third-party vendors. Winn-Dixie's website also includes a store locator function, which Gil was unable to access with his screen reader software. However, at trial, he testified that he had no problem finding businesses (including Winn-Dixie stores) without using Winn-Dixie's website—he instead used Google. And in his response brief and at oral argument, Gil focused on his inability to access the prescription refill feature and the coupon-linking tool as the primary violations of the ADA. Accordingly, this opinion will focus on those features as opposed to the store locator feature.</w:t>
      </w:r>
    </w:p>
  </w:footnote>
  <w:footnote w:id="39">
    <w:p w14:paraId="770F7FE0"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3 </w:t>
      </w:r>
      <w:bookmarkStart w:id="1180" w:name="Bookmark_fnpara_4_5"/>
      <w:bookmarkEnd w:id="1180"/>
      <w:r>
        <w:rPr>
          <w:rFonts w:ascii="Arial" w:eastAsia="Arial" w:hAnsi="Arial" w:cs="Arial"/>
          <w:color w:val="000000"/>
          <w:sz w:val="18"/>
        </w:rPr>
        <w:t>Gil uses two of the variety of screen reader software available. After making several attempts to access Winn-Dixie's website using two different screen reader software programs, Gil determined that "90 percent" of the Winn-Dixie website was incompatible with screen reader software. In their joint pre-trial stipulation, the parties agreed that Winn-Dixie's website "was not designed specifically to integrate with screen reader software."</w:t>
      </w:r>
    </w:p>
  </w:footnote>
  <w:footnote w:id="40">
    <w:p w14:paraId="28A9AE49"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4 </w:t>
      </w:r>
      <w:bookmarkStart w:id="1182" w:name="Bookmark_fnpara_5_3"/>
      <w:bookmarkEnd w:id="1182"/>
      <w:r>
        <w:rPr>
          <w:rFonts w:ascii="Arial" w:eastAsia="Arial" w:hAnsi="Arial" w:cs="Arial"/>
          <w:color w:val="000000"/>
          <w:sz w:val="18"/>
        </w:rPr>
        <w:t xml:space="preserve">Gil did not indicate in his pleadings which provision of Title III of the ADA Winn-Dixie was violating, and the district court focused on </w:t>
      </w:r>
      <w:bookmarkStart w:id="1183" w:name="Bookmark_LNHNREFclscc1_8"/>
      <w:bookmarkEnd w:id="1183"/>
      <w:r>
        <w:rPr>
          <w:rFonts w:ascii="Arial" w:eastAsia="Arial" w:hAnsi="Arial" w:cs="Arial"/>
          <w:color w:val="000000"/>
          <w:sz w:val="18"/>
        </w:rPr>
        <w:t xml:space="preserve">the general discrimination provision, 42 U.S.C. § 12182(a), which provides that "[n]o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 However, Title III also provides more specific examples of what constitutes discrimination by a place of public accommodation, including where an operator of a place of public accommodation "fail[s] to take such steps as may be necessary to ensure that no individual with a disability is excluded, denied services, segregated or otherwise treated differently than other individuals because of the absence of auxiliary aids and services." </w:t>
      </w:r>
      <w:r>
        <w:rPr>
          <w:rFonts w:ascii="Arial" w:eastAsia="Arial" w:hAnsi="Arial" w:cs="Arial"/>
          <w:i/>
          <w:color w:val="000000"/>
          <w:sz w:val="18"/>
        </w:rPr>
        <w:t>Id.</w:t>
      </w:r>
      <w:r>
        <w:rPr>
          <w:rFonts w:ascii="Arial" w:eastAsia="Arial" w:hAnsi="Arial" w:cs="Arial"/>
          <w:color w:val="000000"/>
          <w:sz w:val="18"/>
        </w:rPr>
        <w:t xml:space="preserve"> § 12182(b)(2)(A)(iii). Based on the briefing of the parties in this appeal and the arguments made at the bench trial, we conclude that the gravamen of Gil's argument was that Winn-Dixie was in violation of Title III of the ADA because it discriminated against him on account of his visual disability when it failed to provide auxiliary aids and services to make its website accessible with screen reader software, which prevented him from fully and equally enjoying the "goods, services, privileges, or advantages" of Winn-Dixie, in violation of 42 U.S.C. §§ 12182(a) and (b)(2)(A)(iii).</w:t>
      </w:r>
    </w:p>
  </w:footnote>
  <w:footnote w:id="41">
    <w:p w14:paraId="108FEE61"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5 </w:t>
      </w:r>
      <w:bookmarkStart w:id="1208" w:name="Bookmark_fnpara_6_2"/>
      <w:bookmarkEnd w:id="1208"/>
      <w:r>
        <w:rPr>
          <w:rFonts w:ascii="Arial" w:eastAsia="Arial" w:hAnsi="Arial" w:cs="Arial"/>
          <w:color w:val="000000"/>
          <w:sz w:val="18"/>
        </w:rPr>
        <w:t>All of Gil's pleadings leading up to trial focused solely on his inability to access the prescription refill tool on the website. At trial, however, Gil for the first time asserted that he also sought to access the coupon linking feature, and the parties litigated this issue as though Gil raised it in his pleadings. Thus, there is no indication that Winn-Dixie suffered any prejudice from the addition of this belated claim.</w:t>
      </w:r>
    </w:p>
  </w:footnote>
  <w:footnote w:id="42">
    <w:p w14:paraId="7CB8BA21"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6 </w:t>
      </w:r>
      <w:bookmarkStart w:id="1218" w:name="Bookmark_fnpara_7_1"/>
      <w:bookmarkEnd w:id="1218"/>
      <w:r>
        <w:rPr>
          <w:rFonts w:ascii="Arial" w:eastAsia="Arial" w:hAnsi="Arial" w:cs="Arial"/>
          <w:color w:val="000000"/>
          <w:sz w:val="18"/>
        </w:rPr>
        <w:t>There is some dispute as to how much it would cost to bring the website into compliance, but Winn-Dixie represents that it would cost $250,000.</w:t>
      </w:r>
    </w:p>
  </w:footnote>
  <w:footnote w:id="43">
    <w:p w14:paraId="55C97B59"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7 </w:t>
      </w:r>
      <w:bookmarkStart w:id="1221" w:name="Bookmark_fnpara_8_0"/>
      <w:bookmarkEnd w:id="1221"/>
      <w:r>
        <w:rPr>
          <w:rFonts w:ascii="Arial" w:eastAsia="Arial" w:hAnsi="Arial" w:cs="Arial"/>
          <w:color w:val="000000"/>
          <w:sz w:val="18"/>
        </w:rPr>
        <w:t>Winn-Dixie also argues that the district court erred in denying its motion for judgment on the pleadings. Because we vacate the final judgment, we do not address the judgment on the pleadings issue.</w:t>
      </w:r>
    </w:p>
  </w:footnote>
  <w:footnote w:id="44">
    <w:p w14:paraId="2D8DECCF"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8 </w:t>
      </w:r>
      <w:bookmarkStart w:id="1257" w:name="Bookmark_fnpara_9"/>
      <w:bookmarkEnd w:id="1257"/>
      <w:r>
        <w:rPr>
          <w:rFonts w:ascii="Arial" w:eastAsia="Arial" w:hAnsi="Arial" w:cs="Arial"/>
          <w:color w:val="000000"/>
          <w:sz w:val="18"/>
        </w:rPr>
        <w:t>As noted above, the main premise of Gil's complaint was that Winn-Dixie's website itself was a place of public accommodation under Title III, but the district court twice declined to reach this issue. Because, as discussed further in this opinion, we reverse the district court's holding related to the website being an intangible barrier to Winn-Dixie's physical stores, we necessarily must reach this issue in order to determine whether there is another basis for affirming the judgment. We also note that, although Gil did not advance this theory in his response brief or at oral argument, he was on notice that it was a potential issue before this Court because he raised the issue in his complaint and the appellant Winn-Dixie raised the issue in its briefing on appeal.</w:t>
      </w:r>
    </w:p>
  </w:footnote>
  <w:footnote w:id="45">
    <w:p w14:paraId="38C2951F"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9 </w:t>
      </w:r>
      <w:bookmarkStart w:id="1266" w:name="Bookmark_fnpara_10"/>
      <w:bookmarkEnd w:id="1266"/>
      <w:r>
        <w:rPr>
          <w:rFonts w:ascii="Arial" w:eastAsia="Arial" w:hAnsi="Arial" w:cs="Arial"/>
          <w:color w:val="000000"/>
          <w:sz w:val="18"/>
        </w:rPr>
        <w:t>Specifically, Title III provides that:</w:t>
      </w:r>
    </w:p>
    <w:p w14:paraId="1BDF8A86" w14:textId="77777777" w:rsidR="002B10A6" w:rsidRDefault="00000000">
      <w:pPr>
        <w:pStyle w:val="Normal9"/>
        <w:widowControl w:val="0"/>
        <w:spacing w:before="120" w:line="240" w:lineRule="atLeast"/>
        <w:jc w:val="both"/>
      </w:pPr>
      <w:bookmarkStart w:id="1267" w:name="Bookmark_fnpara_11"/>
      <w:bookmarkEnd w:id="1267"/>
      <w:r>
        <w:rPr>
          <w:rFonts w:ascii="Arial" w:eastAsia="Arial" w:hAnsi="Arial" w:cs="Arial"/>
          <w:color w:val="000000"/>
          <w:sz w:val="18"/>
        </w:rPr>
        <w:t>For purposes of subsection (a) of this section, discrimination includes—</w:t>
      </w:r>
    </w:p>
    <w:p w14:paraId="69D1FC5C" w14:textId="77777777" w:rsidR="002B10A6" w:rsidRDefault="00000000">
      <w:pPr>
        <w:pStyle w:val="Normal9"/>
        <w:widowControl w:val="0"/>
        <w:spacing w:before="120" w:line="240" w:lineRule="atLeast"/>
        <w:ind w:left="400"/>
        <w:jc w:val="both"/>
      </w:pPr>
      <w:bookmarkStart w:id="1268" w:name="Bookmark_para_23_6"/>
      <w:bookmarkEnd w:id="1268"/>
      <w:r>
        <w:rPr>
          <w:rFonts w:ascii="Arial" w:eastAsia="Arial" w:hAnsi="Arial" w:cs="Arial"/>
          <w:color w:val="000000"/>
          <w:sz w:val="18"/>
        </w:rPr>
        <w:t>(i) the imposition or application of eligibility criteria that screen out or tend to screen out an individual with a disability or any class of individuals with disabilities from fully and equally enjoying any goods, services, facilities, privileges, advantages, or accommodations, unless such criteria can be shown to be necessary for the provision of the goods, services, facilities, privileges, advantages, or accommodations being offered;</w:t>
      </w:r>
    </w:p>
    <w:p w14:paraId="37CB52C7" w14:textId="77777777" w:rsidR="002B10A6" w:rsidRDefault="00000000">
      <w:pPr>
        <w:pStyle w:val="Normal9"/>
        <w:widowControl w:val="0"/>
        <w:spacing w:before="200" w:line="240" w:lineRule="atLeast"/>
        <w:ind w:left="400"/>
        <w:jc w:val="both"/>
      </w:pPr>
      <w:bookmarkStart w:id="1269" w:name="Bookmark_para_24_6"/>
      <w:bookmarkEnd w:id="1269"/>
      <w:r>
        <w:rPr>
          <w:rFonts w:ascii="Arial" w:eastAsia="Arial" w:hAnsi="Arial" w:cs="Arial"/>
          <w:color w:val="000000"/>
          <w:sz w:val="18"/>
        </w:rPr>
        <w:t>(ii) a failure to make reasonable modifications in policies, practices, or procedures, when such modifications are necessary to afford such goods, services, facilities, privileges, advantages, or accommodations to individuals with disabilities, unless the entity [**14]  can demonstrate that making such modifications would fundamentally alter the nature of such goods, services, facilities, privileges, advantages, or accommodations;</w:t>
      </w:r>
    </w:p>
    <w:p w14:paraId="0E3371B7" w14:textId="77777777" w:rsidR="002B10A6" w:rsidRDefault="00000000">
      <w:pPr>
        <w:pStyle w:val="Normal9"/>
        <w:widowControl w:val="0"/>
        <w:spacing w:before="120" w:line="240" w:lineRule="atLeast"/>
        <w:ind w:left="400"/>
        <w:jc w:val="both"/>
      </w:pPr>
      <w:bookmarkStart w:id="1270" w:name="Bookmark_para_25_6"/>
      <w:bookmarkEnd w:id="1270"/>
      <w:r>
        <w:rPr>
          <w:rFonts w:ascii="Arial" w:eastAsia="Arial" w:hAnsi="Arial" w:cs="Arial"/>
          <w:color w:val="000000"/>
          <w:sz w:val="18"/>
        </w:rPr>
        <w:t>(iii) a failure to take such steps as may be necessary to ensure that no individual with a disability is excluded, denied services, segregated or otherwise treated differently than other individuals because of the absence of auxiliary aids and services, unless the entity can demonstrate that taking such steps would fundamentally alter the nature of the good, service, facility, privilege, advantage, or accommodation being offered or would result in an undue burden;</w:t>
      </w:r>
    </w:p>
    <w:p w14:paraId="669E2FA7" w14:textId="77777777" w:rsidR="002B10A6" w:rsidRDefault="00000000">
      <w:pPr>
        <w:pStyle w:val="Normal9"/>
        <w:widowControl w:val="0"/>
        <w:spacing w:before="120" w:line="240" w:lineRule="atLeast"/>
        <w:ind w:left="400"/>
        <w:jc w:val="both"/>
      </w:pPr>
      <w:bookmarkStart w:id="1271" w:name="Bookmark_para_26_6"/>
      <w:bookmarkEnd w:id="1271"/>
      <w:r>
        <w:rPr>
          <w:rFonts w:ascii="Arial" w:eastAsia="Arial" w:hAnsi="Arial" w:cs="Arial"/>
          <w:color w:val="000000"/>
          <w:sz w:val="18"/>
        </w:rPr>
        <w:t>(iv) a failure to remove architectural barriers, and communication barriers that are structural in nature, in existing facilities, and transportation barriers in existing vehicles and rail passenger cars used by an establishment for transporting individuals (not including barriers that can only be removed through the retrofitting of vehicles or rail passenger cars by the installation of a hydraulic or other lift), where such removal is readily achievable; and</w:t>
      </w:r>
    </w:p>
    <w:p w14:paraId="5D970005" w14:textId="77777777" w:rsidR="002B10A6" w:rsidRDefault="00000000">
      <w:pPr>
        <w:pStyle w:val="Normal9"/>
        <w:widowControl w:val="0"/>
        <w:spacing w:before="200" w:line="240" w:lineRule="atLeast"/>
        <w:ind w:left="400"/>
        <w:jc w:val="both"/>
      </w:pPr>
      <w:bookmarkStart w:id="1272" w:name="Bookmark_para_27_6"/>
      <w:bookmarkEnd w:id="1272"/>
      <w:r>
        <w:rPr>
          <w:rFonts w:ascii="Arial" w:eastAsia="Arial" w:hAnsi="Arial" w:cs="Arial"/>
          <w:color w:val="000000"/>
          <w:sz w:val="18"/>
        </w:rPr>
        <w:t>(v) where an entity can demonstrate that the removal of a barrier under clause (iv) is not readily achievable, [**15]  a failure to make such goods, services, facilities, privileges, advantages, or accommodations available through alternative methods if such methods are readily achievable.</w:t>
      </w:r>
    </w:p>
    <w:p w14:paraId="04E89E4E" w14:textId="77777777" w:rsidR="002B10A6" w:rsidRDefault="00000000">
      <w:pPr>
        <w:pStyle w:val="Normal9"/>
        <w:widowControl w:val="0"/>
        <w:spacing w:before="120" w:line="240" w:lineRule="atLeast"/>
        <w:jc w:val="both"/>
      </w:pPr>
      <w:r>
        <w:rPr>
          <w:rFonts w:ascii="Arial" w:eastAsia="Arial" w:hAnsi="Arial" w:cs="Arial"/>
          <w:color w:val="000000"/>
          <w:sz w:val="18"/>
        </w:rPr>
        <w:t>42 U.S.C. § 12182(b)(2)(A).</w:t>
      </w:r>
    </w:p>
  </w:footnote>
  <w:footnote w:id="46">
    <w:p w14:paraId="6B0DCBAF"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10 </w:t>
      </w:r>
      <w:bookmarkStart w:id="1290" w:name="Bookmark_fnpara_12"/>
      <w:bookmarkEnd w:id="1290"/>
      <w:r>
        <w:rPr>
          <w:rFonts w:ascii="Arial" w:eastAsia="Arial" w:hAnsi="Arial" w:cs="Arial"/>
          <w:color w:val="000000"/>
          <w:sz w:val="18"/>
        </w:rPr>
        <w:t>The section provides:</w:t>
      </w:r>
    </w:p>
    <w:p w14:paraId="0B4BDF01" w14:textId="77777777" w:rsidR="002B10A6" w:rsidRDefault="00000000">
      <w:pPr>
        <w:pStyle w:val="Normal9"/>
        <w:widowControl w:val="0"/>
        <w:spacing w:before="120" w:line="240" w:lineRule="atLeast"/>
        <w:ind w:left="400"/>
        <w:jc w:val="both"/>
      </w:pPr>
      <w:bookmarkStart w:id="1291" w:name="Bookmark_para_43_1"/>
      <w:bookmarkEnd w:id="1291"/>
      <w:r>
        <w:rPr>
          <w:rFonts w:ascii="Arial" w:eastAsia="Arial" w:hAnsi="Arial" w:cs="Arial"/>
          <w:color w:val="000000"/>
          <w:sz w:val="18"/>
        </w:rPr>
        <w:t>Not later than 1 year after July 26, 1990, the Attorney General shall issue regulations in an accessible format to carry out the provisions of this subchapter not referred to in subsection (a) that include standards applicable to facilities and vehicles covered under section 12182 of this title.</w:t>
      </w:r>
    </w:p>
    <w:p w14:paraId="78B6E886" w14:textId="77777777" w:rsidR="002B10A6" w:rsidRDefault="00000000">
      <w:pPr>
        <w:pStyle w:val="Normal9"/>
        <w:widowControl w:val="0"/>
        <w:spacing w:before="120" w:line="240" w:lineRule="atLeast"/>
        <w:jc w:val="both"/>
      </w:pPr>
      <w:r>
        <w:rPr>
          <w:rFonts w:ascii="Arial" w:eastAsia="Arial" w:hAnsi="Arial" w:cs="Arial"/>
          <w:color w:val="000000"/>
          <w:sz w:val="18"/>
        </w:rPr>
        <w:t>42 U.S.C. § 12186(b).</w:t>
      </w:r>
    </w:p>
  </w:footnote>
  <w:footnote w:id="47">
    <w:p w14:paraId="1C03619B"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11 </w:t>
      </w:r>
      <w:bookmarkStart w:id="1292" w:name="Bookmark_fnpara_13"/>
      <w:bookmarkEnd w:id="1292"/>
      <w:r>
        <w:rPr>
          <w:rFonts w:ascii="Arial" w:eastAsia="Arial" w:hAnsi="Arial" w:cs="Arial"/>
          <w:color w:val="000000"/>
          <w:sz w:val="18"/>
        </w:rPr>
        <w:t>Gil points to historical statements made by the Department of Justice to imply that the Department of Justice supports his position that websites should be subject to Title III. The Department of Justice, however, has never issued a final ADA regulation concerning whether websites are places of public accommodation.</w:t>
      </w:r>
    </w:p>
  </w:footnote>
  <w:footnote w:id="48">
    <w:p w14:paraId="48C433C7"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12 </w:t>
      </w:r>
      <w:bookmarkStart w:id="1303" w:name="Bookmark_fnpara_14"/>
      <w:bookmarkStart w:id="1304" w:name="Bookmark_I62F889K2N1R1R0030000400"/>
      <w:bookmarkStart w:id="1305" w:name="Bookmark_I62F889K2N1R1R0050000400"/>
      <w:bookmarkEnd w:id="1303"/>
      <w:bookmarkEnd w:id="1304"/>
      <w:bookmarkEnd w:id="1305"/>
      <w:r>
        <w:rPr>
          <w:rFonts w:ascii="Arial" w:eastAsia="Arial" w:hAnsi="Arial" w:cs="Arial"/>
          <w:color w:val="000000"/>
          <w:sz w:val="18"/>
        </w:rPr>
        <w:t xml:space="preserve">Gil relies on legislative history to support the notion that Congress intended an expansive definition of "public accommodation" in the ADA that would change with evolving technologies. </w:t>
      </w:r>
      <w:bookmarkStart w:id="1306" w:name="Bookmark_I62F889K2HM64X0020000400"/>
      <w:bookmarkStart w:id="1307" w:name="Bookmark_LNHNREFclscc11_5"/>
      <w:bookmarkEnd w:id="1306"/>
      <w:bookmarkEnd w:id="1307"/>
      <w:r>
        <w:rPr>
          <w:rFonts w:ascii="Arial" w:eastAsia="Arial" w:hAnsi="Arial" w:cs="Arial"/>
          <w:color w:val="000000"/>
          <w:sz w:val="18"/>
        </w:rPr>
        <w:t xml:space="preserve">But we have previously held that "Congress has provided, in Title III of the ADA, a comprehensive definition of 'public accommodation'" and "[b]ecause Congress has provided such a comprehensive definition of 'public accommodation,' we think that the intent of Congress is clear enough." </w:t>
      </w:r>
      <w:bookmarkStart w:id="1308" w:name="Bookmark_I62F889K2N1R1R0020000400"/>
      <w:bookmarkEnd w:id="1308"/>
      <w:r>
        <w:rPr>
          <w:rFonts w:ascii="Arial" w:eastAsia="Arial" w:hAnsi="Arial" w:cs="Arial"/>
          <w:i/>
          <w:color w:val="000000"/>
          <w:sz w:val="18"/>
        </w:rPr>
        <w:t>Stevens v. Premier Cruises, Inc.</w:t>
      </w:r>
      <w:r>
        <w:rPr>
          <w:rFonts w:ascii="Arial" w:eastAsia="Arial" w:hAnsi="Arial" w:cs="Arial"/>
          <w:color w:val="000000"/>
          <w:sz w:val="18"/>
        </w:rPr>
        <w:t xml:space="preserve">, 215 F.3d 1237, 1241 (11th Cir. 2000) (construing the definition of "public accommodation" in Title III). And, to put it plainly, "legislative history is not the law." </w:t>
      </w:r>
      <w:bookmarkStart w:id="1309" w:name="Bookmark_I62F889K2N1R1R0040000400"/>
      <w:bookmarkEnd w:id="1309"/>
      <w:r>
        <w:rPr>
          <w:rFonts w:ascii="Arial" w:eastAsia="Arial" w:hAnsi="Arial" w:cs="Arial"/>
          <w:i/>
          <w:color w:val="000000"/>
          <w:sz w:val="18"/>
        </w:rPr>
        <w:t>Azar v. Allina Health Servs.</w:t>
      </w:r>
      <w:r>
        <w:rPr>
          <w:rFonts w:ascii="Arial" w:eastAsia="Arial" w:hAnsi="Arial" w:cs="Arial"/>
          <w:color w:val="000000"/>
          <w:sz w:val="18"/>
        </w:rPr>
        <w:t xml:space="preserve">, 139 S. Ct. 1804, 1814, 204 L. Ed. 2d 139 (2019) (quotation marks omitted). </w:t>
      </w:r>
      <w:bookmarkStart w:id="1310" w:name="Bookmark_I62F889K2HM64X0020000400_2"/>
      <w:bookmarkEnd w:id="1310"/>
      <w:r>
        <w:rPr>
          <w:rFonts w:ascii="Arial" w:eastAsia="Arial" w:hAnsi="Arial" w:cs="Arial"/>
          <w:color w:val="000000"/>
          <w:sz w:val="18"/>
        </w:rPr>
        <w:t xml:space="preserve">"The language of the statute is entirely clear, and if that is not what Congress meant then Congress has made a mistake and Congress will have to correct it." </w:t>
      </w:r>
      <w:bookmarkStart w:id="1311" w:name="Bookmark_I62F889K2HM64X0010000400"/>
      <w:bookmarkEnd w:id="1311"/>
      <w:r>
        <w:rPr>
          <w:rFonts w:ascii="Arial" w:eastAsia="Arial" w:hAnsi="Arial" w:cs="Arial"/>
          <w:i/>
          <w:color w:val="000000"/>
          <w:sz w:val="18"/>
        </w:rPr>
        <w:t>Conroy v. Aniskoff</w:t>
      </w:r>
      <w:r>
        <w:rPr>
          <w:rFonts w:ascii="Arial" w:eastAsia="Arial" w:hAnsi="Arial" w:cs="Arial"/>
          <w:color w:val="000000"/>
          <w:sz w:val="18"/>
        </w:rPr>
        <w:t>, 507 U.S. 511, 528, 113 S. Ct. 1562, 123 L. Ed. 2d 229 (1993) (Scalia, J., concurring).</w:t>
      </w:r>
    </w:p>
  </w:footnote>
  <w:footnote w:id="49">
    <w:p w14:paraId="2A03232D"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13 </w:t>
      </w:r>
      <w:bookmarkStart w:id="1312" w:name="Bookmark_fnpara_15"/>
      <w:bookmarkStart w:id="1313" w:name="Bookmark_I4J4T31GSK1000066620005T"/>
      <w:bookmarkStart w:id="1314" w:name="Bookmark_I62F889K2HM64X0040000400"/>
      <w:bookmarkStart w:id="1315" w:name="Bookmark_I4J4T31GVYH000066620005V"/>
      <w:bookmarkStart w:id="1316" w:name="Bookmark_I62F889M2N1R1V0010000400"/>
      <w:bookmarkEnd w:id="1312"/>
      <w:bookmarkEnd w:id="1313"/>
      <w:bookmarkEnd w:id="1314"/>
      <w:bookmarkEnd w:id="1315"/>
      <w:bookmarkEnd w:id="1316"/>
      <w:r>
        <w:rPr>
          <w:rFonts w:ascii="Arial" w:eastAsia="Arial" w:hAnsi="Arial" w:cs="Arial"/>
          <w:color w:val="000000"/>
          <w:sz w:val="18"/>
        </w:rPr>
        <w:t xml:space="preserve">In so holding, we join several of our sister circuits. The Third Circuit held that "[t]the plain meaning of Title III is that a public accommodation is a place." </w:t>
      </w:r>
      <w:bookmarkStart w:id="1317" w:name="Bookmark_I62F889K2HM64X0030000400"/>
      <w:bookmarkEnd w:id="1317"/>
      <w:r>
        <w:rPr>
          <w:rFonts w:ascii="Arial" w:eastAsia="Arial" w:hAnsi="Arial" w:cs="Arial"/>
          <w:i/>
          <w:color w:val="000000"/>
          <w:sz w:val="18"/>
        </w:rPr>
        <w:t>Ford v. Schering-Plough Corp.</w:t>
      </w:r>
      <w:r>
        <w:rPr>
          <w:rFonts w:ascii="Arial" w:eastAsia="Arial" w:hAnsi="Arial" w:cs="Arial"/>
          <w:color w:val="000000"/>
          <w:sz w:val="18"/>
        </w:rPr>
        <w:t xml:space="preserve">, 145 F.3d 601, 612 (3d Cir. 1998). </w:t>
      </w:r>
      <w:bookmarkStart w:id="1318" w:name="Bookmark_I62F889M2N1R1V0030000400"/>
      <w:bookmarkEnd w:id="1318"/>
      <w:r>
        <w:rPr>
          <w:rFonts w:ascii="Arial" w:eastAsia="Arial" w:hAnsi="Arial" w:cs="Arial"/>
          <w:color w:val="000000"/>
          <w:sz w:val="18"/>
        </w:rPr>
        <w:t xml:space="preserve">Similarly, the Sixth Circuit held that "the plaintiffs' argument that the prohibitions of Title III are not solely limited to 'places' of public accommodation contravenes the plain language of the statute." </w:t>
      </w:r>
      <w:bookmarkStart w:id="1319" w:name="Bookmark_I62F889K2HM64X0050000400"/>
      <w:bookmarkEnd w:id="1319"/>
      <w:r>
        <w:rPr>
          <w:rFonts w:ascii="Arial" w:eastAsia="Arial" w:hAnsi="Arial" w:cs="Arial"/>
          <w:i/>
          <w:color w:val="000000"/>
          <w:sz w:val="18"/>
        </w:rPr>
        <w:t>Stoutenborough v. Nat'l Football League, Inc.</w:t>
      </w:r>
      <w:r>
        <w:rPr>
          <w:rFonts w:ascii="Arial" w:eastAsia="Arial" w:hAnsi="Arial" w:cs="Arial"/>
          <w:color w:val="000000"/>
          <w:sz w:val="18"/>
        </w:rPr>
        <w:t xml:space="preserve">, 59 F.3d 580, 583 (6th Cir. 1995). </w:t>
      </w:r>
      <w:bookmarkStart w:id="1320" w:name="Bookmark_I62F889M2N1R1V0030000400_2"/>
      <w:bookmarkStart w:id="1321" w:name="Bookmark_I4J4T31H024000066620005W"/>
      <w:bookmarkStart w:id="1322" w:name="Bookmark_I62F889M2N1R1V0050000400"/>
      <w:bookmarkEnd w:id="1320"/>
      <w:bookmarkEnd w:id="1321"/>
      <w:bookmarkEnd w:id="1322"/>
      <w:r>
        <w:rPr>
          <w:rFonts w:ascii="Arial" w:eastAsia="Arial" w:hAnsi="Arial" w:cs="Arial"/>
          <w:color w:val="000000"/>
          <w:sz w:val="18"/>
        </w:rPr>
        <w:t xml:space="preserve">Specifically, the hearing-impaired plaintiffs in </w:t>
      </w:r>
      <w:r>
        <w:rPr>
          <w:rFonts w:ascii="Arial" w:eastAsia="Arial" w:hAnsi="Arial" w:cs="Arial"/>
          <w:i/>
          <w:color w:val="000000"/>
          <w:sz w:val="18"/>
        </w:rPr>
        <w:t>Stoutenborough</w:t>
      </w:r>
      <w:r>
        <w:rPr>
          <w:rFonts w:ascii="Arial" w:eastAsia="Arial" w:hAnsi="Arial" w:cs="Arial"/>
          <w:color w:val="000000"/>
          <w:sz w:val="18"/>
        </w:rPr>
        <w:t xml:space="preserve"> challenged the National Football League's "blackout rule," which prohibited live broadcast of home football games when the games were not sold out, leaving live radio broadcast as the only alternative. </w:t>
      </w:r>
      <w:bookmarkStart w:id="1323" w:name="Bookmark_I4J4T31H59J000066620005Y"/>
      <w:bookmarkStart w:id="1324" w:name="Bookmark_I62F889M2D6NTT0020000400"/>
      <w:bookmarkStart w:id="1325" w:name="Bookmark_I62F889M2N1R1V0020000400"/>
      <w:bookmarkEnd w:id="1323"/>
      <w:bookmarkEnd w:id="1324"/>
      <w:bookmarkEnd w:id="1325"/>
      <w:r>
        <w:rPr>
          <w:rFonts w:ascii="Arial" w:eastAsia="Arial" w:hAnsi="Arial" w:cs="Arial"/>
          <w:i/>
          <w:color w:val="000000"/>
          <w:sz w:val="18"/>
        </w:rPr>
        <w:t>Id.</w:t>
      </w:r>
      <w:r>
        <w:rPr>
          <w:rFonts w:ascii="Arial" w:eastAsia="Arial" w:hAnsi="Arial" w:cs="Arial"/>
          <w:color w:val="000000"/>
          <w:sz w:val="18"/>
        </w:rPr>
        <w:t xml:space="preserve"> at 582. </w:t>
      </w:r>
      <w:bookmarkStart w:id="1326" w:name="Bookmark_I62F889M2D6NTT0020000400_2"/>
      <w:bookmarkStart w:id="1327" w:name="Bookmark_I62F889M2N1R1V0050000400_2"/>
      <w:bookmarkEnd w:id="1326"/>
      <w:bookmarkEnd w:id="1327"/>
      <w:r>
        <w:rPr>
          <w:rFonts w:ascii="Arial" w:eastAsia="Arial" w:hAnsi="Arial" w:cs="Arial"/>
          <w:color w:val="000000"/>
          <w:sz w:val="18"/>
        </w:rPr>
        <w:t xml:space="preserve">The court held that "[a]lthough a [football] game is played in a 'place of public accommodation' and may be viewed on television in another "place of public accommodation," the "service" of a televised broadcast "does not involve a 'place of accommodation." </w:t>
      </w:r>
      <w:r>
        <w:rPr>
          <w:rFonts w:ascii="Arial" w:eastAsia="Arial" w:hAnsi="Arial" w:cs="Arial"/>
          <w:i/>
          <w:color w:val="000000"/>
          <w:sz w:val="18"/>
        </w:rPr>
        <w:t xml:space="preserve">Id.; see also </w:t>
      </w:r>
      <w:bookmarkStart w:id="1328" w:name="Bookmark_I62F889M2N1R1V0040000400"/>
      <w:bookmarkEnd w:id="1328"/>
      <w:r>
        <w:rPr>
          <w:rFonts w:ascii="Arial" w:eastAsia="Arial" w:hAnsi="Arial" w:cs="Arial"/>
          <w:i/>
          <w:color w:val="000000"/>
          <w:sz w:val="18"/>
        </w:rPr>
        <w:t>Parker v. Metro. Life Ins. Co.</w:t>
      </w:r>
      <w:r>
        <w:rPr>
          <w:rFonts w:ascii="Arial" w:eastAsia="Arial" w:hAnsi="Arial" w:cs="Arial"/>
          <w:color w:val="000000"/>
          <w:sz w:val="18"/>
        </w:rPr>
        <w:t xml:space="preserve">, 121 F.3d 1006, 1010 (6th Cir. 1997) ("As is evident by § 12181(7), a public accommodation is a physical place."). </w:t>
      </w:r>
      <w:bookmarkStart w:id="1329" w:name="Bookmark_LNHNREFclscc12_4"/>
      <w:bookmarkEnd w:id="1329"/>
      <w:r>
        <w:rPr>
          <w:rFonts w:ascii="Arial" w:eastAsia="Arial" w:hAnsi="Arial" w:cs="Arial"/>
          <w:color w:val="000000"/>
          <w:sz w:val="18"/>
        </w:rPr>
        <w:t xml:space="preserve">The Ninth Circuit has also held that under the principle of </w:t>
      </w:r>
      <w:r>
        <w:rPr>
          <w:rFonts w:ascii="Arial" w:eastAsia="Arial" w:hAnsi="Arial" w:cs="Arial"/>
          <w:i/>
          <w:color w:val="000000"/>
          <w:sz w:val="18"/>
        </w:rPr>
        <w:t>noscitur a sociis</w:t>
      </w:r>
      <w:r>
        <w:rPr>
          <w:rFonts w:ascii="Arial" w:eastAsia="Arial" w:hAnsi="Arial" w:cs="Arial"/>
          <w:color w:val="000000"/>
          <w:sz w:val="18"/>
        </w:rPr>
        <w:t xml:space="preserve">, "place of public accommodation" should be interpreted within the context of the accompanying words, which are all "actual, physical places where goods or services are open to the public, and places where the public gets those goods or services." </w:t>
      </w:r>
      <w:bookmarkStart w:id="1330" w:name="Bookmark_I62F889M2D6NTT0010000400"/>
      <w:bookmarkEnd w:id="1330"/>
      <w:r>
        <w:rPr>
          <w:rFonts w:ascii="Arial" w:eastAsia="Arial" w:hAnsi="Arial" w:cs="Arial"/>
          <w:i/>
          <w:color w:val="000000"/>
          <w:sz w:val="18"/>
        </w:rPr>
        <w:t>Weyer v. Twentieth Century Fox Film Corp.</w:t>
      </w:r>
      <w:r>
        <w:rPr>
          <w:rFonts w:ascii="Arial" w:eastAsia="Arial" w:hAnsi="Arial" w:cs="Arial"/>
          <w:color w:val="000000"/>
          <w:sz w:val="18"/>
        </w:rPr>
        <w:t>, 198 F.3d 1104, 1114 (9th Cir. 2000).</w:t>
      </w:r>
    </w:p>
    <w:p w14:paraId="55692C92" w14:textId="77777777" w:rsidR="002B10A6" w:rsidRDefault="00000000">
      <w:pPr>
        <w:pStyle w:val="Normal9"/>
        <w:widowControl w:val="0"/>
        <w:spacing w:before="200" w:line="240" w:lineRule="atLeast"/>
        <w:jc w:val="both"/>
      </w:pPr>
      <w:bookmarkStart w:id="1331" w:name="Bookmark_fnpara_16"/>
      <w:bookmarkStart w:id="1332" w:name="Bookmark_I4J4T31HBT10000666200061"/>
      <w:bookmarkStart w:id="1333" w:name="Bookmark_I62F889M2D6NTT0040000400"/>
      <w:bookmarkStart w:id="1334" w:name="Bookmark_I4J4T31HFGP0000666200062"/>
      <w:bookmarkStart w:id="1335" w:name="Bookmark_I62F889N2D6NTX0010000400"/>
      <w:bookmarkEnd w:id="1331"/>
      <w:bookmarkEnd w:id="1332"/>
      <w:bookmarkEnd w:id="1333"/>
      <w:bookmarkEnd w:id="1334"/>
      <w:bookmarkEnd w:id="1335"/>
      <w:r>
        <w:rPr>
          <w:rFonts w:ascii="Arial" w:eastAsia="Arial" w:hAnsi="Arial" w:cs="Arial"/>
          <w:color w:val="000000"/>
          <w:sz w:val="18"/>
        </w:rPr>
        <w:t xml:space="preserve">We note, however, that, other circuits have disagreed. The First Circuit has determined that that the phrase "public accommodation" "is not limited to actual physical structures." </w:t>
      </w:r>
      <w:bookmarkStart w:id="1336" w:name="Bookmark_I62F889M2D6NTT0030000400"/>
      <w:bookmarkEnd w:id="1336"/>
      <w:r>
        <w:rPr>
          <w:rFonts w:ascii="Arial" w:eastAsia="Arial" w:hAnsi="Arial" w:cs="Arial"/>
          <w:i/>
          <w:color w:val="000000"/>
          <w:sz w:val="18"/>
        </w:rPr>
        <w:t>Carparts Distrib. Ctr., Inc. v. Auto. Wholesaler's Ass'n of New England, Inc.</w:t>
      </w:r>
      <w:r>
        <w:rPr>
          <w:rFonts w:ascii="Arial" w:eastAsia="Arial" w:hAnsi="Arial" w:cs="Arial"/>
          <w:color w:val="000000"/>
          <w:sz w:val="18"/>
        </w:rPr>
        <w:t xml:space="preserve">, 37 F.3d 12, 19 (1st Cir. 1994). </w:t>
      </w:r>
      <w:bookmarkStart w:id="1337" w:name="Bookmark_I62F889N2D6NTX0010000400_2"/>
      <w:bookmarkEnd w:id="1337"/>
      <w:r>
        <w:rPr>
          <w:rFonts w:ascii="Arial" w:eastAsia="Arial" w:hAnsi="Arial" w:cs="Arial"/>
          <w:color w:val="000000"/>
          <w:sz w:val="18"/>
        </w:rPr>
        <w:t xml:space="preserve">And in </w:t>
      </w:r>
      <w:bookmarkStart w:id="1338" w:name="Bookmark_I62F889M2D6NTT0050000400"/>
      <w:bookmarkEnd w:id="1338"/>
      <w:r>
        <w:rPr>
          <w:rFonts w:ascii="Arial" w:eastAsia="Arial" w:hAnsi="Arial" w:cs="Arial"/>
          <w:i/>
          <w:color w:val="000000"/>
          <w:sz w:val="18"/>
        </w:rPr>
        <w:t>Doe v. Mut. of Omaha Ins. Co.</w:t>
      </w:r>
      <w:r>
        <w:rPr>
          <w:rFonts w:ascii="Arial" w:eastAsia="Arial" w:hAnsi="Arial" w:cs="Arial"/>
          <w:color w:val="000000"/>
          <w:sz w:val="18"/>
        </w:rPr>
        <w:t xml:space="preserve">, 179 F.3d 557, 559 (7th Cir. 1999), the Seventh Circuit cited </w:t>
      </w:r>
      <w:r>
        <w:rPr>
          <w:rFonts w:ascii="Arial" w:eastAsia="Arial" w:hAnsi="Arial" w:cs="Arial"/>
          <w:i/>
          <w:color w:val="000000"/>
          <w:sz w:val="18"/>
        </w:rPr>
        <w:t>Carparts</w:t>
      </w:r>
      <w:r>
        <w:rPr>
          <w:rFonts w:ascii="Arial" w:eastAsia="Arial" w:hAnsi="Arial" w:cs="Arial"/>
          <w:color w:val="000000"/>
          <w:sz w:val="18"/>
        </w:rPr>
        <w:t xml:space="preserve"> approvingly, writing that "[t]he core meaning of [the public accommodation] provision, plainly enough, is that the owner or operator of a store, hotel, restaurant, dentist's office, travel agency, theater, Web site, or other facility (whether in physical space or in electronic space) . . . that is open to the public cannot exclude disabled persons."</w:t>
      </w:r>
    </w:p>
  </w:footnote>
  <w:footnote w:id="50">
    <w:p w14:paraId="3EDFB1DC"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14 </w:t>
      </w:r>
      <w:bookmarkStart w:id="1339" w:name="Bookmark_fnpara_17"/>
      <w:bookmarkEnd w:id="1339"/>
      <w:r>
        <w:rPr>
          <w:rFonts w:ascii="Arial" w:eastAsia="Arial" w:hAnsi="Arial" w:cs="Arial"/>
          <w:color w:val="000000"/>
          <w:sz w:val="18"/>
        </w:rPr>
        <w:t>Notably, the dissent does not challenge this holding.</w:t>
      </w:r>
    </w:p>
  </w:footnote>
  <w:footnote w:id="51">
    <w:p w14:paraId="26B71014"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15 </w:t>
      </w:r>
      <w:bookmarkStart w:id="1351" w:name="Bookmark_fnpara_18"/>
      <w:bookmarkStart w:id="1352" w:name="Bookmark_I4J4T31RFMS0000666200086"/>
      <w:bookmarkStart w:id="1353" w:name="Bookmark_I62F889N2N1R210020000400"/>
      <w:bookmarkStart w:id="1354" w:name="Bookmark_I62F889N2N1R210040000400"/>
      <w:bookmarkEnd w:id="1351"/>
      <w:bookmarkEnd w:id="1352"/>
      <w:bookmarkEnd w:id="1353"/>
      <w:bookmarkEnd w:id="1354"/>
      <w:r>
        <w:rPr>
          <w:rFonts w:ascii="Arial" w:eastAsia="Arial" w:hAnsi="Arial" w:cs="Arial"/>
          <w:color w:val="000000"/>
          <w:sz w:val="18"/>
        </w:rPr>
        <w:t>Admittedly, our use of the term "</w:t>
      </w:r>
      <w:r>
        <w:rPr>
          <w:rFonts w:ascii="Arial" w:eastAsia="Arial" w:hAnsi="Arial" w:cs="Arial"/>
          <w:i/>
          <w:color w:val="000000"/>
          <w:sz w:val="18"/>
        </w:rPr>
        <w:t>reasonable</w:t>
      </w:r>
      <w:r>
        <w:rPr>
          <w:rFonts w:ascii="Arial" w:eastAsia="Arial" w:hAnsi="Arial" w:cs="Arial"/>
          <w:color w:val="000000"/>
          <w:sz w:val="18"/>
        </w:rPr>
        <w:t xml:space="preserve"> auxiliary service" in </w:t>
      </w:r>
      <w:bookmarkStart w:id="1355" w:name="Bookmark_I62F889N2N1R210010000400"/>
      <w:bookmarkEnd w:id="1355"/>
      <w:r>
        <w:rPr>
          <w:rFonts w:ascii="Arial" w:eastAsia="Arial" w:hAnsi="Arial" w:cs="Arial"/>
          <w:i/>
          <w:color w:val="000000"/>
          <w:sz w:val="18"/>
        </w:rPr>
        <w:t>Rendon</w:t>
      </w:r>
      <w:r>
        <w:rPr>
          <w:rFonts w:ascii="Arial" w:eastAsia="Arial" w:hAnsi="Arial" w:cs="Arial"/>
          <w:color w:val="000000"/>
          <w:sz w:val="18"/>
        </w:rPr>
        <w:t xml:space="preserve"> was imprecise and did not track the statutory language. </w:t>
      </w:r>
      <w:bookmarkStart w:id="1356" w:name="Bookmark_LNHNREFclscc14_3"/>
      <w:bookmarkEnd w:id="1356"/>
      <w:r>
        <w:rPr>
          <w:rFonts w:ascii="Arial" w:eastAsia="Arial" w:hAnsi="Arial" w:cs="Arial"/>
          <w:color w:val="000000"/>
          <w:sz w:val="18"/>
        </w:rPr>
        <w:t xml:space="preserve">To be clear, discrimination under Title III occurs where a place of public accommodation "fail[s] to take such steps as may be </w:t>
      </w:r>
      <w:r>
        <w:rPr>
          <w:rFonts w:ascii="Arial" w:eastAsia="Arial" w:hAnsi="Arial" w:cs="Arial"/>
          <w:i/>
          <w:color w:val="000000"/>
          <w:sz w:val="18"/>
        </w:rPr>
        <w:t>necessary</w:t>
      </w:r>
      <w:r>
        <w:rPr>
          <w:rFonts w:ascii="Arial" w:eastAsia="Arial" w:hAnsi="Arial" w:cs="Arial"/>
          <w:color w:val="000000"/>
          <w:sz w:val="18"/>
        </w:rPr>
        <w:t xml:space="preserve"> to ensure that no individual with a disability is excluded, denied services, segregated or otherwise treated differently than other individuals because of the absence of auxiliary aids and services," not where a place of public accommodation simply fails to provide auxiliary services that may be "reasonable" to ensure discrimination does not occur. 42 U.S.C. § 12182(b)(2)(A)(iii) (emphasis added); </w:t>
      </w:r>
      <w:r>
        <w:rPr>
          <w:rFonts w:ascii="Arial" w:eastAsia="Arial" w:hAnsi="Arial" w:cs="Arial"/>
          <w:i/>
          <w:color w:val="000000"/>
          <w:sz w:val="18"/>
        </w:rPr>
        <w:t>see also</w:t>
      </w:r>
      <w:r>
        <w:rPr>
          <w:rFonts w:ascii="Arial" w:eastAsia="Arial" w:hAnsi="Arial" w:cs="Arial"/>
          <w:color w:val="000000"/>
          <w:sz w:val="18"/>
        </w:rPr>
        <w:t xml:space="preserve"> 28 C.F.R. § 36.303(c)(1) ("A public accommodation shall furnish appropriate auxiliary aids and services where </w:t>
      </w:r>
      <w:r>
        <w:rPr>
          <w:rFonts w:ascii="Arial" w:eastAsia="Arial" w:hAnsi="Arial" w:cs="Arial"/>
          <w:i/>
          <w:color w:val="000000"/>
          <w:sz w:val="18"/>
        </w:rPr>
        <w:t>necessary</w:t>
      </w:r>
      <w:r>
        <w:rPr>
          <w:rFonts w:ascii="Arial" w:eastAsia="Arial" w:hAnsi="Arial" w:cs="Arial"/>
          <w:color w:val="000000"/>
          <w:sz w:val="18"/>
        </w:rPr>
        <w:t xml:space="preserve"> to ensure effective communication with individuals with disabilities." (emphasis added)); </w:t>
      </w:r>
      <w:bookmarkStart w:id="1357" w:name="Bookmark_I62F889N2N1R210030000400"/>
      <w:bookmarkEnd w:id="1357"/>
      <w:r>
        <w:rPr>
          <w:rFonts w:ascii="Arial" w:eastAsia="Arial" w:hAnsi="Arial" w:cs="Arial"/>
          <w:i/>
          <w:color w:val="000000"/>
          <w:sz w:val="18"/>
        </w:rPr>
        <w:t>PGA Tour</w:t>
      </w:r>
      <w:r>
        <w:rPr>
          <w:rFonts w:ascii="Arial" w:eastAsia="Arial" w:hAnsi="Arial" w:cs="Arial"/>
          <w:color w:val="000000"/>
          <w:sz w:val="18"/>
        </w:rPr>
        <w:t xml:space="preserve">, 532 U.S. at 682 (distinguishing in </w:t>
      </w:r>
      <w:r>
        <w:rPr>
          <w:rFonts w:ascii="Arial" w:eastAsia="Arial" w:hAnsi="Arial" w:cs="Arial"/>
          <w:i/>
          <w:color w:val="000000"/>
          <w:sz w:val="18"/>
        </w:rPr>
        <w:t>dicta</w:t>
      </w:r>
      <w:r>
        <w:rPr>
          <w:rFonts w:ascii="Arial" w:eastAsia="Arial" w:hAnsi="Arial" w:cs="Arial"/>
          <w:color w:val="000000"/>
          <w:sz w:val="18"/>
        </w:rPr>
        <w:t xml:space="preserve"> between a "reasonable" and a "necessary" ADA modification).</w:t>
      </w:r>
    </w:p>
  </w:footnote>
  <w:footnote w:id="52">
    <w:p w14:paraId="57F089DC"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16 </w:t>
      </w:r>
      <w:bookmarkStart w:id="1359" w:name="Bookmark_fnpara_19"/>
      <w:bookmarkEnd w:id="1359"/>
      <w:r>
        <w:rPr>
          <w:rFonts w:ascii="Arial" w:eastAsia="Arial" w:hAnsi="Arial" w:cs="Arial"/>
          <w:color w:val="000000"/>
          <w:sz w:val="18"/>
        </w:rPr>
        <w:t xml:space="preserve">The services or privileges of the place of public accommodation, </w:t>
      </w:r>
      <w:r>
        <w:rPr>
          <w:rFonts w:ascii="Arial" w:eastAsia="Arial" w:hAnsi="Arial" w:cs="Arial"/>
          <w:i/>
          <w:color w:val="000000"/>
          <w:sz w:val="18"/>
        </w:rPr>
        <w:t>i.e.</w:t>
      </w:r>
      <w:r>
        <w:rPr>
          <w:rFonts w:ascii="Arial" w:eastAsia="Arial" w:hAnsi="Arial" w:cs="Arial"/>
          <w:color w:val="000000"/>
          <w:sz w:val="18"/>
        </w:rPr>
        <w:t>, Winn-Dixie's physical stores, that are at issue in this case are the ability to refill a prescription and the redemption of coupons.</w:t>
      </w:r>
    </w:p>
  </w:footnote>
  <w:footnote w:id="53">
    <w:p w14:paraId="41E59869"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17 </w:t>
      </w:r>
      <w:bookmarkStart w:id="1384" w:name="Bookmark_fnpara_20"/>
      <w:bookmarkEnd w:id="1384"/>
      <w:r>
        <w:rPr>
          <w:rFonts w:ascii="Arial" w:eastAsia="Arial" w:hAnsi="Arial" w:cs="Arial"/>
          <w:color w:val="000000"/>
          <w:sz w:val="18"/>
        </w:rPr>
        <w:t>At oral argument, Gil agreed that Winn-Dixie is not required to have a website, and that it could simply remove the site.</w:t>
      </w:r>
    </w:p>
  </w:footnote>
  <w:footnote w:id="54">
    <w:p w14:paraId="2014C5AB"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18 </w:t>
      </w:r>
      <w:bookmarkStart w:id="1385" w:name="Bookmark_fnpara_21"/>
      <w:bookmarkEnd w:id="1385"/>
      <w:r>
        <w:rPr>
          <w:rFonts w:ascii="Arial" w:eastAsia="Arial" w:hAnsi="Arial" w:cs="Arial"/>
          <w:color w:val="000000"/>
          <w:sz w:val="18"/>
        </w:rPr>
        <w:t>We note that at trial, Winn-Dixie's representative testified that new prescriptions could not be submitted and filled through the website. Rather, "the doctor actually has to call [the new prescription] in and then [the customer] ha[s] to pick it up in the store." While presumably customers could also call the pharmacy to request refills of prescriptions in advance of arriving at the physical store, there is nothing in the record to indicate that this option was available.</w:t>
      </w:r>
    </w:p>
  </w:footnote>
  <w:footnote w:id="55">
    <w:p w14:paraId="57EFFC93"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19 </w:t>
      </w:r>
      <w:bookmarkStart w:id="1388" w:name="Bookmark_fnpara_22"/>
      <w:bookmarkEnd w:id="1388"/>
      <w:r>
        <w:rPr>
          <w:rFonts w:ascii="Arial" w:eastAsia="Arial" w:hAnsi="Arial" w:cs="Arial"/>
          <w:color w:val="000000"/>
          <w:sz w:val="18"/>
        </w:rPr>
        <w:t xml:space="preserve">Contrary to the dissent's contention, we do not contend that the ADA limits discrimination solely to conduct that results in a disabled person's physical exclusion from a place of public accommodation. Rather, our only contention is that Title III's requirements are applicable to places of public accommodation, which are only tangible, physical spaces. </w:t>
      </w:r>
      <w:bookmarkStart w:id="1389" w:name="Bookmark_I62F889N2HM6550040000400"/>
      <w:bookmarkEnd w:id="1389"/>
      <w:r>
        <w:rPr>
          <w:rFonts w:ascii="Arial" w:eastAsia="Arial" w:hAnsi="Arial" w:cs="Arial"/>
          <w:color w:val="000000"/>
          <w:sz w:val="18"/>
        </w:rPr>
        <w:t xml:space="preserve">And, as explained above, this conclusion results from a straightforward application of the cardinal rules of statutory interpretation. We agree with the dissent that our caselaw holds that Title III applies to "intangible barriers" that serve to restrict a disabled individual's ability to access the goods, services, and privileges of a place of public accommodation. </w:t>
      </w:r>
      <w:r>
        <w:rPr>
          <w:rFonts w:ascii="Arial" w:eastAsia="Arial" w:hAnsi="Arial" w:cs="Arial"/>
          <w:i/>
          <w:color w:val="000000"/>
          <w:sz w:val="18"/>
        </w:rPr>
        <w:t xml:space="preserve">See </w:t>
      </w:r>
      <w:bookmarkStart w:id="1390" w:name="Bookmark_I62F889N2HM6550030000400"/>
      <w:bookmarkEnd w:id="1390"/>
      <w:r>
        <w:rPr>
          <w:rFonts w:ascii="Arial" w:eastAsia="Arial" w:hAnsi="Arial" w:cs="Arial"/>
          <w:i/>
          <w:color w:val="000000"/>
          <w:sz w:val="18"/>
        </w:rPr>
        <w:t>Rendon</w:t>
      </w:r>
      <w:r>
        <w:rPr>
          <w:rFonts w:ascii="Arial" w:eastAsia="Arial" w:hAnsi="Arial" w:cs="Arial"/>
          <w:color w:val="000000"/>
          <w:sz w:val="18"/>
        </w:rPr>
        <w:t>, 294 F.3d at 1283-84. We also agree with the dissent that under § 12182(b)(2)(A)(iii), the ADA may be violated if, in a place of public accommodation, a disabled individual is "excluded, denied services, segregated, or otherwise treated differently than other individuals because of the absence of auxiliary aids," but we disagree that under the unique facts of this case any such exclusion, denial of services, segregation, or otherwise different treatment occurred.</w:t>
      </w:r>
    </w:p>
  </w:footnote>
  <w:footnote w:id="56">
    <w:p w14:paraId="2CB969DF"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20 </w:t>
      </w:r>
      <w:bookmarkStart w:id="1404" w:name="Bookmark_fnpara_23"/>
      <w:bookmarkStart w:id="1405" w:name="Bookmark_I62F889P28T4M50030000400"/>
      <w:bookmarkStart w:id="1406" w:name="Bookmark_LNHNREFclscc16_0"/>
      <w:bookmarkEnd w:id="1404"/>
      <w:bookmarkEnd w:id="1405"/>
      <w:bookmarkEnd w:id="1406"/>
      <w:r>
        <w:rPr>
          <w:rFonts w:ascii="Arial" w:eastAsia="Arial" w:hAnsi="Arial" w:cs="Arial"/>
          <w:color w:val="000000"/>
          <w:sz w:val="18"/>
        </w:rPr>
        <w:t xml:space="preserve">The ADA "focus[es] on equal opportunity [for the disabled] to participate in or benefit from the defendant's goods and services," </w:t>
      </w:r>
      <w:bookmarkStart w:id="1407" w:name="Bookmark_I62F889P28T4M50020000400"/>
      <w:bookmarkEnd w:id="1407"/>
      <w:r>
        <w:rPr>
          <w:rFonts w:ascii="Arial" w:eastAsia="Arial" w:hAnsi="Arial" w:cs="Arial"/>
          <w:i/>
          <w:color w:val="000000"/>
          <w:sz w:val="18"/>
        </w:rPr>
        <w:t>A.L.</w:t>
      </w:r>
      <w:r>
        <w:rPr>
          <w:rFonts w:ascii="Arial" w:eastAsia="Arial" w:hAnsi="Arial" w:cs="Arial"/>
          <w:color w:val="000000"/>
          <w:sz w:val="18"/>
        </w:rPr>
        <w:t xml:space="preserve">, 900 F.3d at 1295, it does not regulate the content of the goods and services provided by a place of public accommodation and it does not require identical experiences. No one disputes Gil could fill prescriptions in Winn-Dixie's stores and redeem coupons (and he did so for over 15 years). Contrary to the dissent's conclusion, the fact that Gil could not take advantage of the more streamlined, time-saving process of the website's tools to procure these same services does not mean that he was not afforded a "comparable" or "like" experience to that of sighted customers. </w:t>
      </w:r>
      <w:bookmarkStart w:id="1408" w:name="Bookmark_I62F889P28T4M50050000400"/>
      <w:bookmarkEnd w:id="1408"/>
      <w:r>
        <w:rPr>
          <w:rFonts w:ascii="Arial" w:eastAsia="Arial" w:hAnsi="Arial" w:cs="Arial"/>
          <w:color w:val="000000"/>
          <w:sz w:val="18"/>
        </w:rPr>
        <w:t xml:space="preserve">Gil is at no less of a disadvantage than a sighted customer who does not have internet access and therefore cannot access the streamlined online process. In sum, although the dissent acknowledges that all that the ADA requires of a place of public accommodation is a "like" or "comparable" experience to that of sighted customers, in practice, the dissent advances what the ADA does not mandate—that in order to have "full and equal enjoyment" of Winn-Dixie's physical store's goods and services, visually disabled customers must be afforded a virtually identical experience to that of sighted customers. "But such a reading [of Title III] is plainly unrealistic, and surely unintended, because it makes an unattainable demand." </w:t>
      </w:r>
      <w:bookmarkStart w:id="1409" w:name="Bookmark_I62F889P28T4M50040000400"/>
      <w:bookmarkEnd w:id="1409"/>
      <w:r>
        <w:rPr>
          <w:rFonts w:ascii="Arial" w:eastAsia="Arial" w:hAnsi="Arial" w:cs="Arial"/>
          <w:i/>
          <w:color w:val="000000"/>
          <w:sz w:val="18"/>
        </w:rPr>
        <w:t>McNeil v. Time Ins. Co.</w:t>
      </w:r>
      <w:r>
        <w:rPr>
          <w:rFonts w:ascii="Arial" w:eastAsia="Arial" w:hAnsi="Arial" w:cs="Arial"/>
          <w:color w:val="000000"/>
          <w:sz w:val="18"/>
        </w:rPr>
        <w:t xml:space="preserve">, 205 F.3d 179, 187 (5th Cir. 2000); </w:t>
      </w:r>
      <w:r>
        <w:rPr>
          <w:rFonts w:ascii="Arial" w:eastAsia="Arial" w:hAnsi="Arial" w:cs="Arial"/>
          <w:i/>
          <w:color w:val="000000"/>
          <w:sz w:val="18"/>
        </w:rPr>
        <w:t xml:space="preserve">see also </w:t>
      </w:r>
      <w:bookmarkStart w:id="1410" w:name="Bookmark_I62F889P2N1R250010000400"/>
      <w:bookmarkEnd w:id="1410"/>
      <w:r>
        <w:rPr>
          <w:rFonts w:ascii="Arial" w:eastAsia="Arial" w:hAnsi="Arial" w:cs="Arial"/>
          <w:i/>
          <w:color w:val="000000"/>
          <w:sz w:val="18"/>
        </w:rPr>
        <w:t>Argenyi v. Creighton Univ.</w:t>
      </w:r>
      <w:r>
        <w:rPr>
          <w:rFonts w:ascii="Arial" w:eastAsia="Arial" w:hAnsi="Arial" w:cs="Arial"/>
          <w:color w:val="000000"/>
          <w:sz w:val="18"/>
        </w:rPr>
        <w:t>, 703 F.3d 441, 449 (8th Cir. 2013) (holding that "[u]nder a 'meaningful access' standard, . . . aids and services are not required to produce the identical result or level of achievement for handicapped and nonhandicapped persons, but they nevertheless must afford handicapped persons equal opportunity . . . to gain the same benefit" (quotations omitted)).</w:t>
      </w:r>
    </w:p>
  </w:footnote>
  <w:footnote w:id="57">
    <w:p w14:paraId="601F5B03"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21 </w:t>
      </w:r>
      <w:bookmarkStart w:id="1417" w:name="Bookmark_fnpara_24"/>
      <w:bookmarkStart w:id="1418" w:name="Bookmark_I4J4T31RVBW000066620008B"/>
      <w:bookmarkStart w:id="1419" w:name="Bookmark_I62F889P2SF8170010000400"/>
      <w:bookmarkEnd w:id="1417"/>
      <w:bookmarkEnd w:id="1418"/>
      <w:bookmarkEnd w:id="1419"/>
      <w:r>
        <w:rPr>
          <w:rFonts w:ascii="Arial" w:eastAsia="Arial" w:hAnsi="Arial" w:cs="Arial"/>
          <w:color w:val="000000"/>
          <w:sz w:val="18"/>
        </w:rPr>
        <w:t xml:space="preserve">Although the Supreme Court's discussion in </w:t>
      </w:r>
      <w:bookmarkStart w:id="1420" w:name="Bookmark_I62F889P2N1R250050000400"/>
      <w:bookmarkEnd w:id="1420"/>
      <w:r>
        <w:rPr>
          <w:rFonts w:ascii="Arial" w:eastAsia="Arial" w:hAnsi="Arial" w:cs="Arial"/>
          <w:i/>
          <w:color w:val="000000"/>
          <w:sz w:val="18"/>
        </w:rPr>
        <w:t>PGA Tour</w:t>
      </w:r>
      <w:bookmarkStart w:id="1421" w:name="Bookmark_I4J4T31HVC40000666200066"/>
      <w:bookmarkStart w:id="1422" w:name="Bookmark_I4J4T31J1DP0000666200068"/>
      <w:bookmarkStart w:id="1423" w:name="Bookmark_I4J4T31J71P000066620006B"/>
      <w:bookmarkStart w:id="1424" w:name="Bookmark_I62F889P2SF8170050000400"/>
      <w:bookmarkEnd w:id="1421"/>
      <w:bookmarkEnd w:id="1422"/>
      <w:bookmarkEnd w:id="1423"/>
      <w:bookmarkEnd w:id="1424"/>
      <w:r>
        <w:rPr>
          <w:rFonts w:ascii="Arial" w:eastAsia="Arial" w:hAnsi="Arial" w:cs="Arial"/>
          <w:color w:val="000000"/>
          <w:sz w:val="18"/>
        </w:rPr>
        <w:t xml:space="preserve"> of the difference between a "reasonable" and a "necessary" ADA modification was </w:t>
      </w:r>
      <w:r>
        <w:rPr>
          <w:rFonts w:ascii="Arial" w:eastAsia="Arial" w:hAnsi="Arial" w:cs="Arial"/>
          <w:i/>
          <w:color w:val="000000"/>
          <w:sz w:val="18"/>
        </w:rPr>
        <w:t>dicta</w:t>
      </w:r>
      <w:r>
        <w:rPr>
          <w:rFonts w:ascii="Arial" w:eastAsia="Arial" w:hAnsi="Arial" w:cs="Arial"/>
          <w:color w:val="000000"/>
          <w:sz w:val="18"/>
        </w:rPr>
        <w:t xml:space="preserve">, it is well-established that "there is dicta and then there is Supreme Court dicta." </w:t>
      </w:r>
      <w:bookmarkStart w:id="1425" w:name="Bookmark_I62F889P2SF8170020000400"/>
      <w:bookmarkEnd w:id="1425"/>
      <w:r>
        <w:rPr>
          <w:rFonts w:ascii="Arial" w:eastAsia="Arial" w:hAnsi="Arial" w:cs="Arial"/>
          <w:i/>
          <w:color w:val="000000"/>
          <w:sz w:val="18"/>
        </w:rPr>
        <w:t>Schwab v. Crosby</w:t>
      </w:r>
      <w:r>
        <w:rPr>
          <w:rFonts w:ascii="Arial" w:eastAsia="Arial" w:hAnsi="Arial" w:cs="Arial"/>
          <w:color w:val="000000"/>
          <w:sz w:val="18"/>
        </w:rPr>
        <w:t xml:space="preserve">, 451 F.3d 1308, 1325 (11th Cir. 2006). </w:t>
      </w:r>
      <w:bookmarkStart w:id="1426" w:name="Bookmark_I4J4T31JDN3000066620006D"/>
      <w:bookmarkStart w:id="1427" w:name="Bookmark_I62F889R2HM65F0010000400"/>
      <w:bookmarkEnd w:id="1426"/>
      <w:bookmarkEnd w:id="1427"/>
      <w:r>
        <w:rPr>
          <w:rFonts w:ascii="Arial" w:eastAsia="Arial" w:hAnsi="Arial" w:cs="Arial"/>
          <w:color w:val="000000"/>
          <w:sz w:val="18"/>
        </w:rPr>
        <w:t xml:space="preserve">We, along with our sister circuits, "have previously recognized that 'dicta from the Supreme Court is not something to be lightly cast aside,'" and at a minimum is of considerable persuasive value. </w:t>
      </w:r>
      <w:bookmarkStart w:id="1428" w:name="Bookmark_I62F889R2HM65F0010000400_2"/>
      <w:bookmarkStart w:id="1429" w:name="Bookmark_I62F889P2SF8170050000400_2"/>
      <w:bookmarkStart w:id="1430" w:name="Bookmark_I62F889P2SF8170040000400"/>
      <w:bookmarkEnd w:id="1428"/>
      <w:bookmarkEnd w:id="1429"/>
      <w:bookmarkEnd w:id="1430"/>
      <w:r>
        <w:rPr>
          <w:rFonts w:ascii="Arial" w:eastAsia="Arial" w:hAnsi="Arial" w:cs="Arial"/>
          <w:i/>
          <w:color w:val="000000"/>
          <w:sz w:val="18"/>
        </w:rPr>
        <w:t>Id.</w:t>
      </w:r>
      <w:r>
        <w:rPr>
          <w:rFonts w:ascii="Arial" w:eastAsia="Arial" w:hAnsi="Arial" w:cs="Arial"/>
          <w:color w:val="000000"/>
          <w:sz w:val="18"/>
        </w:rPr>
        <w:t xml:space="preserve"> at 1325-26 (quoting </w:t>
      </w:r>
      <w:bookmarkStart w:id="1431" w:name="Bookmark_I62F889R28T4M90010000400"/>
      <w:bookmarkEnd w:id="1431"/>
      <w:r>
        <w:rPr>
          <w:rFonts w:ascii="Arial" w:eastAsia="Arial" w:hAnsi="Arial" w:cs="Arial"/>
          <w:i/>
          <w:color w:val="000000"/>
          <w:sz w:val="18"/>
        </w:rPr>
        <w:t>Peterson v. BMI Refractories</w:t>
      </w:r>
      <w:r>
        <w:rPr>
          <w:rFonts w:ascii="Arial" w:eastAsia="Arial" w:hAnsi="Arial" w:cs="Arial"/>
          <w:color w:val="000000"/>
          <w:sz w:val="18"/>
        </w:rPr>
        <w:t xml:space="preserve">, 124 F.3d 1386, 1392 n.4 (11th Cir. 1997)); </w:t>
      </w:r>
      <w:r>
        <w:rPr>
          <w:rFonts w:ascii="Arial" w:eastAsia="Arial" w:hAnsi="Arial" w:cs="Arial"/>
          <w:i/>
          <w:color w:val="000000"/>
          <w:sz w:val="18"/>
        </w:rPr>
        <w:t xml:space="preserve">see also </w:t>
      </w:r>
      <w:bookmarkStart w:id="1432" w:name="Bookmark_I62F889R28T4M90030000400"/>
      <w:bookmarkEnd w:id="1432"/>
      <w:r>
        <w:rPr>
          <w:rFonts w:ascii="Arial" w:eastAsia="Arial" w:hAnsi="Arial" w:cs="Arial"/>
          <w:i/>
          <w:color w:val="000000"/>
          <w:sz w:val="18"/>
        </w:rPr>
        <w:t>Manning v. Caldwell for City of Roanoke</w:t>
      </w:r>
      <w:r>
        <w:rPr>
          <w:rFonts w:ascii="Arial" w:eastAsia="Arial" w:hAnsi="Arial" w:cs="Arial"/>
          <w:color w:val="000000"/>
          <w:sz w:val="18"/>
        </w:rPr>
        <w:t xml:space="preserve">, 930 F.3d 264, 281 (4th Cir. 2019) (en banc) ("[W]e routinely afford substantial, if not controlling deference to dicta from the Supreme Court. </w:t>
      </w:r>
      <w:bookmarkStart w:id="1433" w:name="Bookmark_I4J4T31JKXR000066620006G"/>
      <w:bookmarkStart w:id="1434" w:name="Bookmark_I62F889R2HM65F0030000400"/>
      <w:bookmarkEnd w:id="1433"/>
      <w:bookmarkEnd w:id="1434"/>
      <w:r>
        <w:rPr>
          <w:rFonts w:ascii="Arial" w:eastAsia="Arial" w:hAnsi="Arial" w:cs="Arial"/>
          <w:color w:val="000000"/>
          <w:sz w:val="18"/>
        </w:rPr>
        <w:t xml:space="preserve">Respect for the rule of law demands nothing less: lower courts grappling with complex legal questions . . . must give due weight to guidance from the Supreme Court, so as to ensure the consistent and uniform development and application of the law." (internal citation omitted)); </w:t>
      </w:r>
      <w:bookmarkStart w:id="1435" w:name="Bookmark_I62F889R28T4M90050000400"/>
      <w:bookmarkEnd w:id="1435"/>
      <w:r>
        <w:rPr>
          <w:rFonts w:ascii="Arial" w:eastAsia="Arial" w:hAnsi="Arial" w:cs="Arial"/>
          <w:i/>
          <w:color w:val="000000"/>
          <w:sz w:val="18"/>
        </w:rPr>
        <w:t>United States v. Montero—Camargo</w:t>
      </w:r>
      <w:r>
        <w:rPr>
          <w:rFonts w:ascii="Arial" w:eastAsia="Arial" w:hAnsi="Arial" w:cs="Arial"/>
          <w:color w:val="000000"/>
          <w:sz w:val="18"/>
        </w:rPr>
        <w:t xml:space="preserve">, 208 F.3d 1122, 1132 n.17 (9th Cir. 2000) (en banc) ("We do not treat considered dicta from the Supreme Court lightly. </w:t>
      </w:r>
      <w:bookmarkStart w:id="1436" w:name="Bookmark_I62F889R2HM65F0030000400_2"/>
      <w:bookmarkEnd w:id="1436"/>
      <w:r>
        <w:rPr>
          <w:rFonts w:ascii="Arial" w:eastAsia="Arial" w:hAnsi="Arial" w:cs="Arial"/>
          <w:color w:val="000000"/>
          <w:sz w:val="18"/>
        </w:rPr>
        <w:t xml:space="preserve">Rather, we accord it appropriate deference . . . . As we have frequently acknowledged, Supreme Court dicta have a weight that is greater than ordinary judicial dicta as prophecy of what that Court might hold; accordingly, we do not blandly shrug them off because they were not a holding." (quotation omitted)); </w:t>
      </w:r>
      <w:bookmarkStart w:id="1437" w:name="Bookmark_I62F889R2HM65F0020000400"/>
      <w:bookmarkEnd w:id="1437"/>
      <w:r>
        <w:rPr>
          <w:rFonts w:ascii="Arial" w:eastAsia="Arial" w:hAnsi="Arial" w:cs="Arial"/>
          <w:i/>
          <w:color w:val="000000"/>
          <w:sz w:val="18"/>
        </w:rPr>
        <w:t>Nichol v. Pullman Standard, Inc.</w:t>
      </w:r>
      <w:r>
        <w:rPr>
          <w:rFonts w:ascii="Arial" w:eastAsia="Arial" w:hAnsi="Arial" w:cs="Arial"/>
          <w:color w:val="000000"/>
          <w:sz w:val="18"/>
        </w:rPr>
        <w:t>, 889 F.2d 115, 120 n.8 (7th Cir. 1989) ("This Court should respect considered Supreme Court dicta.").</w:t>
      </w:r>
    </w:p>
  </w:footnote>
  <w:footnote w:id="58">
    <w:p w14:paraId="2DF37B7A"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22 </w:t>
      </w:r>
      <w:bookmarkStart w:id="1460" w:name="Bookmark_fnpara_25"/>
      <w:bookmarkEnd w:id="1460"/>
      <w:r>
        <w:rPr>
          <w:rFonts w:ascii="Arial" w:eastAsia="Arial" w:hAnsi="Arial" w:cs="Arial"/>
          <w:color w:val="000000"/>
          <w:sz w:val="18"/>
        </w:rPr>
        <w:t xml:space="preserve">In its conclusion, the court expressed "no opinion about whether Domino's website or app comply with the ADA," leaving it "to the district court, after discovery, to decide in the first instance whether Domino's website and app provide the blind with effective communication and full and equal enjoyment of its products and services as the ADA mandates." </w:t>
      </w:r>
      <w:bookmarkStart w:id="1461" w:name="Bookmark_I62F889S2SF81D0020000400"/>
      <w:bookmarkEnd w:id="1461"/>
      <w:r>
        <w:rPr>
          <w:rFonts w:ascii="Arial" w:eastAsia="Arial" w:hAnsi="Arial" w:cs="Arial"/>
          <w:i/>
          <w:color w:val="000000"/>
          <w:sz w:val="18"/>
        </w:rPr>
        <w:t>Robles</w:t>
      </w:r>
      <w:r>
        <w:rPr>
          <w:rFonts w:ascii="Arial" w:eastAsia="Arial" w:hAnsi="Arial" w:cs="Arial"/>
          <w:color w:val="000000"/>
          <w:sz w:val="18"/>
        </w:rPr>
        <w:t>, 913 F.3d at 911.</w:t>
      </w:r>
    </w:p>
  </w:footnote>
  <w:footnote w:id="59">
    <w:p w14:paraId="70D4B4AF"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1 </w:t>
      </w:r>
      <w:bookmarkStart w:id="1501" w:name="Bookmark_fnpara_26"/>
      <w:bookmarkStart w:id="1502" w:name="Bookmark_I4J4T31K133000066620006M"/>
      <w:bookmarkStart w:id="1503" w:name="Bookmark_I62F889W2HM65T0010000400"/>
      <w:bookmarkEnd w:id="1501"/>
      <w:bookmarkEnd w:id="1502"/>
      <w:bookmarkEnd w:id="1503"/>
      <w:r>
        <w:rPr>
          <w:rFonts w:ascii="Arial" w:eastAsia="Arial" w:hAnsi="Arial" w:cs="Arial"/>
          <w:color w:val="000000"/>
          <w:sz w:val="18"/>
        </w:rPr>
        <w:t xml:space="preserve">I am not arguing that the website in and of itself was a place of public accommodation under the ADA, but I disagree with the majority opinion's decision to fashion new circuit law on that issue, an issue on which the circuits are split. </w:t>
      </w:r>
      <w:bookmarkStart w:id="1504" w:name="Bookmark_I4J4T31K3MF000066620006N"/>
      <w:bookmarkStart w:id="1505" w:name="Bookmark_I4J4T31K94Y000066620006R"/>
      <w:bookmarkStart w:id="1506" w:name="Bookmark_I62F889W2HM65T0030000400"/>
      <w:bookmarkEnd w:id="1504"/>
      <w:bookmarkEnd w:id="1505"/>
      <w:bookmarkEnd w:id="1506"/>
      <w:r>
        <w:rPr>
          <w:rFonts w:ascii="Arial" w:eastAsia="Arial" w:hAnsi="Arial" w:cs="Arial"/>
          <w:i/>
          <w:color w:val="000000"/>
          <w:sz w:val="18"/>
        </w:rPr>
        <w:t>See</w:t>
      </w:r>
      <w:r>
        <w:rPr>
          <w:rFonts w:ascii="Arial" w:eastAsia="Arial" w:hAnsi="Arial" w:cs="Arial"/>
          <w:color w:val="000000"/>
          <w:sz w:val="18"/>
        </w:rPr>
        <w:t xml:space="preserve"> Maj. Op. at 17 n.13 (explaining that it is taking a position in an existing circuit split). As the majority opinion acknowledges, the district court "twice declined to reach the issue," </w:t>
      </w:r>
      <w:bookmarkStart w:id="1507" w:name="Bookmark_I62F889S2N1R2D0050000400"/>
      <w:bookmarkEnd w:id="1507"/>
      <w:r>
        <w:rPr>
          <w:rFonts w:ascii="Arial" w:eastAsia="Arial" w:hAnsi="Arial" w:cs="Arial"/>
          <w:i/>
          <w:color w:val="000000"/>
          <w:sz w:val="18"/>
        </w:rPr>
        <w:t>id.</w:t>
      </w:r>
      <w:r>
        <w:rPr>
          <w:rFonts w:ascii="Arial" w:eastAsia="Arial" w:hAnsi="Arial" w:cs="Arial"/>
          <w:color w:val="000000"/>
          <w:sz w:val="18"/>
        </w:rPr>
        <w:t xml:space="preserve"> at 12 n.8, and Gil did not "plainly and prominently" present it in his brief on appeal. </w:t>
      </w:r>
      <w:bookmarkStart w:id="1508" w:name="Bookmark_I62F889W2HM65T0030000400_2"/>
      <w:bookmarkStart w:id="1509" w:name="Bookmark_I62F889W2HM65T0020000400"/>
      <w:bookmarkEnd w:id="1508"/>
      <w:bookmarkEnd w:id="1509"/>
      <w:r>
        <w:rPr>
          <w:rFonts w:ascii="Arial" w:eastAsia="Arial" w:hAnsi="Arial" w:cs="Arial"/>
          <w:i/>
          <w:color w:val="000000"/>
          <w:sz w:val="18"/>
        </w:rPr>
        <w:t>Young v. Grand Canyon Univ., Inc.</w:t>
      </w:r>
      <w:r>
        <w:rPr>
          <w:rFonts w:ascii="Arial" w:eastAsia="Arial" w:hAnsi="Arial" w:cs="Arial"/>
          <w:color w:val="000000"/>
          <w:sz w:val="18"/>
        </w:rPr>
        <w:t xml:space="preserve">, 980 F.3d 814, 821 n.4 (11th Cir. 2020) ("Although an appellee may urge us to affirm on any basis supported by the record," he abandons a position when he "does not plainly and prominently raise it, for instance by devoting a discrete section of his argument to those claims." (internal quotation marks omitted)); </w:t>
      </w:r>
      <w:r>
        <w:rPr>
          <w:rFonts w:ascii="Arial" w:eastAsia="Arial" w:hAnsi="Arial" w:cs="Arial"/>
          <w:i/>
          <w:color w:val="000000"/>
          <w:sz w:val="18"/>
        </w:rPr>
        <w:t xml:space="preserve">see also </w:t>
      </w:r>
      <w:bookmarkStart w:id="1510" w:name="Bookmark_I62F889W2HM65T0040000400"/>
      <w:bookmarkEnd w:id="1510"/>
      <w:r>
        <w:rPr>
          <w:rFonts w:ascii="Arial" w:eastAsia="Arial" w:hAnsi="Arial" w:cs="Arial"/>
          <w:i/>
          <w:color w:val="000000"/>
          <w:sz w:val="18"/>
        </w:rPr>
        <w:t>Hamilton v. Southland Christian Sch., Inc.</w:t>
      </w:r>
      <w:r>
        <w:rPr>
          <w:rFonts w:ascii="Arial" w:eastAsia="Arial" w:hAnsi="Arial" w:cs="Arial"/>
          <w:color w:val="000000"/>
          <w:sz w:val="18"/>
        </w:rPr>
        <w:t xml:space="preserve">, 680 F.3d 1316, 1318-19 (11th Cir. 2012) (concluding that issue was waived when appellee mentioned it only in passing). </w:t>
      </w:r>
      <w:bookmarkStart w:id="1511" w:name="Bookmark_I4J4T31KGK7000066620006T"/>
      <w:bookmarkStart w:id="1512" w:name="Bookmark_I62F889X2N1R2P0020000400"/>
      <w:bookmarkEnd w:id="1511"/>
      <w:bookmarkEnd w:id="1512"/>
      <w:r>
        <w:rPr>
          <w:rFonts w:ascii="Arial" w:eastAsia="Arial" w:hAnsi="Arial" w:cs="Arial"/>
          <w:color w:val="000000"/>
          <w:sz w:val="18"/>
        </w:rPr>
        <w:t>Moreover, Gil flatly denied that he was raising the issue when asked about it at oral argument.</w:t>
      </w:r>
    </w:p>
    <w:p w14:paraId="2B2494B6" w14:textId="77777777" w:rsidR="002B10A6" w:rsidRDefault="00000000">
      <w:pPr>
        <w:pStyle w:val="Normal9"/>
        <w:widowControl w:val="0"/>
        <w:spacing w:before="200" w:line="240" w:lineRule="atLeast"/>
        <w:jc w:val="both"/>
      </w:pPr>
      <w:bookmarkStart w:id="1513" w:name="Bookmark_fnpara_27"/>
      <w:bookmarkStart w:id="1514" w:name="Bookmark_I4J4T31KP2W000066620006W"/>
      <w:bookmarkStart w:id="1515" w:name="Bookmark_I62F889X2N1R2P0040000400"/>
      <w:bookmarkStart w:id="1516" w:name="Bookmark_I62F889X2N1R2P0020000400_2"/>
      <w:bookmarkEnd w:id="1513"/>
      <w:bookmarkEnd w:id="1514"/>
      <w:bookmarkEnd w:id="1515"/>
      <w:bookmarkEnd w:id="1516"/>
      <w:r>
        <w:rPr>
          <w:rFonts w:ascii="Arial" w:eastAsia="Arial" w:hAnsi="Arial" w:cs="Arial"/>
          <w:color w:val="000000"/>
          <w:sz w:val="18"/>
        </w:rPr>
        <w:t xml:space="preserve">We generally do not consider—just to reject—arguments that appellees could have raised on appeal to defend a district court's judgment when those arguments are not presented to us. </w:t>
      </w:r>
      <w:r>
        <w:rPr>
          <w:rFonts w:ascii="Arial" w:eastAsia="Arial" w:hAnsi="Arial" w:cs="Arial"/>
          <w:i/>
          <w:color w:val="000000"/>
          <w:sz w:val="18"/>
        </w:rPr>
        <w:t xml:space="preserve">See </w:t>
      </w:r>
      <w:bookmarkStart w:id="1517" w:name="Bookmark_I62F889X2N1R2P0010000400"/>
      <w:bookmarkEnd w:id="1517"/>
      <w:r>
        <w:rPr>
          <w:rFonts w:ascii="Arial" w:eastAsia="Arial" w:hAnsi="Arial" w:cs="Arial"/>
          <w:i/>
          <w:color w:val="000000"/>
          <w:sz w:val="18"/>
        </w:rPr>
        <w:t>Hamilton</w:t>
      </w:r>
      <w:r>
        <w:rPr>
          <w:rFonts w:ascii="Arial" w:eastAsia="Arial" w:hAnsi="Arial" w:cs="Arial"/>
          <w:color w:val="000000"/>
          <w:sz w:val="18"/>
        </w:rPr>
        <w:t xml:space="preserve">, 680 F.3d at 1319. This restraint "promotes careful and correct decision making[,]" "gives the appellate court the benefit of written arguments[,] and provides the court and the parties with an opportunity to prepare for oral argument with the opposing positions and arguments in mind." </w:t>
      </w:r>
      <w:r>
        <w:rPr>
          <w:rFonts w:ascii="Arial" w:eastAsia="Arial" w:hAnsi="Arial" w:cs="Arial"/>
          <w:i/>
          <w:color w:val="000000"/>
          <w:sz w:val="18"/>
        </w:rPr>
        <w:t>Id.</w:t>
      </w:r>
      <w:r>
        <w:rPr>
          <w:rFonts w:ascii="Arial" w:eastAsia="Arial" w:hAnsi="Arial" w:cs="Arial"/>
          <w:color w:val="000000"/>
          <w:sz w:val="18"/>
        </w:rPr>
        <w:t xml:space="preserve"> Particularly given the circuit split, I disagree with the majority's decision to rule, without the benefit of adversarial argument, on whether websites can ever be places of public accommodation under the ADA because "[where] it is not necessary to decide more, it is necessary not to decide more." </w:t>
      </w:r>
      <w:bookmarkStart w:id="1518" w:name="Bookmark_I62F889X2N1R2P0030000400"/>
      <w:bookmarkEnd w:id="1518"/>
      <w:r>
        <w:rPr>
          <w:rFonts w:ascii="Arial" w:eastAsia="Arial" w:hAnsi="Arial" w:cs="Arial"/>
          <w:i/>
          <w:color w:val="000000"/>
          <w:sz w:val="18"/>
        </w:rPr>
        <w:t>PDK Labs. Inc. v. U.S. Drug Enf't Agency</w:t>
      </w:r>
      <w:r>
        <w:rPr>
          <w:rFonts w:ascii="Arial" w:eastAsia="Arial" w:hAnsi="Arial" w:cs="Arial"/>
          <w:color w:val="000000"/>
          <w:sz w:val="18"/>
        </w:rPr>
        <w:t>, 362 F.3d 786, 799, 360 U.S. App. D.C. 344 (D.C. Cir. 2004) (Roberts, J., concurring).</w:t>
      </w:r>
    </w:p>
  </w:footnote>
  <w:footnote w:id="60">
    <w:p w14:paraId="3569DCC4"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2 </w:t>
      </w:r>
      <w:bookmarkStart w:id="1521" w:name="Bookmark_fnpara_28"/>
      <w:bookmarkEnd w:id="1521"/>
      <w:r>
        <w:rPr>
          <w:rFonts w:ascii="Arial" w:eastAsia="Arial" w:hAnsi="Arial" w:cs="Arial"/>
          <w:color w:val="000000"/>
          <w:sz w:val="18"/>
        </w:rPr>
        <w:t>"Doc." numbers refer to the district court's docket entries.</w:t>
      </w:r>
    </w:p>
  </w:footnote>
  <w:footnote w:id="61">
    <w:p w14:paraId="39470C17"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3 </w:t>
      </w:r>
      <w:bookmarkStart w:id="1524" w:name="Bookmark_fnpara_29"/>
      <w:bookmarkEnd w:id="1524"/>
      <w:r>
        <w:rPr>
          <w:rFonts w:ascii="Arial" w:eastAsia="Arial" w:hAnsi="Arial" w:cs="Arial"/>
          <w:color w:val="000000"/>
          <w:sz w:val="18"/>
        </w:rPr>
        <w:t>The prescription refill request tool, as well as the other tools on Winn-Dixie's website that are relevant to this appeal, was operated by a third-party. This fact does not affect the analysis. Winn-Dixie seamlessly incorporated these tools into its website to offer benefits to its customers. And, with respect to liability under the ADA, the parties do not place any significance on the fact that a third party, instead of Winn-Dixie, actually operated the tools.</w:t>
      </w:r>
    </w:p>
  </w:footnote>
  <w:footnote w:id="62">
    <w:p w14:paraId="75A7B3BB"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4 </w:t>
      </w:r>
      <w:bookmarkStart w:id="1531" w:name="Bookmark_fnpara_30"/>
      <w:bookmarkEnd w:id="1531"/>
      <w:r>
        <w:rPr>
          <w:rFonts w:ascii="Arial" w:eastAsia="Arial" w:hAnsi="Arial" w:cs="Arial"/>
          <w:color w:val="000000"/>
          <w:sz w:val="18"/>
        </w:rPr>
        <w:t xml:space="preserve">The district court found that Gil was "credible and forthcoming" and that there were "virtually no disputes in the testimony and evidence." Doc. 63 at 1-2. The majority opinion does not challenge the district court's factual findings, which we may overturn only if clearly erroneous. </w:t>
      </w:r>
      <w:bookmarkStart w:id="1532" w:name="Bookmark_I4J4T31KSHC000066620006X"/>
      <w:bookmarkStart w:id="1533" w:name="Bookmark_I62F889X2HM65W0010000400"/>
      <w:bookmarkEnd w:id="1532"/>
      <w:bookmarkEnd w:id="1533"/>
      <w:r>
        <w:rPr>
          <w:rFonts w:ascii="Arial" w:eastAsia="Arial" w:hAnsi="Arial" w:cs="Arial"/>
          <w:color w:val="000000"/>
          <w:sz w:val="18"/>
        </w:rPr>
        <w:t xml:space="preserve">Fed. R. Civ. P. 52(a)(6). The district court's credibility findings demand particularly great deference because only the district court had the opportunity to observe Gil's demeanor as he was testifying. </w:t>
      </w:r>
      <w:r>
        <w:rPr>
          <w:rFonts w:ascii="Arial" w:eastAsia="Arial" w:hAnsi="Arial" w:cs="Arial"/>
          <w:i/>
          <w:color w:val="000000"/>
          <w:sz w:val="18"/>
        </w:rPr>
        <w:t xml:space="preserve">See </w:t>
      </w:r>
      <w:bookmarkStart w:id="1534" w:name="Bookmark_I62F889X2N1R2P0050000400"/>
      <w:bookmarkEnd w:id="1534"/>
      <w:r>
        <w:rPr>
          <w:rFonts w:ascii="Arial" w:eastAsia="Arial" w:hAnsi="Arial" w:cs="Arial"/>
          <w:i/>
          <w:color w:val="000000"/>
          <w:sz w:val="18"/>
        </w:rPr>
        <w:t>Anderson v. Bessemer City</w:t>
      </w:r>
      <w:r>
        <w:rPr>
          <w:rFonts w:ascii="Arial" w:eastAsia="Arial" w:hAnsi="Arial" w:cs="Arial"/>
          <w:color w:val="000000"/>
          <w:sz w:val="18"/>
        </w:rPr>
        <w:t>, 470 U.S. 564, 575, 105 S. Ct. 1504, 84 L. Ed. 2d 518 (1985).</w:t>
      </w:r>
    </w:p>
  </w:footnote>
  <w:footnote w:id="63">
    <w:p w14:paraId="3DA703EC"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5 </w:t>
      </w:r>
      <w:bookmarkStart w:id="1572" w:name="Bookmark_fnpara_31"/>
      <w:bookmarkEnd w:id="1572"/>
      <w:r>
        <w:rPr>
          <w:rFonts w:ascii="Arial" w:eastAsia="Arial" w:hAnsi="Arial" w:cs="Arial"/>
          <w:color w:val="000000"/>
          <w:sz w:val="18"/>
        </w:rPr>
        <w:t xml:space="preserve">In </w:t>
      </w:r>
      <w:r>
        <w:rPr>
          <w:rFonts w:ascii="Arial" w:eastAsia="Arial" w:hAnsi="Arial" w:cs="Arial"/>
          <w:i/>
          <w:color w:val="000000"/>
          <w:sz w:val="18"/>
        </w:rPr>
        <w:t>A.L</w:t>
      </w:r>
      <w:r>
        <w:rPr>
          <w:rFonts w:ascii="Arial" w:eastAsia="Arial" w:hAnsi="Arial" w:cs="Arial"/>
          <w:color w:val="000000"/>
          <w:sz w:val="18"/>
        </w:rPr>
        <w:t xml:space="preserve">. we adopted the Ninth Circuit's approach in </w:t>
      </w:r>
      <w:r>
        <w:rPr>
          <w:rFonts w:ascii="Arial" w:eastAsia="Arial" w:hAnsi="Arial" w:cs="Arial"/>
          <w:i/>
          <w:color w:val="000000"/>
          <w:sz w:val="18"/>
        </w:rPr>
        <w:t xml:space="preserve">Baughman. See </w:t>
      </w:r>
      <w:bookmarkStart w:id="1573" w:name="Bookmark_I62F889Y2D6NVT0050000400"/>
      <w:bookmarkEnd w:id="1573"/>
      <w:r>
        <w:rPr>
          <w:rFonts w:ascii="Arial" w:eastAsia="Arial" w:hAnsi="Arial" w:cs="Arial"/>
          <w:i/>
          <w:color w:val="000000"/>
          <w:sz w:val="18"/>
        </w:rPr>
        <w:t>A.L.</w:t>
      </w:r>
      <w:r>
        <w:rPr>
          <w:rFonts w:ascii="Arial" w:eastAsia="Arial" w:hAnsi="Arial" w:cs="Arial"/>
          <w:color w:val="000000"/>
          <w:sz w:val="18"/>
        </w:rPr>
        <w:t>, 900 F.3d at 1296.</w:t>
      </w:r>
    </w:p>
  </w:footnote>
  <w:footnote w:id="64">
    <w:p w14:paraId="4B4E394B"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6 </w:t>
      </w:r>
      <w:bookmarkStart w:id="1580" w:name="Bookmark_fnpara_32"/>
      <w:bookmarkEnd w:id="1580"/>
      <w:r>
        <w:rPr>
          <w:rFonts w:ascii="Arial" w:eastAsia="Arial" w:hAnsi="Arial" w:cs="Arial"/>
          <w:i/>
          <w:color w:val="000000"/>
          <w:sz w:val="18"/>
        </w:rPr>
        <w:t>See, e.g.</w:t>
      </w:r>
      <w:r>
        <w:rPr>
          <w:rFonts w:ascii="Arial" w:eastAsia="Arial" w:hAnsi="Arial" w:cs="Arial"/>
          <w:color w:val="000000"/>
          <w:sz w:val="18"/>
        </w:rPr>
        <w:t>, Fla. Admin. Code Ann. r. 64B16-27.211 (limiting the number of times a pharmacist can refill a particular prescription); Fla. Stat. § 465.003(6) (requiring that before a pharmacist dispenses a drug she must "interpret and assess the prescription order for potential adverse reactions [and] interactions"); Fla. Admin Code Ann. r. 64B16-27.1001(3), (4) (setting forth a pharmacist's responsibilities when filling a prescription).</w:t>
      </w:r>
    </w:p>
  </w:footnote>
  <w:footnote w:id="65">
    <w:p w14:paraId="12F8D3CE"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7 </w:t>
      </w:r>
      <w:bookmarkStart w:id="1582" w:name="Bookmark_fnpara_33"/>
      <w:bookmarkEnd w:id="1582"/>
      <w:r>
        <w:rPr>
          <w:rFonts w:ascii="Arial" w:eastAsia="Arial" w:hAnsi="Arial" w:cs="Arial"/>
          <w:color w:val="000000"/>
          <w:sz w:val="18"/>
        </w:rPr>
        <w:t>This privacy concern is particularly acute for visually-impaired customers, who may be less able than sighted customers to determine whether bystanders are close enough to overhear them.</w:t>
      </w:r>
    </w:p>
  </w:footnote>
  <w:footnote w:id="66">
    <w:p w14:paraId="6EE24C57"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8 </w:t>
      </w:r>
      <w:bookmarkStart w:id="1588" w:name="Bookmark_fnpara_34"/>
      <w:bookmarkStart w:id="1589" w:name="Bookmark_I4J4T31NB5N000066620007D"/>
      <w:bookmarkStart w:id="1590" w:name="Bookmark_I62F88B02N1R2W0020000400"/>
      <w:bookmarkStart w:id="1591" w:name="Bookmark_I4J4T31NDWR000066620007F"/>
      <w:bookmarkStart w:id="1592" w:name="Bookmark_I62F88B02N1R2W0040000400"/>
      <w:bookmarkEnd w:id="1588"/>
      <w:bookmarkEnd w:id="1589"/>
      <w:bookmarkEnd w:id="1590"/>
      <w:bookmarkEnd w:id="1591"/>
      <w:bookmarkEnd w:id="1592"/>
      <w:r>
        <w:rPr>
          <w:rFonts w:ascii="Arial" w:eastAsia="Arial" w:hAnsi="Arial" w:cs="Arial"/>
          <w:color w:val="000000"/>
          <w:sz w:val="18"/>
        </w:rPr>
        <w:t xml:space="preserve">To support its conclusion that there was no ADA violation here because an accessible website was not "necessary" within the meaning of § 12182(b)(2)(A)(iii), the majority opinion does not discuss </w:t>
      </w:r>
      <w:r>
        <w:rPr>
          <w:rFonts w:ascii="Arial" w:eastAsia="Arial" w:hAnsi="Arial" w:cs="Arial"/>
          <w:i/>
          <w:color w:val="000000"/>
          <w:sz w:val="18"/>
        </w:rPr>
        <w:t>A.L.</w:t>
      </w:r>
      <w:r>
        <w:rPr>
          <w:rFonts w:ascii="Arial" w:eastAsia="Arial" w:hAnsi="Arial" w:cs="Arial"/>
          <w:color w:val="000000"/>
          <w:sz w:val="18"/>
        </w:rPr>
        <w:t xml:space="preserve">, our authoritative precedent on the matter, and instead relies on what the majority concedes is "dicta" from </w:t>
      </w:r>
      <w:r>
        <w:rPr>
          <w:rFonts w:ascii="Arial" w:eastAsia="Arial" w:hAnsi="Arial" w:cs="Arial"/>
          <w:i/>
          <w:color w:val="000000"/>
          <w:sz w:val="18"/>
        </w:rPr>
        <w:t>PGA Tour</w:t>
      </w:r>
      <w:r>
        <w:rPr>
          <w:rFonts w:ascii="Arial" w:eastAsia="Arial" w:hAnsi="Arial" w:cs="Arial"/>
          <w:color w:val="000000"/>
          <w:sz w:val="18"/>
        </w:rPr>
        <w:t xml:space="preserve">. Maj. Op. at 29. That dicta explains that an accommodation's necessity "might" depend on whether the plaintiff could "uncomfortabl[y]" enjoy the public accommodation's offerings or whether such enjoyment was "beyond [his] capacity." </w:t>
      </w:r>
      <w:bookmarkStart w:id="1593" w:name="Bookmark_I62F88B02N1R2W0010000400"/>
      <w:bookmarkEnd w:id="1593"/>
      <w:r>
        <w:rPr>
          <w:rFonts w:ascii="Arial" w:eastAsia="Arial" w:hAnsi="Arial" w:cs="Arial"/>
          <w:i/>
          <w:color w:val="000000"/>
          <w:sz w:val="18"/>
        </w:rPr>
        <w:t>PGA Tour</w:t>
      </w:r>
      <w:r>
        <w:rPr>
          <w:rFonts w:ascii="Arial" w:eastAsia="Arial" w:hAnsi="Arial" w:cs="Arial"/>
          <w:color w:val="000000"/>
          <w:sz w:val="18"/>
        </w:rPr>
        <w:t xml:space="preserve">, 532 U.S. at 682. The majority opinion suggests that this dicta supports the proposition that an accommodation was not necessary in this case because Gil was "able to participate [in Winn-Dixie's services, privileges, and advantages], even if under 'uncomfortable or difficult' conditions." Maj. Op. at 29 (quoting </w:t>
      </w:r>
      <w:bookmarkStart w:id="1594" w:name="Bookmark_I62F88B02N1R2W0030000400"/>
      <w:bookmarkEnd w:id="1594"/>
      <w:r>
        <w:rPr>
          <w:rFonts w:ascii="Arial" w:eastAsia="Arial" w:hAnsi="Arial" w:cs="Arial"/>
          <w:i/>
          <w:color w:val="000000"/>
          <w:sz w:val="18"/>
        </w:rPr>
        <w:t>PGA Tour</w:t>
      </w:r>
      <w:r>
        <w:rPr>
          <w:rFonts w:ascii="Arial" w:eastAsia="Arial" w:hAnsi="Arial" w:cs="Arial"/>
          <w:color w:val="000000"/>
          <w:sz w:val="18"/>
        </w:rPr>
        <w:t xml:space="preserve">, 532 U.S. at 682). But whether it was merely "uncomfortable" for Gil to enjoy Winn-Dixie's offerings or whether such enjoyment was "beyond [his] capacity" turns on how we conceptualize those offerings. As I explain later, the majority opinion's conception of Winn-Dixie's offerings under the ADA is incorrect. The </w:t>
      </w:r>
      <w:r>
        <w:rPr>
          <w:rFonts w:ascii="Arial" w:eastAsia="Arial" w:hAnsi="Arial" w:cs="Arial"/>
          <w:i/>
          <w:color w:val="000000"/>
          <w:sz w:val="18"/>
        </w:rPr>
        <w:t>PGA Tour</w:t>
      </w:r>
      <w:r>
        <w:rPr>
          <w:rFonts w:ascii="Arial" w:eastAsia="Arial" w:hAnsi="Arial" w:cs="Arial"/>
          <w:color w:val="000000"/>
          <w:sz w:val="18"/>
        </w:rPr>
        <w:t xml:space="preserve"> dicta cited by the majority opinion therefore gives it no refuge.</w:t>
      </w:r>
    </w:p>
  </w:footnote>
  <w:footnote w:id="67">
    <w:p w14:paraId="7A97A2E2"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9 </w:t>
      </w:r>
      <w:bookmarkStart w:id="1612" w:name="Bookmark_fnpara_35"/>
      <w:bookmarkEnd w:id="1612"/>
      <w:r>
        <w:rPr>
          <w:rFonts w:ascii="Arial" w:eastAsia="Arial" w:hAnsi="Arial" w:cs="Arial"/>
          <w:color w:val="000000"/>
          <w:sz w:val="18"/>
        </w:rPr>
        <w:t>In responding to the majority opinion's arguments, I will not discuss the store locator feature because the majority opinion does not discuss it. But the same reasons that explain why the website's express prescription refill and coupon-linking features are "services," "privileges," or "advantages" within the meaning of the ADA apply also to the store locator feature.</w:t>
      </w:r>
    </w:p>
  </w:footnote>
  <w:footnote w:id="68">
    <w:p w14:paraId="2650ACEB"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10 </w:t>
      </w:r>
      <w:bookmarkStart w:id="1622" w:name="Bookmark_fnpara_36"/>
      <w:bookmarkEnd w:id="1622"/>
      <w:r>
        <w:rPr>
          <w:rFonts w:ascii="Arial" w:eastAsia="Arial" w:hAnsi="Arial" w:cs="Arial"/>
          <w:color w:val="000000"/>
          <w:sz w:val="18"/>
        </w:rPr>
        <w:t>Although it appears that the current meaning of these terms is not much different, here I use dictionary definitions that were current in 1990 when the ADA was passed by Congress and signed by the President.</w:t>
      </w:r>
    </w:p>
  </w:footnote>
  <w:footnote w:id="69">
    <w:p w14:paraId="00066DBF"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11 </w:t>
      </w:r>
      <w:bookmarkStart w:id="1641" w:name="Bookmark_fnpara_37"/>
      <w:bookmarkEnd w:id="1641"/>
      <w:r>
        <w:rPr>
          <w:rFonts w:ascii="Arial" w:eastAsia="Arial" w:hAnsi="Arial" w:cs="Arial"/>
          <w:color w:val="000000"/>
          <w:sz w:val="18"/>
        </w:rPr>
        <w:t xml:space="preserve">The majority opinion's concern that my interpretation of the words "service," "privilege," and "advantage" is too "sweeping"—and will therefore expand § 12182 liability too far—is misplaced for another reason as well. </w:t>
      </w:r>
      <w:r>
        <w:rPr>
          <w:rFonts w:ascii="Arial" w:eastAsia="Arial" w:hAnsi="Arial" w:cs="Arial"/>
          <w:i/>
          <w:color w:val="000000"/>
          <w:sz w:val="18"/>
        </w:rPr>
        <w:t>See</w:t>
      </w:r>
      <w:r>
        <w:rPr>
          <w:rFonts w:ascii="Arial" w:eastAsia="Arial" w:hAnsi="Arial" w:cs="Arial"/>
          <w:color w:val="000000"/>
          <w:sz w:val="18"/>
        </w:rPr>
        <w:t xml:space="preserve"> Maj. Op. at 28-29. Congress expressly included safeguards in § 12182(b)(2)(A)(iii) to protect operators of public accommodations from liability when accommodating disabled individuals is too onerous: when accommodations would "fundamentally alter the nature of the [offering]" or "result in an undue burden." 42 U.S.C. § 12182(b)(2)(A)(iii). As I noted, these exceptions to liability are not implicated here because Winn-Dixie has not argued that either of them applies. Thus, the majority opinion errs by distorting the plain meaning of the terms "service," "privilege," and "advantage" based on a fear of overextending Title III liability even though Congress addressed that concern by including these exceptions.</w:t>
      </w:r>
    </w:p>
  </w:footnote>
  <w:footnote w:id="70">
    <w:p w14:paraId="11ACD89C" w14:textId="77777777" w:rsidR="002B10A6" w:rsidRDefault="00000000">
      <w:pPr>
        <w:pStyle w:val="Normal9"/>
        <w:widowControl w:val="0"/>
        <w:spacing w:before="120" w:line="240" w:lineRule="atLeast"/>
        <w:jc w:val="both"/>
      </w:pPr>
      <w:r>
        <w:rPr>
          <w:rFonts w:ascii="Arial" w:eastAsia="Arial" w:hAnsi="Arial" w:cs="Arial"/>
          <w:color w:val="000000"/>
          <w:sz w:val="18"/>
          <w:vertAlign w:val="superscript"/>
        </w:rPr>
        <w:t>12 </w:t>
      </w:r>
      <w:bookmarkStart w:id="1643" w:name="Bookmark_fnpara_38"/>
      <w:bookmarkEnd w:id="1643"/>
      <w:r>
        <w:rPr>
          <w:rFonts w:ascii="Arial" w:eastAsia="Arial" w:hAnsi="Arial" w:cs="Arial"/>
          <w:color w:val="000000"/>
          <w:sz w:val="18"/>
        </w:rPr>
        <w:t>The majority opinion points out that Winn-Dixie is "not required to have a website, and that it could simply remove the [web]site." Maj. Op. 23 n.17. True, but irrelevant. Federal antidiscrimination laws typically do not require public accommodations to provide goods, services, or privileges. Instead, those laws decree that, if such offerings are provided, they may not be provided in a discriminatory manner. For example, the Civil Rights Act of 1964 did not require stores to install lunch counters. But once they did, the Act entitled all persons to "full and equal enjoyment of th[os]e goods, services, facilities, privileges, advantages, and accommodations" that the stores chose to provide. 42 U.S.C. § 2000a(a).</w:t>
      </w:r>
    </w:p>
    <w:p w14:paraId="2EFE9032" w14:textId="77777777" w:rsidR="002B10A6" w:rsidRDefault="00000000">
      <w:pPr>
        <w:pStyle w:val="Normal9"/>
        <w:widowControl w:val="0"/>
        <w:spacing w:before="200" w:line="240" w:lineRule="atLeast"/>
        <w:jc w:val="both"/>
      </w:pPr>
      <w:bookmarkStart w:id="1644" w:name="Bookmark_fnpara_39"/>
      <w:bookmarkStart w:id="1645" w:name="Bookmark_I4J4T31PM94000066620007W"/>
      <w:bookmarkStart w:id="1646" w:name="Bookmark_I62F88B12HM6640040000400"/>
      <w:bookmarkEnd w:id="1644"/>
      <w:bookmarkEnd w:id="1645"/>
      <w:bookmarkEnd w:id="1646"/>
      <w:r>
        <w:rPr>
          <w:rFonts w:ascii="Arial" w:eastAsia="Arial" w:hAnsi="Arial" w:cs="Arial"/>
          <w:color w:val="000000"/>
          <w:sz w:val="18"/>
        </w:rPr>
        <w:t xml:space="preserve">That majority's observation that "Gil is at no less of a disadvantage than a sighted customer who does not have internet access" is also irrelevant Maj. Op. at 28 n.20. The ADA requires us to compare Winn-Dixie's treatment of nondisabled guests ready to enjoy its services to its treatment of disabled guests ready to enjoy its services. </w:t>
      </w:r>
      <w:bookmarkStart w:id="1647" w:name="Bookmark_I62F88B12HM6640030000400"/>
      <w:bookmarkEnd w:id="1647"/>
      <w:r>
        <w:rPr>
          <w:rFonts w:ascii="Arial" w:eastAsia="Arial" w:hAnsi="Arial" w:cs="Arial"/>
          <w:i/>
          <w:color w:val="000000"/>
          <w:sz w:val="18"/>
        </w:rPr>
        <w:t>A.L.</w:t>
      </w:r>
      <w:r>
        <w:rPr>
          <w:rFonts w:ascii="Arial" w:eastAsia="Arial" w:hAnsi="Arial" w:cs="Arial"/>
          <w:color w:val="000000"/>
          <w:sz w:val="18"/>
        </w:rPr>
        <w:t>, 900 F.3d 1270 ("[P]ublic accommodations must start by considering how their facilities are used by nondisabled guests and then must take reasonable steps to provide disabled guests with a like experience.") (internal quotation marks omitted). It makes no difference whether Winn-Dixie treated nondisabled guests ready to enjoy its services like other individuals who, because of their personal circumstances, were not ready, or did not want, to enjoy its services.</w:t>
      </w:r>
    </w:p>
  </w:footnote>
  <w:footnote w:id="71">
    <w:p w14:paraId="76EEA625"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13 </w:t>
      </w:r>
      <w:bookmarkStart w:id="1659" w:name="Bookmark_fnpara_40"/>
      <w:bookmarkEnd w:id="1659"/>
      <w:r>
        <w:rPr>
          <w:rFonts w:ascii="Arial" w:eastAsia="Arial" w:hAnsi="Arial" w:cs="Arial"/>
          <w:color w:val="000000"/>
          <w:sz w:val="18"/>
        </w:rPr>
        <w:t xml:space="preserve">In any event, the majority opinion is wrong in asserting that </w:t>
      </w:r>
      <w:r>
        <w:rPr>
          <w:rFonts w:ascii="Arial" w:eastAsia="Arial" w:hAnsi="Arial" w:cs="Arial"/>
          <w:i/>
          <w:color w:val="000000"/>
          <w:sz w:val="18"/>
        </w:rPr>
        <w:t>Rendon</w:t>
      </w:r>
      <w:r>
        <w:rPr>
          <w:rFonts w:ascii="Arial" w:eastAsia="Arial" w:hAnsi="Arial" w:cs="Arial"/>
          <w:color w:val="000000"/>
          <w:sz w:val="18"/>
        </w:rPr>
        <w:t xml:space="preserve"> and </w:t>
      </w:r>
      <w:r>
        <w:rPr>
          <w:rFonts w:ascii="Arial" w:eastAsia="Arial" w:hAnsi="Arial" w:cs="Arial"/>
          <w:i/>
          <w:color w:val="000000"/>
          <w:sz w:val="18"/>
        </w:rPr>
        <w:t>Robles</w:t>
      </w:r>
      <w:r>
        <w:rPr>
          <w:rFonts w:ascii="Arial" w:eastAsia="Arial" w:hAnsi="Arial" w:cs="Arial"/>
          <w:color w:val="000000"/>
          <w:sz w:val="18"/>
        </w:rPr>
        <w:t xml:space="preserve"> are distinct from this case in a legally significant way. </w:t>
      </w:r>
      <w:r>
        <w:rPr>
          <w:rFonts w:ascii="Arial" w:eastAsia="Arial" w:hAnsi="Arial" w:cs="Arial"/>
          <w:i/>
          <w:color w:val="000000"/>
          <w:sz w:val="18"/>
        </w:rPr>
        <w:t>See</w:t>
      </w:r>
      <w:r>
        <w:rPr>
          <w:rFonts w:ascii="Arial" w:eastAsia="Arial" w:hAnsi="Arial" w:cs="Arial"/>
          <w:color w:val="000000"/>
          <w:sz w:val="18"/>
        </w:rPr>
        <w:t xml:space="preserve"> Maj. Op. at 21-22, 27. </w:t>
      </w:r>
      <w:bookmarkStart w:id="1660" w:name="Bookmark_I4J4T31R5WB0000666200083"/>
      <w:bookmarkStart w:id="1661" w:name="Bookmark_I62F88B12SF8210020000400"/>
      <w:bookmarkEnd w:id="1660"/>
      <w:bookmarkEnd w:id="1661"/>
      <w:r>
        <w:rPr>
          <w:rFonts w:ascii="Arial" w:eastAsia="Arial" w:hAnsi="Arial" w:cs="Arial"/>
          <w:color w:val="000000"/>
          <w:sz w:val="18"/>
        </w:rPr>
        <w:t xml:space="preserve">It is true that, in </w:t>
      </w:r>
      <w:r>
        <w:rPr>
          <w:rFonts w:ascii="Arial" w:eastAsia="Arial" w:hAnsi="Arial" w:cs="Arial"/>
          <w:i/>
          <w:color w:val="000000"/>
          <w:sz w:val="18"/>
        </w:rPr>
        <w:t>Rendon</w:t>
      </w:r>
      <w:r>
        <w:rPr>
          <w:rFonts w:ascii="Arial" w:eastAsia="Arial" w:hAnsi="Arial" w:cs="Arial"/>
          <w:color w:val="000000"/>
          <w:sz w:val="18"/>
        </w:rPr>
        <w:t xml:space="preserve">, unlike in this case, the inaccessible technology was the "sole access point for individuals to [seek] the privilege." </w:t>
      </w:r>
      <w:r>
        <w:rPr>
          <w:rFonts w:ascii="Arial" w:eastAsia="Arial" w:hAnsi="Arial" w:cs="Arial"/>
          <w:i/>
          <w:color w:val="000000"/>
          <w:sz w:val="18"/>
        </w:rPr>
        <w:t>Id.</w:t>
      </w:r>
      <w:r>
        <w:rPr>
          <w:rFonts w:ascii="Arial" w:eastAsia="Arial" w:hAnsi="Arial" w:cs="Arial"/>
          <w:color w:val="000000"/>
          <w:sz w:val="18"/>
        </w:rPr>
        <w:t xml:space="preserve"> at 21. And it is true that, in </w:t>
      </w:r>
      <w:r>
        <w:rPr>
          <w:rFonts w:ascii="Arial" w:eastAsia="Arial" w:hAnsi="Arial" w:cs="Arial"/>
          <w:i/>
          <w:color w:val="000000"/>
          <w:sz w:val="18"/>
        </w:rPr>
        <w:t>Robles</w:t>
      </w:r>
      <w:r>
        <w:rPr>
          <w:rFonts w:ascii="Arial" w:eastAsia="Arial" w:hAnsi="Arial" w:cs="Arial"/>
          <w:color w:val="000000"/>
          <w:sz w:val="18"/>
        </w:rPr>
        <w:t xml:space="preserve">, unlike in this case, the public accommodation "[made] sales through its website and app." </w:t>
      </w:r>
      <w:r>
        <w:rPr>
          <w:rFonts w:ascii="Arial" w:eastAsia="Arial" w:hAnsi="Arial" w:cs="Arial"/>
          <w:i/>
          <w:color w:val="000000"/>
          <w:sz w:val="18"/>
        </w:rPr>
        <w:t>Id.</w:t>
      </w:r>
      <w:r>
        <w:rPr>
          <w:rFonts w:ascii="Arial" w:eastAsia="Arial" w:hAnsi="Arial" w:cs="Arial"/>
          <w:color w:val="000000"/>
          <w:sz w:val="18"/>
        </w:rPr>
        <w:t xml:space="preserve"> at 28. But those distinctions are of no moment to the ADA, which prohibits discrimination that not only "exclude[s]" individuals with disabilities but also discrimination that "treat[s] [them] differently" and denies them the "full and equal enjoyment of [the offerings of public accommodations]." 42 U.S.C. § 12182; </w:t>
      </w:r>
      <w:r>
        <w:rPr>
          <w:rFonts w:ascii="Arial" w:eastAsia="Arial" w:hAnsi="Arial" w:cs="Arial"/>
          <w:i/>
          <w:color w:val="000000"/>
          <w:sz w:val="18"/>
        </w:rPr>
        <w:t xml:space="preserve">see also </w:t>
      </w:r>
      <w:bookmarkStart w:id="1662" w:name="Bookmark_I62F88B12SF8210010000400"/>
      <w:bookmarkEnd w:id="1662"/>
      <w:r>
        <w:rPr>
          <w:rFonts w:ascii="Arial" w:eastAsia="Arial" w:hAnsi="Arial" w:cs="Arial"/>
          <w:i/>
          <w:color w:val="000000"/>
          <w:sz w:val="18"/>
        </w:rPr>
        <w:t>A.L.</w:t>
      </w:r>
      <w:r>
        <w:rPr>
          <w:rFonts w:ascii="Arial" w:eastAsia="Arial" w:hAnsi="Arial" w:cs="Arial"/>
          <w:color w:val="000000"/>
          <w:sz w:val="18"/>
        </w:rPr>
        <w:t>, 900 F.3d at 1294-98 (explaining that places of public accommodation must provide disabled patrons with an experience comparable to the one they provide nondisabled patrons).</w:t>
      </w:r>
    </w:p>
  </w:footnote>
  <w:footnote w:id="72">
    <w:p w14:paraId="3C68DB38" w14:textId="77777777" w:rsidR="002B10A6" w:rsidRDefault="00000000">
      <w:pPr>
        <w:pStyle w:val="Normal9"/>
        <w:widowControl w:val="0"/>
        <w:spacing w:before="200" w:line="240" w:lineRule="atLeast"/>
        <w:jc w:val="both"/>
      </w:pPr>
      <w:r>
        <w:rPr>
          <w:rFonts w:ascii="Arial" w:eastAsia="Arial" w:hAnsi="Arial" w:cs="Arial"/>
          <w:color w:val="000000"/>
          <w:sz w:val="18"/>
          <w:vertAlign w:val="superscript"/>
        </w:rPr>
        <w:t>14 </w:t>
      </w:r>
      <w:bookmarkStart w:id="1669" w:name="Bookmark_fnpara_41"/>
      <w:bookmarkEnd w:id="1669"/>
      <w:r>
        <w:rPr>
          <w:rFonts w:ascii="Arial" w:eastAsia="Arial" w:hAnsi="Arial" w:cs="Arial"/>
          <w:color w:val="000000"/>
          <w:sz w:val="18"/>
        </w:rPr>
        <w:t xml:space="preserve">I agree with the majority opinion that there is no reason to superimpose a "nexus" standard onto the inquiry into whether a place of public accommodation violates the ADA when it offers a service, privilege, or advantage that can be attained solely by accessing its website. </w:t>
      </w:r>
      <w:r>
        <w:rPr>
          <w:rFonts w:ascii="Arial" w:eastAsia="Arial" w:hAnsi="Arial" w:cs="Arial"/>
          <w:i/>
          <w:color w:val="000000"/>
          <w:sz w:val="18"/>
        </w:rPr>
        <w:t>See</w:t>
      </w:r>
      <w:r>
        <w:rPr>
          <w:rFonts w:ascii="Arial" w:eastAsia="Arial" w:hAnsi="Arial" w:cs="Arial"/>
          <w:color w:val="000000"/>
          <w:sz w:val="18"/>
        </w:rPr>
        <w:t xml:space="preserve"> Maj. Op. at 26-27. We need only apply the statutory text and ask whether such a website's incompatibility with screen-reading software prevents disabled customers from fully and equally enjoying the offerings of a place of public accommodation. </w:t>
      </w:r>
      <w:r>
        <w:rPr>
          <w:rFonts w:ascii="Arial" w:eastAsia="Arial" w:hAnsi="Arial" w:cs="Arial"/>
          <w:i/>
          <w:color w:val="000000"/>
          <w:sz w:val="18"/>
        </w:rPr>
        <w:t>See</w:t>
      </w:r>
      <w:r>
        <w:rPr>
          <w:rFonts w:ascii="Arial" w:eastAsia="Arial" w:hAnsi="Arial" w:cs="Arial"/>
          <w:color w:val="000000"/>
          <w:sz w:val="18"/>
        </w:rPr>
        <w:t xml:space="preserve"> 42 U.S.C. § 12182(a).</w:t>
      </w:r>
    </w:p>
  </w:footnote>
  <w:footnote w:id="73">
    <w:p w14:paraId="1DAEBDE6" w14:textId="77777777" w:rsidR="002B10A6" w:rsidRDefault="00000000">
      <w:pPr>
        <w:pStyle w:val="Normal10"/>
        <w:widowControl w:val="0"/>
        <w:spacing w:before="120" w:line="240" w:lineRule="atLeast"/>
        <w:jc w:val="both"/>
      </w:pPr>
      <w:r>
        <w:rPr>
          <w:rFonts w:ascii="Arial" w:eastAsia="Arial" w:hAnsi="Arial" w:cs="Arial"/>
          <w:color w:val="000000"/>
          <w:sz w:val="18"/>
          <w:vertAlign w:val="superscript"/>
        </w:rPr>
        <w:t>* </w:t>
      </w:r>
      <w:bookmarkStart w:id="1686" w:name="Bookmark_fnpara_1_8"/>
      <w:bookmarkEnd w:id="1686"/>
      <w:r>
        <w:rPr>
          <w:rFonts w:ascii="Arial" w:eastAsia="Arial" w:hAnsi="Arial" w:cs="Arial"/>
          <w:color w:val="000000"/>
          <w:sz w:val="18"/>
        </w:rPr>
        <w:t>This disposition is not an opinion of the full Court and, under I.O.P. 5.7, is not binding precedent.</w:t>
      </w:r>
    </w:p>
  </w:footnote>
  <w:footnote w:id="74">
    <w:p w14:paraId="53B7F021" w14:textId="77777777" w:rsidR="002B10A6" w:rsidRDefault="00000000">
      <w:pPr>
        <w:pStyle w:val="Normal11"/>
        <w:widowControl w:val="0"/>
        <w:spacing w:before="120" w:line="240" w:lineRule="atLeast"/>
        <w:jc w:val="both"/>
      </w:pPr>
      <w:r>
        <w:rPr>
          <w:rFonts w:ascii="Arial" w:eastAsia="Arial" w:hAnsi="Arial" w:cs="Arial"/>
          <w:color w:val="000000"/>
          <w:sz w:val="18"/>
          <w:vertAlign w:val="superscript"/>
        </w:rPr>
        <w:t>1 </w:t>
      </w:r>
      <w:bookmarkStart w:id="1715" w:name="Bookmark_fnpara_1_9"/>
      <w:bookmarkEnd w:id="1715"/>
      <w:r>
        <w:rPr>
          <w:rFonts w:ascii="Arial" w:eastAsia="Arial" w:hAnsi="Arial" w:cs="Arial"/>
          <w:color w:val="000000"/>
          <w:sz w:val="18"/>
        </w:rPr>
        <w:t>Circuit Judge Peter W. Hall, originally a member of the panel, died before the filing of this opinion; the appeal is being decided by the remaining members of the panel, who are in agreement. See 2d Cir. IOP E(b).</w:t>
      </w:r>
    </w:p>
  </w:footnote>
  <w:footnote w:id="75">
    <w:p w14:paraId="5283F815" w14:textId="77777777" w:rsidR="002B10A6" w:rsidRDefault="00000000">
      <w:pPr>
        <w:pStyle w:val="Normal11"/>
        <w:widowControl w:val="0"/>
        <w:spacing w:before="120" w:line="240" w:lineRule="atLeast"/>
        <w:jc w:val="both"/>
      </w:pPr>
      <w:r>
        <w:rPr>
          <w:rFonts w:ascii="Arial" w:eastAsia="Arial" w:hAnsi="Arial" w:cs="Arial"/>
          <w:color w:val="000000"/>
          <w:sz w:val="18"/>
          <w:vertAlign w:val="superscript"/>
        </w:rPr>
        <w:t>2 </w:t>
      </w:r>
      <w:bookmarkStart w:id="1741" w:name="Bookmark_fnpara_2_6"/>
      <w:bookmarkEnd w:id="1741"/>
      <w:r>
        <w:rPr>
          <w:rFonts w:ascii="Arial" w:eastAsia="Arial" w:hAnsi="Arial" w:cs="Arial"/>
          <w:color w:val="000000"/>
          <w:sz w:val="18"/>
        </w:rPr>
        <w:t>The practice of borrowing state statutes of limitations created "a number of practical problems," including: "It obligates judges and lawyers to determine the most analogous state law claim; it imposes uncertainty on litigants; reliance on varying state laws results in undesirable variance among the federal courts and disrupts the development of federal doctrine on the suspension of limitation periods." H.R. Rep. No. 101-734, p. 24 (1990) (internal quotation marks omitted).</w:t>
      </w:r>
    </w:p>
  </w:footnote>
  <w:footnote w:id="76">
    <w:p w14:paraId="2BD10C28" w14:textId="77777777" w:rsidR="002B10A6" w:rsidRDefault="00000000">
      <w:pPr>
        <w:pStyle w:val="Normal11"/>
        <w:widowControl w:val="0"/>
        <w:spacing w:before="200" w:line="240" w:lineRule="atLeast"/>
        <w:jc w:val="both"/>
      </w:pPr>
      <w:r>
        <w:rPr>
          <w:rFonts w:ascii="Arial" w:eastAsia="Arial" w:hAnsi="Arial" w:cs="Arial"/>
          <w:color w:val="000000"/>
          <w:sz w:val="18"/>
          <w:vertAlign w:val="superscript"/>
        </w:rPr>
        <w:t>3 </w:t>
      </w:r>
      <w:bookmarkStart w:id="1753" w:name="Bookmark_fnpara_3_6"/>
      <w:bookmarkStart w:id="1754" w:name="Bookmark_I629DSSR2D6NK40040000400"/>
      <w:bookmarkEnd w:id="1753"/>
      <w:bookmarkEnd w:id="1754"/>
      <w:r>
        <w:rPr>
          <w:rFonts w:ascii="Arial" w:eastAsia="Arial" w:hAnsi="Arial" w:cs="Arial"/>
          <w:color w:val="000000"/>
          <w:sz w:val="18"/>
        </w:rPr>
        <w:t xml:space="preserve">In </w:t>
      </w:r>
      <w:r>
        <w:rPr>
          <w:rFonts w:ascii="Arial" w:eastAsia="Arial" w:hAnsi="Arial" w:cs="Arial"/>
          <w:i/>
          <w:color w:val="000000"/>
          <w:sz w:val="18"/>
        </w:rPr>
        <w:t>Jones</w:t>
      </w:r>
      <w:r>
        <w:rPr>
          <w:rFonts w:ascii="Arial" w:eastAsia="Arial" w:hAnsi="Arial" w:cs="Arial"/>
          <w:color w:val="000000"/>
          <w:sz w:val="18"/>
        </w:rPr>
        <w:t xml:space="preserve">, African-American employees brought a class action against their former employer for discrimination under § 1981 as amended by the Civil Rights Act of 1991. </w:t>
      </w:r>
      <w:bookmarkStart w:id="1755" w:name="Bookmark_I629DSSR2N1PT70010000400"/>
      <w:bookmarkStart w:id="1756" w:name="Bookmark_I629DSSR2D6NK40030000400"/>
      <w:bookmarkEnd w:id="1755"/>
      <w:bookmarkEnd w:id="1756"/>
      <w:r>
        <w:rPr>
          <w:rFonts w:ascii="Arial" w:eastAsia="Arial" w:hAnsi="Arial" w:cs="Arial"/>
          <w:i/>
          <w:color w:val="000000"/>
          <w:sz w:val="18"/>
        </w:rPr>
        <w:t>Jones</w:t>
      </w:r>
      <w:r>
        <w:rPr>
          <w:rFonts w:ascii="Arial" w:eastAsia="Arial" w:hAnsi="Arial" w:cs="Arial"/>
          <w:color w:val="000000"/>
          <w:sz w:val="18"/>
        </w:rPr>
        <w:t xml:space="preserve">, 541 U.S. at 371-72. </w:t>
      </w:r>
      <w:bookmarkStart w:id="1757" w:name="Bookmark_I629DSSR2N1PT70030000400"/>
      <w:bookmarkEnd w:id="1757"/>
      <w:r>
        <w:rPr>
          <w:rFonts w:ascii="Arial" w:eastAsia="Arial" w:hAnsi="Arial" w:cs="Arial"/>
          <w:color w:val="000000"/>
          <w:sz w:val="18"/>
        </w:rPr>
        <w:t xml:space="preserve">The Seventh Circuit had found that, because the claim arose under the unamended pre-1990 Act of Congress, § 1981, the federal four-year catchall limitations period did not apply. </w:t>
      </w:r>
      <w:bookmarkStart w:id="1758" w:name="Bookmark_I629DSSR2N1PT70030000400_2"/>
      <w:bookmarkStart w:id="1759" w:name="Bookmark_I629DSSR2N1PT70010000400_2"/>
      <w:bookmarkStart w:id="1760" w:name="Bookmark_I629DSSR2D6NK40050000400"/>
      <w:bookmarkEnd w:id="1758"/>
      <w:bookmarkEnd w:id="1759"/>
      <w:bookmarkEnd w:id="1760"/>
      <w:r>
        <w:rPr>
          <w:rFonts w:ascii="Arial" w:eastAsia="Arial" w:hAnsi="Arial" w:cs="Arial"/>
          <w:i/>
          <w:color w:val="000000"/>
          <w:sz w:val="18"/>
        </w:rPr>
        <w:t>Id.</w:t>
      </w:r>
      <w:r>
        <w:rPr>
          <w:rFonts w:ascii="Arial" w:eastAsia="Arial" w:hAnsi="Arial" w:cs="Arial"/>
          <w:color w:val="000000"/>
          <w:sz w:val="18"/>
        </w:rPr>
        <w:t xml:space="preserve"> at 374. The Supreme Court reversed and remanded, </w:t>
      </w:r>
      <w:bookmarkStart w:id="1761" w:name="Bookmark_I629DSSR2N1PT70020000400"/>
      <w:bookmarkEnd w:id="1761"/>
      <w:r>
        <w:rPr>
          <w:rFonts w:ascii="Arial" w:eastAsia="Arial" w:hAnsi="Arial" w:cs="Arial"/>
          <w:i/>
          <w:color w:val="000000"/>
          <w:sz w:val="18"/>
        </w:rPr>
        <w:t>id.</w:t>
      </w:r>
      <w:r>
        <w:rPr>
          <w:rFonts w:ascii="Arial" w:eastAsia="Arial" w:hAnsi="Arial" w:cs="Arial"/>
          <w:color w:val="000000"/>
          <w:sz w:val="18"/>
        </w:rPr>
        <w:t xml:space="preserve"> at 385, holding that "in this case, petitioners' hostile work environment, wrongful termination, and failure to transfer claims 'ar[ose] under' the 1991 Act in the sense that petitioners' causes of action were made possible by that Act," </w:t>
      </w:r>
      <w:bookmarkStart w:id="1762" w:name="Bookmark_I629DSSR2N1PT70040000400"/>
      <w:bookmarkEnd w:id="1762"/>
      <w:r>
        <w:rPr>
          <w:rFonts w:ascii="Arial" w:eastAsia="Arial" w:hAnsi="Arial" w:cs="Arial"/>
          <w:i/>
          <w:color w:val="000000"/>
          <w:sz w:val="18"/>
        </w:rPr>
        <w:t>id.</w:t>
      </w:r>
      <w:r>
        <w:rPr>
          <w:rFonts w:ascii="Arial" w:eastAsia="Arial" w:hAnsi="Arial" w:cs="Arial"/>
          <w:color w:val="000000"/>
          <w:sz w:val="18"/>
        </w:rPr>
        <w:t xml:space="preserve"> at 383 (brackets in original).</w:t>
      </w:r>
    </w:p>
  </w:footnote>
  <w:footnote w:id="77">
    <w:p w14:paraId="0DCC1BCC" w14:textId="77777777" w:rsidR="002B10A6" w:rsidRDefault="00000000">
      <w:pPr>
        <w:pStyle w:val="Normal11"/>
        <w:widowControl w:val="0"/>
        <w:spacing w:before="120" w:line="240" w:lineRule="atLeast"/>
        <w:jc w:val="both"/>
      </w:pPr>
      <w:r>
        <w:rPr>
          <w:rFonts w:ascii="Arial" w:eastAsia="Arial" w:hAnsi="Arial" w:cs="Arial"/>
          <w:color w:val="000000"/>
          <w:sz w:val="18"/>
          <w:vertAlign w:val="superscript"/>
        </w:rPr>
        <w:t>4 </w:t>
      </w:r>
      <w:bookmarkStart w:id="1773" w:name="Bookmark_fnpara_4_6"/>
      <w:bookmarkStart w:id="1774" w:name="Bookmark_LNHNREFclscc9_7"/>
      <w:bookmarkEnd w:id="1773"/>
      <w:bookmarkEnd w:id="1774"/>
      <w:r>
        <w:rPr>
          <w:rFonts w:ascii="Arial" w:eastAsia="Arial" w:hAnsi="Arial" w:cs="Arial"/>
          <w:color w:val="000000"/>
          <w:sz w:val="18"/>
        </w:rPr>
        <w:t>Both parties agree, however, that the ACA borrows enforcement mechanisms from the Rehabilitation Act: "The enforcement mechanisms provided for and available under [the Rehabilitation Act] shall apply for purposes of violations of this subsection." 42 U.S.C. § 18116(a). Rehabilitation Act enforcement mechanisms include that persons discriminated against may seek injunctive relief, damages, etc.; that the Attorney General may investigate claims and undertake periodic compliance reviews; and that private parties and/or the Attorney General may bring civil suits. 42 U.S.C. §§ 12133, 12188.</w:t>
      </w:r>
    </w:p>
  </w:footnote>
  <w:footnote w:id="78">
    <w:p w14:paraId="6A531C9A" w14:textId="77777777" w:rsidR="002B10A6" w:rsidRDefault="00000000">
      <w:pPr>
        <w:pStyle w:val="Normal11"/>
        <w:widowControl w:val="0"/>
        <w:spacing w:before="200" w:line="240" w:lineRule="atLeast"/>
        <w:jc w:val="both"/>
      </w:pPr>
      <w:r>
        <w:rPr>
          <w:rFonts w:ascii="Arial" w:eastAsia="Arial" w:hAnsi="Arial" w:cs="Arial"/>
          <w:color w:val="000000"/>
          <w:sz w:val="18"/>
          <w:vertAlign w:val="superscript"/>
        </w:rPr>
        <w:t>5 </w:t>
      </w:r>
      <w:bookmarkStart w:id="1775" w:name="Bookmark_fnpara_5_4"/>
      <w:bookmarkStart w:id="1776" w:name="Bookmark_I629DSSR28T4C70040000400"/>
      <w:bookmarkEnd w:id="1775"/>
      <w:bookmarkEnd w:id="1776"/>
      <w:r>
        <w:rPr>
          <w:rFonts w:ascii="Arial" w:eastAsia="Arial" w:hAnsi="Arial" w:cs="Arial"/>
          <w:color w:val="000000"/>
          <w:sz w:val="18"/>
        </w:rPr>
        <w:t xml:space="preserve">At the time of the alleged discrimination, proposed rules—now in effect—had been developed regarding a change in standards applied to disability discrimination claims under the ACA. The rules were proposed on September 8, 2015 and went into effect July 18, 2016. </w:t>
      </w:r>
      <w:bookmarkStart w:id="1777" w:name="Bookmark_I629DSSR2N1PT80010000400"/>
      <w:bookmarkEnd w:id="1777"/>
      <w:r>
        <w:rPr>
          <w:rFonts w:ascii="Arial" w:eastAsia="Arial" w:hAnsi="Arial" w:cs="Arial"/>
          <w:i/>
          <w:color w:val="000000"/>
          <w:sz w:val="18"/>
        </w:rPr>
        <w:t>See</w:t>
      </w:r>
      <w:r>
        <w:rPr>
          <w:rFonts w:ascii="Arial" w:eastAsia="Arial" w:hAnsi="Arial" w:cs="Arial"/>
          <w:color w:val="000000"/>
          <w:sz w:val="18"/>
        </w:rPr>
        <w:t xml:space="preserve"> </w:t>
      </w:r>
      <w:bookmarkStart w:id="1778" w:name="Bookmark_I629DSSR28T4C70030000400"/>
      <w:bookmarkEnd w:id="1778"/>
      <w:r>
        <w:rPr>
          <w:rFonts w:ascii="Arial" w:eastAsia="Arial" w:hAnsi="Arial" w:cs="Arial"/>
          <w:color w:val="000000"/>
          <w:sz w:val="18"/>
        </w:rPr>
        <w:t xml:space="preserve">U.S. Dep't of Health &amp; Human Servs., Nondiscrimination in Health Programs and Activities, 80 Fed. Reg. 54172 (proposed Sept. 8, 2015). Although those 2016 rules were amended in August 2020, the rules relevant to this appeal were not substantively changed. </w:t>
      </w:r>
      <w:bookmarkStart w:id="1779" w:name="Bookmark_I629DSSR2N1PT80010000400_2"/>
      <w:bookmarkStart w:id="1780" w:name="Bookmark_I629DSSR2N1PT80030000400"/>
      <w:bookmarkEnd w:id="1779"/>
      <w:bookmarkEnd w:id="1780"/>
      <w:r>
        <w:rPr>
          <w:rFonts w:ascii="Arial" w:eastAsia="Arial" w:hAnsi="Arial" w:cs="Arial"/>
          <w:i/>
          <w:color w:val="000000"/>
          <w:sz w:val="18"/>
        </w:rPr>
        <w:t>See</w:t>
      </w:r>
      <w:r>
        <w:rPr>
          <w:rFonts w:ascii="Arial" w:eastAsia="Arial" w:hAnsi="Arial" w:cs="Arial"/>
          <w:color w:val="000000"/>
          <w:sz w:val="18"/>
        </w:rPr>
        <w:t xml:space="preserve"> </w:t>
      </w:r>
      <w:bookmarkStart w:id="1781" w:name="Bookmark_I629DSSR28T4C70050000400"/>
      <w:bookmarkEnd w:id="1781"/>
      <w:r>
        <w:rPr>
          <w:rFonts w:ascii="Arial" w:eastAsia="Arial" w:hAnsi="Arial" w:cs="Arial"/>
          <w:color w:val="000000"/>
          <w:sz w:val="18"/>
        </w:rPr>
        <w:t xml:space="preserve">U.S. Dep't of Health &amp; Human Servs., Nondiscrimination in Health and Health Education Programs or Activities, Delegation of Authority, 85 Fed. Reg. 37160-01 (2020); </w:t>
      </w:r>
      <w:r>
        <w:rPr>
          <w:rFonts w:ascii="Arial" w:eastAsia="Arial" w:hAnsi="Arial" w:cs="Arial"/>
          <w:i/>
          <w:color w:val="000000"/>
          <w:sz w:val="18"/>
        </w:rPr>
        <w:t>compare</w:t>
      </w:r>
      <w:r>
        <w:rPr>
          <w:rFonts w:ascii="Arial" w:eastAsia="Arial" w:hAnsi="Arial" w:cs="Arial"/>
          <w:color w:val="000000"/>
          <w:sz w:val="18"/>
        </w:rPr>
        <w:t xml:space="preserve"> 45 C.F.R. § 92.202 (2016 Rule) </w:t>
      </w:r>
      <w:r>
        <w:rPr>
          <w:rFonts w:ascii="Arial" w:eastAsia="Arial" w:hAnsi="Arial" w:cs="Arial"/>
          <w:i/>
          <w:color w:val="000000"/>
          <w:sz w:val="18"/>
        </w:rPr>
        <w:t>with</w:t>
      </w:r>
      <w:r>
        <w:rPr>
          <w:rFonts w:ascii="Arial" w:eastAsia="Arial" w:hAnsi="Arial" w:cs="Arial"/>
          <w:color w:val="000000"/>
          <w:sz w:val="18"/>
        </w:rPr>
        <w:t xml:space="preserve"> 45 C.F.R. § 92.102 (2020 Rule). </w:t>
      </w:r>
      <w:bookmarkStart w:id="1782" w:name="Bookmark_I629DSSR2N1PT80030000400_2"/>
      <w:bookmarkStart w:id="1783" w:name="Bookmark_LNHNREFclscc10_6"/>
      <w:bookmarkEnd w:id="1782"/>
      <w:bookmarkEnd w:id="1783"/>
      <w:r>
        <w:rPr>
          <w:rFonts w:ascii="Arial" w:eastAsia="Arial" w:hAnsi="Arial" w:cs="Arial"/>
          <w:color w:val="000000"/>
          <w:sz w:val="18"/>
        </w:rPr>
        <w:t xml:space="preserve">Generally, we recognize that proposed agency regulations and interpretations carry some persuasive weight. </w:t>
      </w:r>
      <w:r>
        <w:rPr>
          <w:rFonts w:ascii="Arial" w:eastAsia="Arial" w:hAnsi="Arial" w:cs="Arial"/>
          <w:i/>
          <w:color w:val="000000"/>
          <w:sz w:val="18"/>
        </w:rPr>
        <w:t xml:space="preserve">See </w:t>
      </w:r>
      <w:bookmarkStart w:id="1784" w:name="Bookmark_I629DSSR2N1PT80020000400"/>
      <w:bookmarkEnd w:id="1784"/>
      <w:r>
        <w:rPr>
          <w:rFonts w:ascii="Arial" w:eastAsia="Arial" w:hAnsi="Arial" w:cs="Arial"/>
          <w:i/>
          <w:color w:val="000000"/>
          <w:sz w:val="18"/>
        </w:rPr>
        <w:t>Skidmore v. Swift &amp; Co.</w:t>
      </w:r>
      <w:r>
        <w:rPr>
          <w:rFonts w:ascii="Arial" w:eastAsia="Arial" w:hAnsi="Arial" w:cs="Arial"/>
          <w:color w:val="000000"/>
          <w:sz w:val="18"/>
        </w:rPr>
        <w:t xml:space="preserve">, 323 U.S. 134, 140, 65 S. Ct. 161, 89 L. Ed. 124 (1944) ("The weight of such a judgment in a particular case will depend upon the thoroughness evident in [the proposed rules'] consideration, the validity of its reasoning, its consistency with earlier and later pronouncements, and all those factors which give it power to persuade, if lacking power to control."); </w:t>
      </w:r>
      <w:r>
        <w:rPr>
          <w:rFonts w:ascii="Arial" w:eastAsia="Arial" w:hAnsi="Arial" w:cs="Arial"/>
          <w:i/>
          <w:color w:val="000000"/>
          <w:sz w:val="18"/>
        </w:rPr>
        <w:t xml:space="preserve">see also </w:t>
      </w:r>
      <w:bookmarkStart w:id="1785" w:name="Bookmark_I629DSSR2N1PT80040000400"/>
      <w:bookmarkEnd w:id="1785"/>
      <w:r>
        <w:rPr>
          <w:rFonts w:ascii="Arial" w:eastAsia="Arial" w:hAnsi="Arial" w:cs="Arial"/>
          <w:i/>
          <w:color w:val="000000"/>
          <w:sz w:val="18"/>
        </w:rPr>
        <w:t>De La Mota v. United States Dep't of Educ.</w:t>
      </w:r>
      <w:r>
        <w:rPr>
          <w:rFonts w:ascii="Arial" w:eastAsia="Arial" w:hAnsi="Arial" w:cs="Arial"/>
          <w:color w:val="000000"/>
          <w:sz w:val="18"/>
        </w:rPr>
        <w:t xml:space="preserve">, 412 F.3d 71, 79 (2d Cir. 2005) ("The weight we accord [to a proposed agency interpretation] is determined through </w:t>
      </w:r>
      <w:r>
        <w:rPr>
          <w:rFonts w:ascii="Arial" w:eastAsia="Arial" w:hAnsi="Arial" w:cs="Arial"/>
          <w:i/>
          <w:color w:val="000000"/>
          <w:sz w:val="18"/>
        </w:rPr>
        <w:t>Skidmore</w:t>
      </w:r>
      <w:r>
        <w:rPr>
          <w:rFonts w:ascii="Arial" w:eastAsia="Arial" w:hAnsi="Arial" w:cs="Arial"/>
          <w:color w:val="000000"/>
          <w:sz w:val="18"/>
        </w:rPr>
        <w:t xml:space="preserve"> analysis."); </w:t>
      </w:r>
      <w:bookmarkStart w:id="1786" w:name="Bookmark_I629DSSS2D6NK70010000400"/>
      <w:bookmarkEnd w:id="1786"/>
      <w:r>
        <w:rPr>
          <w:rFonts w:ascii="Arial" w:eastAsia="Arial" w:hAnsi="Arial" w:cs="Arial"/>
          <w:i/>
          <w:color w:val="000000"/>
          <w:sz w:val="18"/>
        </w:rPr>
        <w:t>Callum v. CVS Health Corp.</w:t>
      </w:r>
      <w:r>
        <w:rPr>
          <w:rFonts w:ascii="Arial" w:eastAsia="Arial" w:hAnsi="Arial" w:cs="Arial"/>
          <w:color w:val="000000"/>
          <w:sz w:val="18"/>
        </w:rPr>
        <w:t>, 137 F. Supp. 3d 817, 850 (D.S.C. 2015) (regarding "[t]he weight the Court may afford the preamble and proposed regulations"). While this case is not wholly dependent upon the distinctions between the Rehabilitation Act and the ACA, the proposed regulations that took effect after Vega-Ruiz's alleged harm are persuasive. The streamlining of treatment afforded defendant-entities is consistent with the existing framework of the Rehabilitation Act and has since been adopted as law. It is not unreasonable to give the then-proposed, now-realized distinctions between the Rehabilitation Act and the ACA some weight as we contemplate Vega-Ruiz's appeal.</w:t>
      </w:r>
    </w:p>
  </w:footnote>
  <w:footnote w:id="79">
    <w:p w14:paraId="117D2254" w14:textId="77777777" w:rsidR="002B10A6" w:rsidRDefault="00000000">
      <w:pPr>
        <w:pStyle w:val="Normal11"/>
        <w:widowControl w:val="0"/>
        <w:spacing w:before="200" w:line="240" w:lineRule="atLeast"/>
        <w:jc w:val="both"/>
      </w:pPr>
      <w:r>
        <w:rPr>
          <w:rFonts w:ascii="Arial" w:eastAsia="Arial" w:hAnsi="Arial" w:cs="Arial"/>
          <w:color w:val="000000"/>
          <w:sz w:val="18"/>
          <w:vertAlign w:val="superscript"/>
        </w:rPr>
        <w:t>6 </w:t>
      </w:r>
      <w:bookmarkStart w:id="1792" w:name="Bookmark_fnpara_6_3"/>
      <w:bookmarkEnd w:id="1792"/>
      <w:r>
        <w:rPr>
          <w:rFonts w:ascii="Arial" w:eastAsia="Arial" w:hAnsi="Arial" w:cs="Arial"/>
          <w:color w:val="000000"/>
          <w:sz w:val="18"/>
        </w:rPr>
        <w:t xml:space="preserve">A recent district court case from the Eastern District of Tennessee, </w:t>
      </w:r>
      <w:bookmarkStart w:id="1793" w:name="Bookmark_I629DSSS28T4CB0020000400"/>
      <w:bookmarkEnd w:id="1793"/>
      <w:r>
        <w:rPr>
          <w:rFonts w:ascii="Arial" w:eastAsia="Arial" w:hAnsi="Arial" w:cs="Arial"/>
          <w:i/>
          <w:color w:val="000000"/>
          <w:sz w:val="18"/>
        </w:rPr>
        <w:t>Tomei v. Parkwest Med. Ctr.</w:t>
      </w:r>
      <w:r>
        <w:rPr>
          <w:rFonts w:ascii="Arial" w:eastAsia="Arial" w:hAnsi="Arial" w:cs="Arial"/>
          <w:color w:val="000000"/>
          <w:sz w:val="18"/>
        </w:rPr>
        <w:t xml:space="preserve">, No. 19-CV-00041 (E.D. Tenn. June 10, 2020), discussed by the parties in their Federal Rule of Appellate Procedure 28(j) letters, decided the statute of limitations issue in favor of a four-year statute of limitations period and in line with the reasoning of the court in </w:t>
      </w:r>
      <w:bookmarkStart w:id="1794" w:name="Bookmark_I629DSSS28T4CB0040000400"/>
      <w:bookmarkEnd w:id="1794"/>
      <w:r>
        <w:rPr>
          <w:rFonts w:ascii="Arial" w:eastAsia="Arial" w:hAnsi="Arial" w:cs="Arial"/>
          <w:i/>
          <w:color w:val="000000"/>
          <w:sz w:val="18"/>
        </w:rPr>
        <w:t>Palacios v. MedStar Health, Inc.</w:t>
      </w:r>
      <w:r>
        <w:rPr>
          <w:rFonts w:ascii="Arial" w:eastAsia="Arial" w:hAnsi="Arial" w:cs="Arial"/>
          <w:color w:val="000000"/>
          <w:sz w:val="18"/>
        </w:rPr>
        <w:t>, 298 F. Supp. 3d 87 (D.D.C. 2018) (applying § 1658's four-year limitations period to an ACA discrimination case).</w:t>
      </w:r>
    </w:p>
  </w:footnote>
  <w:footnote w:id="80">
    <w:p w14:paraId="089AB6F4" w14:textId="77777777" w:rsidR="002B10A6" w:rsidRDefault="00000000">
      <w:pPr>
        <w:pStyle w:val="Normal12"/>
        <w:widowControl w:val="0"/>
        <w:spacing w:before="120" w:line="240" w:lineRule="atLeast"/>
        <w:jc w:val="both"/>
      </w:pPr>
      <w:r>
        <w:rPr>
          <w:rFonts w:ascii="Arial" w:eastAsia="Arial" w:hAnsi="Arial" w:cs="Arial"/>
          <w:color w:val="000000"/>
          <w:sz w:val="18"/>
          <w:vertAlign w:val="superscript"/>
        </w:rPr>
        <w:t>1 </w:t>
      </w:r>
      <w:bookmarkStart w:id="1808" w:name="Bookmark_fnpara_1_10"/>
      <w:bookmarkEnd w:id="1808"/>
      <w:r>
        <w:rPr>
          <w:rFonts w:ascii="Arial" w:eastAsia="Arial" w:hAnsi="Arial" w:cs="Arial"/>
          <w:color w:val="000000"/>
          <w:sz w:val="18"/>
        </w:rPr>
        <w:t>Honorable Wendy Beetlestone, District Judge, United States District Court for the Eastern District of Pennsylvania, sitting by designation.</w:t>
      </w:r>
    </w:p>
  </w:footnote>
  <w:footnote w:id="81">
    <w:p w14:paraId="3269583A" w14:textId="77777777" w:rsidR="002B10A6" w:rsidRDefault="00000000">
      <w:pPr>
        <w:pStyle w:val="Normal12"/>
        <w:widowControl w:val="0"/>
        <w:spacing w:before="200" w:line="240" w:lineRule="atLeast"/>
        <w:jc w:val="both"/>
      </w:pPr>
      <w:r>
        <w:rPr>
          <w:rFonts w:ascii="Arial" w:eastAsia="Arial" w:hAnsi="Arial" w:cs="Arial"/>
          <w:color w:val="000000"/>
          <w:sz w:val="18"/>
          <w:vertAlign w:val="superscript"/>
        </w:rPr>
        <w:t>2 </w:t>
      </w:r>
      <w:bookmarkStart w:id="1820" w:name="Bookmark_fnpara_2_7"/>
      <w:bookmarkStart w:id="1821" w:name="Bookmark_I627Y0742D6NRP0010000400"/>
      <w:bookmarkEnd w:id="1820"/>
      <w:bookmarkEnd w:id="1821"/>
      <w:r>
        <w:rPr>
          <w:rFonts w:ascii="Arial" w:eastAsia="Arial" w:hAnsi="Arial" w:cs="Arial"/>
          <w:color w:val="000000"/>
          <w:sz w:val="18"/>
        </w:rPr>
        <w:t xml:space="preserve">Pursuant to 28 U.S.C. § 636(c), the parties consented to proceed before a magistrate judge. We therefore refer to the Magistrate Judge's rulings as those of the District Court. </w:t>
      </w:r>
      <w:r>
        <w:rPr>
          <w:rFonts w:ascii="Arial" w:eastAsia="Arial" w:hAnsi="Arial" w:cs="Arial"/>
          <w:i/>
          <w:color w:val="000000"/>
          <w:sz w:val="18"/>
        </w:rPr>
        <w:t xml:space="preserve">See </w:t>
      </w:r>
      <w:bookmarkStart w:id="1822" w:name="Bookmark_I627Y0732SF7XM0050000400"/>
      <w:bookmarkEnd w:id="1822"/>
      <w:r>
        <w:rPr>
          <w:rFonts w:ascii="Arial" w:eastAsia="Arial" w:hAnsi="Arial" w:cs="Arial"/>
          <w:i/>
          <w:color w:val="000000"/>
          <w:sz w:val="18"/>
        </w:rPr>
        <w:t>Hardy v. Shaikh</w:t>
      </w:r>
      <w:r>
        <w:rPr>
          <w:rFonts w:ascii="Arial" w:eastAsia="Arial" w:hAnsi="Arial" w:cs="Arial"/>
          <w:color w:val="000000"/>
          <w:sz w:val="18"/>
        </w:rPr>
        <w:t>, 959 F.3d 578, 583 n.4 (3d Cir. 2020).</w:t>
      </w:r>
    </w:p>
  </w:footnote>
  <w:footnote w:id="82">
    <w:p w14:paraId="0E6A7BA5" w14:textId="77777777" w:rsidR="002B10A6" w:rsidRDefault="00000000">
      <w:pPr>
        <w:pStyle w:val="Normal12"/>
        <w:widowControl w:val="0"/>
        <w:spacing w:before="200" w:line="240" w:lineRule="atLeast"/>
        <w:jc w:val="both"/>
      </w:pPr>
      <w:r>
        <w:rPr>
          <w:rFonts w:ascii="Arial" w:eastAsia="Arial" w:hAnsi="Arial" w:cs="Arial"/>
          <w:color w:val="000000"/>
          <w:sz w:val="18"/>
          <w:vertAlign w:val="superscript"/>
        </w:rPr>
        <w:t>3 </w:t>
      </w:r>
      <w:bookmarkStart w:id="1845" w:name="Bookmark_fnpara_3_7"/>
      <w:bookmarkEnd w:id="1845"/>
      <w:r>
        <w:rPr>
          <w:rFonts w:ascii="Arial" w:eastAsia="Arial" w:hAnsi="Arial" w:cs="Arial"/>
          <w:color w:val="000000"/>
          <w:sz w:val="18"/>
        </w:rPr>
        <w:t xml:space="preserve">While the district court in </w:t>
      </w:r>
      <w:r>
        <w:rPr>
          <w:rFonts w:ascii="Arial" w:eastAsia="Arial" w:hAnsi="Arial" w:cs="Arial"/>
          <w:i/>
          <w:color w:val="000000"/>
          <w:sz w:val="18"/>
        </w:rPr>
        <w:t>Griswold</w:t>
      </w:r>
      <w:r>
        <w:rPr>
          <w:rFonts w:ascii="Arial" w:eastAsia="Arial" w:hAnsi="Arial" w:cs="Arial"/>
          <w:color w:val="000000"/>
          <w:sz w:val="18"/>
        </w:rPr>
        <w:t xml:space="preserve"> concluded that plaintiffs had standing in the course of denying the defendants' motion to dismiss, the District Court here stated that "Plaintiffs' Article III standing [was] established" in the course of denying defendant Uber's motion to compel. For our purposes, this is a distinction without a difference, as Uber essentially conceded at oral argument. </w:t>
      </w:r>
      <w:r>
        <w:rPr>
          <w:rFonts w:ascii="Arial" w:eastAsia="Arial" w:hAnsi="Arial" w:cs="Arial"/>
          <w:i/>
          <w:color w:val="000000"/>
          <w:sz w:val="18"/>
        </w:rPr>
        <w:t>See</w:t>
      </w:r>
      <w:r>
        <w:rPr>
          <w:rFonts w:ascii="Arial" w:eastAsia="Arial" w:hAnsi="Arial" w:cs="Arial"/>
          <w:color w:val="000000"/>
          <w:sz w:val="18"/>
        </w:rPr>
        <w:t xml:space="preserve"> Oral Arg. at 2:25, </w:t>
      </w:r>
      <w:r>
        <w:rPr>
          <w:rFonts w:ascii="Arial" w:eastAsia="Arial" w:hAnsi="Arial" w:cs="Arial"/>
          <w:i/>
          <w:color w:val="000000"/>
          <w:sz w:val="18"/>
        </w:rPr>
        <w:t>O'Hanlon v. Uber Techs., Inc.</w:t>
      </w:r>
      <w:r>
        <w:rPr>
          <w:rFonts w:ascii="Arial" w:eastAsia="Arial" w:hAnsi="Arial" w:cs="Arial"/>
          <w:color w:val="000000"/>
          <w:sz w:val="18"/>
        </w:rPr>
        <w:t xml:space="preserve"> (No. 19-3891), https://www2.ca3.uscourts.gov/oralargument/audio/19-3891_OHanlonv.UberTechnologies.mp3.</w:t>
      </w:r>
    </w:p>
    <w:p w14:paraId="261622DD" w14:textId="77777777" w:rsidR="002B10A6" w:rsidRDefault="00000000">
      <w:pPr>
        <w:pStyle w:val="Normal12"/>
        <w:widowControl w:val="0"/>
        <w:spacing w:before="200" w:line="240" w:lineRule="atLeast"/>
        <w:jc w:val="both"/>
      </w:pPr>
      <w:bookmarkStart w:id="1846" w:name="Bookmark_fnpara_4_7"/>
      <w:bookmarkStart w:id="1847" w:name="Bookmark_I627Y07528T4HY0030000400"/>
      <w:bookmarkStart w:id="1848" w:name="Bookmark_I627Y07528T4HY0050000400"/>
      <w:bookmarkEnd w:id="1846"/>
      <w:bookmarkEnd w:id="1847"/>
      <w:bookmarkEnd w:id="1848"/>
      <w:r>
        <w:rPr>
          <w:rFonts w:ascii="Arial" w:eastAsia="Arial" w:hAnsi="Arial" w:cs="Arial"/>
          <w:color w:val="000000"/>
          <w:sz w:val="18"/>
        </w:rPr>
        <w:t xml:space="preserve">To the extent it argued otherwise in its briefing, Uber was mistaken in any event. </w:t>
      </w:r>
      <w:bookmarkStart w:id="1849" w:name="Bookmark_I130PTFST4900003YBJ0000D"/>
      <w:bookmarkStart w:id="1850" w:name="Bookmark_I627Y0752N1R000040000400"/>
      <w:bookmarkEnd w:id="1849"/>
      <w:bookmarkEnd w:id="1850"/>
      <w:r>
        <w:rPr>
          <w:rFonts w:ascii="Arial" w:eastAsia="Arial" w:hAnsi="Arial" w:cs="Arial"/>
          <w:color w:val="000000"/>
          <w:sz w:val="18"/>
        </w:rPr>
        <w:t xml:space="preserve">Uber cited </w:t>
      </w:r>
      <w:bookmarkStart w:id="1851" w:name="Bookmark_I627Y07528T4HY0020000400"/>
      <w:bookmarkEnd w:id="1851"/>
      <w:r>
        <w:rPr>
          <w:rFonts w:ascii="Arial" w:eastAsia="Arial" w:hAnsi="Arial" w:cs="Arial"/>
          <w:i/>
          <w:color w:val="000000"/>
          <w:sz w:val="18"/>
        </w:rPr>
        <w:t>In re Majestic Star Casino, LLC</w:t>
      </w:r>
      <w:r>
        <w:rPr>
          <w:rFonts w:ascii="Arial" w:eastAsia="Arial" w:hAnsi="Arial" w:cs="Arial"/>
          <w:color w:val="000000"/>
          <w:sz w:val="18"/>
        </w:rPr>
        <w:t xml:space="preserve">, 716 F.3d 736 (3d Cir. 2013), for the proposition that we must assess standing to sue on appeal if "there was no lower-court order refusing to dismiss the case on standing grounds." Reply Br. 4. </w:t>
      </w:r>
      <w:bookmarkStart w:id="1852" w:name="Bookmark_I627Y0752N1R000040000400_2"/>
      <w:bookmarkStart w:id="1853" w:name="Bookmark_I627Y07528T4HY0050000400_2"/>
      <w:bookmarkEnd w:id="1852"/>
      <w:bookmarkEnd w:id="1853"/>
      <w:r>
        <w:rPr>
          <w:rFonts w:ascii="Arial" w:eastAsia="Arial" w:hAnsi="Arial" w:cs="Arial"/>
          <w:color w:val="000000"/>
          <w:sz w:val="18"/>
        </w:rPr>
        <w:t xml:space="preserve">As we indicated in </w:t>
      </w:r>
      <w:r>
        <w:rPr>
          <w:rFonts w:ascii="Arial" w:eastAsia="Arial" w:hAnsi="Arial" w:cs="Arial"/>
          <w:i/>
          <w:color w:val="000000"/>
          <w:sz w:val="18"/>
        </w:rPr>
        <w:t>Griswold</w:t>
      </w:r>
      <w:r>
        <w:rPr>
          <w:rFonts w:ascii="Arial" w:eastAsia="Arial" w:hAnsi="Arial" w:cs="Arial"/>
          <w:color w:val="000000"/>
          <w:sz w:val="18"/>
        </w:rPr>
        <w:t xml:space="preserve">, however, we analyzed standing to sue in </w:t>
      </w:r>
      <w:r>
        <w:rPr>
          <w:rFonts w:ascii="Arial" w:eastAsia="Arial" w:hAnsi="Arial" w:cs="Arial"/>
          <w:i/>
          <w:color w:val="000000"/>
          <w:sz w:val="18"/>
        </w:rPr>
        <w:t>Majestic Star Casino</w:t>
      </w:r>
      <w:r>
        <w:rPr>
          <w:rFonts w:ascii="Arial" w:eastAsia="Arial" w:hAnsi="Arial" w:cs="Arial"/>
          <w:color w:val="000000"/>
          <w:sz w:val="18"/>
        </w:rPr>
        <w:t xml:space="preserve"> as a matter of pendent jurisdiction, i.e., because "the standing issue . . . was inextricably intertwined with the merits of the case." </w:t>
      </w:r>
      <w:bookmarkStart w:id="1854" w:name="Bookmark_I627Y07528T4HY0040000400"/>
      <w:bookmarkEnd w:id="1854"/>
      <w:r>
        <w:rPr>
          <w:rFonts w:ascii="Arial" w:eastAsia="Arial" w:hAnsi="Arial" w:cs="Arial"/>
          <w:i/>
          <w:color w:val="000000"/>
          <w:sz w:val="18"/>
        </w:rPr>
        <w:t>Griswold</w:t>
      </w:r>
      <w:r>
        <w:rPr>
          <w:rFonts w:ascii="Arial" w:eastAsia="Arial" w:hAnsi="Arial" w:cs="Arial"/>
          <w:color w:val="000000"/>
          <w:sz w:val="18"/>
        </w:rPr>
        <w:t xml:space="preserve">, 762 F.3d at 269 (citing </w:t>
      </w:r>
      <w:bookmarkStart w:id="1855" w:name="Bookmark_I627Y0752N1R000010000400"/>
      <w:bookmarkEnd w:id="1855"/>
      <w:r>
        <w:rPr>
          <w:rFonts w:ascii="Arial" w:eastAsia="Arial" w:hAnsi="Arial" w:cs="Arial"/>
          <w:i/>
          <w:color w:val="000000"/>
          <w:sz w:val="18"/>
        </w:rPr>
        <w:t>Majestic Star Casino</w:t>
      </w:r>
      <w:r>
        <w:rPr>
          <w:rFonts w:ascii="Arial" w:eastAsia="Arial" w:hAnsi="Arial" w:cs="Arial"/>
          <w:color w:val="000000"/>
          <w:sz w:val="18"/>
        </w:rPr>
        <w:t xml:space="preserve">, 716 F.3d at 749). Thus, although we noted that "the standing issue [in </w:t>
      </w:r>
      <w:r>
        <w:rPr>
          <w:rFonts w:ascii="Arial" w:eastAsia="Arial" w:hAnsi="Arial" w:cs="Arial"/>
          <w:i/>
          <w:color w:val="000000"/>
          <w:sz w:val="18"/>
        </w:rPr>
        <w:t>Majestic Star Casino</w:t>
      </w:r>
      <w:r>
        <w:rPr>
          <w:rFonts w:ascii="Arial" w:eastAsia="Arial" w:hAnsi="Arial" w:cs="Arial"/>
          <w:color w:val="000000"/>
          <w:sz w:val="18"/>
        </w:rPr>
        <w:t xml:space="preserve">] was raised for the first time on appeal," </w:t>
      </w:r>
      <w:r>
        <w:rPr>
          <w:rFonts w:ascii="Arial" w:eastAsia="Arial" w:hAnsi="Arial" w:cs="Arial"/>
          <w:i/>
          <w:color w:val="000000"/>
          <w:sz w:val="18"/>
        </w:rPr>
        <w:t>id.</w:t>
      </w:r>
      <w:r>
        <w:rPr>
          <w:rFonts w:ascii="Arial" w:eastAsia="Arial" w:hAnsi="Arial" w:cs="Arial"/>
          <w:color w:val="000000"/>
          <w:sz w:val="18"/>
        </w:rPr>
        <w:t xml:space="preserve">, our point was not that we could review standing on interlocutory appeal because there was no order denying a motion to dismiss; it was that we would review standing where there was pendent appellate jurisdiction "even though the issue was not addressed before," </w:t>
      </w:r>
      <w:bookmarkStart w:id="1856" w:name="Bookmark_I627Y0752N1R000030000400"/>
      <w:bookmarkEnd w:id="1856"/>
      <w:r>
        <w:rPr>
          <w:rFonts w:ascii="Arial" w:eastAsia="Arial" w:hAnsi="Arial" w:cs="Arial"/>
          <w:i/>
          <w:color w:val="000000"/>
          <w:sz w:val="18"/>
        </w:rPr>
        <w:t>Majestic Star Casino</w:t>
      </w:r>
      <w:r>
        <w:rPr>
          <w:rFonts w:ascii="Arial" w:eastAsia="Arial" w:hAnsi="Arial" w:cs="Arial"/>
          <w:color w:val="000000"/>
          <w:sz w:val="18"/>
        </w:rPr>
        <w:t xml:space="preserve">, 716 F.3d at 748—reaffirming the principle that as a "court of review, not of first view," </w:t>
      </w:r>
      <w:bookmarkStart w:id="1857" w:name="Bookmark_I627Y0752N1R000050000400"/>
      <w:bookmarkEnd w:id="1857"/>
      <w:r>
        <w:rPr>
          <w:rFonts w:ascii="Arial" w:eastAsia="Arial" w:hAnsi="Arial" w:cs="Arial"/>
          <w:i/>
          <w:color w:val="000000"/>
          <w:sz w:val="18"/>
        </w:rPr>
        <w:t>Frank v. Gaos</w:t>
      </w:r>
      <w:r>
        <w:rPr>
          <w:rFonts w:ascii="Arial" w:eastAsia="Arial" w:hAnsi="Arial" w:cs="Arial"/>
          <w:color w:val="000000"/>
          <w:sz w:val="18"/>
        </w:rPr>
        <w:t>, 139 S. Ct. 1041, 1046, 203 L. Ed. 2d 404 (2019) (citation omitted), we will analyze a legal issue without the district court's having done so first only in extraordinary circumstances. Regardless, in this case, the issue was raised before the District Court and, as Uber acknowledged at argument, was also ruled upon.</w:t>
      </w:r>
    </w:p>
  </w:footnote>
  <w:footnote w:id="83">
    <w:p w14:paraId="3A443B6C" w14:textId="77777777" w:rsidR="002B10A6" w:rsidRDefault="00000000">
      <w:pPr>
        <w:pStyle w:val="Normal12"/>
        <w:widowControl w:val="0"/>
        <w:spacing w:before="120" w:line="240" w:lineRule="atLeast"/>
        <w:jc w:val="both"/>
      </w:pPr>
      <w:r>
        <w:rPr>
          <w:rFonts w:ascii="Arial" w:eastAsia="Arial" w:hAnsi="Arial" w:cs="Arial"/>
          <w:color w:val="000000"/>
          <w:sz w:val="18"/>
          <w:vertAlign w:val="superscript"/>
        </w:rPr>
        <w:t>4 </w:t>
      </w:r>
      <w:bookmarkStart w:id="1954" w:name="Bookmark_fnpara_5_5"/>
      <w:bookmarkEnd w:id="1954"/>
      <w:r>
        <w:rPr>
          <w:rFonts w:ascii="Arial" w:eastAsia="Arial" w:hAnsi="Arial" w:cs="Arial"/>
          <w:color w:val="000000"/>
          <w:sz w:val="18"/>
        </w:rPr>
        <w:t>As we lack jurisdiction to address it on interlocutory appeal, we do not opine at this juncture on the issue of Plaintiffs' standing to pursue their ADA claims.</w:t>
      </w:r>
    </w:p>
  </w:footnote>
  <w:footnote w:id="84">
    <w:p w14:paraId="66A86E7B" w14:textId="77777777" w:rsidR="002B10A6" w:rsidRDefault="00000000">
      <w:pPr>
        <w:pStyle w:val="Normal12"/>
        <w:widowControl w:val="0"/>
        <w:spacing w:before="200" w:line="240" w:lineRule="atLeast"/>
        <w:jc w:val="both"/>
      </w:pPr>
      <w:r>
        <w:rPr>
          <w:rFonts w:ascii="Arial" w:eastAsia="Arial" w:hAnsi="Arial" w:cs="Arial"/>
          <w:color w:val="000000"/>
          <w:sz w:val="18"/>
          <w:vertAlign w:val="superscript"/>
        </w:rPr>
        <w:t>5 </w:t>
      </w:r>
      <w:bookmarkStart w:id="1959" w:name="Bookmark_fnpara_6_4"/>
      <w:bookmarkStart w:id="1960" w:name="Bookmark_LNHNREFclscc13_4"/>
      <w:bookmarkEnd w:id="1959"/>
      <w:bookmarkEnd w:id="1960"/>
      <w:r>
        <w:rPr>
          <w:rFonts w:ascii="Arial" w:eastAsia="Arial" w:hAnsi="Arial" w:cs="Arial"/>
          <w:color w:val="000000"/>
          <w:sz w:val="18"/>
        </w:rPr>
        <w:t xml:space="preserve">We review </w:t>
      </w:r>
      <w:r>
        <w:rPr>
          <w:rFonts w:ascii="Arial" w:eastAsia="Arial" w:hAnsi="Arial" w:cs="Arial"/>
          <w:i/>
          <w:color w:val="000000"/>
          <w:sz w:val="18"/>
        </w:rPr>
        <w:t>de novo</w:t>
      </w:r>
      <w:r>
        <w:rPr>
          <w:rFonts w:ascii="Arial" w:eastAsia="Arial" w:hAnsi="Arial" w:cs="Arial"/>
          <w:color w:val="000000"/>
          <w:sz w:val="18"/>
        </w:rPr>
        <w:t xml:space="preserve"> the District Court's decision that the arbitration agreement did not bind Plaintiffs as nonparties and, like the District Court, draw all reasonable inferences in the Plaintiffs' favor. </w:t>
      </w:r>
      <w:r>
        <w:rPr>
          <w:rFonts w:ascii="Arial" w:eastAsia="Arial" w:hAnsi="Arial" w:cs="Arial"/>
          <w:i/>
          <w:color w:val="000000"/>
          <w:sz w:val="18"/>
        </w:rPr>
        <w:t xml:space="preserve">See </w:t>
      </w:r>
      <w:bookmarkStart w:id="1961" w:name="Bookmark_I627Y07928T4JT0040000400"/>
      <w:bookmarkEnd w:id="1961"/>
      <w:r>
        <w:rPr>
          <w:rFonts w:ascii="Arial" w:eastAsia="Arial" w:hAnsi="Arial" w:cs="Arial"/>
          <w:i/>
          <w:color w:val="000000"/>
          <w:sz w:val="18"/>
        </w:rPr>
        <w:t>Griswold</w:t>
      </w:r>
      <w:r>
        <w:rPr>
          <w:rFonts w:ascii="Arial" w:eastAsia="Arial" w:hAnsi="Arial" w:cs="Arial"/>
          <w:color w:val="000000"/>
          <w:sz w:val="18"/>
        </w:rPr>
        <w:t>, 762 F.3d at 270.</w:t>
      </w:r>
    </w:p>
  </w:footnote>
  <w:footnote w:id="85">
    <w:p w14:paraId="66A35320" w14:textId="77777777" w:rsidR="002B10A6" w:rsidRDefault="00000000">
      <w:pPr>
        <w:pStyle w:val="Normal12"/>
        <w:widowControl w:val="0"/>
        <w:spacing w:before="200" w:line="240" w:lineRule="atLeast"/>
        <w:jc w:val="both"/>
      </w:pPr>
      <w:r>
        <w:rPr>
          <w:rFonts w:ascii="Arial" w:eastAsia="Arial" w:hAnsi="Arial" w:cs="Arial"/>
          <w:color w:val="000000"/>
          <w:sz w:val="18"/>
          <w:vertAlign w:val="superscript"/>
        </w:rPr>
        <w:t>6 </w:t>
      </w:r>
      <w:bookmarkStart w:id="1983" w:name="Bookmark_fnpara_7_2"/>
      <w:bookmarkStart w:id="1984" w:name="Bookmark_I627Y07B2N1R0X0030000400"/>
      <w:bookmarkStart w:id="1985" w:name="Bookmark_I627Y07B2N1R0X0050000400"/>
      <w:bookmarkEnd w:id="1983"/>
      <w:bookmarkEnd w:id="1984"/>
      <w:bookmarkEnd w:id="1985"/>
      <w:r>
        <w:rPr>
          <w:rFonts w:ascii="Arial" w:eastAsia="Arial" w:hAnsi="Arial" w:cs="Arial"/>
          <w:color w:val="000000"/>
          <w:sz w:val="18"/>
        </w:rPr>
        <w:t xml:space="preserve">This standard is distinct from that governing enforcement of an arbitration agreement </w:t>
      </w:r>
      <w:r>
        <w:rPr>
          <w:rFonts w:ascii="Arial" w:eastAsia="Arial" w:hAnsi="Arial" w:cs="Arial"/>
          <w:i/>
          <w:color w:val="000000"/>
          <w:sz w:val="18"/>
        </w:rPr>
        <w:t>by</w:t>
      </w:r>
      <w:r>
        <w:rPr>
          <w:rFonts w:ascii="Arial" w:eastAsia="Arial" w:hAnsi="Arial" w:cs="Arial"/>
          <w:color w:val="000000"/>
          <w:sz w:val="18"/>
        </w:rPr>
        <w:t xml:space="preserve"> a non-signatory </w:t>
      </w:r>
      <w:r>
        <w:rPr>
          <w:rFonts w:ascii="Arial" w:eastAsia="Arial" w:hAnsi="Arial" w:cs="Arial"/>
          <w:i/>
          <w:color w:val="000000"/>
          <w:sz w:val="18"/>
        </w:rPr>
        <w:t>against</w:t>
      </w:r>
      <w:r>
        <w:rPr>
          <w:rFonts w:ascii="Arial" w:eastAsia="Arial" w:hAnsi="Arial" w:cs="Arial"/>
          <w:color w:val="000000"/>
          <w:sz w:val="18"/>
        </w:rPr>
        <w:t xml:space="preserve"> a signatory. There, the question is whether "there is an obvious and close nexus between the non-signatories and the contract or the contracting parties," </w:t>
      </w:r>
      <w:bookmarkStart w:id="1986" w:name="Bookmark_I627Y07B2N1R0X0020000400"/>
      <w:bookmarkEnd w:id="1986"/>
      <w:r>
        <w:rPr>
          <w:rFonts w:ascii="Arial" w:eastAsia="Arial" w:hAnsi="Arial" w:cs="Arial"/>
          <w:i/>
          <w:color w:val="000000"/>
          <w:sz w:val="18"/>
        </w:rPr>
        <w:t>Elwyn v. DeLuca</w:t>
      </w:r>
      <w:r>
        <w:rPr>
          <w:rFonts w:ascii="Arial" w:eastAsia="Arial" w:hAnsi="Arial" w:cs="Arial"/>
          <w:color w:val="000000"/>
          <w:sz w:val="18"/>
        </w:rPr>
        <w:t xml:space="preserve">, 2012 PA Super 136, 48 A.3d 457, 463 (Pa. Super. Ct. 2012), often measured in terms of "inextricabl[e] entwine[ment]" of the claims with the contract, </w:t>
      </w:r>
      <w:r>
        <w:rPr>
          <w:rFonts w:ascii="Arial" w:eastAsia="Arial" w:hAnsi="Arial" w:cs="Arial"/>
          <w:i/>
          <w:color w:val="000000"/>
          <w:sz w:val="18"/>
        </w:rPr>
        <w:t>id.</w:t>
      </w:r>
      <w:r>
        <w:rPr>
          <w:rFonts w:ascii="Arial" w:eastAsia="Arial" w:hAnsi="Arial" w:cs="Arial"/>
          <w:color w:val="000000"/>
          <w:sz w:val="18"/>
        </w:rPr>
        <w:t xml:space="preserve"> We have previously emphasized the importance of this distinction and reaffirm it today. </w:t>
      </w:r>
      <w:r>
        <w:rPr>
          <w:rFonts w:ascii="Arial" w:eastAsia="Arial" w:hAnsi="Arial" w:cs="Arial"/>
          <w:i/>
          <w:color w:val="000000"/>
          <w:sz w:val="18"/>
        </w:rPr>
        <w:t xml:space="preserve">See </w:t>
      </w:r>
      <w:bookmarkStart w:id="1987" w:name="Bookmark_I627Y07B2N1R0X0040000400"/>
      <w:bookmarkEnd w:id="1987"/>
      <w:r>
        <w:rPr>
          <w:rFonts w:ascii="Arial" w:eastAsia="Arial" w:hAnsi="Arial" w:cs="Arial"/>
          <w:i/>
          <w:color w:val="000000"/>
          <w:sz w:val="18"/>
        </w:rPr>
        <w:t>DuPont</w:t>
      </w:r>
      <w:r>
        <w:rPr>
          <w:rFonts w:ascii="Arial" w:eastAsia="Arial" w:hAnsi="Arial" w:cs="Arial"/>
          <w:color w:val="000000"/>
          <w:sz w:val="18"/>
        </w:rPr>
        <w:t>, 269 F.3d at 202.</w:t>
      </w:r>
    </w:p>
  </w:footnote>
  <w:footnote w:id="86">
    <w:p w14:paraId="22B8E8CA" w14:textId="77777777" w:rsidR="002B10A6" w:rsidRDefault="00000000">
      <w:pPr>
        <w:pStyle w:val="Normal13"/>
        <w:widowControl w:val="0"/>
        <w:spacing w:before="200" w:line="240" w:lineRule="atLeast"/>
        <w:jc w:val="both"/>
      </w:pPr>
      <w:r>
        <w:rPr>
          <w:rFonts w:ascii="Arial" w:eastAsia="Arial" w:hAnsi="Arial" w:cs="Arial"/>
          <w:color w:val="000000"/>
          <w:sz w:val="18"/>
          <w:vertAlign w:val="superscript"/>
        </w:rPr>
        <w:t>1 </w:t>
      </w:r>
      <w:bookmarkStart w:id="2010" w:name="Bookmark_fnpara_1_11"/>
      <w:bookmarkEnd w:id="2010"/>
      <w:r>
        <w:rPr>
          <w:rFonts w:ascii="Arial" w:eastAsia="Arial" w:hAnsi="Arial" w:cs="Arial"/>
          <w:color w:val="000000"/>
          <w:sz w:val="18"/>
        </w:rPr>
        <w:t xml:space="preserve">42 U.S.C. § 2000e, </w:t>
      </w:r>
      <w:r>
        <w:rPr>
          <w:rFonts w:ascii="Arial" w:eastAsia="Arial" w:hAnsi="Arial" w:cs="Arial"/>
          <w:i/>
          <w:color w:val="000000"/>
          <w:sz w:val="18"/>
        </w:rPr>
        <w:t>et seq.</w:t>
      </w:r>
    </w:p>
  </w:footnote>
  <w:footnote w:id="87">
    <w:p w14:paraId="2AC75205" w14:textId="77777777" w:rsidR="002B10A6" w:rsidRDefault="00000000">
      <w:pPr>
        <w:pStyle w:val="Normal13"/>
        <w:widowControl w:val="0"/>
        <w:spacing w:before="200" w:line="240" w:lineRule="atLeast"/>
        <w:jc w:val="both"/>
      </w:pPr>
      <w:r>
        <w:rPr>
          <w:rFonts w:ascii="Arial" w:eastAsia="Arial" w:hAnsi="Arial" w:cs="Arial"/>
          <w:color w:val="000000"/>
          <w:sz w:val="18"/>
          <w:vertAlign w:val="superscript"/>
        </w:rPr>
        <w:t>2 </w:t>
      </w:r>
      <w:bookmarkStart w:id="2011" w:name="Bookmark_fnpara_2_8"/>
      <w:bookmarkEnd w:id="2011"/>
      <w:r>
        <w:rPr>
          <w:rFonts w:ascii="Arial" w:eastAsia="Arial" w:hAnsi="Arial" w:cs="Arial"/>
          <w:color w:val="000000"/>
          <w:sz w:val="18"/>
        </w:rPr>
        <w:t xml:space="preserve">42 U.S.C. § 12111, </w:t>
      </w:r>
      <w:r>
        <w:rPr>
          <w:rFonts w:ascii="Arial" w:eastAsia="Arial" w:hAnsi="Arial" w:cs="Arial"/>
          <w:i/>
          <w:color w:val="000000"/>
          <w:sz w:val="18"/>
        </w:rPr>
        <w:t>et seq.</w:t>
      </w:r>
    </w:p>
  </w:footnote>
  <w:footnote w:id="88">
    <w:p w14:paraId="3BA24BFB" w14:textId="77777777" w:rsidR="002B10A6" w:rsidRDefault="00000000">
      <w:pPr>
        <w:pStyle w:val="Normal13"/>
        <w:widowControl w:val="0"/>
        <w:spacing w:before="120" w:line="240" w:lineRule="atLeast"/>
        <w:jc w:val="both"/>
      </w:pPr>
      <w:r>
        <w:rPr>
          <w:rFonts w:ascii="Arial" w:eastAsia="Arial" w:hAnsi="Arial" w:cs="Arial"/>
          <w:color w:val="000000"/>
          <w:sz w:val="18"/>
          <w:vertAlign w:val="superscript"/>
        </w:rPr>
        <w:t>3 </w:t>
      </w:r>
      <w:bookmarkStart w:id="2015" w:name="Bookmark_fnpara_3_8"/>
      <w:bookmarkEnd w:id="2015"/>
      <w:r>
        <w:rPr>
          <w:rFonts w:ascii="Arial" w:eastAsia="Arial" w:hAnsi="Arial" w:cs="Arial"/>
          <w:color w:val="000000"/>
          <w:sz w:val="18"/>
        </w:rPr>
        <w:t>Friedler noted that Thomas stated that he preferred not to return to work as a police officer.</w:t>
      </w:r>
    </w:p>
  </w:footnote>
  <w:footnote w:id="89">
    <w:p w14:paraId="5C499E92" w14:textId="77777777" w:rsidR="002B10A6" w:rsidRDefault="00000000">
      <w:pPr>
        <w:pStyle w:val="Normal13"/>
        <w:widowControl w:val="0"/>
        <w:spacing w:before="120" w:line="240" w:lineRule="atLeast"/>
        <w:jc w:val="both"/>
      </w:pPr>
      <w:r>
        <w:rPr>
          <w:rFonts w:ascii="Arial" w:eastAsia="Arial" w:hAnsi="Arial" w:cs="Arial"/>
          <w:color w:val="000000"/>
          <w:sz w:val="18"/>
          <w:vertAlign w:val="superscript"/>
        </w:rPr>
        <w:t>4 </w:t>
      </w:r>
      <w:bookmarkStart w:id="2017" w:name="Bookmark_fnpara_4_8"/>
      <w:bookmarkEnd w:id="2017"/>
      <w:r>
        <w:rPr>
          <w:rFonts w:ascii="Arial" w:eastAsia="Arial" w:hAnsi="Arial" w:cs="Arial"/>
          <w:color w:val="000000"/>
          <w:sz w:val="18"/>
        </w:rPr>
        <w:t>Thomas timely appealed Rensted's denial of his disability retirement application to the City's Public Safety Disability Retirement Board, which held three days of hearings and affirmed Rensted's decision.</w:t>
      </w:r>
    </w:p>
  </w:footnote>
  <w:footnote w:id="90">
    <w:p w14:paraId="0F551E55" w14:textId="77777777" w:rsidR="002B10A6" w:rsidRDefault="00000000">
      <w:pPr>
        <w:pStyle w:val="Normal13"/>
        <w:widowControl w:val="0"/>
        <w:spacing w:before="120" w:line="240" w:lineRule="atLeast"/>
        <w:jc w:val="both"/>
      </w:pPr>
      <w:r>
        <w:rPr>
          <w:rFonts w:ascii="Arial" w:eastAsia="Arial" w:hAnsi="Arial" w:cs="Arial"/>
          <w:color w:val="000000"/>
          <w:sz w:val="18"/>
          <w:vertAlign w:val="superscript"/>
        </w:rPr>
        <w:t>5 </w:t>
      </w:r>
      <w:bookmarkStart w:id="2062" w:name="Bookmark_fnpara_5_6"/>
      <w:bookmarkEnd w:id="2062"/>
      <w:r>
        <w:rPr>
          <w:rFonts w:ascii="Arial" w:eastAsia="Arial" w:hAnsi="Arial" w:cs="Arial"/>
          <w:color w:val="000000"/>
          <w:sz w:val="18"/>
        </w:rPr>
        <w:t>Following oral argument, Thomas filed a supplemental brief wherein he contends that he asked his employer to direct all questions concerning his medical status to his attorney while he was on unpaid leave. But the record evidence shows only that Thomas informed his employer of his medical status through testimony and other evidence he submitted at hearings of the Public Safety Disability Retirement Board, which Thomas contends sufficed to fulfill his duty to communicate with his employer. Thomas also alleged in his motion for summary judgment that he informed his employer that it should request status updates through his attorney. But he didn't support this assertion with evidence. And even if Thomas did tell the City that all communications should go through his attorney (a claim the City disputes), the City clearly didn't deem Thomas's refusal to communicate directly with it to be satisfactory job performance.</w:t>
      </w:r>
    </w:p>
  </w:footnote>
  <w:footnote w:id="91">
    <w:p w14:paraId="4F796DCE" w14:textId="77777777" w:rsidR="002B10A6" w:rsidRDefault="00000000">
      <w:pPr>
        <w:pStyle w:val="Normal13"/>
        <w:widowControl w:val="0"/>
        <w:spacing w:before="200" w:line="240" w:lineRule="atLeast"/>
        <w:jc w:val="both"/>
      </w:pPr>
      <w:r>
        <w:rPr>
          <w:rFonts w:ascii="Arial" w:eastAsia="Arial" w:hAnsi="Arial" w:cs="Arial"/>
          <w:color w:val="000000"/>
          <w:sz w:val="18"/>
          <w:vertAlign w:val="superscript"/>
        </w:rPr>
        <w:t>6 </w:t>
      </w:r>
      <w:bookmarkStart w:id="2129" w:name="Bookmark_fnpara_6_5"/>
      <w:bookmarkEnd w:id="2129"/>
      <w:r>
        <w:rPr>
          <w:rFonts w:ascii="Arial" w:eastAsia="Arial" w:hAnsi="Arial" w:cs="Arial"/>
          <w:color w:val="000000"/>
          <w:sz w:val="18"/>
        </w:rPr>
        <w:t xml:space="preserve">The district court also relied upon </w:t>
      </w:r>
      <w:bookmarkStart w:id="2130" w:name="Bookmark_I627H2MV2N1RP80010000400"/>
      <w:bookmarkEnd w:id="2130"/>
      <w:r>
        <w:rPr>
          <w:rFonts w:ascii="Arial" w:eastAsia="Arial" w:hAnsi="Arial" w:cs="Arial"/>
          <w:i/>
          <w:color w:val="000000"/>
          <w:sz w:val="18"/>
        </w:rPr>
        <w:t>Pollard v. High's of Baltimore, Inc.</w:t>
      </w:r>
      <w:r>
        <w:rPr>
          <w:rFonts w:ascii="Arial" w:eastAsia="Arial" w:hAnsi="Arial" w:cs="Arial"/>
          <w:color w:val="000000"/>
          <w:sz w:val="18"/>
        </w:rPr>
        <w:t xml:space="preserve">, 281 F.3d 462, 470-71 (4th Cir. 2002), a pre-ADAAA case in which we, relying in part on </w:t>
      </w:r>
      <w:r>
        <w:rPr>
          <w:rFonts w:ascii="Arial" w:eastAsia="Arial" w:hAnsi="Arial" w:cs="Arial"/>
          <w:i/>
          <w:color w:val="000000"/>
          <w:sz w:val="18"/>
        </w:rPr>
        <w:t>Toyota</w:t>
      </w:r>
      <w:r>
        <w:rPr>
          <w:rFonts w:ascii="Arial" w:eastAsia="Arial" w:hAnsi="Arial" w:cs="Arial"/>
          <w:color w:val="000000"/>
          <w:sz w:val="18"/>
        </w:rPr>
        <w:t>, determined that a plaintiff who couldn't temporarily lift more than 25 pounds or bend repeatedly wasn't disabled under the ADA.</w:t>
      </w:r>
    </w:p>
  </w:footnote>
  <w:footnote w:id="92">
    <w:p w14:paraId="00766A41" w14:textId="77777777" w:rsidR="002B10A6" w:rsidRDefault="00000000">
      <w:pPr>
        <w:pStyle w:val="Normal13"/>
        <w:widowControl w:val="0"/>
        <w:spacing w:before="200" w:line="240" w:lineRule="atLeast"/>
        <w:jc w:val="both"/>
      </w:pPr>
      <w:r>
        <w:rPr>
          <w:rFonts w:ascii="Arial" w:eastAsia="Arial" w:hAnsi="Arial" w:cs="Arial"/>
          <w:color w:val="000000"/>
          <w:sz w:val="18"/>
          <w:vertAlign w:val="superscript"/>
        </w:rPr>
        <w:t>7 </w:t>
      </w:r>
      <w:bookmarkStart w:id="2150" w:name="Bookmark_fnpara_7_3"/>
      <w:bookmarkEnd w:id="2150"/>
      <w:r>
        <w:rPr>
          <w:rFonts w:ascii="Arial" w:eastAsia="Arial" w:hAnsi="Arial" w:cs="Arial"/>
          <w:i/>
          <w:color w:val="000000"/>
          <w:sz w:val="18"/>
        </w:rPr>
        <w:t xml:space="preserve">See </w:t>
      </w:r>
      <w:bookmarkStart w:id="2151" w:name="Bookmark_I627H2MW2HM6TM0020000400"/>
      <w:bookmarkEnd w:id="2151"/>
      <w:r>
        <w:rPr>
          <w:rFonts w:ascii="Arial" w:eastAsia="Arial" w:hAnsi="Arial" w:cs="Arial"/>
          <w:i/>
          <w:color w:val="000000"/>
          <w:sz w:val="18"/>
        </w:rPr>
        <w:t>Haulbrook</w:t>
      </w:r>
      <w:r>
        <w:rPr>
          <w:rFonts w:ascii="Arial" w:eastAsia="Arial" w:hAnsi="Arial" w:cs="Arial"/>
          <w:color w:val="000000"/>
          <w:sz w:val="18"/>
        </w:rPr>
        <w:t xml:space="preserve">, 252 F.3d at 706 (providing same elements for prima facie case of retaliation under the ADA); </w:t>
      </w:r>
      <w:bookmarkStart w:id="2152" w:name="Bookmark_I627H2MW2HM6TM0040000400"/>
      <w:bookmarkEnd w:id="2152"/>
      <w:r>
        <w:rPr>
          <w:rFonts w:ascii="Arial" w:eastAsia="Arial" w:hAnsi="Arial" w:cs="Arial"/>
          <w:i/>
          <w:color w:val="000000"/>
          <w:sz w:val="18"/>
        </w:rPr>
        <w:t>Bryant</w:t>
      </w:r>
      <w:r>
        <w:rPr>
          <w:rFonts w:ascii="Arial" w:eastAsia="Arial" w:hAnsi="Arial" w:cs="Arial"/>
          <w:color w:val="000000"/>
          <w:sz w:val="18"/>
        </w:rPr>
        <w:t>, 333 F.3d at 543 (§ 1981).</w:t>
      </w:r>
    </w:p>
  </w:footnote>
  <w:footnote w:id="93">
    <w:p w14:paraId="59D70119" w14:textId="77777777" w:rsidR="002B10A6" w:rsidRDefault="00000000">
      <w:pPr>
        <w:pStyle w:val="Normal13"/>
        <w:widowControl w:val="0"/>
        <w:spacing w:before="200" w:line="240" w:lineRule="atLeast"/>
        <w:jc w:val="both"/>
      </w:pPr>
      <w:r>
        <w:rPr>
          <w:rFonts w:ascii="Arial" w:eastAsia="Arial" w:hAnsi="Arial" w:cs="Arial"/>
          <w:color w:val="000000"/>
          <w:sz w:val="18"/>
          <w:vertAlign w:val="superscript"/>
        </w:rPr>
        <w:t>8 </w:t>
      </w:r>
      <w:bookmarkStart w:id="2158" w:name="Bookmark_fnpara_8_1"/>
      <w:bookmarkEnd w:id="2158"/>
      <w:r>
        <w:rPr>
          <w:rFonts w:ascii="Arial" w:eastAsia="Arial" w:hAnsi="Arial" w:cs="Arial"/>
          <w:i/>
          <w:color w:val="000000"/>
          <w:sz w:val="18"/>
        </w:rPr>
        <w:t xml:space="preserve">See also </w:t>
      </w:r>
      <w:bookmarkStart w:id="2159" w:name="Bookmark_I627H2MX2N1RPF0010000400"/>
      <w:bookmarkEnd w:id="2159"/>
      <w:r>
        <w:rPr>
          <w:rFonts w:ascii="Arial" w:eastAsia="Arial" w:hAnsi="Arial" w:cs="Arial"/>
          <w:i/>
          <w:color w:val="000000"/>
          <w:sz w:val="18"/>
        </w:rPr>
        <w:t>Adams v. Anne Arundel Cty. Pub. Sch.</w:t>
      </w:r>
      <w:r>
        <w:rPr>
          <w:rFonts w:ascii="Arial" w:eastAsia="Arial" w:hAnsi="Arial" w:cs="Arial"/>
          <w:color w:val="000000"/>
          <w:sz w:val="18"/>
        </w:rPr>
        <w:t>, 789 F.3d 422, 431 (4th Cir. 2015) (stating that the test for determining whether an action is adverse under the ADA is "analogous" to that under Title VII).</w:t>
      </w:r>
    </w:p>
  </w:footnote>
  <w:footnote w:id="94">
    <w:p w14:paraId="285212D9" w14:textId="77777777" w:rsidR="002B10A6" w:rsidRDefault="00000000">
      <w:pPr>
        <w:pStyle w:val="Normal14"/>
        <w:widowControl w:val="0"/>
        <w:spacing w:before="120" w:line="240" w:lineRule="atLeast"/>
        <w:jc w:val="both"/>
      </w:pPr>
      <w:r>
        <w:rPr>
          <w:rFonts w:ascii="Arial" w:eastAsia="Arial" w:hAnsi="Arial" w:cs="Arial"/>
          <w:color w:val="000000"/>
          <w:sz w:val="18"/>
          <w:vertAlign w:val="superscript"/>
        </w:rPr>
        <w:t>* </w:t>
      </w:r>
      <w:bookmarkStart w:id="2193" w:name="Bookmark_fnpara_1_12"/>
      <w:bookmarkEnd w:id="2193"/>
      <w:r>
        <w:rPr>
          <w:rFonts w:ascii="Arial" w:eastAsia="Arial" w:hAnsi="Arial" w:cs="Arial"/>
          <w:color w:val="000000"/>
          <w:sz w:val="18"/>
        </w:rPr>
        <w:t>Of the Federal Circuit, sitting by designation.</w:t>
      </w:r>
    </w:p>
  </w:footnote>
  <w:footnote w:id="95">
    <w:p w14:paraId="6FA9C9F3" w14:textId="77777777" w:rsidR="002B10A6" w:rsidRDefault="00000000">
      <w:pPr>
        <w:pStyle w:val="Normal14"/>
        <w:widowControl w:val="0"/>
        <w:spacing w:before="120" w:line="240" w:lineRule="atLeast"/>
        <w:jc w:val="both"/>
      </w:pPr>
      <w:r>
        <w:rPr>
          <w:rFonts w:ascii="Arial" w:eastAsia="Arial" w:hAnsi="Arial" w:cs="Arial"/>
          <w:color w:val="000000"/>
          <w:sz w:val="18"/>
          <w:vertAlign w:val="superscript"/>
        </w:rPr>
        <w:t>1 </w:t>
      </w:r>
      <w:bookmarkStart w:id="2197" w:name="Bookmark_fnpara_2_9"/>
      <w:bookmarkEnd w:id="2197"/>
      <w:r>
        <w:rPr>
          <w:rFonts w:ascii="Arial" w:eastAsia="Arial" w:hAnsi="Arial" w:cs="Arial"/>
          <w:color w:val="000000"/>
          <w:sz w:val="18"/>
        </w:rPr>
        <w:t>The parties do not explain in their briefing the relationship between Panaderia y Reposteria España, Inc. and Inmobiliaria Isla Verde, Inc., and the record provides no insight. We therefore treat the defendants as a single entity (Panaderia España), as the parties have done throughout these proceedings.</w:t>
      </w:r>
    </w:p>
  </w:footnote>
  <w:footnote w:id="96">
    <w:p w14:paraId="5FB5552E" w14:textId="77777777" w:rsidR="002B10A6" w:rsidRDefault="00000000">
      <w:pPr>
        <w:pStyle w:val="Normal14"/>
        <w:widowControl w:val="0"/>
        <w:spacing w:before="120" w:line="240" w:lineRule="atLeast"/>
        <w:jc w:val="both"/>
      </w:pPr>
      <w:r>
        <w:rPr>
          <w:rFonts w:ascii="Arial" w:eastAsia="Arial" w:hAnsi="Arial" w:cs="Arial"/>
          <w:color w:val="000000"/>
          <w:sz w:val="18"/>
          <w:vertAlign w:val="superscript"/>
        </w:rPr>
        <w:t>2 </w:t>
      </w:r>
      <w:bookmarkStart w:id="2198" w:name="Bookmark_fnpara_3_9"/>
      <w:bookmarkEnd w:id="2198"/>
      <w:r>
        <w:rPr>
          <w:rFonts w:ascii="Arial" w:eastAsia="Arial" w:hAnsi="Arial" w:cs="Arial"/>
          <w:color w:val="000000"/>
          <w:sz w:val="18"/>
        </w:rPr>
        <w:t>42 U.S.C. §§ 12101-12213.</w:t>
      </w:r>
    </w:p>
  </w:footnote>
  <w:footnote w:id="97">
    <w:p w14:paraId="4A91A0C0" w14:textId="77777777" w:rsidR="002B10A6" w:rsidRDefault="00000000">
      <w:pPr>
        <w:pStyle w:val="Normal14"/>
        <w:widowControl w:val="0"/>
        <w:spacing w:before="120" w:line="240" w:lineRule="atLeast"/>
        <w:jc w:val="both"/>
      </w:pPr>
      <w:r>
        <w:rPr>
          <w:rFonts w:ascii="Arial" w:eastAsia="Arial" w:hAnsi="Arial" w:cs="Arial"/>
          <w:color w:val="000000"/>
          <w:sz w:val="18"/>
          <w:vertAlign w:val="superscript"/>
        </w:rPr>
        <w:t>3 </w:t>
      </w:r>
      <w:bookmarkStart w:id="2199" w:name="Bookmark_fnpara_4_9"/>
      <w:bookmarkEnd w:id="2199"/>
      <w:r>
        <w:rPr>
          <w:rFonts w:ascii="Arial" w:eastAsia="Arial" w:hAnsi="Arial" w:cs="Arial"/>
          <w:color w:val="000000"/>
          <w:sz w:val="18"/>
        </w:rPr>
        <w:t>P.R. Laws Ann. tit. 1, § 13.</w:t>
      </w:r>
    </w:p>
  </w:footnote>
  <w:footnote w:id="98">
    <w:p w14:paraId="4FD0B3D3" w14:textId="77777777" w:rsidR="002B10A6" w:rsidRDefault="00000000">
      <w:pPr>
        <w:pStyle w:val="Normal14"/>
        <w:widowControl w:val="0"/>
        <w:spacing w:before="200" w:line="240" w:lineRule="atLeast"/>
        <w:jc w:val="both"/>
      </w:pPr>
      <w:r>
        <w:rPr>
          <w:rFonts w:ascii="Arial" w:eastAsia="Arial" w:hAnsi="Arial" w:cs="Arial"/>
          <w:color w:val="000000"/>
          <w:sz w:val="18"/>
          <w:vertAlign w:val="superscript"/>
        </w:rPr>
        <w:t>4 </w:t>
      </w:r>
      <w:bookmarkStart w:id="2233" w:name="Bookmark_fnpara_5_7"/>
      <w:bookmarkStart w:id="2234" w:name="Bookmark_I622TVCH2HM5SY0020000400"/>
      <w:bookmarkEnd w:id="2233"/>
      <w:bookmarkEnd w:id="2234"/>
      <w:r>
        <w:rPr>
          <w:rFonts w:ascii="Arial" w:eastAsia="Arial" w:hAnsi="Arial" w:cs="Arial"/>
          <w:color w:val="000000"/>
          <w:sz w:val="18"/>
        </w:rPr>
        <w:t xml:space="preserve">Panaderia España does not challenge the other requirements of an injury-in-fact under the ADA: whether appellants (1) are disabled within the meaning of the ADA, (2) encountered barriers at the property in violation of the ADA, and (3) were deterred from patronizing the property in the future because of those violations. </w:t>
      </w:r>
      <w:r>
        <w:rPr>
          <w:rFonts w:ascii="Arial" w:eastAsia="Arial" w:hAnsi="Arial" w:cs="Arial"/>
          <w:color w:val="000000"/>
          <w:sz w:val="18"/>
          <w:u w:val="single"/>
        </w:rPr>
        <w:t xml:space="preserve">See, e.g., </w:t>
      </w:r>
      <w:bookmarkStart w:id="2235" w:name="Bookmark_I622TVCH2HM5SY0010000400"/>
      <w:bookmarkEnd w:id="2235"/>
      <w:r>
        <w:rPr>
          <w:rFonts w:ascii="Arial" w:eastAsia="Arial" w:hAnsi="Arial" w:cs="Arial"/>
          <w:color w:val="000000"/>
          <w:sz w:val="18"/>
          <w:u w:val="single"/>
        </w:rPr>
        <w:t>Disabled Ams. For Equal Access, Inc. v. Ferris Del Caribe, Inc.</w:t>
      </w:r>
      <w:r>
        <w:rPr>
          <w:rFonts w:ascii="Arial" w:eastAsia="Arial" w:hAnsi="Arial" w:cs="Arial"/>
          <w:color w:val="000000"/>
          <w:sz w:val="18"/>
        </w:rPr>
        <w:t>, 405 F.3d 60, 64 (1st Cir. 2005) (explaining the requirements of establishing an injury-in-fact under the ADA). Moreover, the second and third elements of standing are uncontroversial: Panaderia España's alleged failure to comply with the ADA is the cause of appellants' injury and that injury would have been redressed by a favorable outcome requiring those violations to be remedied.</w:t>
      </w:r>
    </w:p>
  </w:footnote>
  <w:footnote w:id="99">
    <w:p w14:paraId="148F89D6" w14:textId="77777777" w:rsidR="002B10A6" w:rsidRDefault="00000000">
      <w:pPr>
        <w:pStyle w:val="Normal14"/>
        <w:widowControl w:val="0"/>
        <w:spacing w:before="200" w:line="240" w:lineRule="atLeast"/>
        <w:jc w:val="both"/>
      </w:pPr>
      <w:r>
        <w:rPr>
          <w:rFonts w:ascii="Arial" w:eastAsia="Arial" w:hAnsi="Arial" w:cs="Arial"/>
          <w:color w:val="000000"/>
          <w:sz w:val="18"/>
          <w:vertAlign w:val="superscript"/>
        </w:rPr>
        <w:t>5 </w:t>
      </w:r>
      <w:bookmarkStart w:id="2255" w:name="Bookmark_fnpara_6_6"/>
      <w:bookmarkEnd w:id="2255"/>
      <w:r>
        <w:rPr>
          <w:rFonts w:ascii="Arial" w:eastAsia="Arial" w:hAnsi="Arial" w:cs="Arial"/>
          <w:color w:val="000000"/>
          <w:sz w:val="18"/>
          <w:u w:val="single"/>
        </w:rPr>
        <w:t xml:space="preserve">See </w:t>
      </w:r>
      <w:bookmarkStart w:id="2256" w:name="Bookmark_I622TVCJ2D6NY30020000400"/>
      <w:bookmarkEnd w:id="2256"/>
      <w:r>
        <w:rPr>
          <w:rFonts w:ascii="Arial" w:eastAsia="Arial" w:hAnsi="Arial" w:cs="Arial"/>
          <w:color w:val="000000"/>
          <w:sz w:val="18"/>
          <w:u w:val="single"/>
        </w:rPr>
        <w:t>Mosley v. Kohl's Dep't Stores, Inc.</w:t>
      </w:r>
      <w:r>
        <w:rPr>
          <w:rFonts w:ascii="Arial" w:eastAsia="Arial" w:hAnsi="Arial" w:cs="Arial"/>
          <w:color w:val="000000"/>
          <w:sz w:val="18"/>
        </w:rPr>
        <w:t xml:space="preserve">, 942 F.3d 752, 758 (6th Cir. 2019); </w:t>
      </w:r>
      <w:bookmarkStart w:id="2257" w:name="Bookmark_I622TVCJ2D6NY30040000400"/>
      <w:bookmarkEnd w:id="2257"/>
      <w:r>
        <w:rPr>
          <w:rFonts w:ascii="Arial" w:eastAsia="Arial" w:hAnsi="Arial" w:cs="Arial"/>
          <w:color w:val="000000"/>
          <w:sz w:val="18"/>
          <w:u w:val="single"/>
        </w:rPr>
        <w:t>Griffin v. Dep't of Labor Fed. Credit Union</w:t>
      </w:r>
      <w:r>
        <w:rPr>
          <w:rFonts w:ascii="Arial" w:eastAsia="Arial" w:hAnsi="Arial" w:cs="Arial"/>
          <w:color w:val="000000"/>
          <w:sz w:val="18"/>
        </w:rPr>
        <w:t xml:space="preserve">, 912 F.3d 649, 656 (4th Cir. 2019); </w:t>
      </w:r>
      <w:bookmarkStart w:id="2258" w:name="Bookmark_I622TVCJ2SF7N10010000400"/>
      <w:bookmarkEnd w:id="2258"/>
      <w:r>
        <w:rPr>
          <w:rFonts w:ascii="Arial" w:eastAsia="Arial" w:hAnsi="Arial" w:cs="Arial"/>
          <w:color w:val="000000"/>
          <w:sz w:val="18"/>
          <w:u w:val="single"/>
        </w:rPr>
        <w:t>Civil Rights Educ. and Enf't Ctr. v. Hosp. Props. Tr</w:t>
      </w:r>
      <w:r>
        <w:rPr>
          <w:rFonts w:ascii="Arial" w:eastAsia="Arial" w:hAnsi="Arial" w:cs="Arial"/>
          <w:color w:val="000000"/>
          <w:sz w:val="18"/>
        </w:rPr>
        <w:t xml:space="preserve">., 867 F.3d 1093, 1101-02 (9th Cir. 2017); </w:t>
      </w:r>
      <w:bookmarkStart w:id="2259" w:name="Bookmark_I622TVCJ2SF7N10030000400"/>
      <w:bookmarkEnd w:id="2259"/>
      <w:r>
        <w:rPr>
          <w:rFonts w:ascii="Arial" w:eastAsia="Arial" w:hAnsi="Arial" w:cs="Arial"/>
          <w:color w:val="000000"/>
          <w:sz w:val="18"/>
          <w:u w:val="single"/>
        </w:rPr>
        <w:t>Colo. Cross Disability Coal. v. Abercrombie &amp; Fitch Co.</w:t>
      </w:r>
      <w:r>
        <w:rPr>
          <w:rFonts w:ascii="Arial" w:eastAsia="Arial" w:hAnsi="Arial" w:cs="Arial"/>
          <w:color w:val="000000"/>
          <w:sz w:val="18"/>
        </w:rPr>
        <w:t xml:space="preserve">, 765 F.3d 1205, 1211-12 (10th Cir. 2014); </w:t>
      </w:r>
      <w:bookmarkStart w:id="2260" w:name="Bookmark_I622TVCJ2SF7N10050000400"/>
      <w:bookmarkEnd w:id="2260"/>
      <w:r>
        <w:rPr>
          <w:rFonts w:ascii="Arial" w:eastAsia="Arial" w:hAnsi="Arial" w:cs="Arial"/>
          <w:color w:val="000000"/>
          <w:sz w:val="18"/>
          <w:u w:val="single"/>
        </w:rPr>
        <w:t>Houston v. Marod Supermarkets, Inc.</w:t>
      </w:r>
      <w:r>
        <w:rPr>
          <w:rFonts w:ascii="Arial" w:eastAsia="Arial" w:hAnsi="Arial" w:cs="Arial"/>
          <w:color w:val="000000"/>
          <w:sz w:val="18"/>
        </w:rPr>
        <w:t>, 733 F.3d 1323, 1332-34 (11th Cir. 2013).</w:t>
      </w:r>
    </w:p>
  </w:footnote>
  <w:footnote w:id="100">
    <w:p w14:paraId="61A78499" w14:textId="77777777" w:rsidR="002B10A6" w:rsidRDefault="00000000">
      <w:pPr>
        <w:pStyle w:val="Normal14"/>
        <w:widowControl w:val="0"/>
        <w:spacing w:before="120" w:line="240" w:lineRule="atLeast"/>
        <w:jc w:val="both"/>
      </w:pPr>
      <w:r>
        <w:rPr>
          <w:rFonts w:ascii="Arial" w:eastAsia="Arial" w:hAnsi="Arial" w:cs="Arial"/>
          <w:color w:val="000000"/>
          <w:sz w:val="18"/>
          <w:vertAlign w:val="superscript"/>
        </w:rPr>
        <w:t>6 </w:t>
      </w:r>
      <w:bookmarkStart w:id="2263" w:name="Bookmark_fnpara_7_4"/>
      <w:bookmarkStart w:id="2264" w:name="Bookmark_LNHNREFclscc4_12"/>
      <w:bookmarkEnd w:id="2263"/>
      <w:bookmarkEnd w:id="2264"/>
      <w:r>
        <w:rPr>
          <w:rFonts w:ascii="Arial" w:eastAsia="Arial" w:hAnsi="Arial" w:cs="Arial"/>
          <w:color w:val="000000"/>
          <w:sz w:val="18"/>
        </w:rPr>
        <w:t>Pursuant to 42 U.S.C. § 3604(a), it shall be unlawful "[t]o refuse to sell or rent after the making of a bona fide offer . . . to any person because of race, color, religion, sex, familial status, or national origin."</w:t>
      </w:r>
    </w:p>
  </w:footnote>
  <w:footnote w:id="101">
    <w:p w14:paraId="7296C1B6" w14:textId="77777777" w:rsidR="002B10A6" w:rsidRDefault="00000000">
      <w:pPr>
        <w:pStyle w:val="Normal14"/>
        <w:widowControl w:val="0"/>
        <w:spacing w:before="120" w:line="240" w:lineRule="atLeast"/>
        <w:jc w:val="both"/>
      </w:pPr>
      <w:r>
        <w:rPr>
          <w:rFonts w:ascii="Arial" w:eastAsia="Arial" w:hAnsi="Arial" w:cs="Arial"/>
          <w:color w:val="000000"/>
          <w:sz w:val="18"/>
          <w:vertAlign w:val="superscript"/>
        </w:rPr>
        <w:t>7 </w:t>
      </w:r>
      <w:bookmarkStart w:id="2265" w:name="Bookmark_fnpara_8_2"/>
      <w:bookmarkStart w:id="2266" w:name="Bookmark_LNHNREFclscc5_12"/>
      <w:bookmarkEnd w:id="2265"/>
      <w:bookmarkEnd w:id="2266"/>
      <w:r>
        <w:rPr>
          <w:rFonts w:ascii="Arial" w:eastAsia="Arial" w:hAnsi="Arial" w:cs="Arial"/>
          <w:color w:val="000000"/>
          <w:sz w:val="18"/>
        </w:rPr>
        <w:t>Pursuant to 42 U.S.C. § 12182(b)(1)(A)(iv), three prohibited activities -- denial of a benefit, failure to provide an equal opportunity to participate in a benefit, and failure to ensure disabled individuals are not segregated -- are limited to "clients[s] or customer[s] of the . . . public accommodation."</w:t>
      </w:r>
    </w:p>
  </w:footnote>
  <w:footnote w:id="102">
    <w:p w14:paraId="1C92650C" w14:textId="77777777" w:rsidR="002B10A6" w:rsidRDefault="00000000">
      <w:pPr>
        <w:pStyle w:val="Normal14"/>
        <w:widowControl w:val="0"/>
        <w:spacing w:before="200" w:line="240" w:lineRule="atLeast"/>
        <w:jc w:val="both"/>
      </w:pPr>
      <w:r>
        <w:rPr>
          <w:rFonts w:ascii="Arial" w:eastAsia="Arial" w:hAnsi="Arial" w:cs="Arial"/>
          <w:color w:val="000000"/>
          <w:sz w:val="18"/>
          <w:vertAlign w:val="superscript"/>
        </w:rPr>
        <w:t>8 </w:t>
      </w:r>
      <w:bookmarkStart w:id="2267" w:name="Bookmark_fnpara_9_0"/>
      <w:bookmarkStart w:id="2268" w:name="Bookmark_I622TVCK2N1PP10030000400"/>
      <w:bookmarkEnd w:id="2267"/>
      <w:bookmarkEnd w:id="2268"/>
      <w:r>
        <w:rPr>
          <w:rFonts w:ascii="Arial" w:eastAsia="Arial" w:hAnsi="Arial" w:cs="Arial"/>
          <w:color w:val="000000"/>
          <w:sz w:val="18"/>
        </w:rPr>
        <w:t xml:space="preserve">The civil rights movement has a long history of using testers to uncover and illustrate discrimination. </w:t>
      </w:r>
      <w:r>
        <w:rPr>
          <w:rFonts w:ascii="Arial" w:eastAsia="Arial" w:hAnsi="Arial" w:cs="Arial"/>
          <w:color w:val="000000"/>
          <w:sz w:val="18"/>
          <w:u w:val="single"/>
        </w:rPr>
        <w:t xml:space="preserve">See </w:t>
      </w:r>
      <w:bookmarkStart w:id="2269" w:name="Bookmark_I622TVCK2N1PP10020000400"/>
      <w:bookmarkEnd w:id="2269"/>
      <w:r>
        <w:rPr>
          <w:rFonts w:ascii="Arial" w:eastAsia="Arial" w:hAnsi="Arial" w:cs="Arial"/>
          <w:color w:val="000000"/>
          <w:sz w:val="18"/>
          <w:u w:val="single"/>
        </w:rPr>
        <w:t>Havens Realty Corp. v. Coleman</w:t>
      </w:r>
      <w:r>
        <w:rPr>
          <w:rFonts w:ascii="Arial" w:eastAsia="Arial" w:hAnsi="Arial" w:cs="Arial"/>
          <w:color w:val="000000"/>
          <w:sz w:val="18"/>
        </w:rPr>
        <w:t xml:space="preserve">, 455 U.S. 363, 373-75, 102 S. Ct. 1114, 71 L. Ed. 2d 214 (1982) (a tester sued a realtor for providing inaccurate or incomplete housing information); </w:t>
      </w:r>
      <w:bookmarkStart w:id="2270" w:name="Bookmark_I622TVCK2N1PP10040000400"/>
      <w:bookmarkEnd w:id="2270"/>
      <w:r>
        <w:rPr>
          <w:rFonts w:ascii="Arial" w:eastAsia="Arial" w:hAnsi="Arial" w:cs="Arial"/>
          <w:color w:val="000000"/>
          <w:sz w:val="18"/>
          <w:u w:val="single"/>
        </w:rPr>
        <w:t>Pierson v. Ray</w:t>
      </w:r>
      <w:r>
        <w:rPr>
          <w:rFonts w:ascii="Arial" w:eastAsia="Arial" w:hAnsi="Arial" w:cs="Arial"/>
          <w:color w:val="000000"/>
          <w:sz w:val="18"/>
        </w:rPr>
        <w:t xml:space="preserve">, 386 U.S. 547, 552-54, 87 S. Ct. 1213, 18 L. Ed. 2d 288 (1967) (a group of black clergymen testers challenged their removal from a segregated bus terminal in Jackson, Mississippi); </w:t>
      </w:r>
      <w:bookmarkStart w:id="2271" w:name="Bookmark_I622TVCK2N1PP50010000400"/>
      <w:bookmarkEnd w:id="2271"/>
      <w:r>
        <w:rPr>
          <w:rFonts w:ascii="Arial" w:eastAsia="Arial" w:hAnsi="Arial" w:cs="Arial"/>
          <w:color w:val="000000"/>
          <w:sz w:val="18"/>
          <w:u w:val="single"/>
        </w:rPr>
        <w:t>Evers v. Dwyer</w:t>
      </w:r>
      <w:r>
        <w:rPr>
          <w:rFonts w:ascii="Arial" w:eastAsia="Arial" w:hAnsi="Arial" w:cs="Arial"/>
          <w:color w:val="000000"/>
          <w:sz w:val="18"/>
        </w:rPr>
        <w:t>, 358 U.S. 202, 203-04, 79 S. Ct. 178, 3 L. Ed. 2d 222 (1958) (black passenger tester challenged being barred from the white section of a segregated bus in Memphis, Tennessee). We recognize that appellee argues that appellants' attorney has abused that testing tradition in this and other ADA cases. We make no judgment about the merits of those allegations. They are not germane to the issues in this appeal.</w:t>
      </w:r>
    </w:p>
  </w:footnote>
  <w:footnote w:id="103">
    <w:p w14:paraId="373B2FA3" w14:textId="77777777" w:rsidR="002B10A6" w:rsidRDefault="00000000">
      <w:pPr>
        <w:pStyle w:val="Normal14"/>
        <w:widowControl w:val="0"/>
        <w:spacing w:before="120" w:line="240" w:lineRule="atLeast"/>
        <w:jc w:val="both"/>
      </w:pPr>
      <w:r>
        <w:rPr>
          <w:rFonts w:ascii="Arial" w:eastAsia="Arial" w:hAnsi="Arial" w:cs="Arial"/>
          <w:color w:val="000000"/>
          <w:sz w:val="18"/>
          <w:vertAlign w:val="superscript"/>
        </w:rPr>
        <w:t>9 </w:t>
      </w:r>
      <w:bookmarkStart w:id="2329" w:name="Bookmark_fnpara_10_0"/>
      <w:bookmarkEnd w:id="2329"/>
      <w:r>
        <w:rPr>
          <w:rFonts w:ascii="Arial" w:eastAsia="Arial" w:hAnsi="Arial" w:cs="Arial"/>
          <w:color w:val="000000"/>
          <w:sz w:val="18"/>
        </w:rPr>
        <w:t>As we have already explained, appellants attempted to file an opposition to summary judgment, but it was stricken for failure to comply with the federal rules.</w:t>
      </w:r>
    </w:p>
  </w:footnote>
  <w:footnote w:id="104">
    <w:p w14:paraId="749F557B" w14:textId="77777777" w:rsidR="002B10A6" w:rsidRDefault="00000000">
      <w:pPr>
        <w:pStyle w:val="Normal14"/>
        <w:widowControl w:val="0"/>
        <w:spacing w:before="200" w:line="240" w:lineRule="atLeast"/>
        <w:jc w:val="both"/>
      </w:pPr>
      <w:r>
        <w:rPr>
          <w:rFonts w:ascii="Arial" w:eastAsia="Arial" w:hAnsi="Arial" w:cs="Arial"/>
          <w:color w:val="000000"/>
          <w:sz w:val="18"/>
          <w:vertAlign w:val="superscript"/>
        </w:rPr>
        <w:t>10 </w:t>
      </w:r>
      <w:bookmarkStart w:id="2332" w:name="Bookmark_fnpara_11_0"/>
      <w:bookmarkEnd w:id="2332"/>
      <w:r>
        <w:rPr>
          <w:rFonts w:ascii="Arial" w:eastAsia="Arial" w:hAnsi="Arial" w:cs="Arial"/>
          <w:color w:val="000000"/>
          <w:sz w:val="18"/>
        </w:rPr>
        <w:t xml:space="preserve">We have not yet determined whether some interlocutory orders can satisfy the judicial imprimatur requirement of the prevailing party test. As appellants note, several circuits have answered that question in the affirmative, but only in the materially different context of an interlocutory decision awarding preliminary injunctive relief. </w:t>
      </w:r>
      <w:r>
        <w:rPr>
          <w:rFonts w:ascii="Arial" w:eastAsia="Arial" w:hAnsi="Arial" w:cs="Arial"/>
          <w:color w:val="000000"/>
          <w:sz w:val="18"/>
          <w:u w:val="single"/>
        </w:rPr>
        <w:t xml:space="preserve">See </w:t>
      </w:r>
      <w:bookmarkStart w:id="2333" w:name="Bookmark_I622TVCN2SF7NJ0050000400"/>
      <w:bookmarkEnd w:id="2333"/>
      <w:r>
        <w:rPr>
          <w:rFonts w:ascii="Arial" w:eastAsia="Arial" w:hAnsi="Arial" w:cs="Arial"/>
          <w:color w:val="000000"/>
          <w:sz w:val="18"/>
          <w:u w:val="single"/>
        </w:rPr>
        <w:t>People Against Police Violence v. City of Pittsburgh</w:t>
      </w:r>
      <w:r>
        <w:rPr>
          <w:rFonts w:ascii="Arial" w:eastAsia="Arial" w:hAnsi="Arial" w:cs="Arial"/>
          <w:color w:val="000000"/>
          <w:sz w:val="18"/>
        </w:rPr>
        <w:t xml:space="preserve">, 520 F.3d 226, 232-33 (3d Cir. 2008) (holding that a preliminary injunction that addresses the merits and alters the status quo can confer prevailing party status); </w:t>
      </w:r>
      <w:r>
        <w:rPr>
          <w:rFonts w:ascii="Arial" w:eastAsia="Arial" w:hAnsi="Arial" w:cs="Arial"/>
          <w:color w:val="000000"/>
          <w:sz w:val="18"/>
          <w:u w:val="single"/>
        </w:rPr>
        <w:t xml:space="preserve">see also </w:t>
      </w:r>
      <w:bookmarkStart w:id="2334" w:name="Bookmark_I622TVCN2N1PPF0020000400"/>
      <w:bookmarkEnd w:id="2334"/>
      <w:r>
        <w:rPr>
          <w:rFonts w:ascii="Arial" w:eastAsia="Arial" w:hAnsi="Arial" w:cs="Arial"/>
          <w:color w:val="000000"/>
          <w:sz w:val="18"/>
          <w:u w:val="single"/>
        </w:rPr>
        <w:t>Kansas Jud. Watch v. Stout</w:t>
      </w:r>
      <w:r>
        <w:rPr>
          <w:rFonts w:ascii="Arial" w:eastAsia="Arial" w:hAnsi="Arial" w:cs="Arial"/>
          <w:color w:val="000000"/>
          <w:sz w:val="18"/>
        </w:rPr>
        <w:t xml:space="preserve">, 653 F.3d 1230, 1238 (10th Cir. 2011); </w:t>
      </w:r>
      <w:bookmarkStart w:id="2335" w:name="Bookmark_I622TVCN2N1PPF0040000400"/>
      <w:bookmarkEnd w:id="2335"/>
      <w:r>
        <w:rPr>
          <w:rFonts w:ascii="Arial" w:eastAsia="Arial" w:hAnsi="Arial" w:cs="Arial"/>
          <w:color w:val="000000"/>
          <w:sz w:val="18"/>
          <w:u w:val="single"/>
        </w:rPr>
        <w:t>Dearmore v. City of Garland</w:t>
      </w:r>
      <w:r>
        <w:rPr>
          <w:rFonts w:ascii="Arial" w:eastAsia="Arial" w:hAnsi="Arial" w:cs="Arial"/>
          <w:color w:val="000000"/>
          <w:sz w:val="18"/>
        </w:rPr>
        <w:t xml:space="preserve">, 519 F.3d 517, 524-26 (5th Cir. 2008); </w:t>
      </w:r>
      <w:bookmarkStart w:id="2336" w:name="Bookmark_I622TVCP2N1PPH0010000400"/>
      <w:bookmarkEnd w:id="2336"/>
      <w:r>
        <w:rPr>
          <w:rFonts w:ascii="Arial" w:eastAsia="Arial" w:hAnsi="Arial" w:cs="Arial"/>
          <w:color w:val="000000"/>
          <w:sz w:val="18"/>
          <w:u w:val="single"/>
        </w:rPr>
        <w:t>Watson v. County of Riverside</w:t>
      </w:r>
      <w:r>
        <w:rPr>
          <w:rFonts w:ascii="Arial" w:eastAsia="Arial" w:hAnsi="Arial" w:cs="Arial"/>
          <w:color w:val="000000"/>
          <w:sz w:val="18"/>
        </w:rPr>
        <w:t>, 300 F.3d 1092, 1095-96 (9th Cir. 2002).</w:t>
      </w:r>
    </w:p>
  </w:footnote>
  <w:footnote w:id="105">
    <w:p w14:paraId="1F9F44A6" w14:textId="77777777" w:rsidR="002B10A6" w:rsidRDefault="00000000">
      <w:pPr>
        <w:pStyle w:val="Normal14"/>
        <w:widowControl w:val="0"/>
        <w:spacing w:before="120" w:line="240" w:lineRule="atLeast"/>
        <w:jc w:val="both"/>
      </w:pPr>
      <w:r>
        <w:rPr>
          <w:rFonts w:ascii="Arial" w:eastAsia="Arial" w:hAnsi="Arial" w:cs="Arial"/>
          <w:color w:val="000000"/>
          <w:sz w:val="18"/>
          <w:vertAlign w:val="superscript"/>
        </w:rPr>
        <w:t>11 </w:t>
      </w:r>
      <w:bookmarkStart w:id="2400" w:name="Bookmark_fnpara_12_0"/>
      <w:bookmarkEnd w:id="2400"/>
      <w:r>
        <w:rPr>
          <w:rFonts w:ascii="Arial" w:eastAsia="Arial" w:hAnsi="Arial" w:cs="Arial"/>
          <w:color w:val="000000"/>
          <w:sz w:val="18"/>
        </w:rPr>
        <w:t>Appellants also claimed in their motion to reopen that certain pipes in the newly renovated accessible restroom were not insulated or configured to protect against contact, but they do not renew that claim on appeal.</w:t>
      </w:r>
    </w:p>
  </w:footnote>
  <w:footnote w:id="106">
    <w:p w14:paraId="3C195C9C"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1 </w:t>
      </w:r>
      <w:bookmarkStart w:id="2423" w:name="Bookmark_fnpara_1_13"/>
      <w:bookmarkStart w:id="2424" w:name="Bookmark_I61Y0BV628T4GN0020000400"/>
      <w:bookmarkEnd w:id="2423"/>
      <w:bookmarkEnd w:id="2424"/>
      <w:r>
        <w:rPr>
          <w:rFonts w:ascii="Arial" w:eastAsia="Arial" w:hAnsi="Arial" w:cs="Arial"/>
          <w:color w:val="000000"/>
          <w:sz w:val="18"/>
        </w:rPr>
        <w:t xml:space="preserve">We narrate the facts in the light most favorable to the jury's verdict and as relevant to this appeal. </w:t>
      </w:r>
      <w:r>
        <w:rPr>
          <w:rFonts w:ascii="Arial" w:eastAsia="Arial" w:hAnsi="Arial" w:cs="Arial"/>
          <w:color w:val="000000"/>
          <w:sz w:val="18"/>
          <w:u w:val="single"/>
        </w:rPr>
        <w:t xml:space="preserve">See, e.g., </w:t>
      </w:r>
      <w:bookmarkStart w:id="2425" w:name="Bookmark_I61Y0BV628T4GN0010000400"/>
      <w:bookmarkEnd w:id="2425"/>
      <w:r>
        <w:rPr>
          <w:rFonts w:ascii="Arial" w:eastAsia="Arial" w:hAnsi="Arial" w:cs="Arial"/>
          <w:color w:val="000000"/>
          <w:sz w:val="18"/>
          <w:u w:val="single"/>
        </w:rPr>
        <w:t>Bielunas v. F/V Misty Dawn, Inc.</w:t>
      </w:r>
      <w:r>
        <w:rPr>
          <w:rFonts w:ascii="Arial" w:eastAsia="Arial" w:hAnsi="Arial" w:cs="Arial"/>
          <w:color w:val="000000"/>
          <w:sz w:val="18"/>
        </w:rPr>
        <w:t>, 621 F.3d 72, 74 (1st Cir. 2010).</w:t>
      </w:r>
    </w:p>
  </w:footnote>
  <w:footnote w:id="107">
    <w:p w14:paraId="3402B160"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2 </w:t>
      </w:r>
      <w:bookmarkStart w:id="2433" w:name="Bookmark_fnpara_2_10"/>
      <w:bookmarkEnd w:id="2433"/>
      <w:r>
        <w:rPr>
          <w:rFonts w:ascii="Arial" w:eastAsia="Arial" w:hAnsi="Arial" w:cs="Arial"/>
          <w:color w:val="000000"/>
          <w:sz w:val="18"/>
        </w:rPr>
        <w:t>The additional claims Burnett originally brought, but were tossed out, were failure to accommodate him regarding other incidents, disparate treatment, retaliation in violation of the ADA and MHRA, and violation of the Maine Whistleblower Protection Act. Burnett did not appeal those rulings.</w:t>
      </w:r>
    </w:p>
  </w:footnote>
  <w:footnote w:id="108">
    <w:p w14:paraId="665B8E82"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3 </w:t>
      </w:r>
      <w:bookmarkStart w:id="2434" w:name="Bookmark_fnpara_3_10"/>
      <w:bookmarkEnd w:id="2434"/>
      <w:r>
        <w:rPr>
          <w:rFonts w:ascii="Arial" w:eastAsia="Arial" w:hAnsi="Arial" w:cs="Arial"/>
          <w:color w:val="000000"/>
          <w:sz w:val="18"/>
        </w:rPr>
        <w:t>At trial, Appellants were represented by the same counsel.</w:t>
      </w:r>
    </w:p>
  </w:footnote>
  <w:footnote w:id="109">
    <w:p w14:paraId="6176FAE0"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4 </w:t>
      </w:r>
      <w:bookmarkStart w:id="2446" w:name="Bookmark_fnpara_4_10"/>
      <w:bookmarkEnd w:id="2446"/>
      <w:r>
        <w:rPr>
          <w:rFonts w:ascii="Arial" w:eastAsia="Arial" w:hAnsi="Arial" w:cs="Arial"/>
          <w:color w:val="000000"/>
          <w:sz w:val="18"/>
        </w:rPr>
        <w:t xml:space="preserve">Appellants also argued below that the punitive damages award was duplicative (because Burnett was awarded punitive damages under the ADA and MHRA) and excessive, that the compensatory damages award was excessive because there was little evidence of emotional distress, and, alternatively, that the total award should be reduced to a </w:t>
      </w:r>
      <w:r>
        <w:rPr>
          <w:rFonts w:ascii="Arial" w:eastAsia="Arial" w:hAnsi="Arial" w:cs="Arial"/>
          <w:color w:val="000000"/>
          <w:sz w:val="18"/>
          <w:u w:val="single"/>
        </w:rPr>
        <w:t>de minimis</w:t>
      </w:r>
      <w:r>
        <w:rPr>
          <w:rFonts w:ascii="Arial" w:eastAsia="Arial" w:hAnsi="Arial" w:cs="Arial"/>
          <w:color w:val="000000"/>
          <w:sz w:val="18"/>
        </w:rPr>
        <w:t xml:space="preserve"> figure of $10,000. Since Appellants abandoned these arguments on appeal, we do not address them.</w:t>
      </w:r>
    </w:p>
  </w:footnote>
  <w:footnote w:id="110">
    <w:p w14:paraId="2C834190"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5 </w:t>
      </w:r>
      <w:bookmarkStart w:id="2449" w:name="Bookmark_fnpara_5_8"/>
      <w:bookmarkEnd w:id="2449"/>
      <w:r>
        <w:rPr>
          <w:rFonts w:ascii="Arial" w:eastAsia="Arial" w:hAnsi="Arial" w:cs="Arial"/>
          <w:color w:val="000000"/>
          <w:sz w:val="18"/>
        </w:rPr>
        <w:t xml:space="preserve">Some arguments were briefed only by Ocean Properties, and others, only by AmeriPort, but Appellants tell us that they adopt one another's arguments. </w:t>
      </w:r>
      <w:bookmarkStart w:id="2450" w:name="Bookmark_I61Y0BV628T4GN0040000400"/>
      <w:bookmarkStart w:id="2451" w:name="Bookmark_LNHNREFclscc1_13"/>
      <w:bookmarkEnd w:id="2450"/>
      <w:bookmarkEnd w:id="2451"/>
      <w:r>
        <w:rPr>
          <w:rFonts w:ascii="Arial" w:eastAsia="Arial" w:hAnsi="Arial" w:cs="Arial"/>
          <w:color w:val="000000"/>
          <w:sz w:val="18"/>
        </w:rPr>
        <w:t xml:space="preserve">"In a case involving more than one appellant or appellee, . . . any number of appellants or appellees may join in a brief, and any party may adopt by reference a part of another's brief." Fed. R. App. P. 28(i). The adopted arguments must be "readily transferrable from the proponent's case to the adopter's case," however. </w:t>
      </w:r>
      <w:bookmarkStart w:id="2452" w:name="Bookmark_I61Y0BV628T4GN0030000400"/>
      <w:bookmarkEnd w:id="2452"/>
      <w:r>
        <w:rPr>
          <w:rFonts w:ascii="Arial" w:eastAsia="Arial" w:hAnsi="Arial" w:cs="Arial"/>
          <w:color w:val="000000"/>
          <w:sz w:val="18"/>
          <w:u w:val="single"/>
        </w:rPr>
        <w:t>United States v. David</w:t>
      </w:r>
      <w:r>
        <w:rPr>
          <w:rFonts w:ascii="Arial" w:eastAsia="Arial" w:hAnsi="Arial" w:cs="Arial"/>
          <w:color w:val="000000"/>
          <w:sz w:val="18"/>
        </w:rPr>
        <w:t>, 940 F.2d 722, 737 (1st Cir. 1991). Burnett didn't object to Appellants' adoption of each other's arguments and, therefore, we will treat Appellants' arguments as adequately adopted and explained relative to their respective claims on appeal.</w:t>
      </w:r>
    </w:p>
  </w:footnote>
  <w:footnote w:id="111">
    <w:p w14:paraId="4276F127"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6 </w:t>
      </w:r>
      <w:bookmarkStart w:id="2462" w:name="Bookmark_fnpara_6_7"/>
      <w:bookmarkEnd w:id="2462"/>
      <w:r>
        <w:rPr>
          <w:rFonts w:ascii="Arial" w:eastAsia="Arial" w:hAnsi="Arial" w:cs="Arial"/>
          <w:color w:val="000000"/>
          <w:sz w:val="18"/>
        </w:rPr>
        <w:t xml:space="preserve">At the outset, we note that Appellants' arguments mostly fail to account for our standard of review. Additionally, Appellants point the finger at Burnett for not following up on his request for push-button, automatic doors despite seeing Darsaoui regularly at work, but </w:t>
      </w:r>
      <w:bookmarkStart w:id="2463" w:name="Bookmark_LNHNREFclscc3_13"/>
      <w:bookmarkEnd w:id="2463"/>
      <w:r>
        <w:rPr>
          <w:rFonts w:ascii="Arial" w:eastAsia="Arial" w:hAnsi="Arial" w:cs="Arial"/>
          <w:color w:val="000000"/>
          <w:sz w:val="18"/>
        </w:rPr>
        <w:t xml:space="preserve">the burden is on the employer to respond to the request for an accommodation. </w:t>
      </w:r>
      <w:r>
        <w:rPr>
          <w:rFonts w:ascii="Arial" w:eastAsia="Arial" w:hAnsi="Arial" w:cs="Arial"/>
          <w:color w:val="000000"/>
          <w:sz w:val="18"/>
          <w:u w:val="single"/>
        </w:rPr>
        <w:t>See generally</w:t>
      </w:r>
      <w:r>
        <w:rPr>
          <w:rFonts w:ascii="Arial" w:eastAsia="Arial" w:hAnsi="Arial" w:cs="Arial"/>
          <w:color w:val="000000"/>
          <w:sz w:val="18"/>
        </w:rPr>
        <w:t xml:space="preserve"> 42 U.S.C. § 12112(b)(5)(A); 29 C.F.R. § 1630.2(o)(4); </w:t>
      </w:r>
      <w:r>
        <w:rPr>
          <w:rFonts w:ascii="Arial" w:eastAsia="Arial" w:hAnsi="Arial" w:cs="Arial"/>
          <w:color w:val="000000"/>
          <w:sz w:val="18"/>
          <w:u w:val="single"/>
        </w:rPr>
        <w:t>see also</w:t>
      </w:r>
      <w:r>
        <w:rPr>
          <w:rFonts w:ascii="Arial" w:eastAsia="Arial" w:hAnsi="Arial" w:cs="Arial"/>
          <w:color w:val="000000"/>
          <w:sz w:val="18"/>
        </w:rPr>
        <w:t xml:space="preserve"> Me. Stat. tit. 5, § 4553(2)(E) (2019).</w:t>
      </w:r>
    </w:p>
  </w:footnote>
  <w:footnote w:id="112">
    <w:p w14:paraId="680E35B7"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7 </w:t>
      </w:r>
      <w:bookmarkStart w:id="2473" w:name="Bookmark_fnpara_7_5"/>
      <w:bookmarkEnd w:id="2473"/>
      <w:r>
        <w:rPr>
          <w:rFonts w:ascii="Arial" w:eastAsia="Arial" w:hAnsi="Arial" w:cs="Arial"/>
          <w:color w:val="000000"/>
          <w:sz w:val="18"/>
        </w:rPr>
        <w:t xml:space="preserve">These factors were first developed to determine whether interrelated companies should be treated as one entity under the National Labor Relations Act, 29 U.S.C. § 164. </w:t>
      </w:r>
      <w:bookmarkStart w:id="2474" w:name="Bookmark_I61Y0BV92N1RG50010000400"/>
      <w:bookmarkEnd w:id="2474"/>
      <w:r>
        <w:rPr>
          <w:rFonts w:ascii="Arial" w:eastAsia="Arial" w:hAnsi="Arial" w:cs="Arial"/>
          <w:color w:val="000000"/>
          <w:sz w:val="18"/>
          <w:u w:val="single"/>
        </w:rPr>
        <w:t>Romano v. U-Haul Int'l</w:t>
      </w:r>
      <w:r>
        <w:rPr>
          <w:rFonts w:ascii="Arial" w:eastAsia="Arial" w:hAnsi="Arial" w:cs="Arial"/>
          <w:color w:val="000000"/>
          <w:sz w:val="18"/>
        </w:rPr>
        <w:t>, 233 F.3d 655, 662 (1st Cir. 2000).</w:t>
      </w:r>
    </w:p>
  </w:footnote>
  <w:footnote w:id="113">
    <w:p w14:paraId="042F9170"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8 </w:t>
      </w:r>
      <w:bookmarkStart w:id="2475" w:name="Bookmark_fnpara_8_3"/>
      <w:bookmarkStart w:id="2476" w:name="Bookmark_I61Y0BV92N1RG50040000400"/>
      <w:bookmarkStart w:id="2477" w:name="Bookmark_I61Y0BV928T4H60010000400"/>
      <w:bookmarkEnd w:id="2475"/>
      <w:bookmarkEnd w:id="2476"/>
      <w:bookmarkEnd w:id="2477"/>
      <w:r>
        <w:rPr>
          <w:rFonts w:ascii="Arial" w:eastAsia="Arial" w:hAnsi="Arial" w:cs="Arial"/>
          <w:color w:val="000000"/>
          <w:sz w:val="18"/>
        </w:rPr>
        <w:t xml:space="preserve">Although we have identified various tests to determine whether a single employer exists in Title VII discrimination claims, </w:t>
      </w:r>
      <w:r>
        <w:rPr>
          <w:rFonts w:ascii="Arial" w:eastAsia="Arial" w:hAnsi="Arial" w:cs="Arial"/>
          <w:color w:val="000000"/>
          <w:sz w:val="18"/>
          <w:u w:val="single"/>
        </w:rPr>
        <w:t xml:space="preserve">see </w:t>
      </w:r>
      <w:bookmarkStart w:id="2478" w:name="Bookmark_I61Y0BV92N1RG50030000400"/>
      <w:bookmarkEnd w:id="2478"/>
      <w:r>
        <w:rPr>
          <w:rFonts w:ascii="Arial" w:eastAsia="Arial" w:hAnsi="Arial" w:cs="Arial"/>
          <w:color w:val="000000"/>
          <w:sz w:val="18"/>
          <w:u w:val="single"/>
        </w:rPr>
        <w:t>Romano</w:t>
      </w:r>
      <w:r>
        <w:rPr>
          <w:rFonts w:ascii="Arial" w:eastAsia="Arial" w:hAnsi="Arial" w:cs="Arial"/>
          <w:color w:val="000000"/>
          <w:sz w:val="18"/>
        </w:rPr>
        <w:t xml:space="preserve">, 233 F.3d at 665, we have yet to decide which test is applicable to determine whether an employer is liable under the single-employer theory in an ADA claim. We will apply the integrated-enterprise test the parties applied in their briefs. </w:t>
      </w:r>
      <w:bookmarkStart w:id="2479" w:name="Bookmark_I61Y0BV928T4H60030000400"/>
      <w:bookmarkEnd w:id="2479"/>
      <w:r>
        <w:rPr>
          <w:rFonts w:ascii="Arial" w:eastAsia="Arial" w:hAnsi="Arial" w:cs="Arial"/>
          <w:color w:val="000000"/>
          <w:sz w:val="18"/>
          <w:u w:val="single"/>
        </w:rPr>
        <w:t xml:space="preserve">See </w:t>
      </w:r>
      <w:bookmarkStart w:id="2480" w:name="Bookmark_I61Y0BV92N1RG50050000400"/>
      <w:bookmarkEnd w:id="2480"/>
      <w:r>
        <w:rPr>
          <w:rFonts w:ascii="Arial" w:eastAsia="Arial" w:hAnsi="Arial" w:cs="Arial"/>
          <w:color w:val="000000"/>
          <w:sz w:val="18"/>
          <w:u w:val="single"/>
        </w:rPr>
        <w:t>Torres-Negron</w:t>
      </w:r>
      <w:r>
        <w:rPr>
          <w:rFonts w:ascii="Arial" w:eastAsia="Arial" w:hAnsi="Arial" w:cs="Arial"/>
          <w:color w:val="000000"/>
          <w:sz w:val="18"/>
        </w:rPr>
        <w:t xml:space="preserve">, 488 F.3d at 42 n.8 (1st Cir. 2007) (applying the integrated-enterprise test in an ADA claim). </w:t>
      </w:r>
      <w:bookmarkStart w:id="2481" w:name="Bookmark_I61Y0BV928T4H60030000400_2"/>
      <w:bookmarkEnd w:id="2481"/>
      <w:r>
        <w:rPr>
          <w:rFonts w:ascii="Arial" w:eastAsia="Arial" w:hAnsi="Arial" w:cs="Arial"/>
          <w:color w:val="000000"/>
          <w:sz w:val="18"/>
        </w:rPr>
        <w:t xml:space="preserve">Other circuits have applied this same test in ADA claims. </w:t>
      </w:r>
      <w:r>
        <w:rPr>
          <w:rFonts w:ascii="Arial" w:eastAsia="Arial" w:hAnsi="Arial" w:cs="Arial"/>
          <w:color w:val="000000"/>
          <w:sz w:val="18"/>
          <w:u w:val="single"/>
        </w:rPr>
        <w:t xml:space="preserve">See, e.g., </w:t>
      </w:r>
      <w:bookmarkStart w:id="2482" w:name="Bookmark_I61Y0BV928T4H60020000400"/>
      <w:bookmarkEnd w:id="2482"/>
      <w:r>
        <w:rPr>
          <w:rFonts w:ascii="Arial" w:eastAsia="Arial" w:hAnsi="Arial" w:cs="Arial"/>
          <w:color w:val="000000"/>
          <w:sz w:val="18"/>
          <w:u w:val="single"/>
        </w:rPr>
        <w:t>Tipton v. Northrup Grumman Corp.</w:t>
      </w:r>
      <w:r>
        <w:rPr>
          <w:rFonts w:ascii="Arial" w:eastAsia="Arial" w:hAnsi="Arial" w:cs="Arial"/>
          <w:color w:val="000000"/>
          <w:sz w:val="18"/>
        </w:rPr>
        <w:t xml:space="preserve">, 242 F. App'x 187, 190 (5th Cir. 2007); </w:t>
      </w:r>
      <w:bookmarkStart w:id="2483" w:name="Bookmark_I61Y0BV928T4H60040000400"/>
      <w:bookmarkEnd w:id="2483"/>
      <w:r>
        <w:rPr>
          <w:rFonts w:ascii="Arial" w:eastAsia="Arial" w:hAnsi="Arial" w:cs="Arial"/>
          <w:color w:val="000000"/>
          <w:sz w:val="18"/>
          <w:u w:val="single"/>
        </w:rPr>
        <w:t>Bristol v. Bd. of Cnty. Comm'rs of Cnty. of Clear Creek</w:t>
      </w:r>
      <w:r>
        <w:rPr>
          <w:rFonts w:ascii="Arial" w:eastAsia="Arial" w:hAnsi="Arial" w:cs="Arial"/>
          <w:color w:val="000000"/>
          <w:sz w:val="18"/>
        </w:rPr>
        <w:t xml:space="preserve">, 312 F.3d 1213, 1220 (10th Cir. 2002); </w:t>
      </w:r>
      <w:bookmarkStart w:id="2484" w:name="Bookmark_I61Y0BV92N1RGB0010000400"/>
      <w:bookmarkEnd w:id="2484"/>
      <w:r>
        <w:rPr>
          <w:rFonts w:ascii="Arial" w:eastAsia="Arial" w:hAnsi="Arial" w:cs="Arial"/>
          <w:color w:val="000000"/>
          <w:sz w:val="18"/>
          <w:u w:val="single"/>
        </w:rPr>
        <w:t>Parker v. Columbia Pictures Indus.</w:t>
      </w:r>
      <w:r>
        <w:rPr>
          <w:rFonts w:ascii="Arial" w:eastAsia="Arial" w:hAnsi="Arial" w:cs="Arial"/>
          <w:color w:val="000000"/>
          <w:sz w:val="18"/>
        </w:rPr>
        <w:t xml:space="preserve">, 204 F.3d 326, 341 (2d Cir. 2000); </w:t>
      </w:r>
      <w:bookmarkStart w:id="2485" w:name="Bookmark_I61Y0BV92N1RGB0030000400"/>
      <w:bookmarkEnd w:id="2485"/>
      <w:r>
        <w:rPr>
          <w:rFonts w:ascii="Arial" w:eastAsia="Arial" w:hAnsi="Arial" w:cs="Arial"/>
          <w:color w:val="000000"/>
          <w:sz w:val="18"/>
          <w:u w:val="single"/>
        </w:rPr>
        <w:t>Swallows v. Barnes &amp; Noble Book Stores, Inc.</w:t>
      </w:r>
      <w:r>
        <w:rPr>
          <w:rFonts w:ascii="Arial" w:eastAsia="Arial" w:hAnsi="Arial" w:cs="Arial"/>
          <w:color w:val="000000"/>
          <w:sz w:val="18"/>
        </w:rPr>
        <w:t>, 128 F.3d 990, 993-96 (6th Cir. 1997).</w:t>
      </w:r>
    </w:p>
  </w:footnote>
  <w:footnote w:id="114">
    <w:p w14:paraId="2FEB3501"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9 </w:t>
      </w:r>
      <w:bookmarkStart w:id="2501" w:name="Bookmark_fnpara_9_1"/>
      <w:bookmarkEnd w:id="2501"/>
      <w:r>
        <w:rPr>
          <w:rFonts w:ascii="Arial" w:eastAsia="Arial" w:hAnsi="Arial" w:cs="Arial"/>
          <w:color w:val="000000"/>
          <w:sz w:val="18"/>
        </w:rPr>
        <w:t>We note that Darsaoui testified this was "not a paycheck stub, but it is a check and a check stub."</w:t>
      </w:r>
    </w:p>
  </w:footnote>
  <w:footnote w:id="115">
    <w:p w14:paraId="6D5D2D7E"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10 </w:t>
      </w:r>
      <w:bookmarkStart w:id="2534" w:name="Bookmark_fnpara_10_1"/>
      <w:bookmarkEnd w:id="2534"/>
      <w:r>
        <w:rPr>
          <w:rFonts w:ascii="Arial" w:eastAsia="Arial" w:hAnsi="Arial" w:cs="Arial"/>
          <w:color w:val="000000"/>
          <w:sz w:val="18"/>
        </w:rPr>
        <w:t>Separately, Ocean Properties argues that if we conclude that Appellants were Burnett's joint employers but not his single integrated employer, Ocean Properties is entitled to judgment as a matter of law regarding punitive damages because there is no evidence that Ocean Properties (as opposed to AmeriPort) acted with malice or reckless indifference towards Burnett. Ocean Properties first raised this claim in its Rule 50(b) motion and therefore the district court considered the claim waived. We do not address this argument because we conclude that Appellants were Burnett's single integrated employer.</w:t>
      </w:r>
    </w:p>
  </w:footnote>
  <w:footnote w:id="116">
    <w:p w14:paraId="2AA73B94"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11 </w:t>
      </w:r>
      <w:bookmarkStart w:id="2543" w:name="Bookmark_fnpara_11_1"/>
      <w:bookmarkStart w:id="2544" w:name="Bookmark_LNHNREFclscc11_10"/>
      <w:bookmarkEnd w:id="2543"/>
      <w:bookmarkEnd w:id="2544"/>
      <w:r>
        <w:rPr>
          <w:rFonts w:ascii="Arial" w:eastAsia="Arial" w:hAnsi="Arial" w:cs="Arial"/>
          <w:color w:val="000000"/>
          <w:sz w:val="18"/>
        </w:rPr>
        <w:t xml:space="preserve">An accommodation poses an "undue hardship" if it requires significant difficulty, financial or otherwise. </w:t>
      </w:r>
      <w:r>
        <w:rPr>
          <w:rFonts w:ascii="Arial" w:eastAsia="Arial" w:hAnsi="Arial" w:cs="Arial"/>
          <w:color w:val="000000"/>
          <w:sz w:val="18"/>
          <w:u w:val="single"/>
        </w:rPr>
        <w:t>See</w:t>
      </w:r>
      <w:r>
        <w:rPr>
          <w:rFonts w:ascii="Arial" w:eastAsia="Arial" w:hAnsi="Arial" w:cs="Arial"/>
          <w:color w:val="000000"/>
          <w:sz w:val="18"/>
        </w:rPr>
        <w:t xml:space="preserve"> 29 C.F.R. § 1630.2(p)(1); Me. Rev. Stat. Ann. tit. 5, § 4553(9-B). Because Appellants stipulated that replacing the doors was not an undue hardship and do not argue otherwise on appeal, we do not discuss whether Appellants would have met their statutory burden of proving undue hardship.</w:t>
      </w:r>
    </w:p>
  </w:footnote>
  <w:footnote w:id="117">
    <w:p w14:paraId="6CA55988"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12 </w:t>
      </w:r>
      <w:bookmarkStart w:id="2553" w:name="Bookmark_fnpara_12_1"/>
      <w:bookmarkStart w:id="2554" w:name="Bookmark_I61Y0BVD2SF8BP0050000400"/>
      <w:bookmarkStart w:id="2555" w:name="Bookmark_LNHNREFclscc12_9"/>
      <w:bookmarkEnd w:id="2553"/>
      <w:bookmarkEnd w:id="2554"/>
      <w:bookmarkEnd w:id="2555"/>
      <w:r>
        <w:rPr>
          <w:rFonts w:ascii="Arial" w:eastAsia="Arial" w:hAnsi="Arial" w:cs="Arial"/>
          <w:color w:val="000000"/>
          <w:sz w:val="18"/>
        </w:rPr>
        <w:t xml:space="preserve">Generally, an employer is required to engage in an interactive process with the employee with a disability to identify a reasonable accommodation. </w:t>
      </w:r>
      <w:r>
        <w:rPr>
          <w:rFonts w:ascii="Arial" w:eastAsia="Arial" w:hAnsi="Arial" w:cs="Arial"/>
          <w:color w:val="000000"/>
          <w:sz w:val="18"/>
          <w:u w:val="single"/>
        </w:rPr>
        <w:t xml:space="preserve">See generally </w:t>
      </w:r>
      <w:bookmarkStart w:id="2556" w:name="Bookmark_I61Y0BVD2SF8BP0040000400"/>
      <w:bookmarkEnd w:id="2556"/>
      <w:r>
        <w:rPr>
          <w:rFonts w:ascii="Arial" w:eastAsia="Arial" w:hAnsi="Arial" w:cs="Arial"/>
          <w:color w:val="000000"/>
          <w:sz w:val="18"/>
          <w:u w:val="single"/>
        </w:rPr>
        <w:t>Kezer v. Cent. Me. Med. Ctr.</w:t>
      </w:r>
      <w:r>
        <w:rPr>
          <w:rFonts w:ascii="Arial" w:eastAsia="Arial" w:hAnsi="Arial" w:cs="Arial"/>
          <w:color w:val="000000"/>
          <w:sz w:val="18"/>
        </w:rPr>
        <w:t>, 2012 ME 54, 40 A.3d 955, 963-64 (Me. 2012) (citing Me. Stat. tit. 5, § 4613(2)(B)(8)(b)); 29 C.F.R. § 1630.2(o)(3). Burnett argues that Appellants failed to engage in such a process with him. However, as Appellants correctly note in their reply, the jury did not make any findings related to the interactive process, nor do Appellants raise any challenges to the interactive process in their opening briefs. Therefore, we do not address whether Appellants were required to participate in the interactive process and if they did so.</w:t>
      </w:r>
    </w:p>
  </w:footnote>
  <w:footnote w:id="118">
    <w:p w14:paraId="1E689C29"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13 </w:t>
      </w:r>
      <w:bookmarkStart w:id="2564" w:name="Bookmark_fnpara_13_0"/>
      <w:bookmarkStart w:id="2565" w:name="Bookmark_I61Y0BVF2D6NSC0010000400"/>
      <w:bookmarkStart w:id="2566" w:name="Bookmark_I1YTM453V230000PTMW00003"/>
      <w:bookmarkStart w:id="2567" w:name="Bookmark_I61Y0BVF2D6NSC0030000400"/>
      <w:bookmarkEnd w:id="2564"/>
      <w:bookmarkEnd w:id="2565"/>
      <w:bookmarkEnd w:id="2566"/>
      <w:bookmarkEnd w:id="2567"/>
      <w:r>
        <w:rPr>
          <w:rFonts w:ascii="Arial" w:eastAsia="Arial" w:hAnsi="Arial" w:cs="Arial"/>
          <w:color w:val="000000"/>
          <w:sz w:val="18"/>
        </w:rPr>
        <w:t xml:space="preserve">Citing </w:t>
      </w:r>
      <w:bookmarkStart w:id="2568" w:name="Bookmark_I61Y0BVD2N1RGX0050000400"/>
      <w:bookmarkEnd w:id="2568"/>
      <w:r>
        <w:rPr>
          <w:rFonts w:ascii="Arial" w:eastAsia="Arial" w:hAnsi="Arial" w:cs="Arial"/>
          <w:color w:val="000000"/>
          <w:sz w:val="18"/>
          <w:u w:val="single"/>
        </w:rPr>
        <w:t>Ward</w:t>
      </w:r>
      <w:r>
        <w:rPr>
          <w:rFonts w:ascii="Arial" w:eastAsia="Arial" w:hAnsi="Arial" w:cs="Arial"/>
          <w:color w:val="000000"/>
          <w:sz w:val="18"/>
        </w:rPr>
        <w:t xml:space="preserve">, 209 F.3d at 33, Appellants claim that to determine whether a reasonable accommodation is necessary, the first step is whether the employee can perform the essential functions of the job and, if he cannot, then the second step is whether any reasonable accommodation will enable him to perform the essential functions. Appellants' reliance on </w:t>
      </w:r>
      <w:r>
        <w:rPr>
          <w:rFonts w:ascii="Arial" w:eastAsia="Arial" w:hAnsi="Arial" w:cs="Arial"/>
          <w:color w:val="000000"/>
          <w:sz w:val="18"/>
          <w:u w:val="single"/>
        </w:rPr>
        <w:t>Ward</w:t>
      </w:r>
      <w:r>
        <w:rPr>
          <w:rFonts w:ascii="Arial" w:eastAsia="Arial" w:hAnsi="Arial" w:cs="Arial"/>
          <w:color w:val="000000"/>
          <w:sz w:val="18"/>
        </w:rPr>
        <w:t xml:space="preserve"> is misplaced. We applied this two-step test in </w:t>
      </w:r>
      <w:r>
        <w:rPr>
          <w:rFonts w:ascii="Arial" w:eastAsia="Arial" w:hAnsi="Arial" w:cs="Arial"/>
          <w:color w:val="000000"/>
          <w:sz w:val="18"/>
          <w:u w:val="single"/>
        </w:rPr>
        <w:t>Ward</w:t>
      </w:r>
      <w:r>
        <w:rPr>
          <w:rFonts w:ascii="Arial" w:eastAsia="Arial" w:hAnsi="Arial" w:cs="Arial"/>
          <w:color w:val="000000"/>
          <w:sz w:val="18"/>
        </w:rPr>
        <w:t xml:space="preserve"> to determine whether the plaintiff was a "qualified individual" within the meaning of the ADA, </w:t>
      </w:r>
      <w:bookmarkStart w:id="2569" w:name="Bookmark_I61Y0BVF2D6NSC0020000400"/>
      <w:bookmarkEnd w:id="2569"/>
      <w:r>
        <w:rPr>
          <w:rFonts w:ascii="Arial" w:eastAsia="Arial" w:hAnsi="Arial" w:cs="Arial"/>
          <w:color w:val="000000"/>
          <w:sz w:val="18"/>
          <w:u w:val="single"/>
        </w:rPr>
        <w:t>id.</w:t>
      </w:r>
      <w:r>
        <w:rPr>
          <w:rFonts w:ascii="Arial" w:eastAsia="Arial" w:hAnsi="Arial" w:cs="Arial"/>
          <w:color w:val="000000"/>
          <w:sz w:val="18"/>
        </w:rPr>
        <w:t xml:space="preserve"> at 33-34, not whether he needed a reasonable accommodation.</w:t>
      </w:r>
    </w:p>
  </w:footnote>
  <w:footnote w:id="119">
    <w:p w14:paraId="2E3B9E26"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14 </w:t>
      </w:r>
      <w:bookmarkStart w:id="2594" w:name="Bookmark_fnpara_14_0"/>
      <w:bookmarkEnd w:id="2594"/>
      <w:r>
        <w:rPr>
          <w:rFonts w:ascii="Arial" w:eastAsia="Arial" w:hAnsi="Arial" w:cs="Arial"/>
          <w:color w:val="000000"/>
          <w:sz w:val="18"/>
        </w:rPr>
        <w:t>We note that Darsaoui's testimony about her "normal practice" contradicts her testimony and Burnett's testimony that during their meeting to discuss the MHRC complaint, Darsaoui acknowledged she had no specific knowledge of ADA compliance.</w:t>
      </w:r>
    </w:p>
  </w:footnote>
  <w:footnote w:id="120">
    <w:p w14:paraId="402ED5B2"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15 </w:t>
      </w:r>
      <w:bookmarkStart w:id="2603" w:name="Bookmark_fnpara_15_0"/>
      <w:bookmarkEnd w:id="2603"/>
      <w:r>
        <w:rPr>
          <w:rFonts w:ascii="Arial" w:eastAsia="Arial" w:hAnsi="Arial" w:cs="Arial"/>
          <w:color w:val="000000"/>
          <w:sz w:val="18"/>
        </w:rPr>
        <w:t>The statement read, in part: "It is the policy and practice of this Hotel to provide equal employment opportunities to all Associates of the Hotel without regard to race, color, age, religion, sex, creed, ancestry, sexual orientation, national origin, familial status, disability, or any other legally protected status."</w:t>
      </w:r>
    </w:p>
  </w:footnote>
  <w:footnote w:id="121">
    <w:p w14:paraId="5FC8E8DA"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16 </w:t>
      </w:r>
      <w:bookmarkStart w:id="2604" w:name="Bookmark_fnpara_16_0"/>
      <w:bookmarkEnd w:id="2604"/>
      <w:r>
        <w:rPr>
          <w:rFonts w:ascii="Arial" w:eastAsia="Arial" w:hAnsi="Arial" w:cs="Arial"/>
          <w:color w:val="000000"/>
          <w:sz w:val="18"/>
        </w:rPr>
        <w:t>The policy directed associates to "bring . . . to the attention of either your supervisor, the general manager or to a member of our corporate staff" questions or suggestions about improving job performance, "guest services," or "the overall operation of the hotel."</w:t>
      </w:r>
    </w:p>
  </w:footnote>
  <w:footnote w:id="122">
    <w:p w14:paraId="3999CF35"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17 </w:t>
      </w:r>
      <w:bookmarkStart w:id="2610" w:name="Bookmark_fnpara_17_0"/>
      <w:bookmarkStart w:id="2611" w:name="Bookmark_I1YTM453XHK0000PTMW00004"/>
      <w:bookmarkStart w:id="2612" w:name="Bookmark_I1YTM45414B0000PTMW00005"/>
      <w:bookmarkStart w:id="2613" w:name="Bookmark_I61Y0BVH2N1RHJ0040000400"/>
      <w:bookmarkEnd w:id="2610"/>
      <w:bookmarkEnd w:id="2611"/>
      <w:bookmarkEnd w:id="2612"/>
      <w:bookmarkEnd w:id="2613"/>
      <w:r>
        <w:rPr>
          <w:rFonts w:ascii="Arial" w:eastAsia="Arial" w:hAnsi="Arial" w:cs="Arial"/>
          <w:color w:val="000000"/>
          <w:sz w:val="18"/>
        </w:rPr>
        <w:t xml:space="preserve">Appellants distinguish this case from two cases that are inapposite. </w:t>
      </w:r>
      <w:r>
        <w:rPr>
          <w:rFonts w:ascii="Arial" w:eastAsia="Arial" w:hAnsi="Arial" w:cs="Arial"/>
          <w:color w:val="000000"/>
          <w:sz w:val="18"/>
          <w:u w:val="single"/>
        </w:rPr>
        <w:t xml:space="preserve">See </w:t>
      </w:r>
      <w:bookmarkStart w:id="2614" w:name="Bookmark_I61Y0BVH2N1RHJ0030000400"/>
      <w:bookmarkEnd w:id="2614"/>
      <w:r>
        <w:rPr>
          <w:rFonts w:ascii="Arial" w:eastAsia="Arial" w:hAnsi="Arial" w:cs="Arial"/>
          <w:color w:val="000000"/>
          <w:sz w:val="18"/>
          <w:u w:val="single"/>
        </w:rPr>
        <w:t>Tobin v. Liberty Mut. Ins. Co.</w:t>
      </w:r>
      <w:r>
        <w:rPr>
          <w:rFonts w:ascii="Arial" w:eastAsia="Arial" w:hAnsi="Arial" w:cs="Arial"/>
          <w:color w:val="000000"/>
          <w:sz w:val="18"/>
        </w:rPr>
        <w:t xml:space="preserve">, 553 F.3d 121, 148-49 (1st Cir. 2009) (finding no evidence of reckless indifference where employer deemed employee's requested accommodations unreasonable but "consideration was given -- whether or not correctly, but consideration was given -- by the [employer] to the relevant factors"); </w:t>
      </w:r>
      <w:bookmarkStart w:id="2615" w:name="Bookmark_I61Y0BVH2N1RHJ0050000400"/>
      <w:bookmarkEnd w:id="2615"/>
      <w:r>
        <w:rPr>
          <w:rFonts w:ascii="Arial" w:eastAsia="Arial" w:hAnsi="Arial" w:cs="Arial"/>
          <w:color w:val="000000"/>
          <w:sz w:val="18"/>
          <w:u w:val="single"/>
        </w:rPr>
        <w:t>Marcano-Rivera v. Pueblo Int'l, Inc.</w:t>
      </w:r>
      <w:r>
        <w:rPr>
          <w:rFonts w:ascii="Arial" w:eastAsia="Arial" w:hAnsi="Arial" w:cs="Arial"/>
          <w:color w:val="000000"/>
          <w:sz w:val="18"/>
        </w:rPr>
        <w:t>, 232 F.3d 245, 254 (1st Cir. 2000) ("[Employee and her husband] have not identified any facts that would support an award of punitive damages . . . [and] [t]he record is replete . . . with evidence that [the employer] instituted policies prohibiting any type of discrimination, trained its personnel to ensure equal treatment of employees with disabilities, and took good faith efforts to comply with the ADA.").</w:t>
      </w:r>
    </w:p>
  </w:footnote>
  <w:footnote w:id="123">
    <w:p w14:paraId="5CAF0031"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18 </w:t>
      </w:r>
      <w:bookmarkStart w:id="2638" w:name="Bookmark_fnpara_18_0"/>
      <w:bookmarkEnd w:id="2638"/>
      <w:r>
        <w:rPr>
          <w:rFonts w:ascii="Arial" w:eastAsia="Arial" w:hAnsi="Arial" w:cs="Arial"/>
          <w:color w:val="000000"/>
          <w:sz w:val="18"/>
        </w:rPr>
        <w:t>A quick pause to note that the district court found that Appellants' reading of the verdict mischaracterized the special verdict form. The court stated:</w:t>
      </w:r>
    </w:p>
    <w:p w14:paraId="40A72CC5" w14:textId="77777777" w:rsidR="002B10A6" w:rsidRDefault="00000000">
      <w:pPr>
        <w:pStyle w:val="Normal15"/>
        <w:widowControl w:val="0"/>
        <w:spacing w:before="120" w:line="240" w:lineRule="atLeast"/>
        <w:ind w:left="400"/>
        <w:jc w:val="both"/>
      </w:pPr>
      <w:bookmarkStart w:id="2639" w:name="Bookmark_para_46_3"/>
      <w:bookmarkEnd w:id="2639"/>
      <w:r>
        <w:rPr>
          <w:rFonts w:ascii="Arial" w:eastAsia="Arial" w:hAnsi="Arial" w:cs="Arial"/>
          <w:color w:val="000000"/>
          <w:sz w:val="18"/>
        </w:rPr>
        <w:t>In fact, question three of the verdict form states: "[w]as Ocean Properties an employer or joint employer of Mr. Burnett?" In response, the jury checked "yes." Question four states: "[w]ere Ocean Properties and AmeriPort integrated employers of Ryan Burnett?" The jury checked "yes." In the Court's view, therefore, it is not clear based on the special interrogatories, agreed to by the parties, whether the jury found Ocean Properties to be an employer, a joint employer, an integrated employer, or all three.</w:t>
      </w:r>
    </w:p>
  </w:footnote>
  <w:footnote w:id="124">
    <w:p w14:paraId="686D5AA7"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19 </w:t>
      </w:r>
      <w:bookmarkStart w:id="2656" w:name="Bookmark_fnpara_19_0"/>
      <w:bookmarkStart w:id="2657" w:name="Bookmark_I61Y0BVM2SF8CY0030000400"/>
      <w:bookmarkEnd w:id="2656"/>
      <w:bookmarkEnd w:id="2657"/>
      <w:r>
        <w:rPr>
          <w:rFonts w:ascii="Arial" w:eastAsia="Arial" w:hAnsi="Arial" w:cs="Arial"/>
          <w:color w:val="000000"/>
          <w:sz w:val="18"/>
        </w:rPr>
        <w:t xml:space="preserve">Even if we were to bypass waiver and review for plain error, Ocean Properties still would not prevail. </w:t>
      </w:r>
      <w:r>
        <w:rPr>
          <w:rFonts w:ascii="Arial" w:eastAsia="Arial" w:hAnsi="Arial" w:cs="Arial"/>
          <w:color w:val="000000"/>
          <w:sz w:val="18"/>
          <w:u w:val="single"/>
        </w:rPr>
        <w:t xml:space="preserve">See </w:t>
      </w:r>
      <w:bookmarkStart w:id="2658" w:name="Bookmark_I61Y0BVM2SF8CY0020000400"/>
      <w:bookmarkEnd w:id="2658"/>
      <w:r>
        <w:rPr>
          <w:rFonts w:ascii="Arial" w:eastAsia="Arial" w:hAnsi="Arial" w:cs="Arial"/>
          <w:color w:val="000000"/>
          <w:sz w:val="18"/>
          <w:u w:val="single"/>
        </w:rPr>
        <w:t>Int'l Floor Crafts, Inc. v. Dziemit</w:t>
      </w:r>
      <w:r>
        <w:rPr>
          <w:rFonts w:ascii="Arial" w:eastAsia="Arial" w:hAnsi="Arial" w:cs="Arial"/>
          <w:color w:val="000000"/>
          <w:sz w:val="18"/>
        </w:rPr>
        <w:t xml:space="preserve">, 420 F. App'x 6, 14 (1st Cir. 2011) (finding inconsistent verdict argument waived for failure to timely object and, at most, reviewing only for plain error). Ocean Properties cannot show any error seriously affected the fairness, integrity, or public reputation of the trial when the record shows it fully participated in discussions concerning the verdict form, </w:t>
      </w:r>
      <w:r>
        <w:rPr>
          <w:rFonts w:ascii="Arial" w:eastAsia="Arial" w:hAnsi="Arial" w:cs="Arial"/>
          <w:color w:val="000000"/>
          <w:sz w:val="18"/>
          <w:u w:val="single"/>
        </w:rPr>
        <w:t>see supra</w:t>
      </w:r>
      <w:r>
        <w:rPr>
          <w:rFonts w:ascii="Arial" w:eastAsia="Arial" w:hAnsi="Arial" w:cs="Arial"/>
          <w:color w:val="000000"/>
          <w:sz w:val="18"/>
        </w:rPr>
        <w:t xml:space="preserve"> note 18 (noting the parties agreed to the special interrogatories), and, after the first verdict was reached, the jury had not yet been discharged, which means Ocean Properties was afforded ample opportunity to challenge the verdict. Beyond jury deliberations, the record shows the trial was conducted fairly and the district judge was impartial.</w:t>
      </w:r>
    </w:p>
  </w:footnote>
  <w:footnote w:id="125">
    <w:p w14:paraId="463BB7BF"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20 </w:t>
      </w:r>
      <w:bookmarkStart w:id="2663" w:name="Bookmark_fnpara_20_0"/>
      <w:bookmarkEnd w:id="2663"/>
      <w:r>
        <w:rPr>
          <w:rFonts w:ascii="Arial" w:eastAsia="Arial" w:hAnsi="Arial" w:cs="Arial"/>
          <w:color w:val="000000"/>
          <w:sz w:val="18"/>
        </w:rPr>
        <w:t>Rule 26(a)(1)(A) states, pertinently: "[A] party must, without awaiting a discovery request, provide to the other parties . . . the name and, if known, the address and telephone number of each individual likely to have discoverable information--along with the subjects of that information--that the disclosing party may use to support its claims or defenses."</w:t>
      </w:r>
    </w:p>
    <w:p w14:paraId="7C04F69F" w14:textId="77777777" w:rsidR="002B10A6" w:rsidRDefault="00000000">
      <w:pPr>
        <w:pStyle w:val="Normal15"/>
        <w:widowControl w:val="0"/>
        <w:spacing w:before="120" w:line="240" w:lineRule="atLeast"/>
        <w:jc w:val="both"/>
      </w:pPr>
      <w:bookmarkStart w:id="2664" w:name="Bookmark_fnpara_21_0"/>
      <w:bookmarkEnd w:id="2664"/>
      <w:r>
        <w:rPr>
          <w:rFonts w:ascii="Arial" w:eastAsia="Arial" w:hAnsi="Arial" w:cs="Arial"/>
          <w:color w:val="000000"/>
          <w:sz w:val="18"/>
        </w:rPr>
        <w:t>Rule 26(e)(1) states: "A party who has made a disclosure under Rule 26(a)--or who has responded to an interrogatory, request for production or request for admission--must supplement or correct its disclosure or response . . . in a timely manner if the party learns that in some material respect the disclosure or response is incomplete or incorrect, and if the additional or corrective information has not otherwise been made known to the other parties during the discovery process or in writing."</w:t>
      </w:r>
    </w:p>
  </w:footnote>
  <w:footnote w:id="126">
    <w:p w14:paraId="6576229A" w14:textId="77777777" w:rsidR="002B10A6" w:rsidRDefault="00000000">
      <w:pPr>
        <w:pStyle w:val="Normal15"/>
        <w:widowControl w:val="0"/>
        <w:spacing w:before="120" w:line="240" w:lineRule="atLeast"/>
        <w:jc w:val="both"/>
      </w:pPr>
      <w:r>
        <w:rPr>
          <w:rFonts w:ascii="Arial" w:eastAsia="Arial" w:hAnsi="Arial" w:cs="Arial"/>
          <w:color w:val="000000"/>
          <w:sz w:val="18"/>
          <w:vertAlign w:val="superscript"/>
        </w:rPr>
        <w:t>21 </w:t>
      </w:r>
      <w:bookmarkStart w:id="2686" w:name="Bookmark_fnpara_22_0"/>
      <w:bookmarkEnd w:id="2686"/>
      <w:r>
        <w:rPr>
          <w:rFonts w:ascii="Arial" w:eastAsia="Arial" w:hAnsi="Arial" w:cs="Arial"/>
          <w:color w:val="000000"/>
          <w:sz w:val="18"/>
        </w:rPr>
        <w:t>Appellants do not quote the objected-to language in their brief but instead cite page 553 of the Appendix, which contains this language. This is also the same language Appellants challenged in their post-trial motion for a new trial.</w:t>
      </w:r>
    </w:p>
  </w:footnote>
  <w:footnote w:id="127">
    <w:p w14:paraId="001A5D11"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22 </w:t>
      </w:r>
      <w:bookmarkStart w:id="2734" w:name="Bookmark_fnpara_23_0"/>
      <w:bookmarkEnd w:id="2734"/>
      <w:r>
        <w:rPr>
          <w:rFonts w:ascii="Arial" w:eastAsia="Arial" w:hAnsi="Arial" w:cs="Arial"/>
          <w:color w:val="000000"/>
          <w:sz w:val="18"/>
        </w:rPr>
        <w:t xml:space="preserve">Appellants try to excuse their failure to contemporaneously object by saying: "(1) the issue was raised immediately after closing arguments; (2) the trial court recognized that raising the objection during closing argument only would have underscored the effect of the erroneous comments; and (3) [Appellants] moved for a mistrial before the jury began deliberations." However, Appellants don't explain why they couldn't have asked to approach the bench, something they had been allowed to do throughout the trial, and make an objection without the jury hearing it. Accordingly, our review is for plain error. </w:t>
      </w:r>
      <w:r>
        <w:rPr>
          <w:rFonts w:ascii="Arial" w:eastAsia="Arial" w:hAnsi="Arial" w:cs="Arial"/>
          <w:color w:val="000000"/>
          <w:sz w:val="18"/>
          <w:u w:val="single"/>
        </w:rPr>
        <w:t xml:space="preserve">See </w:t>
      </w:r>
      <w:bookmarkStart w:id="2735" w:name="Bookmark_I61Y0BVP28T4K90020000400"/>
      <w:bookmarkEnd w:id="2735"/>
      <w:r>
        <w:rPr>
          <w:rFonts w:ascii="Arial" w:eastAsia="Arial" w:hAnsi="Arial" w:cs="Arial"/>
          <w:color w:val="000000"/>
          <w:sz w:val="18"/>
          <w:u w:val="single"/>
        </w:rPr>
        <w:t>United States v. Zarauskas</w:t>
      </w:r>
      <w:r>
        <w:rPr>
          <w:rFonts w:ascii="Arial" w:eastAsia="Arial" w:hAnsi="Arial" w:cs="Arial"/>
          <w:color w:val="000000"/>
          <w:sz w:val="18"/>
        </w:rPr>
        <w:t xml:space="preserve">, 814 F.3d 509, 517 (1st Cir. 2016) (citing </w:t>
      </w:r>
      <w:bookmarkStart w:id="2736" w:name="Bookmark_I61Y0BVP28T4K90040000400"/>
      <w:bookmarkEnd w:id="2736"/>
      <w:r>
        <w:rPr>
          <w:rFonts w:ascii="Arial" w:eastAsia="Arial" w:hAnsi="Arial" w:cs="Arial"/>
          <w:color w:val="000000"/>
          <w:sz w:val="18"/>
          <w:u w:val="single"/>
        </w:rPr>
        <w:t>United States v. Sepulveda</w:t>
      </w:r>
      <w:r>
        <w:rPr>
          <w:rFonts w:ascii="Arial" w:eastAsia="Arial" w:hAnsi="Arial" w:cs="Arial"/>
          <w:color w:val="000000"/>
          <w:sz w:val="18"/>
        </w:rPr>
        <w:t>, 15 F.3d 1161, 1187 (1st Cir. 1993)) (reviewing for plain error where no contemporaneous objections were made to challenged comments in closing arguments).</w:t>
      </w:r>
    </w:p>
  </w:footnote>
  <w:footnote w:id="128">
    <w:p w14:paraId="0E7116F7"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23 </w:t>
      </w:r>
      <w:bookmarkStart w:id="2738" w:name="Bookmark_fnpara_24_0"/>
      <w:bookmarkEnd w:id="2738"/>
      <w:r>
        <w:rPr>
          <w:rFonts w:ascii="Arial" w:eastAsia="Arial" w:hAnsi="Arial" w:cs="Arial"/>
          <w:color w:val="000000"/>
          <w:sz w:val="18"/>
          <w:u w:val="single"/>
        </w:rPr>
        <w:t xml:space="preserve">See </w:t>
      </w:r>
      <w:bookmarkStart w:id="2739" w:name="Bookmark_I61Y0BVR2D6NTS0010000400"/>
      <w:bookmarkEnd w:id="2739"/>
      <w:r>
        <w:rPr>
          <w:rFonts w:ascii="Arial" w:eastAsia="Arial" w:hAnsi="Arial" w:cs="Arial"/>
          <w:color w:val="000000"/>
          <w:sz w:val="18"/>
          <w:u w:val="single"/>
        </w:rPr>
        <w:t>Rodríguez</w:t>
      </w:r>
      <w:r>
        <w:rPr>
          <w:rFonts w:ascii="Arial" w:eastAsia="Arial" w:hAnsi="Arial" w:cs="Arial"/>
          <w:color w:val="000000"/>
          <w:sz w:val="18"/>
        </w:rPr>
        <w:t xml:space="preserve">, 642 F.3d at 37 &amp; n.3; </w:t>
      </w:r>
      <w:bookmarkStart w:id="2740" w:name="Bookmark_I61Y0BVR2D6NTS0030000400"/>
      <w:bookmarkEnd w:id="2740"/>
      <w:r>
        <w:rPr>
          <w:rFonts w:ascii="Arial" w:eastAsia="Arial" w:hAnsi="Arial" w:cs="Arial"/>
          <w:color w:val="000000"/>
          <w:sz w:val="18"/>
          <w:u w:val="single"/>
        </w:rPr>
        <w:t>Bielunas</w:t>
      </w:r>
      <w:r>
        <w:rPr>
          <w:rFonts w:ascii="Arial" w:eastAsia="Arial" w:hAnsi="Arial" w:cs="Arial"/>
          <w:color w:val="000000"/>
          <w:sz w:val="18"/>
        </w:rPr>
        <w:t>, 621 F.3d at 78-79 (collecting cases and noting the First Circuit is quite out of step in this regard).</w:t>
      </w:r>
    </w:p>
  </w:footnote>
  <w:footnote w:id="129">
    <w:p w14:paraId="238AC7A4"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24 </w:t>
      </w:r>
      <w:bookmarkStart w:id="2770" w:name="Bookmark_fnpara_25_0"/>
      <w:bookmarkStart w:id="2771" w:name="Bookmark_I61Y0BVR2N1RJG0050000400"/>
      <w:bookmarkEnd w:id="2770"/>
      <w:bookmarkEnd w:id="2771"/>
      <w:r>
        <w:rPr>
          <w:rFonts w:ascii="Arial" w:eastAsia="Arial" w:hAnsi="Arial" w:cs="Arial"/>
          <w:color w:val="000000"/>
          <w:sz w:val="18"/>
        </w:rPr>
        <w:t xml:space="preserve">In a last-ditch effort, Appellants also seem to argue that the comments made during closing were "in combination . . . so prejudicial" as to warrant a new trial. Because Appellants make no detailed analysis as to why the alleged error is cumulative, we consider this argument waived. </w:t>
      </w:r>
      <w:r>
        <w:rPr>
          <w:rFonts w:ascii="Arial" w:eastAsia="Arial" w:hAnsi="Arial" w:cs="Arial"/>
          <w:color w:val="000000"/>
          <w:sz w:val="18"/>
          <w:u w:val="single"/>
        </w:rPr>
        <w:t xml:space="preserve">See </w:t>
      </w:r>
      <w:bookmarkStart w:id="2772" w:name="Bookmark_I61Y0BVR2N1RJG0040000400"/>
      <w:bookmarkEnd w:id="2772"/>
      <w:r>
        <w:rPr>
          <w:rFonts w:ascii="Arial" w:eastAsia="Arial" w:hAnsi="Arial" w:cs="Arial"/>
          <w:color w:val="000000"/>
          <w:sz w:val="18"/>
          <w:u w:val="single"/>
        </w:rPr>
        <w:t>United States v. Zannino</w:t>
      </w:r>
      <w:r>
        <w:rPr>
          <w:rFonts w:ascii="Arial" w:eastAsia="Arial" w:hAnsi="Arial" w:cs="Arial"/>
          <w:color w:val="000000"/>
          <w:sz w:val="18"/>
        </w:rPr>
        <w:t>, 895 F.2d 1, 17 (1st Cir. 1990) ("[W]e see no reason to abandon the settled appellate rule that issues adverted to in a perfunctory manner, unaccompanied by some effort at developed argumentation, are deemed waived.").</w:t>
      </w:r>
    </w:p>
  </w:footnote>
  <w:footnote w:id="130">
    <w:p w14:paraId="1E19B27B" w14:textId="77777777" w:rsidR="002B10A6" w:rsidRDefault="00000000">
      <w:pPr>
        <w:pStyle w:val="Normal15"/>
        <w:widowControl w:val="0"/>
        <w:spacing w:before="200" w:line="240" w:lineRule="atLeast"/>
        <w:jc w:val="both"/>
      </w:pPr>
      <w:r>
        <w:rPr>
          <w:rFonts w:ascii="Arial" w:eastAsia="Arial" w:hAnsi="Arial" w:cs="Arial"/>
          <w:color w:val="000000"/>
          <w:sz w:val="18"/>
          <w:vertAlign w:val="superscript"/>
        </w:rPr>
        <w:t>25 </w:t>
      </w:r>
      <w:bookmarkStart w:id="2798" w:name="Bookmark_fnpara_26_0"/>
      <w:bookmarkEnd w:id="2798"/>
      <w:r>
        <w:rPr>
          <w:rFonts w:ascii="Arial" w:eastAsia="Arial" w:hAnsi="Arial" w:cs="Arial"/>
          <w:color w:val="000000"/>
          <w:sz w:val="18"/>
        </w:rPr>
        <w:t xml:space="preserve">Ocean Properties argued in its Rule 50(b), post-trial motion for judgment as a matter of law that Burnett "failed to put on any proof at trial that OPL had any employees; therefore, he failed to show that Ocean Properties met the fifteen-employee requirement for application of Title VII and the ADA." The district court considered the argument waived because it was not raised in the parties' Rule 50(a) motion. On the merits, discussing </w:t>
      </w:r>
      <w:r>
        <w:rPr>
          <w:rFonts w:ascii="Arial" w:eastAsia="Arial" w:hAnsi="Arial" w:cs="Arial"/>
          <w:color w:val="000000"/>
          <w:sz w:val="18"/>
          <w:u w:val="single"/>
        </w:rPr>
        <w:t>Escribano</w:t>
      </w:r>
      <w:r>
        <w:rPr>
          <w:rFonts w:ascii="Arial" w:eastAsia="Arial" w:hAnsi="Arial" w:cs="Arial"/>
          <w:color w:val="000000"/>
          <w:sz w:val="18"/>
        </w:rPr>
        <w:t xml:space="preserve"> and the common law agency test, the district court found that Burnett failed to establish that Ocean Properties met the fifteen-employee minimum. The district court's analysis did not end there, however, as it then aggregated the number of employees at AmeriPort and Ocean Properties based on evidence of the interrelationship of the parties to conclude that "the jurisdictional threshold of fifteen or more employees has been met as to Ocean Properties through the principle of aggregation."</w:t>
      </w:r>
    </w:p>
  </w:footnote>
  <w:footnote w:id="131">
    <w:p w14:paraId="5AE0E4CF" w14:textId="77777777" w:rsidR="002B10A6" w:rsidRDefault="00000000">
      <w:pPr>
        <w:pStyle w:val="Normal16"/>
        <w:widowControl w:val="0"/>
        <w:spacing w:before="120" w:line="240" w:lineRule="atLeast"/>
        <w:jc w:val="both"/>
      </w:pPr>
      <w:r>
        <w:rPr>
          <w:rFonts w:ascii="Arial" w:eastAsia="Arial" w:hAnsi="Arial" w:cs="Arial"/>
          <w:color w:val="000000"/>
          <w:sz w:val="18"/>
          <w:vertAlign w:val="superscript"/>
        </w:rPr>
        <w:t>** </w:t>
      </w:r>
      <w:bookmarkStart w:id="2801" w:name="Bookmark_fnpara_1_14"/>
      <w:bookmarkEnd w:id="2801"/>
      <w:r>
        <w:rPr>
          <w:rFonts w:ascii="Arial" w:eastAsia="Arial" w:hAnsi="Arial" w:cs="Arial"/>
          <w:color w:val="000000"/>
          <w:sz w:val="18"/>
        </w:rPr>
        <w:t>The panel unanimously concludes this case is suitable for decision without oral argument. See Fed. R. App. P. 34(a)(2).</w:t>
      </w:r>
    </w:p>
  </w:footnote>
  <w:footnote w:id="132">
    <w:p w14:paraId="00B6C806" w14:textId="77777777" w:rsidR="002B10A6" w:rsidRDefault="00000000">
      <w:pPr>
        <w:pStyle w:val="Normal16"/>
        <w:widowControl w:val="0"/>
        <w:spacing w:before="120" w:line="240" w:lineRule="atLeast"/>
        <w:jc w:val="both"/>
      </w:pPr>
      <w:r>
        <w:rPr>
          <w:rFonts w:ascii="Arial" w:eastAsia="Arial" w:hAnsi="Arial" w:cs="Arial"/>
          <w:color w:val="000000"/>
          <w:sz w:val="18"/>
          <w:vertAlign w:val="superscript"/>
        </w:rPr>
        <w:t>*** </w:t>
      </w:r>
      <w:bookmarkStart w:id="2812" w:name="Bookmark_fnpara_2_11"/>
      <w:bookmarkEnd w:id="2812"/>
      <w:r>
        <w:rPr>
          <w:rFonts w:ascii="Arial" w:eastAsia="Arial" w:hAnsi="Arial" w:cs="Arial"/>
          <w:color w:val="000000"/>
          <w:sz w:val="18"/>
        </w:rPr>
        <w:t>The Honorable Barrington D. Parker, Jr., Senior United States Circuit Judge for the U.S. Court of Appeals for the Second Circuit, sitting by designation.</w:t>
      </w:r>
    </w:p>
  </w:footnote>
  <w:footnote w:id="133">
    <w:p w14:paraId="7F243417" w14:textId="77777777" w:rsidR="002B10A6" w:rsidRDefault="00000000">
      <w:pPr>
        <w:pStyle w:val="Normal16"/>
        <w:widowControl w:val="0"/>
        <w:spacing w:before="120" w:line="240" w:lineRule="atLeast"/>
        <w:jc w:val="both"/>
      </w:pPr>
      <w:r>
        <w:rPr>
          <w:rFonts w:ascii="Arial" w:eastAsia="Arial" w:hAnsi="Arial" w:cs="Arial"/>
          <w:color w:val="000000"/>
          <w:sz w:val="18"/>
          <w:vertAlign w:val="superscript"/>
        </w:rPr>
        <w:t>* </w:t>
      </w:r>
      <w:bookmarkStart w:id="2814" w:name="Bookmark_fnpara_3_11"/>
      <w:bookmarkEnd w:id="2814"/>
      <w:r>
        <w:rPr>
          <w:rFonts w:ascii="Arial" w:eastAsia="Arial" w:hAnsi="Arial" w:cs="Arial"/>
          <w:color w:val="000000"/>
          <w:sz w:val="18"/>
        </w:rPr>
        <w:t>This disposition is not appropriate for publication and is not precedent except as provided by Ninth Circuit Rule 36-3.</w:t>
      </w:r>
    </w:p>
  </w:footnote>
  <w:footnote w:id="134">
    <w:p w14:paraId="2AEF531D" w14:textId="77777777" w:rsidR="002B10A6" w:rsidRDefault="00000000">
      <w:pPr>
        <w:pStyle w:val="Normal16"/>
        <w:widowControl w:val="0"/>
        <w:spacing w:before="120" w:line="240" w:lineRule="atLeast"/>
        <w:jc w:val="both"/>
      </w:pPr>
      <w:r>
        <w:rPr>
          <w:rFonts w:ascii="Arial" w:eastAsia="Arial" w:hAnsi="Arial" w:cs="Arial"/>
          <w:color w:val="000000"/>
          <w:sz w:val="18"/>
          <w:vertAlign w:val="superscript"/>
        </w:rPr>
        <w:t>1 </w:t>
      </w:r>
      <w:bookmarkStart w:id="2816" w:name="Bookmark_fnpara_4_11"/>
      <w:bookmarkEnd w:id="2816"/>
      <w:r>
        <w:rPr>
          <w:rFonts w:ascii="Arial" w:eastAsia="Arial" w:hAnsi="Arial" w:cs="Arial"/>
          <w:color w:val="000000"/>
          <w:sz w:val="18"/>
        </w:rPr>
        <w:t>The briefing refers to both "Panama Joes" and "Panama Joe's." We refer to defendant as "Panama Joe's" because this is consistent with the spelling defense counsel used in the district court.</w:t>
      </w:r>
    </w:p>
  </w:footnote>
  <w:footnote w:id="135">
    <w:p w14:paraId="3A544F2F" w14:textId="77777777" w:rsidR="002B10A6" w:rsidRDefault="00000000">
      <w:pPr>
        <w:pStyle w:val="Normal16"/>
        <w:widowControl w:val="0"/>
        <w:spacing w:before="200" w:line="240" w:lineRule="atLeast"/>
        <w:jc w:val="both"/>
      </w:pPr>
      <w:r>
        <w:rPr>
          <w:rFonts w:ascii="Arial" w:eastAsia="Arial" w:hAnsi="Arial" w:cs="Arial"/>
          <w:color w:val="000000"/>
          <w:sz w:val="18"/>
          <w:vertAlign w:val="superscript"/>
        </w:rPr>
        <w:t>2 </w:t>
      </w:r>
      <w:bookmarkStart w:id="2868" w:name="Bookmark_fnpara_5_9"/>
      <w:bookmarkEnd w:id="2868"/>
      <w:r>
        <w:rPr>
          <w:rFonts w:ascii="Arial" w:eastAsia="Arial" w:hAnsi="Arial" w:cs="Arial"/>
          <w:color w:val="000000"/>
          <w:sz w:val="18"/>
        </w:rPr>
        <w:t xml:space="preserve">Because Whitaker did not adequately allege a violation of the ADA, he necessarily has not adequately alleged a violation of the Unruh Civil Rights Act. </w:t>
      </w:r>
      <w:r>
        <w:rPr>
          <w:rFonts w:ascii="Arial" w:eastAsia="Arial" w:hAnsi="Arial" w:cs="Arial"/>
          <w:i/>
          <w:color w:val="000000"/>
          <w:sz w:val="18"/>
        </w:rPr>
        <w:t xml:space="preserve">See </w:t>
      </w:r>
      <w:bookmarkStart w:id="2869" w:name="Bookmark_I61WGJVS2HM6PN0020000400"/>
      <w:bookmarkEnd w:id="2869"/>
      <w:r>
        <w:rPr>
          <w:rFonts w:ascii="Arial" w:eastAsia="Arial" w:hAnsi="Arial" w:cs="Arial"/>
          <w:i/>
          <w:color w:val="000000"/>
          <w:sz w:val="18"/>
        </w:rPr>
        <w:t>Molski v. M.J. Cable, Inc.</w:t>
      </w:r>
      <w:r>
        <w:rPr>
          <w:rFonts w:ascii="Arial" w:eastAsia="Arial" w:hAnsi="Arial" w:cs="Arial"/>
          <w:color w:val="000000"/>
          <w:sz w:val="18"/>
        </w:rPr>
        <w:t>, 481 F.3d 724, 731 (9th Cir. 2007) (citing Cal. Civ. Code § 51(f)).</w:t>
      </w:r>
    </w:p>
  </w:footnote>
  <w:footnote w:id="136">
    <w:p w14:paraId="4F6E9B22" w14:textId="77777777" w:rsidR="002B10A6" w:rsidRDefault="00000000">
      <w:pPr>
        <w:pStyle w:val="Normal17"/>
        <w:widowControl w:val="0"/>
        <w:spacing w:before="200" w:line="240" w:lineRule="atLeast"/>
        <w:jc w:val="both"/>
      </w:pPr>
      <w:r>
        <w:rPr>
          <w:rFonts w:ascii="Arial" w:eastAsia="Arial" w:hAnsi="Arial" w:cs="Arial"/>
          <w:color w:val="000000"/>
          <w:sz w:val="18"/>
          <w:vertAlign w:val="superscript"/>
        </w:rPr>
        <w:t>* </w:t>
      </w:r>
      <w:bookmarkStart w:id="2881" w:name="Bookmark_fnpara_1_15"/>
      <w:bookmarkEnd w:id="2881"/>
      <w:r>
        <w:rPr>
          <w:rFonts w:ascii="Arial" w:eastAsia="Arial" w:hAnsi="Arial" w:cs="Arial"/>
          <w:color w:val="000000"/>
          <w:sz w:val="18"/>
        </w:rPr>
        <w:t xml:space="preserve">Pursuant to </w:t>
      </w:r>
      <w:r>
        <w:rPr>
          <w:rFonts w:ascii="Arial" w:eastAsia="Arial" w:hAnsi="Arial" w:cs="Arial"/>
          <w:smallCaps/>
          <w:color w:val="000000"/>
          <w:sz w:val="18"/>
        </w:rPr>
        <w:t>5th Circuit Rule</w:t>
      </w:r>
      <w:r>
        <w:rPr>
          <w:rFonts w:ascii="Arial" w:eastAsia="Arial" w:hAnsi="Arial" w:cs="Arial"/>
          <w:color w:val="000000"/>
          <w:sz w:val="18"/>
        </w:rPr>
        <w:t xml:space="preserve"> 47.5, the court has determined that this opinion should not be published and is not precedent except under the limited circumstances set forth in </w:t>
      </w:r>
      <w:r>
        <w:rPr>
          <w:rFonts w:ascii="Arial" w:eastAsia="Arial" w:hAnsi="Arial" w:cs="Arial"/>
          <w:smallCaps/>
          <w:color w:val="000000"/>
          <w:sz w:val="18"/>
        </w:rPr>
        <w:t>5th Circuit Rule</w:t>
      </w:r>
      <w:r>
        <w:rPr>
          <w:rFonts w:ascii="Arial" w:eastAsia="Arial" w:hAnsi="Arial" w:cs="Arial"/>
          <w:color w:val="000000"/>
          <w:sz w:val="18"/>
        </w:rPr>
        <w:t xml:space="preserve"> 47.5.4.</w:t>
      </w:r>
    </w:p>
  </w:footnote>
  <w:footnote w:id="137">
    <w:p w14:paraId="6142581E" w14:textId="77777777" w:rsidR="002B10A6" w:rsidRDefault="00000000">
      <w:pPr>
        <w:pStyle w:val="Normal17"/>
        <w:widowControl w:val="0"/>
        <w:spacing w:before="200" w:line="240" w:lineRule="atLeast"/>
        <w:jc w:val="both"/>
      </w:pPr>
      <w:r>
        <w:rPr>
          <w:rFonts w:ascii="Arial" w:eastAsia="Arial" w:hAnsi="Arial" w:cs="Arial"/>
          <w:color w:val="000000"/>
          <w:sz w:val="18"/>
          <w:vertAlign w:val="superscript"/>
        </w:rPr>
        <w:t>1 </w:t>
      </w:r>
      <w:bookmarkStart w:id="2888" w:name="Bookmark_fnpara_2_12"/>
      <w:bookmarkStart w:id="2889" w:name="Bookmark_I61HP0PV28T48X0010000400"/>
      <w:bookmarkEnd w:id="2888"/>
      <w:bookmarkEnd w:id="2889"/>
      <w:r>
        <w:rPr>
          <w:rFonts w:ascii="Arial" w:eastAsia="Arial" w:hAnsi="Arial" w:cs="Arial"/>
          <w:i/>
          <w:color w:val="000000"/>
          <w:sz w:val="18"/>
        </w:rPr>
        <w:t>Arredondo v. Univ. of Tex. Med. Branch at Galveston</w:t>
      </w:r>
      <w:r>
        <w:rPr>
          <w:rFonts w:ascii="Arial" w:eastAsia="Arial" w:hAnsi="Arial" w:cs="Arial"/>
          <w:color w:val="000000"/>
          <w:sz w:val="18"/>
        </w:rPr>
        <w:t xml:space="preserve">, 950 F.3d 294, 298 (5th Cir. 2020) (quoting </w:t>
      </w:r>
      <w:bookmarkStart w:id="2890" w:name="Bookmark_I61HP0PV28T48X0030000400"/>
      <w:bookmarkEnd w:id="2890"/>
      <w:r>
        <w:rPr>
          <w:rFonts w:ascii="Arial" w:eastAsia="Arial" w:hAnsi="Arial" w:cs="Arial"/>
          <w:i/>
          <w:color w:val="000000"/>
          <w:sz w:val="18"/>
        </w:rPr>
        <w:t>Clark v. Waters</w:t>
      </w:r>
      <w:r>
        <w:rPr>
          <w:rFonts w:ascii="Arial" w:eastAsia="Arial" w:hAnsi="Arial" w:cs="Arial"/>
          <w:color w:val="000000"/>
          <w:sz w:val="18"/>
        </w:rPr>
        <w:t>, 407 F. App'x 794, 796 (5th Cir. 2011)).</w:t>
      </w:r>
    </w:p>
  </w:footnote>
  <w:footnote w:id="138">
    <w:p w14:paraId="493B5EE6" w14:textId="77777777" w:rsidR="002B10A6" w:rsidRDefault="00000000">
      <w:pPr>
        <w:pStyle w:val="Normal18"/>
        <w:widowControl w:val="0"/>
        <w:spacing w:before="120" w:line="240" w:lineRule="atLeast"/>
        <w:jc w:val="both"/>
      </w:pPr>
      <w:r>
        <w:rPr>
          <w:rFonts w:ascii="Arial" w:eastAsia="Arial" w:hAnsi="Arial" w:cs="Arial"/>
          <w:color w:val="000000"/>
          <w:sz w:val="18"/>
          <w:vertAlign w:val="superscript"/>
        </w:rPr>
        <w:t>** </w:t>
      </w:r>
      <w:bookmarkStart w:id="2893" w:name="Bookmark_fnpara_1_16"/>
      <w:bookmarkEnd w:id="2893"/>
      <w:r>
        <w:rPr>
          <w:rFonts w:ascii="Arial" w:eastAsia="Arial" w:hAnsi="Arial" w:cs="Arial"/>
          <w:color w:val="000000"/>
          <w:sz w:val="18"/>
        </w:rPr>
        <w:t>The panel unanimously concludes this case is suitable for decision without oral argument. See Fed. R. App. P. 34(a)(2).</w:t>
      </w:r>
    </w:p>
  </w:footnote>
  <w:footnote w:id="139">
    <w:p w14:paraId="05B47BE5" w14:textId="77777777" w:rsidR="002B10A6" w:rsidRDefault="00000000">
      <w:pPr>
        <w:pStyle w:val="Normal18"/>
        <w:widowControl w:val="0"/>
        <w:spacing w:before="120" w:line="240" w:lineRule="atLeast"/>
        <w:jc w:val="both"/>
      </w:pPr>
      <w:r>
        <w:rPr>
          <w:rFonts w:ascii="Arial" w:eastAsia="Arial" w:hAnsi="Arial" w:cs="Arial"/>
          <w:color w:val="000000"/>
          <w:sz w:val="18"/>
          <w:vertAlign w:val="superscript"/>
        </w:rPr>
        <w:t>* </w:t>
      </w:r>
      <w:bookmarkStart w:id="2905" w:name="Bookmark_fnpara_2_13"/>
      <w:bookmarkEnd w:id="2905"/>
      <w:r>
        <w:rPr>
          <w:rFonts w:ascii="Arial" w:eastAsia="Arial" w:hAnsi="Arial" w:cs="Arial"/>
          <w:color w:val="000000"/>
          <w:sz w:val="18"/>
        </w:rPr>
        <w:t>This disposition is not appropriate for publication and is not precedent except as provided by Ninth Circuit Rule 36-3.</w:t>
      </w:r>
    </w:p>
  </w:footnote>
  <w:footnote w:id="140">
    <w:p w14:paraId="7801A79A" w14:textId="77777777" w:rsidR="002B10A6" w:rsidRDefault="00000000">
      <w:pPr>
        <w:pStyle w:val="Normal19"/>
        <w:widowControl w:val="0"/>
        <w:spacing w:before="120" w:line="240" w:lineRule="atLeast"/>
        <w:jc w:val="both"/>
      </w:pPr>
      <w:r>
        <w:rPr>
          <w:rFonts w:ascii="Arial" w:eastAsia="Arial" w:hAnsi="Arial" w:cs="Arial"/>
          <w:color w:val="000000"/>
          <w:sz w:val="18"/>
          <w:vertAlign w:val="superscript"/>
        </w:rPr>
        <w:t>1 </w:t>
      </w:r>
      <w:bookmarkStart w:id="3078" w:name="Bookmark_fnpara_1_17"/>
      <w:bookmarkEnd w:id="3078"/>
      <w:r>
        <w:rPr>
          <w:rFonts w:ascii="Arial" w:eastAsia="Arial" w:hAnsi="Arial" w:cs="Arial"/>
          <w:color w:val="000000"/>
          <w:sz w:val="18"/>
        </w:rPr>
        <w:t>The accommodations listed in this and the prior paragraph should suffice to lay to rest Elledge's claim that Lowe's failed to act in good faith or to provide Elledge with an adequate degree of interactive process.</w:t>
      </w:r>
    </w:p>
  </w:footnote>
  <w:footnote w:id="141">
    <w:p w14:paraId="7287AD9D" w14:textId="77777777" w:rsidR="002B10A6" w:rsidRDefault="00000000">
      <w:pPr>
        <w:pStyle w:val="Normal20"/>
        <w:widowControl w:val="0"/>
        <w:spacing w:before="120" w:line="240" w:lineRule="atLeast"/>
        <w:jc w:val="both"/>
      </w:pPr>
      <w:r>
        <w:rPr>
          <w:rFonts w:ascii="Arial" w:eastAsia="Arial" w:hAnsi="Arial" w:cs="Arial"/>
          <w:color w:val="000000"/>
          <w:sz w:val="18"/>
          <w:vertAlign w:val="superscript"/>
        </w:rPr>
        <w:t>† </w:t>
      </w:r>
      <w:bookmarkStart w:id="3099" w:name="Bookmark_fnpara_1_18"/>
      <w:bookmarkEnd w:id="3099"/>
      <w:r>
        <w:rPr>
          <w:rFonts w:ascii="Arial" w:eastAsia="Arial" w:hAnsi="Arial" w:cs="Arial"/>
          <w:color w:val="000000"/>
          <w:sz w:val="18"/>
        </w:rPr>
        <w:t>As the current President of the Florida Senate, Bill Galvano has been automatically substituted for the prior President, and as the current Speaker of the Florida House of Representatives, Jose Oliva has been automatically substituted for the prior Speaker. See Fed. R. App. P. 43(c)(2).</w:t>
      </w:r>
    </w:p>
  </w:footnote>
  <w:footnote w:id="142">
    <w:p w14:paraId="5A1C44D0" w14:textId="77777777" w:rsidR="002B10A6" w:rsidRDefault="00000000">
      <w:pPr>
        <w:pStyle w:val="Normal20"/>
        <w:widowControl w:val="0"/>
        <w:spacing w:before="120" w:line="240" w:lineRule="atLeast"/>
        <w:jc w:val="both"/>
      </w:pPr>
      <w:r>
        <w:rPr>
          <w:rFonts w:ascii="Arial" w:eastAsia="Arial" w:hAnsi="Arial" w:cs="Arial"/>
          <w:color w:val="000000"/>
          <w:sz w:val="18"/>
          <w:vertAlign w:val="superscript"/>
        </w:rPr>
        <w:t>* </w:t>
      </w:r>
      <w:bookmarkStart w:id="3105" w:name="Bookmark_fnpara_2_14"/>
      <w:bookmarkEnd w:id="3105"/>
      <w:r>
        <w:rPr>
          <w:rFonts w:ascii="Arial" w:eastAsia="Arial" w:hAnsi="Arial" w:cs="Arial"/>
          <w:color w:val="000000"/>
          <w:sz w:val="18"/>
        </w:rPr>
        <w:t>Honorable William B. Traxler, Senior United States Circuit Judge for the Fourth Circuit, sitting by designation.</w:t>
      </w:r>
    </w:p>
  </w:footnote>
  <w:footnote w:id="143">
    <w:p w14:paraId="0988C53E" w14:textId="77777777" w:rsidR="002B10A6" w:rsidRDefault="00000000">
      <w:pPr>
        <w:pStyle w:val="Normal20"/>
        <w:widowControl w:val="0"/>
        <w:spacing w:before="120" w:line="240" w:lineRule="atLeast"/>
        <w:jc w:val="both"/>
      </w:pPr>
      <w:r>
        <w:rPr>
          <w:rFonts w:ascii="Arial" w:eastAsia="Arial" w:hAnsi="Arial" w:cs="Arial"/>
          <w:color w:val="000000"/>
          <w:sz w:val="18"/>
          <w:vertAlign w:val="superscript"/>
        </w:rPr>
        <w:t>1 </w:t>
      </w:r>
      <w:bookmarkStart w:id="3114" w:name="Bookmark_fnpara_3_12"/>
      <w:bookmarkEnd w:id="3114"/>
      <w:r>
        <w:rPr>
          <w:rFonts w:ascii="Arial" w:eastAsia="Arial" w:hAnsi="Arial" w:cs="Arial"/>
          <w:color w:val="000000"/>
          <w:sz w:val="18"/>
        </w:rPr>
        <w:t>The Florida Senate and House, along with the President of the Senate and the Speaker of the House, will at times be referred to as "Legislative Defendants."</w:t>
      </w:r>
    </w:p>
  </w:footnote>
  <w:footnote w:id="144">
    <w:p w14:paraId="5F03A1A8" w14:textId="77777777" w:rsidR="002B10A6" w:rsidRDefault="00000000">
      <w:pPr>
        <w:pStyle w:val="Normal20"/>
        <w:widowControl w:val="0"/>
        <w:spacing w:before="200" w:line="240" w:lineRule="atLeast"/>
        <w:jc w:val="both"/>
      </w:pPr>
      <w:r>
        <w:rPr>
          <w:rFonts w:ascii="Arial" w:eastAsia="Arial" w:hAnsi="Arial" w:cs="Arial"/>
          <w:color w:val="000000"/>
          <w:sz w:val="18"/>
          <w:vertAlign w:val="superscript"/>
        </w:rPr>
        <w:t>2 </w:t>
      </w:r>
      <w:bookmarkStart w:id="3171" w:name="Bookmark_fnpara_4_12"/>
      <w:bookmarkStart w:id="3172" w:name="Bookmark_I6192TK928T4RN0010000400"/>
      <w:bookmarkEnd w:id="3171"/>
      <w:bookmarkEnd w:id="3172"/>
      <w:r>
        <w:rPr>
          <w:rFonts w:ascii="Arial" w:eastAsia="Arial" w:hAnsi="Arial" w:cs="Arial"/>
          <w:color w:val="000000"/>
          <w:sz w:val="18"/>
        </w:rPr>
        <w:t xml:space="preserve">The Supreme Court also upheld congressional abrogation of Eleventh Amendment immunity in Title II cases when a citizen alleges state action that actually and independently violates the Fourteenth Amendment. </w:t>
      </w:r>
      <w:bookmarkStart w:id="3173" w:name="Bookmark_I6192TK928T4RN0030000400"/>
      <w:bookmarkEnd w:id="3173"/>
      <w:r>
        <w:rPr>
          <w:rFonts w:ascii="Arial" w:eastAsia="Arial" w:hAnsi="Arial" w:cs="Arial"/>
          <w:color w:val="000000"/>
          <w:sz w:val="18"/>
          <w:u w:val="single"/>
        </w:rPr>
        <w:t xml:space="preserve">See </w:t>
      </w:r>
      <w:bookmarkStart w:id="3174" w:name="Bookmark_I6192TK92SF8C50050000400"/>
      <w:bookmarkEnd w:id="3174"/>
      <w:r>
        <w:rPr>
          <w:rFonts w:ascii="Arial" w:eastAsia="Arial" w:hAnsi="Arial" w:cs="Arial"/>
          <w:color w:val="000000"/>
          <w:sz w:val="18"/>
          <w:u w:val="single"/>
        </w:rPr>
        <w:t>United States v. Georgia</w:t>
      </w:r>
      <w:r>
        <w:rPr>
          <w:rFonts w:ascii="Arial" w:eastAsia="Arial" w:hAnsi="Arial" w:cs="Arial"/>
          <w:color w:val="000000"/>
          <w:sz w:val="18"/>
        </w:rPr>
        <w:t xml:space="preserve">, 546 U.S. 151, 157-59, 126 S. Ct. 877, 880-82, 163 L. Ed. 2d 650 (2006). In other words, if a citizen alleges conduct that violates both Title II and, for example, the Eighth Amendment's prohibition of cruel and unusual punishment, Congress's abrogation of the Eleventh Amendment is valid. </w:t>
      </w:r>
      <w:bookmarkStart w:id="3175" w:name="Bookmark_I6192TK928T4RN0030000400_2"/>
      <w:bookmarkEnd w:id="3175"/>
      <w:r>
        <w:rPr>
          <w:rFonts w:ascii="Arial" w:eastAsia="Arial" w:hAnsi="Arial" w:cs="Arial"/>
          <w:color w:val="000000"/>
          <w:sz w:val="18"/>
          <w:u w:val="single"/>
        </w:rPr>
        <w:t xml:space="preserve">See </w:t>
      </w:r>
      <w:bookmarkStart w:id="3176" w:name="Bookmark_I6192TK928T4RN0020000400"/>
      <w:bookmarkEnd w:id="3176"/>
      <w:r>
        <w:rPr>
          <w:rFonts w:ascii="Arial" w:eastAsia="Arial" w:hAnsi="Arial" w:cs="Arial"/>
          <w:color w:val="000000"/>
          <w:sz w:val="18"/>
          <w:u w:val="single"/>
        </w:rPr>
        <w:t>id.</w:t>
      </w:r>
      <w:r>
        <w:rPr>
          <w:rFonts w:ascii="Arial" w:eastAsia="Arial" w:hAnsi="Arial" w:cs="Arial"/>
          <w:color w:val="000000"/>
          <w:sz w:val="18"/>
        </w:rPr>
        <w:t xml:space="preserve"> at 159, 126 S. Ct. at 882. The Plaintiffs here are not proceeding under an actual-violation theory, so we need not address whether Congress validly abrogated Eleventh Amendment immunity on those grounds.</w:t>
      </w:r>
    </w:p>
  </w:footnote>
  <w:footnote w:id="145">
    <w:p w14:paraId="295D8479" w14:textId="77777777" w:rsidR="002B10A6" w:rsidRDefault="00000000">
      <w:pPr>
        <w:pStyle w:val="Normal20"/>
        <w:widowControl w:val="0"/>
        <w:spacing w:before="200" w:line="240" w:lineRule="atLeast"/>
        <w:jc w:val="both"/>
      </w:pPr>
      <w:r>
        <w:rPr>
          <w:rFonts w:ascii="Arial" w:eastAsia="Arial" w:hAnsi="Arial" w:cs="Arial"/>
          <w:color w:val="000000"/>
          <w:sz w:val="18"/>
          <w:vertAlign w:val="superscript"/>
        </w:rPr>
        <w:t>3 </w:t>
      </w:r>
      <w:bookmarkStart w:id="3261" w:name="Bookmark_fnpara_5_10"/>
      <w:bookmarkStart w:id="3262" w:name="Bookmark_I6192TKC2HM6KY0050000400"/>
      <w:bookmarkEnd w:id="3261"/>
      <w:bookmarkEnd w:id="3262"/>
      <w:r>
        <w:rPr>
          <w:rFonts w:ascii="Arial" w:eastAsia="Arial" w:hAnsi="Arial" w:cs="Arial"/>
          <w:color w:val="000000"/>
          <w:sz w:val="18"/>
        </w:rPr>
        <w:t xml:space="preserve">Defendants' other arguments are unavailing. Citing </w:t>
      </w:r>
      <w:bookmarkStart w:id="3263" w:name="Bookmark_I6192TKC2HM6KY0040000400"/>
      <w:bookmarkEnd w:id="3263"/>
      <w:r>
        <w:rPr>
          <w:rFonts w:ascii="Arial" w:eastAsia="Arial" w:hAnsi="Arial" w:cs="Arial"/>
          <w:color w:val="000000"/>
          <w:sz w:val="18"/>
          <w:u w:val="single"/>
        </w:rPr>
        <w:t>Kornblau v. Dade County</w:t>
      </w:r>
      <w:r>
        <w:rPr>
          <w:rFonts w:ascii="Arial" w:eastAsia="Arial" w:hAnsi="Arial" w:cs="Arial"/>
          <w:color w:val="000000"/>
          <w:sz w:val="18"/>
        </w:rPr>
        <w:t xml:space="preserve">, 86 F.3d 193, 194 (11th Cir. 1996), Defendants assert that "the ADA does not require public entities to confer benefits on people with disabilities that would not be 'available . . . if they were not disabled.'" Defendants are quite correct in asserting that the ADA does not require that they provide Plaintiffs with any benefits not otherwise available to the general public. </w:t>
      </w:r>
      <w:bookmarkStart w:id="3264" w:name="Bookmark_I28D1FJ3FJ300009NH50000S"/>
      <w:bookmarkStart w:id="3265" w:name="Bookmark_I6192TKS2D6N070020000400"/>
      <w:bookmarkEnd w:id="3264"/>
      <w:bookmarkEnd w:id="3265"/>
      <w:r>
        <w:rPr>
          <w:rFonts w:ascii="Arial" w:eastAsia="Arial" w:hAnsi="Arial" w:cs="Arial"/>
          <w:color w:val="000000"/>
          <w:sz w:val="18"/>
        </w:rPr>
        <w:t xml:space="preserve">But Plaintiffs are not requesting any special treatment. </w:t>
      </w:r>
      <w:bookmarkStart w:id="3266" w:name="Bookmark_I6192TKS2D6N070020000400_2"/>
      <w:bookmarkEnd w:id="3266"/>
      <w:r>
        <w:rPr>
          <w:rFonts w:ascii="Arial" w:eastAsia="Arial" w:hAnsi="Arial" w:cs="Arial"/>
          <w:color w:val="000000"/>
          <w:sz w:val="18"/>
        </w:rPr>
        <w:t xml:space="preserve">They are requesting equal access to information to which the rest of the population already has access. To quote the very next line of </w:t>
      </w:r>
      <w:r>
        <w:rPr>
          <w:rFonts w:ascii="Arial" w:eastAsia="Arial" w:hAnsi="Arial" w:cs="Arial"/>
          <w:color w:val="000000"/>
          <w:sz w:val="18"/>
          <w:u w:val="single"/>
        </w:rPr>
        <w:t>Kornblau</w:t>
      </w:r>
      <w:r>
        <w:rPr>
          <w:rFonts w:ascii="Arial" w:eastAsia="Arial" w:hAnsi="Arial" w:cs="Arial"/>
          <w:color w:val="000000"/>
          <w:sz w:val="18"/>
        </w:rPr>
        <w:t xml:space="preserve">: "The purpose of the Act is to place those with disabilities on an equal footing, not to give them an unfair advantage." </w:t>
      </w:r>
      <w:bookmarkStart w:id="3267" w:name="Bookmark_I6192TKS2D6N070010000400"/>
      <w:bookmarkEnd w:id="3267"/>
      <w:r>
        <w:rPr>
          <w:rFonts w:ascii="Arial" w:eastAsia="Arial" w:hAnsi="Arial" w:cs="Arial"/>
          <w:color w:val="000000"/>
          <w:sz w:val="18"/>
        </w:rPr>
        <w:t>86 F.3d at 194. These Plaintiffs merely seek equal footing with the rest of the hearing-able public. Therefore, even if, as the Florida House and Senate contend, they could choose to remove the links altogether, they must comply with Title II by captioning the videos so long as they provide those links. The opposite conclusion, which would allow the Defendants to avoid compliance with federal statutes, would undermine the integrity of the statutory scheme.</w:t>
      </w:r>
    </w:p>
  </w:footnote>
  <w:footnote w:id="146">
    <w:p w14:paraId="03AFD2A7" w14:textId="77777777" w:rsidR="002B10A6" w:rsidRDefault="00000000">
      <w:pPr>
        <w:pStyle w:val="Normal20"/>
        <w:widowControl w:val="0"/>
        <w:spacing w:before="120" w:line="240" w:lineRule="atLeast"/>
        <w:jc w:val="both"/>
      </w:pPr>
      <w:r>
        <w:rPr>
          <w:rFonts w:ascii="Arial" w:eastAsia="Arial" w:hAnsi="Arial" w:cs="Arial"/>
          <w:color w:val="000000"/>
          <w:sz w:val="18"/>
          <w:vertAlign w:val="superscript"/>
        </w:rPr>
        <w:t>4 </w:t>
      </w:r>
      <w:bookmarkStart w:id="3293" w:name="Bookmark_fnpara_6_8"/>
      <w:bookmarkEnd w:id="3293"/>
      <w:r>
        <w:rPr>
          <w:rFonts w:ascii="Arial" w:eastAsia="Arial" w:hAnsi="Arial" w:cs="Arial"/>
          <w:color w:val="000000"/>
          <w:sz w:val="18"/>
        </w:rPr>
        <w:t>Because the Swindle affidavit advances the factual position of the Legislative Defendants, the affidavit is to that extent "self-serving," though not in an illegitimate sense. We do not interpret the District Court's characterization as foreclosing consideration of the affidavit once Plaintiffs have had a chance to obtain evidence with which to contest the substance of the affidavit.</w:t>
      </w:r>
    </w:p>
  </w:footnote>
  <w:footnote w:id="147">
    <w:p w14:paraId="0B310918" w14:textId="77777777" w:rsidR="002B10A6" w:rsidRDefault="00000000">
      <w:pPr>
        <w:pStyle w:val="Normal21"/>
        <w:widowControl w:val="0"/>
        <w:spacing w:before="120" w:line="240" w:lineRule="atLeast"/>
        <w:jc w:val="both"/>
      </w:pPr>
      <w:r>
        <w:rPr>
          <w:rFonts w:ascii="Arial" w:eastAsia="Arial" w:hAnsi="Arial" w:cs="Arial"/>
          <w:color w:val="000000"/>
          <w:sz w:val="18"/>
          <w:vertAlign w:val="superscript"/>
        </w:rPr>
        <w:t>1 </w:t>
      </w:r>
      <w:bookmarkStart w:id="3335" w:name="Bookmark_fnpara_1_19"/>
      <w:bookmarkEnd w:id="3335"/>
      <w:r>
        <w:rPr>
          <w:rFonts w:ascii="Arial" w:eastAsia="Arial" w:hAnsi="Arial" w:cs="Arial"/>
          <w:color w:val="000000"/>
          <w:sz w:val="18"/>
        </w:rPr>
        <w:t>The Honorable Rebecca Goodgame Ebinger, United States District Judge for the Southern District of Iowa.</w:t>
      </w:r>
    </w:p>
  </w:footnote>
  <w:footnote w:id="148">
    <w:p w14:paraId="73368893" w14:textId="77777777" w:rsidR="002B10A6" w:rsidRDefault="00000000">
      <w:pPr>
        <w:pStyle w:val="Normal21"/>
        <w:widowControl w:val="0"/>
        <w:spacing w:before="200" w:line="240" w:lineRule="atLeast"/>
        <w:jc w:val="both"/>
      </w:pPr>
      <w:r>
        <w:rPr>
          <w:rFonts w:ascii="Arial" w:eastAsia="Arial" w:hAnsi="Arial" w:cs="Arial"/>
          <w:color w:val="000000"/>
          <w:sz w:val="18"/>
          <w:vertAlign w:val="superscript"/>
        </w:rPr>
        <w:t>2 </w:t>
      </w:r>
      <w:bookmarkStart w:id="3389" w:name="Bookmark_fnpara_2_15"/>
      <w:bookmarkEnd w:id="3389"/>
      <w:r>
        <w:rPr>
          <w:rFonts w:ascii="Arial" w:eastAsia="Arial" w:hAnsi="Arial" w:cs="Arial"/>
          <w:color w:val="000000"/>
          <w:sz w:val="18"/>
        </w:rPr>
        <w:t xml:space="preserve">We had not applied or adopted the </w:t>
      </w:r>
      <w:r>
        <w:rPr>
          <w:rFonts w:ascii="Arial" w:eastAsia="Arial" w:hAnsi="Arial" w:cs="Arial"/>
          <w:color w:val="000000"/>
          <w:sz w:val="18"/>
          <w:u w:val="single"/>
        </w:rPr>
        <w:t>Yusuf</w:t>
      </w:r>
      <w:r>
        <w:rPr>
          <w:rFonts w:ascii="Arial" w:eastAsia="Arial" w:hAnsi="Arial" w:cs="Arial"/>
          <w:color w:val="000000"/>
          <w:sz w:val="18"/>
        </w:rPr>
        <w:t xml:space="preserve"> framework at the time of the district court's ruling on Drake's summary judgment motion, but a number of courts of appeals had done so. </w:t>
      </w:r>
      <w:r>
        <w:rPr>
          <w:rFonts w:ascii="Arial" w:eastAsia="Arial" w:hAnsi="Arial" w:cs="Arial"/>
          <w:color w:val="000000"/>
          <w:sz w:val="18"/>
          <w:u w:val="single"/>
        </w:rPr>
        <w:t xml:space="preserve">E.g., </w:t>
      </w:r>
      <w:bookmarkStart w:id="3390" w:name="Bookmark_I6180YKM2D6MVS0040000400"/>
      <w:bookmarkEnd w:id="3390"/>
      <w:r>
        <w:rPr>
          <w:rFonts w:ascii="Arial" w:eastAsia="Arial" w:hAnsi="Arial" w:cs="Arial"/>
          <w:color w:val="000000"/>
          <w:sz w:val="18"/>
          <w:u w:val="single"/>
        </w:rPr>
        <w:t>Robinson v. Wutoh</w:t>
      </w:r>
      <w:r>
        <w:rPr>
          <w:rFonts w:ascii="Arial" w:eastAsia="Arial" w:hAnsi="Arial" w:cs="Arial"/>
          <w:color w:val="000000"/>
          <w:sz w:val="18"/>
        </w:rPr>
        <w:t xml:space="preserve">, 788 F. App'x 738, 738 (D.C. Cir. 2019) (per curiam); </w:t>
      </w:r>
      <w:bookmarkStart w:id="3391" w:name="Bookmark_I6180YKM2N1PX00010000400"/>
      <w:bookmarkEnd w:id="3391"/>
      <w:r>
        <w:rPr>
          <w:rFonts w:ascii="Arial" w:eastAsia="Arial" w:hAnsi="Arial" w:cs="Arial"/>
          <w:color w:val="000000"/>
          <w:sz w:val="18"/>
          <w:u w:val="single"/>
        </w:rPr>
        <w:t>Klocke v. Univ. of Tex.</w:t>
      </w:r>
      <w:r>
        <w:rPr>
          <w:rFonts w:ascii="Arial" w:eastAsia="Arial" w:hAnsi="Arial" w:cs="Arial"/>
          <w:color w:val="000000"/>
          <w:sz w:val="18"/>
        </w:rPr>
        <w:t xml:space="preserve">, 938 F.3d 204, 210 (5th Cir. 2019); </w:t>
      </w:r>
      <w:bookmarkStart w:id="3392" w:name="Bookmark_I6180YKM2N1PX00030000400"/>
      <w:bookmarkEnd w:id="3392"/>
      <w:r>
        <w:rPr>
          <w:rFonts w:ascii="Arial" w:eastAsia="Arial" w:hAnsi="Arial" w:cs="Arial"/>
          <w:color w:val="000000"/>
          <w:sz w:val="18"/>
          <w:u w:val="single"/>
        </w:rPr>
        <w:t>Austin v. Univ. of Or.</w:t>
      </w:r>
      <w:r>
        <w:rPr>
          <w:rFonts w:ascii="Arial" w:eastAsia="Arial" w:hAnsi="Arial" w:cs="Arial"/>
          <w:color w:val="000000"/>
          <w:sz w:val="18"/>
        </w:rPr>
        <w:t xml:space="preserve">, 925 F.3d 1133, 1138 (9th Cir. 2019); </w:t>
      </w:r>
      <w:bookmarkStart w:id="3393" w:name="Bookmark_I6180YKM2N1PX00050000400"/>
      <w:bookmarkEnd w:id="3393"/>
      <w:r>
        <w:rPr>
          <w:rFonts w:ascii="Arial" w:eastAsia="Arial" w:hAnsi="Arial" w:cs="Arial"/>
          <w:color w:val="000000"/>
          <w:sz w:val="18"/>
          <w:u w:val="single"/>
        </w:rPr>
        <w:t>Doe v. Loh</w:t>
      </w:r>
      <w:r>
        <w:rPr>
          <w:rFonts w:ascii="Arial" w:eastAsia="Arial" w:hAnsi="Arial" w:cs="Arial"/>
          <w:color w:val="000000"/>
          <w:sz w:val="18"/>
        </w:rPr>
        <w:t xml:space="preserve">, 767 F. App'x 489, 491 (4th Cir. 2019) (per curiam); </w:t>
      </w:r>
      <w:bookmarkStart w:id="3394" w:name="Bookmark_I6180YKN2SF8BB0020000400"/>
      <w:bookmarkEnd w:id="3394"/>
      <w:r>
        <w:rPr>
          <w:rFonts w:ascii="Arial" w:eastAsia="Arial" w:hAnsi="Arial" w:cs="Arial"/>
          <w:color w:val="000000"/>
          <w:sz w:val="18"/>
          <w:u w:val="single"/>
        </w:rPr>
        <w:t>Doe v. Valencia Coll.</w:t>
      </w:r>
      <w:r>
        <w:rPr>
          <w:rFonts w:ascii="Arial" w:eastAsia="Arial" w:hAnsi="Arial" w:cs="Arial"/>
          <w:color w:val="000000"/>
          <w:sz w:val="18"/>
        </w:rPr>
        <w:t xml:space="preserve">, 903 F.3d 1220, 1236 (11th Cir. 2018); </w:t>
      </w:r>
      <w:bookmarkStart w:id="3395" w:name="Bookmark_I6180YKN2SF8BB0040000400"/>
      <w:bookmarkEnd w:id="3395"/>
      <w:r>
        <w:rPr>
          <w:rFonts w:ascii="Arial" w:eastAsia="Arial" w:hAnsi="Arial" w:cs="Arial"/>
          <w:color w:val="000000"/>
          <w:sz w:val="18"/>
        </w:rPr>
        <w:t xml:space="preserve">Doe v. Trs. of Bos. Coll., 892 F.3d 67, 90 (1st Cir. 2018); </w:t>
      </w:r>
      <w:bookmarkStart w:id="3396" w:name="Bookmark_I6180YKP2N1PX40010000400"/>
      <w:bookmarkEnd w:id="3396"/>
      <w:r>
        <w:rPr>
          <w:rFonts w:ascii="Arial" w:eastAsia="Arial" w:hAnsi="Arial" w:cs="Arial"/>
          <w:color w:val="000000"/>
          <w:sz w:val="18"/>
          <w:u w:val="single"/>
        </w:rPr>
        <w:t>Doe v. Miami Univ.</w:t>
      </w:r>
      <w:r>
        <w:rPr>
          <w:rFonts w:ascii="Arial" w:eastAsia="Arial" w:hAnsi="Arial" w:cs="Arial"/>
          <w:color w:val="000000"/>
          <w:sz w:val="18"/>
        </w:rPr>
        <w:t>, 882 F.3d 579, 592 (6th Cir. 2018).</w:t>
      </w:r>
    </w:p>
  </w:footnote>
  <w:footnote w:id="149">
    <w:p w14:paraId="0E226BB6" w14:textId="77777777" w:rsidR="002B10A6" w:rsidRDefault="00000000">
      <w:pPr>
        <w:pStyle w:val="Normal21"/>
        <w:widowControl w:val="0"/>
        <w:spacing w:before="200" w:line="240" w:lineRule="atLeast"/>
        <w:jc w:val="both"/>
      </w:pPr>
      <w:r>
        <w:rPr>
          <w:rFonts w:ascii="Arial" w:eastAsia="Arial" w:hAnsi="Arial" w:cs="Arial"/>
          <w:color w:val="000000"/>
          <w:sz w:val="18"/>
          <w:vertAlign w:val="superscript"/>
        </w:rPr>
        <w:t>3 </w:t>
      </w:r>
      <w:bookmarkStart w:id="3406" w:name="Bookmark_fnpara_3_13"/>
      <w:bookmarkEnd w:id="3406"/>
      <w:r>
        <w:rPr>
          <w:rFonts w:ascii="Arial" w:eastAsia="Arial" w:hAnsi="Arial" w:cs="Arial"/>
          <w:color w:val="000000"/>
          <w:sz w:val="18"/>
        </w:rPr>
        <w:t xml:space="preserve">The United States Courts of Appeals for the Third and Ninth Circuits have adopted the Seventh Circuit's pleading standard. </w:t>
      </w:r>
      <w:bookmarkStart w:id="3407" w:name="Bookmark_I6180YKP2SF8BH0040000400"/>
      <w:bookmarkEnd w:id="3407"/>
      <w:r>
        <w:rPr>
          <w:rFonts w:ascii="Arial" w:eastAsia="Arial" w:hAnsi="Arial" w:cs="Arial"/>
          <w:color w:val="000000"/>
          <w:sz w:val="18"/>
          <w:u w:val="single"/>
        </w:rPr>
        <w:t>Schwake v. Ariz. Bd. of Regents</w:t>
      </w:r>
      <w:r>
        <w:rPr>
          <w:rFonts w:ascii="Arial" w:eastAsia="Arial" w:hAnsi="Arial" w:cs="Arial"/>
          <w:color w:val="000000"/>
          <w:sz w:val="18"/>
        </w:rPr>
        <w:t xml:space="preserve">, 967 F.3d 940, 947 (9th Cir. 2020); </w:t>
      </w:r>
      <w:bookmarkStart w:id="3408" w:name="Bookmark_I6180YKR2N1PX70010000400"/>
      <w:bookmarkEnd w:id="3408"/>
      <w:r>
        <w:rPr>
          <w:rFonts w:ascii="Arial" w:eastAsia="Arial" w:hAnsi="Arial" w:cs="Arial"/>
          <w:color w:val="000000"/>
          <w:sz w:val="18"/>
          <w:u w:val="single"/>
        </w:rPr>
        <w:t>Doe v. Univ. of the Scis.</w:t>
      </w:r>
      <w:r>
        <w:rPr>
          <w:rFonts w:ascii="Arial" w:eastAsia="Arial" w:hAnsi="Arial" w:cs="Arial"/>
          <w:color w:val="000000"/>
          <w:sz w:val="18"/>
        </w:rPr>
        <w:t xml:space="preserve">, 961 F.3d 203, 209 (3rd Cir. 2020); </w:t>
      </w:r>
      <w:r>
        <w:rPr>
          <w:rFonts w:ascii="Arial" w:eastAsia="Arial" w:hAnsi="Arial" w:cs="Arial"/>
          <w:color w:val="000000"/>
          <w:sz w:val="18"/>
          <w:u w:val="single"/>
        </w:rPr>
        <w:t xml:space="preserve">see also </w:t>
      </w:r>
      <w:bookmarkStart w:id="3409" w:name="Bookmark_I6180YKR2N1PX70030000400"/>
      <w:bookmarkEnd w:id="3409"/>
      <w:r>
        <w:rPr>
          <w:rFonts w:ascii="Arial" w:eastAsia="Arial" w:hAnsi="Arial" w:cs="Arial"/>
          <w:color w:val="000000"/>
          <w:sz w:val="18"/>
          <w:u w:val="single"/>
        </w:rPr>
        <w:t>Doe v. Univ. of Denver</w:t>
      </w:r>
      <w:r>
        <w:rPr>
          <w:rFonts w:ascii="Arial" w:eastAsia="Arial" w:hAnsi="Arial" w:cs="Arial"/>
          <w:color w:val="000000"/>
          <w:sz w:val="18"/>
        </w:rPr>
        <w:t>, 952 F.3d 1182, 1190 (10th Cir. 2020) (considering whether the plaintiff had adduced "sufficient evidence to raise a genuine dispute that gender was a motivating factor in [the university's] decision to expel him").</w:t>
      </w:r>
    </w:p>
  </w:footnote>
  <w:footnote w:id="150">
    <w:p w14:paraId="598AE5C7" w14:textId="77777777" w:rsidR="002B10A6" w:rsidRDefault="00000000">
      <w:pPr>
        <w:pStyle w:val="Normal21"/>
        <w:widowControl w:val="0"/>
        <w:spacing w:before="200" w:line="240" w:lineRule="atLeast"/>
        <w:jc w:val="both"/>
      </w:pPr>
      <w:r>
        <w:rPr>
          <w:rFonts w:ascii="Arial" w:eastAsia="Arial" w:hAnsi="Arial" w:cs="Arial"/>
          <w:color w:val="000000"/>
          <w:sz w:val="18"/>
          <w:vertAlign w:val="superscript"/>
        </w:rPr>
        <w:t>4 </w:t>
      </w:r>
      <w:bookmarkStart w:id="3471" w:name="Bookmark_fnpara_4_13"/>
      <w:bookmarkEnd w:id="3471"/>
      <w:r>
        <w:rPr>
          <w:rFonts w:ascii="Arial" w:eastAsia="Arial" w:hAnsi="Arial" w:cs="Arial"/>
          <w:color w:val="000000"/>
          <w:sz w:val="18"/>
        </w:rPr>
        <w:t xml:space="preserve">The Department's current stance regarding the "Dear Colleague Letter" is set forth in </w:t>
      </w:r>
      <w:bookmarkStart w:id="3472" w:name="Bookmark_I6180YKT2HM6K40030000400"/>
      <w:bookmarkEnd w:id="3472"/>
      <w:r>
        <w:rPr>
          <w:rFonts w:ascii="Arial" w:eastAsia="Arial" w:hAnsi="Arial" w:cs="Arial"/>
          <w:color w:val="000000"/>
          <w:sz w:val="18"/>
          <w:u w:val="single"/>
        </w:rPr>
        <w:t>Doe v. University of Arkansas-Fayetteville</w:t>
      </w:r>
      <w:r>
        <w:rPr>
          <w:rFonts w:ascii="Arial" w:eastAsia="Arial" w:hAnsi="Arial" w:cs="Arial"/>
          <w:color w:val="000000"/>
          <w:sz w:val="18"/>
        </w:rPr>
        <w:t>, 974 F.3d at 868 n.1.</w:t>
      </w:r>
    </w:p>
  </w:footnote>
  <w:footnote w:id="151">
    <w:p w14:paraId="409DFA21" w14:textId="77777777" w:rsidR="002B10A6" w:rsidRDefault="00000000">
      <w:pPr>
        <w:pStyle w:val="Normal22"/>
        <w:widowControl w:val="0"/>
        <w:spacing w:before="120" w:line="240" w:lineRule="atLeast"/>
        <w:jc w:val="both"/>
      </w:pPr>
      <w:r>
        <w:rPr>
          <w:rFonts w:ascii="Arial" w:eastAsia="Arial" w:hAnsi="Arial" w:cs="Arial"/>
          <w:color w:val="000000"/>
          <w:sz w:val="18"/>
          <w:vertAlign w:val="superscript"/>
        </w:rPr>
        <w:t>1 </w:t>
      </w:r>
      <w:bookmarkStart w:id="3551" w:name="Bookmark_fnpara_1_20"/>
      <w:bookmarkEnd w:id="3551"/>
      <w:r>
        <w:rPr>
          <w:rFonts w:ascii="Arial" w:eastAsia="Arial" w:hAnsi="Arial" w:cs="Arial"/>
          <w:color w:val="000000"/>
          <w:sz w:val="18"/>
        </w:rPr>
        <w:t>According to Plaintiffs, Defendant Terwilliger left her position at CMHPSM in April 2019. The parties do not further acknowledge this fact in their briefing; their posture has not apparently changed as a result.</w:t>
      </w:r>
    </w:p>
  </w:footnote>
  <w:footnote w:id="152">
    <w:p w14:paraId="0791A0FA"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2 </w:t>
      </w:r>
      <w:bookmarkStart w:id="3556" w:name="Bookmark_fnpara_2_16"/>
      <w:bookmarkEnd w:id="3556"/>
      <w:r>
        <w:rPr>
          <w:rFonts w:ascii="Arial" w:eastAsia="Arial" w:hAnsi="Arial" w:cs="Arial"/>
          <w:color w:val="000000"/>
          <w:sz w:val="18"/>
        </w:rPr>
        <w:t xml:space="preserve">Defendant WCCMH explains that WCHO also used this methodology prior to 2012, and argues that the methodology implemented between 2012 and 2015 duplicated costs by providing for them in calculating the staff rate and then also paying for them separately as additional line items. </w:t>
      </w:r>
      <w:bookmarkStart w:id="3557" w:name="Bookmark_I61CDHXD28T4H50020000400"/>
      <w:bookmarkEnd w:id="3557"/>
      <w:r>
        <w:rPr>
          <w:rFonts w:ascii="Arial" w:eastAsia="Arial" w:hAnsi="Arial" w:cs="Arial"/>
          <w:color w:val="000000"/>
          <w:sz w:val="18"/>
        </w:rPr>
        <w:t xml:space="preserve">Defendants previously argued that this billing methodology violated Medicaid regulations and their inter-entity contracts, and the district court denied a preliminary injunction in part because Plaintiffs were not "entitled to the reinstatement of a calculation method that violates Medicaid regulations and existing contracts between WCCMH and the State and PIHP." (Order Denying Pls. Mot. for Prelim. Inj., R. 55 at PageID #1168.) </w:t>
      </w:r>
      <w:bookmarkStart w:id="3558" w:name="Bookmark_I61CDHXD28T4H50040000400"/>
      <w:bookmarkEnd w:id="3558"/>
      <w:r>
        <w:rPr>
          <w:rFonts w:ascii="Arial" w:eastAsia="Arial" w:hAnsi="Arial" w:cs="Arial"/>
          <w:color w:val="000000"/>
          <w:sz w:val="18"/>
        </w:rPr>
        <w:t xml:space="preserve">A court's determination of substantive issues at the preliminary injunction stage is "not dispositive of those substantive issues on the merits," </w:t>
      </w:r>
      <w:bookmarkStart w:id="3559" w:name="Bookmark_I61CDHXD28T4H50010000400"/>
      <w:bookmarkEnd w:id="3559"/>
      <w:r>
        <w:rPr>
          <w:rFonts w:ascii="Arial" w:eastAsia="Arial" w:hAnsi="Arial" w:cs="Arial"/>
          <w:i/>
          <w:color w:val="000000"/>
          <w:sz w:val="18"/>
        </w:rPr>
        <w:t>Wilcox v. United States</w:t>
      </w:r>
      <w:r>
        <w:rPr>
          <w:rFonts w:ascii="Arial" w:eastAsia="Arial" w:hAnsi="Arial" w:cs="Arial"/>
          <w:color w:val="000000"/>
          <w:sz w:val="18"/>
        </w:rPr>
        <w:t xml:space="preserve">, 888 F.2d 1111, 1114 (6th Cir. 1989), and the district court did not rely on this issue or suggest that the prior methodology violated any contract or law in deciding Defendants' motions to dismiss. </w:t>
      </w:r>
      <w:bookmarkStart w:id="3560" w:name="Bookmark_I61CDHXD28T4H50040000400_2"/>
      <w:bookmarkEnd w:id="3560"/>
      <w:r>
        <w:rPr>
          <w:rFonts w:ascii="Arial" w:eastAsia="Arial" w:hAnsi="Arial" w:cs="Arial"/>
          <w:color w:val="000000"/>
          <w:sz w:val="18"/>
        </w:rPr>
        <w:t xml:space="preserve">Defendants do not argue that the current methodology is the only permissible methodology, and whether the prior methodology is permissible goes to what relief Plaintiffs can be provided. Since Plaintiffs request a variety of forms of relief and the district court has broad discretion to fashion appropriate injunctive relief if or when it becomes necessary, </w:t>
      </w:r>
      <w:r>
        <w:rPr>
          <w:rFonts w:ascii="Arial" w:eastAsia="Arial" w:hAnsi="Arial" w:cs="Arial"/>
          <w:i/>
          <w:color w:val="000000"/>
          <w:sz w:val="18"/>
        </w:rPr>
        <w:t xml:space="preserve">see, e.g., </w:t>
      </w:r>
      <w:bookmarkStart w:id="3561" w:name="Bookmark_I61CDHXD28T4H50030000400"/>
      <w:bookmarkEnd w:id="3561"/>
      <w:r>
        <w:rPr>
          <w:rFonts w:ascii="Arial" w:eastAsia="Arial" w:hAnsi="Arial" w:cs="Arial"/>
          <w:i/>
          <w:color w:val="000000"/>
          <w:sz w:val="18"/>
        </w:rPr>
        <w:t>United States v. Oakland Cannabis Buyers' Co-op</w:t>
      </w:r>
      <w:r>
        <w:rPr>
          <w:rFonts w:ascii="Arial" w:eastAsia="Arial" w:hAnsi="Arial" w:cs="Arial"/>
          <w:color w:val="000000"/>
          <w:sz w:val="18"/>
        </w:rPr>
        <w:t>, 532 U.S. 483, 496, 121 S. Ct. 1711, 149 L. Ed. 2d 722 (2001), at this juncture, we need not consider whether the prior methodology complied with Medicaid law and regulations and with the Defendants' agreements.</w:t>
      </w:r>
    </w:p>
  </w:footnote>
  <w:footnote w:id="153">
    <w:p w14:paraId="78D95A41"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3 </w:t>
      </w:r>
      <w:bookmarkStart w:id="3617" w:name="Bookmark_fnpara_3_14"/>
      <w:bookmarkEnd w:id="3617"/>
      <w:r>
        <w:rPr>
          <w:rFonts w:ascii="Arial" w:eastAsia="Arial" w:hAnsi="Arial" w:cs="Arial"/>
          <w:color w:val="000000"/>
          <w:sz w:val="18"/>
        </w:rPr>
        <w:t>Specifically, Plaintiffs ask the court to declare unlawful the current budget methodology and corresponding rate reduction, as well as any denial of participants' rights to self-determination. They further request that the court enjoin Defendants from continuing to use the current budget methodology and depriving CLS recipients of services provided in the most integrated setting. They request costs and attorneys' fees and "such other relief as is just and proper." (Am. Compl., R. 146 at PageID #3807.) In their amended complaint, Plaintiffs also asked the court, as a remedy for alleged due process violations, to enjoin Defendants "from denying participants their right to procedural due process" and from refusing to reinstate pre-May 2015 funding until recipients are afforded IPOS meetings and provided notice and an opportunity to be heard regarding any proposed cuts. (</w:t>
      </w:r>
      <w:r>
        <w:rPr>
          <w:rFonts w:ascii="Arial" w:eastAsia="Arial" w:hAnsi="Arial" w:cs="Arial"/>
          <w:i/>
          <w:color w:val="000000"/>
          <w:sz w:val="18"/>
        </w:rPr>
        <w:t>Id.</w:t>
      </w:r>
      <w:r>
        <w:rPr>
          <w:rFonts w:ascii="Arial" w:eastAsia="Arial" w:hAnsi="Arial" w:cs="Arial"/>
          <w:color w:val="000000"/>
          <w:sz w:val="18"/>
        </w:rPr>
        <w:t xml:space="preserve"> at #3806.) However, Plaintiffs no longer seek this relief after voluntarily dismissing their due process claims.</w:t>
      </w:r>
    </w:p>
  </w:footnote>
  <w:footnote w:id="154">
    <w:p w14:paraId="45685BBC"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4 </w:t>
      </w:r>
      <w:bookmarkStart w:id="3639" w:name="Bookmark_fnpara_4_14"/>
      <w:bookmarkEnd w:id="3639"/>
      <w:r>
        <w:rPr>
          <w:rFonts w:ascii="Arial" w:eastAsia="Arial" w:hAnsi="Arial" w:cs="Arial"/>
          <w:color w:val="000000"/>
          <w:sz w:val="18"/>
        </w:rPr>
        <w:t xml:space="preserve">Plaintiffs' request for attorneys' fees is also permitted under </w:t>
      </w:r>
      <w:bookmarkStart w:id="3640" w:name="Bookmark_I61CDHXJ2SF85D0010000400"/>
      <w:bookmarkEnd w:id="3640"/>
      <w:r>
        <w:rPr>
          <w:rFonts w:ascii="Arial" w:eastAsia="Arial" w:hAnsi="Arial" w:cs="Arial"/>
          <w:i/>
          <w:color w:val="000000"/>
          <w:sz w:val="18"/>
        </w:rPr>
        <w:t>Ex parte Young. Hutto v. Finney</w:t>
      </w:r>
      <w:r>
        <w:rPr>
          <w:rFonts w:ascii="Arial" w:eastAsia="Arial" w:hAnsi="Arial" w:cs="Arial"/>
          <w:color w:val="000000"/>
          <w:sz w:val="18"/>
        </w:rPr>
        <w:t>, 437 U.S. 678, 691-92, 98 S. Ct. 2565, 57 L. Ed. 2d 522 (1978).</w:t>
      </w:r>
    </w:p>
  </w:footnote>
  <w:footnote w:id="155">
    <w:p w14:paraId="4F941955"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5 </w:t>
      </w:r>
      <w:bookmarkStart w:id="3687" w:name="Bookmark_fnpara_5_11"/>
      <w:bookmarkStart w:id="3688" w:name="Bookmark_I61CDHXN2HM6D00040000400"/>
      <w:bookmarkEnd w:id="3687"/>
      <w:bookmarkEnd w:id="3688"/>
      <w:r>
        <w:rPr>
          <w:rFonts w:ascii="Arial" w:eastAsia="Arial" w:hAnsi="Arial" w:cs="Arial"/>
          <w:color w:val="000000"/>
          <w:sz w:val="18"/>
        </w:rPr>
        <w:t xml:space="preserve">We note that we have previously held that a group of nursing homes suing the Secretary of the Department of Health and Human Services was required to exhaust their available remedy of review by the Secretary before bringing suit against her to challenge Medicare and Medicaid regulations. </w:t>
      </w:r>
      <w:bookmarkStart w:id="3689" w:name="Bookmark_I69C45201BB0000624M0000J"/>
      <w:bookmarkStart w:id="3690" w:name="Bookmark_I61CDHXN2D6P000010000400"/>
      <w:bookmarkStart w:id="3691" w:name="Bookmark_I61CDHXN2HM6D00030000400"/>
      <w:bookmarkEnd w:id="3689"/>
      <w:bookmarkEnd w:id="3690"/>
      <w:bookmarkEnd w:id="3691"/>
      <w:r>
        <w:rPr>
          <w:rFonts w:ascii="Arial" w:eastAsia="Arial" w:hAnsi="Arial" w:cs="Arial"/>
          <w:i/>
          <w:color w:val="000000"/>
          <w:sz w:val="18"/>
        </w:rPr>
        <w:t>Mich. Ass'n of Homes &amp; Servs. for the Aging, Inc. v. Shalala</w:t>
      </w:r>
      <w:r>
        <w:rPr>
          <w:rFonts w:ascii="Arial" w:eastAsia="Arial" w:hAnsi="Arial" w:cs="Arial"/>
          <w:color w:val="000000"/>
          <w:sz w:val="18"/>
        </w:rPr>
        <w:t xml:space="preserve">, 127 F.3d 496, 497 (6th Cir. 1997). However, we concluded so only because a provision of the Medicaid Act discussing remedies available to care facilities specifically incorporated provisions of the Social Security Act that required judicial review of the decision only after a hearing by the Secretary. </w:t>
      </w:r>
      <w:bookmarkStart w:id="3692" w:name="Bookmark_I61CDHXN2D6P000010000400_2"/>
      <w:bookmarkStart w:id="3693" w:name="Bookmark_I61CDHXN2D6P000030000400"/>
      <w:bookmarkStart w:id="3694" w:name="Bookmark_I61CDHXN2HM6D00050000400"/>
      <w:bookmarkEnd w:id="3692"/>
      <w:bookmarkEnd w:id="3693"/>
      <w:bookmarkEnd w:id="3694"/>
      <w:r>
        <w:rPr>
          <w:rFonts w:ascii="Arial" w:eastAsia="Arial" w:hAnsi="Arial" w:cs="Arial"/>
          <w:i/>
          <w:color w:val="000000"/>
          <w:sz w:val="18"/>
        </w:rPr>
        <w:t>Id.</w:t>
      </w:r>
      <w:r>
        <w:rPr>
          <w:rFonts w:ascii="Arial" w:eastAsia="Arial" w:hAnsi="Arial" w:cs="Arial"/>
          <w:color w:val="000000"/>
          <w:sz w:val="18"/>
        </w:rPr>
        <w:t xml:space="preserve"> at 499 (noting 42 U.S.C. § 1396i(b)(2) incorporates 42 U.S.C. § 405(g)). </w:t>
      </w:r>
      <w:bookmarkStart w:id="3695" w:name="Bookmark_I61CDHXN2D6P000030000400_2"/>
      <w:bookmarkEnd w:id="3695"/>
      <w:r>
        <w:rPr>
          <w:rFonts w:ascii="Arial" w:eastAsia="Arial" w:hAnsi="Arial" w:cs="Arial"/>
          <w:color w:val="000000"/>
          <w:sz w:val="18"/>
        </w:rPr>
        <w:t xml:space="preserve">There is no such provision limiting remedies to Medicaid beneficiaries like the individual Plaintiffs. As explained by the Fifth Circuit, the provisions at issue in </w:t>
      </w:r>
      <w:r>
        <w:rPr>
          <w:rFonts w:ascii="Arial" w:eastAsia="Arial" w:hAnsi="Arial" w:cs="Arial"/>
          <w:i/>
          <w:color w:val="000000"/>
          <w:sz w:val="18"/>
        </w:rPr>
        <w:t>Michigan Association of Homes and Services for the Aging, Inc.</w:t>
      </w:r>
      <w:r>
        <w:rPr>
          <w:rFonts w:ascii="Arial" w:eastAsia="Arial" w:hAnsi="Arial" w:cs="Arial"/>
          <w:color w:val="000000"/>
          <w:sz w:val="18"/>
        </w:rPr>
        <w:t xml:space="preserve"> "involve review of decisions of the Secretary of Health and Human Services—a federal agency—regarding provider eligibility" and are inapplicable "where a Medicaid claimant seeks review of a state agency decision." </w:t>
      </w:r>
      <w:bookmarkStart w:id="3696" w:name="Bookmark_I61CDHXN2D6P000020000400"/>
      <w:bookmarkEnd w:id="3696"/>
      <w:r>
        <w:rPr>
          <w:rFonts w:ascii="Arial" w:eastAsia="Arial" w:hAnsi="Arial" w:cs="Arial"/>
          <w:i/>
          <w:color w:val="000000"/>
          <w:sz w:val="18"/>
        </w:rPr>
        <w:t>Romano v. Greenstein</w:t>
      </w:r>
      <w:r>
        <w:rPr>
          <w:rFonts w:ascii="Arial" w:eastAsia="Arial" w:hAnsi="Arial" w:cs="Arial"/>
          <w:color w:val="000000"/>
          <w:sz w:val="18"/>
        </w:rPr>
        <w:t>, 721 F.3d 373, 376 n.11 (5th Cir. 2013).</w:t>
      </w:r>
    </w:p>
  </w:footnote>
  <w:footnote w:id="156">
    <w:p w14:paraId="7F9CAA24"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6 </w:t>
      </w:r>
      <w:bookmarkStart w:id="3713" w:name="Bookmark_fnpara_6_9"/>
      <w:bookmarkStart w:id="3714" w:name="Bookmark_I61CDHXP2HM6D50010000400"/>
      <w:bookmarkStart w:id="3715" w:name="Bookmark_I61CDHXP2HM6D50030000400"/>
      <w:bookmarkEnd w:id="3713"/>
      <w:bookmarkEnd w:id="3714"/>
      <w:bookmarkEnd w:id="3715"/>
      <w:r>
        <w:rPr>
          <w:rFonts w:ascii="Arial" w:eastAsia="Arial" w:hAnsi="Arial" w:cs="Arial"/>
          <w:color w:val="000000"/>
          <w:sz w:val="18"/>
        </w:rPr>
        <w:t xml:space="preserve">Notably, the same panel, considering a prior appeal in that case, applied the Supreme Court's analysis in </w:t>
      </w:r>
      <w:bookmarkStart w:id="3716" w:name="Bookmark_I61CDHXP28T4J90050000400"/>
      <w:bookmarkEnd w:id="3716"/>
      <w:r>
        <w:rPr>
          <w:rFonts w:ascii="Arial" w:eastAsia="Arial" w:hAnsi="Arial" w:cs="Arial"/>
          <w:i/>
          <w:color w:val="000000"/>
          <w:sz w:val="18"/>
        </w:rPr>
        <w:t>Blessing v. Freestone</w:t>
      </w:r>
      <w:r>
        <w:rPr>
          <w:rFonts w:ascii="Arial" w:eastAsia="Arial" w:hAnsi="Arial" w:cs="Arial"/>
          <w:color w:val="000000"/>
          <w:sz w:val="18"/>
        </w:rPr>
        <w:t xml:space="preserve">, 520 U.S. 329, 117 S. Ct. 1353, 137 L. Ed. 2d 569 (1997), to determine whether provisions of § 1396a had created individual rights enforceable under § 1983. </w:t>
      </w:r>
      <w:bookmarkStart w:id="3717" w:name="Bookmark_I61CDHXP2HM6D50050000400"/>
      <w:bookmarkEnd w:id="3717"/>
      <w:r>
        <w:rPr>
          <w:rFonts w:ascii="Arial" w:eastAsia="Arial" w:hAnsi="Arial" w:cs="Arial"/>
          <w:i/>
          <w:color w:val="000000"/>
          <w:sz w:val="18"/>
        </w:rPr>
        <w:t xml:space="preserve">See </w:t>
      </w:r>
      <w:bookmarkStart w:id="3718" w:name="Bookmark_I61CDHXP2HM6D50020000400"/>
      <w:bookmarkEnd w:id="3718"/>
      <w:r>
        <w:rPr>
          <w:rFonts w:ascii="Arial" w:eastAsia="Arial" w:hAnsi="Arial" w:cs="Arial"/>
          <w:i/>
          <w:color w:val="000000"/>
          <w:sz w:val="18"/>
        </w:rPr>
        <w:t>Westside Mothers I</w:t>
      </w:r>
      <w:r>
        <w:rPr>
          <w:rFonts w:ascii="Arial" w:eastAsia="Arial" w:hAnsi="Arial" w:cs="Arial"/>
          <w:color w:val="000000"/>
          <w:sz w:val="18"/>
        </w:rPr>
        <w:t xml:space="preserve">, 289 F.3d at 862-63. </w:t>
      </w:r>
      <w:bookmarkStart w:id="3719" w:name="Bookmark_I61CDHXP28T4JB0020000400"/>
      <w:bookmarkEnd w:id="3719"/>
      <w:r>
        <w:rPr>
          <w:rFonts w:ascii="Arial" w:eastAsia="Arial" w:hAnsi="Arial" w:cs="Arial"/>
          <w:color w:val="000000"/>
          <w:sz w:val="18"/>
        </w:rPr>
        <w:t xml:space="preserve">It concluded they did. </w:t>
      </w:r>
      <w:r>
        <w:rPr>
          <w:rFonts w:ascii="Arial" w:eastAsia="Arial" w:hAnsi="Arial" w:cs="Arial"/>
          <w:i/>
          <w:color w:val="000000"/>
          <w:sz w:val="18"/>
        </w:rPr>
        <w:t>Id.</w:t>
      </w:r>
      <w:r>
        <w:rPr>
          <w:rFonts w:ascii="Arial" w:eastAsia="Arial" w:hAnsi="Arial" w:cs="Arial"/>
          <w:color w:val="000000"/>
          <w:sz w:val="18"/>
        </w:rPr>
        <w:t xml:space="preserve"> That analysis refers to §§ 1396a(a)(8) and (a)(10)(A), suggesting it addressed those provisions. </w:t>
      </w:r>
      <w:bookmarkStart w:id="3720" w:name="Bookmark_I61CDHXP28T4JB0020000400_2"/>
      <w:bookmarkStart w:id="3721" w:name="Bookmark_I61CDHXP2HM6D50050000400_2"/>
      <w:bookmarkStart w:id="3722" w:name="Bookmark_I69C452290D0000624M00024"/>
      <w:bookmarkStart w:id="3723" w:name="Bookmark_I61CDHXP28T4JB0040000400"/>
      <w:bookmarkEnd w:id="3720"/>
      <w:bookmarkEnd w:id="3721"/>
      <w:bookmarkEnd w:id="3722"/>
      <w:bookmarkEnd w:id="3723"/>
      <w:r>
        <w:rPr>
          <w:rFonts w:ascii="Arial" w:eastAsia="Arial" w:hAnsi="Arial" w:cs="Arial"/>
          <w:i/>
          <w:color w:val="000000"/>
          <w:sz w:val="18"/>
        </w:rPr>
        <w:t xml:space="preserve">See </w:t>
      </w:r>
      <w:bookmarkStart w:id="3724" w:name="Bookmark_I61CDHXP2HM6D50040000400"/>
      <w:bookmarkEnd w:id="3724"/>
      <w:r>
        <w:rPr>
          <w:rFonts w:ascii="Arial" w:eastAsia="Arial" w:hAnsi="Arial" w:cs="Arial"/>
          <w:i/>
          <w:color w:val="000000"/>
          <w:sz w:val="18"/>
        </w:rPr>
        <w:t>id.</w:t>
      </w:r>
      <w:r>
        <w:rPr>
          <w:rFonts w:ascii="Arial" w:eastAsia="Arial" w:hAnsi="Arial" w:cs="Arial"/>
          <w:color w:val="000000"/>
          <w:sz w:val="18"/>
        </w:rPr>
        <w:t xml:space="preserve"> at 863. </w:t>
      </w:r>
      <w:bookmarkStart w:id="3725" w:name="Bookmark_I61CDHXP28T4JB0040000400_2"/>
      <w:bookmarkEnd w:id="3725"/>
      <w:r>
        <w:rPr>
          <w:rFonts w:ascii="Arial" w:eastAsia="Arial" w:hAnsi="Arial" w:cs="Arial"/>
          <w:color w:val="000000"/>
          <w:sz w:val="18"/>
        </w:rPr>
        <w:t xml:space="preserve">However, upon hearing the appeal in </w:t>
      </w:r>
      <w:r>
        <w:rPr>
          <w:rFonts w:ascii="Arial" w:eastAsia="Arial" w:hAnsi="Arial" w:cs="Arial"/>
          <w:i/>
          <w:color w:val="000000"/>
          <w:sz w:val="18"/>
        </w:rPr>
        <w:t>Westside Mothers II</w:t>
      </w:r>
      <w:r>
        <w:rPr>
          <w:rFonts w:ascii="Arial" w:eastAsia="Arial" w:hAnsi="Arial" w:cs="Arial"/>
          <w:color w:val="000000"/>
          <w:sz w:val="18"/>
        </w:rPr>
        <w:t xml:space="preserve">, the same panel concluded that the district court was not wrong to address the issue again on remand because "the opinion in </w:t>
      </w:r>
      <w:r>
        <w:rPr>
          <w:rFonts w:ascii="Arial" w:eastAsia="Arial" w:hAnsi="Arial" w:cs="Arial"/>
          <w:i/>
          <w:color w:val="000000"/>
          <w:sz w:val="18"/>
        </w:rPr>
        <w:t>Westside Mothers I</w:t>
      </w:r>
      <w:r>
        <w:rPr>
          <w:rFonts w:ascii="Arial" w:eastAsia="Arial" w:hAnsi="Arial" w:cs="Arial"/>
          <w:color w:val="000000"/>
          <w:sz w:val="18"/>
        </w:rPr>
        <w:t xml:space="preserve"> creates considerable ambiguity as to whether the prior panel applied the </w:t>
      </w:r>
      <w:r>
        <w:rPr>
          <w:rFonts w:ascii="Arial" w:eastAsia="Arial" w:hAnsi="Arial" w:cs="Arial"/>
          <w:i/>
          <w:color w:val="000000"/>
          <w:sz w:val="18"/>
        </w:rPr>
        <w:t>Blessing</w:t>
      </w:r>
      <w:r>
        <w:rPr>
          <w:rFonts w:ascii="Arial" w:eastAsia="Arial" w:hAnsi="Arial" w:cs="Arial"/>
          <w:color w:val="000000"/>
          <w:sz w:val="18"/>
        </w:rPr>
        <w:t xml:space="preserve"> test to each of the statutory provisions identified in the plaintiffs' amended complaint," and so "the law of the case doctrine does not apply and . . . our earlier decision in this case did not foreclose the district court's consideration of whether plaintiffs have a right of action under § 1983 to enforce violations of §§ 1396a(a)(8) [and] 1396a(a)(10)." </w:t>
      </w:r>
      <w:bookmarkStart w:id="3726" w:name="Bookmark_I61CDHXP28T4JB0010000400"/>
      <w:bookmarkEnd w:id="3726"/>
      <w:r>
        <w:rPr>
          <w:rFonts w:ascii="Arial" w:eastAsia="Arial" w:hAnsi="Arial" w:cs="Arial"/>
          <w:i/>
          <w:color w:val="000000"/>
          <w:sz w:val="18"/>
        </w:rPr>
        <w:t>Westside Mothers II</w:t>
      </w:r>
      <w:r>
        <w:rPr>
          <w:rFonts w:ascii="Arial" w:eastAsia="Arial" w:hAnsi="Arial" w:cs="Arial"/>
          <w:color w:val="000000"/>
          <w:sz w:val="18"/>
        </w:rPr>
        <w:t xml:space="preserve">, 454 F.3d at 539. </w:t>
      </w:r>
      <w:bookmarkStart w:id="3727" w:name="Bookmark_I61CDHXP28T4JB0040000400_3"/>
      <w:bookmarkEnd w:id="3727"/>
      <w:r>
        <w:rPr>
          <w:rFonts w:ascii="Arial" w:eastAsia="Arial" w:hAnsi="Arial" w:cs="Arial"/>
          <w:color w:val="000000"/>
          <w:sz w:val="18"/>
        </w:rPr>
        <w:t xml:space="preserve">Thus, </w:t>
      </w:r>
      <w:bookmarkStart w:id="3728" w:name="Bookmark_I61CDHXP28T4JB0030000400"/>
      <w:bookmarkEnd w:id="3728"/>
      <w:r>
        <w:rPr>
          <w:rFonts w:ascii="Arial" w:eastAsia="Arial" w:hAnsi="Arial" w:cs="Arial"/>
          <w:i/>
          <w:color w:val="000000"/>
          <w:sz w:val="18"/>
        </w:rPr>
        <w:t>Westside Mothers I</w:t>
      </w:r>
      <w:r>
        <w:rPr>
          <w:rFonts w:ascii="Arial" w:eastAsia="Arial" w:hAnsi="Arial" w:cs="Arial"/>
          <w:color w:val="000000"/>
          <w:sz w:val="18"/>
        </w:rPr>
        <w:t xml:space="preserve"> does not definitively decide whether §§ 1396a(a)(8) and (10) afford a private right of action under § 1983.</w:t>
      </w:r>
    </w:p>
  </w:footnote>
  <w:footnote w:id="157">
    <w:p w14:paraId="3838263B" w14:textId="77777777" w:rsidR="002B10A6" w:rsidRDefault="00000000">
      <w:pPr>
        <w:pStyle w:val="Normal22"/>
        <w:widowControl w:val="0"/>
        <w:spacing w:before="120" w:line="240" w:lineRule="atLeast"/>
        <w:jc w:val="both"/>
      </w:pPr>
      <w:r>
        <w:rPr>
          <w:rFonts w:ascii="Arial" w:eastAsia="Arial" w:hAnsi="Arial" w:cs="Arial"/>
          <w:color w:val="000000"/>
          <w:sz w:val="18"/>
          <w:vertAlign w:val="superscript"/>
        </w:rPr>
        <w:t>7 </w:t>
      </w:r>
      <w:bookmarkStart w:id="3732" w:name="Bookmark_fnpara_7_6"/>
      <w:bookmarkEnd w:id="3732"/>
      <w:r>
        <w:rPr>
          <w:rFonts w:ascii="Arial" w:eastAsia="Arial" w:hAnsi="Arial" w:cs="Arial"/>
          <w:color w:val="000000"/>
          <w:sz w:val="18"/>
        </w:rPr>
        <w:t>That provision requires state plans to:</w:t>
      </w:r>
    </w:p>
    <w:p w14:paraId="5D1F88B6" w14:textId="77777777" w:rsidR="002B10A6" w:rsidRDefault="00000000">
      <w:pPr>
        <w:pStyle w:val="Normal22"/>
        <w:widowControl w:val="0"/>
        <w:spacing w:before="200" w:line="240" w:lineRule="atLeast"/>
        <w:ind w:left="400"/>
        <w:jc w:val="both"/>
      </w:pPr>
      <w:bookmarkStart w:id="3733" w:name="Bookmark_para_45_8"/>
      <w:bookmarkEnd w:id="3733"/>
      <w:r>
        <w:rPr>
          <w:rFonts w:ascii="Arial" w:eastAsia="Arial" w:hAnsi="Arial" w:cs="Arial"/>
          <w:color w:val="000000"/>
          <w:sz w:val="18"/>
        </w:rPr>
        <w:t>provide such methods [**30]  and procedures relating to the utilization of, and the payment for, care and services available under the plan . . . as may be necessary to safeguard against unnecessary utilization of such care and services and to assure that payments are consistent with efficiency, economy, and quality of care and are sufficient to enlist enough providers so that care and services are available under the plan at least to the extent that such care and services are available to the general population in the geographic area.</w:t>
      </w:r>
    </w:p>
    <w:p w14:paraId="1DCCA1CF" w14:textId="77777777" w:rsidR="002B10A6" w:rsidRDefault="00000000">
      <w:pPr>
        <w:pStyle w:val="Normal22"/>
        <w:widowControl w:val="0"/>
        <w:spacing w:before="120" w:line="240" w:lineRule="atLeast"/>
        <w:jc w:val="both"/>
      </w:pPr>
      <w:r>
        <w:rPr>
          <w:rFonts w:ascii="Arial" w:eastAsia="Arial" w:hAnsi="Arial" w:cs="Arial"/>
          <w:color w:val="000000"/>
          <w:sz w:val="18"/>
        </w:rPr>
        <w:t>42 U.S.C. § 1396a(a)(30)(A).</w:t>
      </w:r>
    </w:p>
  </w:footnote>
  <w:footnote w:id="158">
    <w:p w14:paraId="4E68470F"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8 </w:t>
      </w:r>
      <w:bookmarkStart w:id="3765" w:name="Bookmark_fnpara_8_4"/>
      <w:bookmarkEnd w:id="3765"/>
      <w:r>
        <w:rPr>
          <w:rFonts w:ascii="Arial" w:eastAsia="Arial" w:hAnsi="Arial" w:cs="Arial"/>
          <w:i/>
          <w:color w:val="000000"/>
          <w:sz w:val="18"/>
        </w:rPr>
        <w:t xml:space="preserve">See, e.g., </w:t>
      </w:r>
      <w:bookmarkStart w:id="3766" w:name="Bookmark_I61CDHXR2D6P060050000400"/>
      <w:bookmarkEnd w:id="3766"/>
      <w:r>
        <w:rPr>
          <w:rFonts w:ascii="Arial" w:eastAsia="Arial" w:hAnsi="Arial" w:cs="Arial"/>
          <w:i/>
          <w:color w:val="000000"/>
          <w:sz w:val="18"/>
        </w:rPr>
        <w:t>Romano</w:t>
      </w:r>
      <w:r>
        <w:rPr>
          <w:rFonts w:ascii="Arial" w:eastAsia="Arial" w:hAnsi="Arial" w:cs="Arial"/>
          <w:color w:val="000000"/>
          <w:sz w:val="18"/>
        </w:rPr>
        <w:t xml:space="preserve">, 721 F.3d at 377-79 (§ 1396a(a)(8)); </w:t>
      </w:r>
      <w:bookmarkStart w:id="3767" w:name="Bookmark_I61CDHXR28T4JD0020000400"/>
      <w:bookmarkEnd w:id="3767"/>
      <w:r>
        <w:rPr>
          <w:rFonts w:ascii="Arial" w:eastAsia="Arial" w:hAnsi="Arial" w:cs="Arial"/>
          <w:i/>
          <w:color w:val="000000"/>
          <w:sz w:val="18"/>
        </w:rPr>
        <w:t>Doe v. Kidd</w:t>
      </w:r>
      <w:r>
        <w:rPr>
          <w:rFonts w:ascii="Arial" w:eastAsia="Arial" w:hAnsi="Arial" w:cs="Arial"/>
          <w:color w:val="000000"/>
          <w:sz w:val="18"/>
        </w:rPr>
        <w:t xml:space="preserve">, 501 F.3d 348, 355-57 (4th Cir. 2007) (§ 1396a(a)(8)); </w:t>
      </w:r>
      <w:bookmarkStart w:id="3768" w:name="Bookmark_I61CDHXR28T4JD0040000400"/>
      <w:bookmarkEnd w:id="3768"/>
      <w:r>
        <w:rPr>
          <w:rFonts w:ascii="Arial" w:eastAsia="Arial" w:hAnsi="Arial" w:cs="Arial"/>
          <w:i/>
          <w:color w:val="000000"/>
          <w:sz w:val="18"/>
        </w:rPr>
        <w:t>Watson v. Weeks</w:t>
      </w:r>
      <w:r>
        <w:rPr>
          <w:rFonts w:ascii="Arial" w:eastAsia="Arial" w:hAnsi="Arial" w:cs="Arial"/>
          <w:color w:val="000000"/>
          <w:sz w:val="18"/>
        </w:rPr>
        <w:t xml:space="preserve">, 436 F.3d 1152, 1159-62 (9th Cir. 2006) (§ 1396a(a)(10)); </w:t>
      </w:r>
      <w:bookmarkStart w:id="3769" w:name="Bookmark_I61CDHXR2D6P070010000400"/>
      <w:bookmarkEnd w:id="3769"/>
      <w:r>
        <w:rPr>
          <w:rFonts w:ascii="Arial" w:eastAsia="Arial" w:hAnsi="Arial" w:cs="Arial"/>
          <w:i/>
          <w:color w:val="000000"/>
          <w:sz w:val="18"/>
        </w:rPr>
        <w:t>S.D. ex rel. Dickson v. Hood</w:t>
      </w:r>
      <w:r>
        <w:rPr>
          <w:rFonts w:ascii="Arial" w:eastAsia="Arial" w:hAnsi="Arial" w:cs="Arial"/>
          <w:color w:val="000000"/>
          <w:sz w:val="18"/>
        </w:rPr>
        <w:t xml:space="preserve">, 391 F.3d 581, 602-07 (5th Cir. 2004) (§ 1396a(a)(10)); </w:t>
      </w:r>
      <w:bookmarkStart w:id="3770" w:name="Bookmark_I61CDHXR2D6P070030000400"/>
      <w:bookmarkEnd w:id="3770"/>
      <w:r>
        <w:rPr>
          <w:rFonts w:ascii="Arial" w:eastAsia="Arial" w:hAnsi="Arial" w:cs="Arial"/>
          <w:i/>
          <w:color w:val="000000"/>
          <w:sz w:val="18"/>
        </w:rPr>
        <w:t>Sabree ex rel. Sabree v. Richman</w:t>
      </w:r>
      <w:r>
        <w:rPr>
          <w:rFonts w:ascii="Arial" w:eastAsia="Arial" w:hAnsi="Arial" w:cs="Arial"/>
          <w:color w:val="000000"/>
          <w:sz w:val="18"/>
        </w:rPr>
        <w:t xml:space="preserve">, 367 F.3d 180, 183 (3d Cir. 2004) (§§ 1396a(a)(8) and (10)); </w:t>
      </w:r>
      <w:bookmarkStart w:id="3771" w:name="Bookmark_I61CDHXR2D6P070050000400"/>
      <w:bookmarkEnd w:id="3771"/>
      <w:r>
        <w:rPr>
          <w:rFonts w:ascii="Arial" w:eastAsia="Arial" w:hAnsi="Arial" w:cs="Arial"/>
          <w:i/>
          <w:color w:val="000000"/>
          <w:sz w:val="18"/>
        </w:rPr>
        <w:t>Bryson v. Shumway</w:t>
      </w:r>
      <w:r>
        <w:rPr>
          <w:rFonts w:ascii="Arial" w:eastAsia="Arial" w:hAnsi="Arial" w:cs="Arial"/>
          <w:color w:val="000000"/>
          <w:sz w:val="18"/>
        </w:rPr>
        <w:t xml:space="preserve">, 308 F.3d 79, 88-89 (1st Cir. 2002) (§ 1396a(a)(8)); </w:t>
      </w:r>
      <w:bookmarkStart w:id="3772" w:name="Bookmark_I61CDHXS2N1PRT0020000400"/>
      <w:bookmarkEnd w:id="3772"/>
      <w:r>
        <w:rPr>
          <w:rFonts w:ascii="Arial" w:eastAsia="Arial" w:hAnsi="Arial" w:cs="Arial"/>
          <w:i/>
          <w:color w:val="000000"/>
          <w:sz w:val="18"/>
        </w:rPr>
        <w:t>Doe ex rel. Doe v. Chiles</w:t>
      </w:r>
      <w:r>
        <w:rPr>
          <w:rFonts w:ascii="Arial" w:eastAsia="Arial" w:hAnsi="Arial" w:cs="Arial"/>
          <w:color w:val="000000"/>
          <w:sz w:val="18"/>
        </w:rPr>
        <w:t>, 136 F.3d 709, 714-19 (11th Cir. 1998) (§ 1396a(a)(8)).</w:t>
      </w:r>
    </w:p>
  </w:footnote>
  <w:footnote w:id="159">
    <w:p w14:paraId="117AE185"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9 </w:t>
      </w:r>
      <w:bookmarkStart w:id="3847" w:name="Bookmark_fnpara_9_2"/>
      <w:bookmarkEnd w:id="3847"/>
      <w:r>
        <w:rPr>
          <w:rFonts w:ascii="Arial" w:eastAsia="Arial" w:hAnsi="Arial" w:cs="Arial"/>
          <w:i/>
          <w:color w:val="000000"/>
          <w:sz w:val="18"/>
        </w:rPr>
        <w:t xml:space="preserve">See, e.g., </w:t>
      </w:r>
      <w:bookmarkStart w:id="3848" w:name="Bookmark_I61CDHXW2N1PS30020000400"/>
      <w:bookmarkEnd w:id="3848"/>
      <w:r>
        <w:rPr>
          <w:rFonts w:ascii="Arial" w:eastAsia="Arial" w:hAnsi="Arial" w:cs="Arial"/>
          <w:i/>
          <w:color w:val="000000"/>
          <w:sz w:val="18"/>
        </w:rPr>
        <w:t>Ball v. Rodgers</w:t>
      </w:r>
      <w:r>
        <w:rPr>
          <w:rFonts w:ascii="Arial" w:eastAsia="Arial" w:hAnsi="Arial" w:cs="Arial"/>
          <w:color w:val="000000"/>
          <w:sz w:val="18"/>
        </w:rPr>
        <w:t xml:space="preserve">, 492 F.3d 1094, 1117 (9th Cir. 2007) (§ 1396n(c)(2)(C)); </w:t>
      </w:r>
      <w:bookmarkStart w:id="3849" w:name="Bookmark_I61CDHXW2N1PS30040000400"/>
      <w:bookmarkEnd w:id="3849"/>
      <w:r>
        <w:rPr>
          <w:rFonts w:ascii="Arial" w:eastAsia="Arial" w:hAnsi="Arial" w:cs="Arial"/>
          <w:i/>
          <w:color w:val="000000"/>
          <w:sz w:val="18"/>
        </w:rPr>
        <w:t>Jackson v. Dep't of Human Servs. Div. of Developmental Disabilities</w:t>
      </w:r>
      <w:r>
        <w:rPr>
          <w:rFonts w:ascii="Arial" w:eastAsia="Arial" w:hAnsi="Arial" w:cs="Arial"/>
          <w:color w:val="000000"/>
          <w:sz w:val="18"/>
        </w:rPr>
        <w:t xml:space="preserve">, No. 17-118, 2019 U.S. Dist. LEXIS 26181, 2019 WL 669804, at *2-3 (D.N.J. Feb. 19, 2019) (§ 1396n(c)(2)(A)); </w:t>
      </w:r>
      <w:bookmarkStart w:id="3850" w:name="Bookmark_I61CDHXX2HM6DM0010000400"/>
      <w:bookmarkEnd w:id="3850"/>
      <w:r>
        <w:rPr>
          <w:rFonts w:ascii="Arial" w:eastAsia="Arial" w:hAnsi="Arial" w:cs="Arial"/>
          <w:i/>
          <w:color w:val="000000"/>
          <w:sz w:val="18"/>
        </w:rPr>
        <w:t>Ball v. Kasich</w:t>
      </w:r>
      <w:r>
        <w:rPr>
          <w:rFonts w:ascii="Arial" w:eastAsia="Arial" w:hAnsi="Arial" w:cs="Arial"/>
          <w:color w:val="000000"/>
          <w:sz w:val="18"/>
        </w:rPr>
        <w:t xml:space="preserve">, 244 F. Supp. 3d 662, 684 (S.D. Ohio 2017) (§ 1396n(c)(2)(C)); </w:t>
      </w:r>
      <w:bookmarkStart w:id="3851" w:name="Bookmark_I61CDHXX2HM6DM0030000400"/>
      <w:bookmarkEnd w:id="3851"/>
      <w:r>
        <w:rPr>
          <w:rFonts w:ascii="Arial" w:eastAsia="Arial" w:hAnsi="Arial" w:cs="Arial"/>
          <w:i/>
          <w:color w:val="000000"/>
          <w:sz w:val="18"/>
        </w:rPr>
        <w:t>Guggenberger v. Minnesota</w:t>
      </w:r>
      <w:r>
        <w:rPr>
          <w:rFonts w:ascii="Arial" w:eastAsia="Arial" w:hAnsi="Arial" w:cs="Arial"/>
          <w:color w:val="000000"/>
          <w:sz w:val="18"/>
        </w:rPr>
        <w:t xml:space="preserve">, 198 F. Supp. 3d 973, 1014-15 (D. Minn. 2016) (§ 1396n(c)(2)(C)); </w:t>
      </w:r>
      <w:bookmarkStart w:id="3852" w:name="Bookmark_I61CDHXX2HM6DM0050000400"/>
      <w:bookmarkEnd w:id="3852"/>
      <w:r>
        <w:rPr>
          <w:rFonts w:ascii="Arial" w:eastAsia="Arial" w:hAnsi="Arial" w:cs="Arial"/>
          <w:i/>
          <w:color w:val="000000"/>
          <w:sz w:val="18"/>
        </w:rPr>
        <w:t>Cohen v. Chester Cnty. Dep't of Mental Health/Intellectual Disabilities Servs.</w:t>
      </w:r>
      <w:r>
        <w:rPr>
          <w:rFonts w:ascii="Arial" w:eastAsia="Arial" w:hAnsi="Arial" w:cs="Arial"/>
          <w:color w:val="000000"/>
          <w:sz w:val="18"/>
        </w:rPr>
        <w:t xml:space="preserve">, No. 15-2585, 2016 U.S. Dist. LEXIS 68452, 2016 WL 3031719, at *8 (E.D. Pa. May 25, 2016) (§ 1396n(c)(2)(A)); </w:t>
      </w:r>
      <w:bookmarkStart w:id="3853" w:name="Bookmark_I61CDHXX2SF86F0020000400"/>
      <w:bookmarkEnd w:id="3853"/>
      <w:r>
        <w:rPr>
          <w:rFonts w:ascii="Arial" w:eastAsia="Arial" w:hAnsi="Arial" w:cs="Arial"/>
          <w:i/>
          <w:color w:val="000000"/>
          <w:sz w:val="18"/>
        </w:rPr>
        <w:t>Steward v. Abbott</w:t>
      </w:r>
      <w:r>
        <w:rPr>
          <w:rFonts w:ascii="Arial" w:eastAsia="Arial" w:hAnsi="Arial" w:cs="Arial"/>
          <w:color w:val="000000"/>
          <w:sz w:val="18"/>
        </w:rPr>
        <w:t xml:space="preserve">, 189 F. Supp. 3d 620, 635-37 (W.D. Tex. 2016) (§ 1396n(c)(2) generally); </w:t>
      </w:r>
      <w:bookmarkStart w:id="3854" w:name="Bookmark_I61CDHXX2SF86F0040000400"/>
      <w:bookmarkEnd w:id="3854"/>
      <w:r>
        <w:rPr>
          <w:rFonts w:ascii="Arial" w:eastAsia="Arial" w:hAnsi="Arial" w:cs="Arial"/>
          <w:i/>
          <w:color w:val="000000"/>
          <w:sz w:val="18"/>
        </w:rPr>
        <w:t>Ill. League of Advocates for the Developmentally Disabled v. Quinn</w:t>
      </w:r>
      <w:r>
        <w:rPr>
          <w:rFonts w:ascii="Arial" w:eastAsia="Arial" w:hAnsi="Arial" w:cs="Arial"/>
          <w:color w:val="000000"/>
          <w:sz w:val="18"/>
        </w:rPr>
        <w:t xml:space="preserve">, No. 13-1300, 2013 U.S. Dist. LEXIS 145246, 2013 WL 5548929, at *9-10 (N.D. Ill. Oct. 8, 2013) (§ 1396n(c)(2)(C)); </w:t>
      </w:r>
      <w:bookmarkStart w:id="3855" w:name="Bookmark_I61CDHXY2N1PS50010000400"/>
      <w:bookmarkEnd w:id="3855"/>
      <w:r>
        <w:rPr>
          <w:rFonts w:ascii="Arial" w:eastAsia="Arial" w:hAnsi="Arial" w:cs="Arial"/>
          <w:i/>
          <w:color w:val="000000"/>
          <w:sz w:val="18"/>
        </w:rPr>
        <w:t>Zatuchni v. Richman</w:t>
      </w:r>
      <w:r>
        <w:rPr>
          <w:rFonts w:ascii="Arial" w:eastAsia="Arial" w:hAnsi="Arial" w:cs="Arial"/>
          <w:color w:val="000000"/>
          <w:sz w:val="18"/>
        </w:rPr>
        <w:t xml:space="preserve">, No. 07-4600, 2008 U.S. Dist. LEXIS 61574, 2008 WL 3408554, at *8-11 (E.D. Pa. Aug. 12, 2008) (§ 1396n(c)(2)(C)); </w:t>
      </w:r>
      <w:bookmarkStart w:id="3856" w:name="Bookmark_I61CDHXY2N1PS50030000400"/>
      <w:bookmarkEnd w:id="3856"/>
      <w:r>
        <w:rPr>
          <w:rFonts w:ascii="Arial" w:eastAsia="Arial" w:hAnsi="Arial" w:cs="Arial"/>
          <w:i/>
          <w:color w:val="000000"/>
          <w:sz w:val="18"/>
        </w:rPr>
        <w:t>Michelle P. ex el. Deisenroth v. Holsinger</w:t>
      </w:r>
      <w:r>
        <w:rPr>
          <w:rFonts w:ascii="Arial" w:eastAsia="Arial" w:hAnsi="Arial" w:cs="Arial"/>
          <w:color w:val="000000"/>
          <w:sz w:val="18"/>
        </w:rPr>
        <w:t xml:space="preserve">, 356 F. Supp. 2d 763, 769 (E.D. Ky. 2005) (§ 1396n(c)(2)(C)); </w:t>
      </w:r>
      <w:bookmarkStart w:id="3857" w:name="Bookmark_I61CDHXY2N1PS50050000400"/>
      <w:bookmarkEnd w:id="3857"/>
      <w:r>
        <w:rPr>
          <w:rFonts w:ascii="Arial" w:eastAsia="Arial" w:hAnsi="Arial" w:cs="Arial"/>
          <w:i/>
          <w:color w:val="000000"/>
          <w:sz w:val="18"/>
        </w:rPr>
        <w:t>Masterman v. Goodno</w:t>
      </w:r>
      <w:r>
        <w:rPr>
          <w:rFonts w:ascii="Arial" w:eastAsia="Arial" w:hAnsi="Arial" w:cs="Arial"/>
          <w:color w:val="000000"/>
          <w:sz w:val="18"/>
        </w:rPr>
        <w:t xml:space="preserve">, No. 03-2939, 2004 U.S. Dist. LEXIS 354, 2004 WL 51271, at *9-10 (D. Minn. Jan. 8, 2004) (§§ 1396n(c)(2)(A) and (C)). </w:t>
      </w:r>
      <w:r>
        <w:rPr>
          <w:rFonts w:ascii="Arial" w:eastAsia="Arial" w:hAnsi="Arial" w:cs="Arial"/>
          <w:i/>
          <w:color w:val="000000"/>
          <w:sz w:val="18"/>
        </w:rPr>
        <w:t xml:space="preserve">But see </w:t>
      </w:r>
      <w:bookmarkStart w:id="3858" w:name="Bookmark_I61CDHXY2SF86H0020000400"/>
      <w:bookmarkEnd w:id="3858"/>
      <w:r>
        <w:rPr>
          <w:rFonts w:ascii="Arial" w:eastAsia="Arial" w:hAnsi="Arial" w:cs="Arial"/>
          <w:i/>
          <w:color w:val="000000"/>
          <w:sz w:val="18"/>
        </w:rPr>
        <w:t>M.A.C. v. Betit</w:t>
      </w:r>
      <w:r>
        <w:rPr>
          <w:rFonts w:ascii="Arial" w:eastAsia="Arial" w:hAnsi="Arial" w:cs="Arial"/>
          <w:color w:val="000000"/>
          <w:sz w:val="18"/>
        </w:rPr>
        <w:t xml:space="preserve">, 284 F. Supp. 2d 1298, 1307 (D. Utah 2003) (§ 1396n(c)(2)(C)); </w:t>
      </w:r>
      <w:bookmarkStart w:id="3859" w:name="Bookmark_I61CDHXY2SF86H0040000400"/>
      <w:bookmarkEnd w:id="3859"/>
      <w:r>
        <w:rPr>
          <w:rFonts w:ascii="Arial" w:eastAsia="Arial" w:hAnsi="Arial" w:cs="Arial"/>
          <w:i/>
          <w:color w:val="000000"/>
          <w:sz w:val="18"/>
        </w:rPr>
        <w:t>Gaines v. Hadi</w:t>
      </w:r>
      <w:r>
        <w:rPr>
          <w:rFonts w:ascii="Arial" w:eastAsia="Arial" w:hAnsi="Arial" w:cs="Arial"/>
          <w:color w:val="000000"/>
          <w:sz w:val="18"/>
        </w:rPr>
        <w:t>, No. 06-60129, 2006 WL 6035742, at *23-24 (S.D. Fla. Jan. 30, 2006) (§ 1396n(c)(2)(A)).</w:t>
      </w:r>
    </w:p>
  </w:footnote>
  <w:footnote w:id="160">
    <w:p w14:paraId="322A6157"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10 </w:t>
      </w:r>
      <w:bookmarkStart w:id="3878" w:name="Bookmark_fnpara_10_2"/>
      <w:bookmarkStart w:id="3879" w:name="Bookmark_I61CDHY12D6P0S0010000400"/>
      <w:bookmarkStart w:id="3880" w:name="Bookmark_I61CDHY12D6P0S0030000400"/>
      <w:bookmarkEnd w:id="3878"/>
      <w:bookmarkEnd w:id="3879"/>
      <w:bookmarkEnd w:id="3880"/>
      <w:r>
        <w:rPr>
          <w:rFonts w:ascii="Arial" w:eastAsia="Arial" w:hAnsi="Arial" w:cs="Arial"/>
          <w:color w:val="000000"/>
          <w:sz w:val="18"/>
        </w:rPr>
        <w:t xml:space="preserve">The simple fact that § 1396n imposes requirements on states by stating that "[a] waiver shall not be granted . . . unless the State provides assurances satisfactory to the Secretary" regarding necessary safeguards and free choice does not preclude our conclusion that these provisions confer individual rights. 42 U.S.C. § 1396n(c)(2); </w:t>
      </w:r>
      <w:r>
        <w:rPr>
          <w:rFonts w:ascii="Arial" w:eastAsia="Arial" w:hAnsi="Arial" w:cs="Arial"/>
          <w:i/>
          <w:color w:val="000000"/>
          <w:sz w:val="18"/>
        </w:rPr>
        <w:t xml:space="preserve">see </w:t>
      </w:r>
      <w:bookmarkStart w:id="3881" w:name="Bookmark_I61CDHY028T4JY0050000400"/>
      <w:bookmarkEnd w:id="3881"/>
      <w:r>
        <w:rPr>
          <w:rFonts w:ascii="Arial" w:eastAsia="Arial" w:hAnsi="Arial" w:cs="Arial"/>
          <w:i/>
          <w:color w:val="000000"/>
          <w:sz w:val="18"/>
        </w:rPr>
        <w:t>Rodgers</w:t>
      </w:r>
      <w:r>
        <w:rPr>
          <w:rFonts w:ascii="Arial" w:eastAsia="Arial" w:hAnsi="Arial" w:cs="Arial"/>
          <w:color w:val="000000"/>
          <w:sz w:val="18"/>
        </w:rPr>
        <w:t xml:space="preserve">, 492 F.3d at 1111 (rejecting the argument that this language shows that "the provisions' objective is not to benefit HCBS-eligible Medicaid recipients directly"). We see no functional difference between this language and § 1396a's statement that "[a] State plan for medical assistance must" make certain provisions. 42 U.S.C. § 1396a(a). And both Congress and this Court have concluded that such language can confer individual rights. 42 U.S.C. § 1320a-2 (explaining that a provision of the Medicaid Act "is not to be deemed unenforceable because of its inclusion in a section . . . specifying the required contents of a State plan"); </w:t>
      </w:r>
      <w:bookmarkStart w:id="3882" w:name="Bookmark_I61CDHY12D6P0S0020000400"/>
      <w:bookmarkEnd w:id="3882"/>
      <w:r>
        <w:rPr>
          <w:rFonts w:ascii="Arial" w:eastAsia="Arial" w:hAnsi="Arial" w:cs="Arial"/>
          <w:i/>
          <w:color w:val="000000"/>
          <w:sz w:val="18"/>
        </w:rPr>
        <w:t>Harris</w:t>
      </w:r>
      <w:r>
        <w:rPr>
          <w:rFonts w:ascii="Arial" w:eastAsia="Arial" w:hAnsi="Arial" w:cs="Arial"/>
          <w:color w:val="000000"/>
          <w:sz w:val="18"/>
        </w:rPr>
        <w:t>, 442 F.3d at 461 (explaining that "by saying that '[a] State plan . . . must . . . provide'" something, a statute "uses the kind of 'rights-creating,' 'mandatory language' that the Supreme Court and our court have held establishes a private right of action" (alterations in original) (citations omitted)).</w:t>
      </w:r>
    </w:p>
  </w:footnote>
  <w:footnote w:id="161">
    <w:p w14:paraId="1EE51F06"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11 </w:t>
      </w:r>
      <w:bookmarkStart w:id="3924" w:name="Bookmark_fnpara_11_2"/>
      <w:bookmarkEnd w:id="3924"/>
      <w:r>
        <w:rPr>
          <w:rFonts w:ascii="Arial" w:eastAsia="Arial" w:hAnsi="Arial" w:cs="Arial"/>
          <w:color w:val="000000"/>
          <w:sz w:val="18"/>
        </w:rPr>
        <w:t xml:space="preserve">The dissent's citation to </w:t>
      </w:r>
      <w:bookmarkStart w:id="3925" w:name="Bookmark_I61CDHY12SF86M0050000400"/>
      <w:bookmarkEnd w:id="3925"/>
      <w:r>
        <w:rPr>
          <w:rFonts w:ascii="Arial" w:eastAsia="Arial" w:hAnsi="Arial" w:cs="Arial"/>
          <w:i/>
          <w:color w:val="000000"/>
          <w:sz w:val="18"/>
        </w:rPr>
        <w:t>Nasello v. Eagleson</w:t>
      </w:r>
      <w:r>
        <w:rPr>
          <w:rFonts w:ascii="Arial" w:eastAsia="Arial" w:hAnsi="Arial" w:cs="Arial"/>
          <w:color w:val="000000"/>
          <w:sz w:val="18"/>
        </w:rPr>
        <w:t xml:space="preserve">, 977 F.3d 599, 2020 U.S. App. LEXIS 31722, 2020 WL 5905070 (7th Cir. Oct. 6, 2020), is unconvincing, as that case addressed a different provision of the Medicaid Act. Further, its reasoning is inconsistent with our caselaw and that of our sister circuits' and appears to rule out a private right of action even in subsections of the Medicaid Act that the dissent agrees create a private right of action. </w:t>
      </w:r>
      <w:r>
        <w:rPr>
          <w:rFonts w:ascii="Arial" w:eastAsia="Arial" w:hAnsi="Arial" w:cs="Arial"/>
          <w:i/>
          <w:color w:val="000000"/>
          <w:sz w:val="18"/>
        </w:rPr>
        <w:t xml:space="preserve">See </w:t>
      </w:r>
      <w:bookmarkStart w:id="3926" w:name="Bookmark_I61CDHY12N1PSB0020000400"/>
      <w:bookmarkEnd w:id="3926"/>
      <w:r>
        <w:rPr>
          <w:rFonts w:ascii="Arial" w:eastAsia="Arial" w:hAnsi="Arial" w:cs="Arial"/>
          <w:color w:val="000000"/>
          <w:sz w:val="18"/>
        </w:rPr>
        <w:t>2020 U.S. App. LEXIS 31722, [WL] at *2 (suggesting that § 1396a(a)(8) does not imply a private right of action).</w:t>
      </w:r>
    </w:p>
  </w:footnote>
  <w:footnote w:id="162">
    <w:p w14:paraId="56E3E98B"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12 </w:t>
      </w:r>
      <w:bookmarkStart w:id="3966" w:name="Bookmark_fnpara_12_2"/>
      <w:bookmarkStart w:id="3967" w:name="Bookmark_I61CDHY22D6P0X0020000400"/>
      <w:bookmarkEnd w:id="3966"/>
      <w:bookmarkEnd w:id="3967"/>
      <w:r>
        <w:rPr>
          <w:rFonts w:ascii="Arial" w:eastAsia="Arial" w:hAnsi="Arial" w:cs="Arial"/>
          <w:color w:val="000000"/>
          <w:sz w:val="18"/>
        </w:rPr>
        <w:t xml:space="preserve">State Defendants also assert that they are entitled to immunity because Title II of the ADA only validly abrogates a state's Eleventh Amendment sovereign immunity insofar as the alleged ADA violation also violates the Fourteenth Amendment. They therefore focus the majority of their ADA analysis on applying the test articulated in </w:t>
      </w:r>
      <w:bookmarkStart w:id="3968" w:name="Bookmark_I61CDHY22D6P0X0010000400"/>
      <w:bookmarkEnd w:id="3968"/>
      <w:r>
        <w:rPr>
          <w:rFonts w:ascii="Arial" w:eastAsia="Arial" w:hAnsi="Arial" w:cs="Arial"/>
          <w:i/>
          <w:color w:val="000000"/>
          <w:sz w:val="18"/>
        </w:rPr>
        <w:t>United States v. Georgia</w:t>
      </w:r>
      <w:r>
        <w:rPr>
          <w:rFonts w:ascii="Arial" w:eastAsia="Arial" w:hAnsi="Arial" w:cs="Arial"/>
          <w:color w:val="000000"/>
          <w:sz w:val="18"/>
        </w:rPr>
        <w:t xml:space="preserve">, 546 U.S. 151, 126 S. Ct. 877, 163 L. Ed. 2d 650 (2006), to show that their conduct does not also violate the Fourteenth Amendment. This strategy is misguided. As addressed earlier, Plaintiffs do not state a claim against the Department under the ADA, and Plaintiffs' claim against Defendant Gordon is permitted under </w:t>
      </w:r>
      <w:r>
        <w:rPr>
          <w:rFonts w:ascii="Arial" w:eastAsia="Arial" w:hAnsi="Arial" w:cs="Arial"/>
          <w:i/>
          <w:color w:val="000000"/>
          <w:sz w:val="18"/>
        </w:rPr>
        <w:t>Ex parte Young</w:t>
      </w:r>
      <w:r>
        <w:rPr>
          <w:rFonts w:ascii="Arial" w:eastAsia="Arial" w:hAnsi="Arial" w:cs="Arial"/>
          <w:color w:val="000000"/>
          <w:sz w:val="18"/>
        </w:rPr>
        <w:t>.</w:t>
      </w:r>
    </w:p>
  </w:footnote>
  <w:footnote w:id="163">
    <w:p w14:paraId="00835477"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13 </w:t>
      </w:r>
      <w:bookmarkStart w:id="3979" w:name="Bookmark_fnpara_13_1"/>
      <w:bookmarkStart w:id="3980" w:name="Bookmark_I61CDHY32SF86T0040000400"/>
      <w:bookmarkEnd w:id="3979"/>
      <w:bookmarkEnd w:id="3980"/>
      <w:r>
        <w:rPr>
          <w:rFonts w:ascii="Arial" w:eastAsia="Arial" w:hAnsi="Arial" w:cs="Arial"/>
          <w:color w:val="000000"/>
          <w:sz w:val="18"/>
        </w:rPr>
        <w:t xml:space="preserve">State Defendants contend that their conduct did not violate § 504 because discrimination was not the sole motivation for their actions, because they had no discriminatory animus, and because Plaintiffs did not allege that they were denied services based on a distinction between them and other similarly situated individuals. But such showings are not required to state a claim for violation of the integration mandate, and so we are not persuaded by this argument. </w:t>
      </w:r>
      <w:r>
        <w:rPr>
          <w:rFonts w:ascii="Arial" w:eastAsia="Arial" w:hAnsi="Arial" w:cs="Arial"/>
          <w:i/>
          <w:color w:val="000000"/>
          <w:sz w:val="18"/>
        </w:rPr>
        <w:t xml:space="preserve">See </w:t>
      </w:r>
      <w:bookmarkStart w:id="3981" w:name="Bookmark_I61CDHY32SF86T0030000400"/>
      <w:bookmarkEnd w:id="3981"/>
      <w:r>
        <w:rPr>
          <w:rFonts w:ascii="Arial" w:eastAsia="Arial" w:hAnsi="Arial" w:cs="Arial"/>
          <w:i/>
          <w:color w:val="000000"/>
          <w:sz w:val="18"/>
        </w:rPr>
        <w:t>Ability Ctr. of Greater Toledo v. City of Sandusky</w:t>
      </w:r>
      <w:r>
        <w:rPr>
          <w:rFonts w:ascii="Arial" w:eastAsia="Arial" w:hAnsi="Arial" w:cs="Arial"/>
          <w:color w:val="000000"/>
          <w:sz w:val="18"/>
        </w:rPr>
        <w:t xml:space="preserve">, 385 F.3d 901, 908-09 (6th Cir. 2004) (noting that the Supreme Court "indicated that Title II targets more than intentional discrimination" in </w:t>
      </w:r>
      <w:r>
        <w:rPr>
          <w:rFonts w:ascii="Arial" w:eastAsia="Arial" w:hAnsi="Arial" w:cs="Arial"/>
          <w:i/>
          <w:color w:val="000000"/>
          <w:sz w:val="18"/>
        </w:rPr>
        <w:t>Olmstead</w:t>
      </w:r>
      <w:r>
        <w:rPr>
          <w:rFonts w:ascii="Arial" w:eastAsia="Arial" w:hAnsi="Arial" w:cs="Arial"/>
          <w:color w:val="000000"/>
          <w:sz w:val="18"/>
        </w:rPr>
        <w:t xml:space="preserve"> and that </w:t>
      </w:r>
      <w:bookmarkStart w:id="3982" w:name="Bookmark_I61CDHY32SF86T0050000400"/>
      <w:bookmarkEnd w:id="3982"/>
      <w:r>
        <w:rPr>
          <w:rFonts w:ascii="Arial" w:eastAsia="Arial" w:hAnsi="Arial" w:cs="Arial"/>
          <w:i/>
          <w:color w:val="000000"/>
          <w:sz w:val="18"/>
        </w:rPr>
        <w:t>Alexander v. Choate</w:t>
      </w:r>
      <w:r>
        <w:rPr>
          <w:rFonts w:ascii="Arial" w:eastAsia="Arial" w:hAnsi="Arial" w:cs="Arial"/>
          <w:color w:val="000000"/>
          <w:sz w:val="18"/>
        </w:rPr>
        <w:t>, 469 U.S. 287, 296-97, 105 S. Ct. 712, 83 L. Ed. 2d 661 (1985), suggested that the Rehabilitation Act should be construed to reach more than just conduct fueled by discriminatory intent).</w:t>
      </w:r>
    </w:p>
  </w:footnote>
  <w:footnote w:id="164">
    <w:p w14:paraId="494BF9F9" w14:textId="77777777" w:rsidR="002B10A6" w:rsidRDefault="00000000">
      <w:pPr>
        <w:pStyle w:val="Normal22"/>
        <w:widowControl w:val="0"/>
        <w:spacing w:before="200" w:line="240" w:lineRule="atLeast"/>
        <w:jc w:val="both"/>
      </w:pPr>
      <w:r>
        <w:rPr>
          <w:rFonts w:ascii="Arial" w:eastAsia="Arial" w:hAnsi="Arial" w:cs="Arial"/>
          <w:color w:val="000000"/>
          <w:sz w:val="18"/>
          <w:vertAlign w:val="superscript"/>
        </w:rPr>
        <w:t>14 </w:t>
      </w:r>
      <w:bookmarkStart w:id="3990" w:name="Bookmark_fnpara_14_1"/>
      <w:bookmarkStart w:id="3991" w:name="Bookmark_LNHNREFclscc35"/>
      <w:bookmarkEnd w:id="3990"/>
      <w:bookmarkEnd w:id="3991"/>
      <w:r>
        <w:rPr>
          <w:rFonts w:ascii="Arial" w:eastAsia="Arial" w:hAnsi="Arial" w:cs="Arial"/>
          <w:i/>
          <w:color w:val="000000"/>
          <w:sz w:val="18"/>
        </w:rPr>
        <w:t>Olmstead</w:t>
      </w:r>
      <w:r>
        <w:rPr>
          <w:rFonts w:ascii="Arial" w:eastAsia="Arial" w:hAnsi="Arial" w:cs="Arial"/>
          <w:color w:val="000000"/>
          <w:sz w:val="18"/>
        </w:rPr>
        <w:t xml:space="preserve"> clarified that states are only required to provide community-based treatment for individuals with disabilities when "the State's treatment professionals determine that such treatment is appropriate." </w:t>
      </w:r>
      <w:bookmarkStart w:id="3992" w:name="Bookmark_I61CDHY32HM6F10020000400"/>
      <w:bookmarkEnd w:id="3992"/>
      <w:r>
        <w:rPr>
          <w:rFonts w:ascii="Arial" w:eastAsia="Arial" w:hAnsi="Arial" w:cs="Arial"/>
          <w:color w:val="000000"/>
          <w:sz w:val="18"/>
        </w:rPr>
        <w:t>527 U.S. at 607. In this case, there is no dispute about whether such treatment is appropriate for the individual Plaintiffs.</w:t>
      </w:r>
    </w:p>
  </w:footnote>
  <w:footnote w:id="165">
    <w:p w14:paraId="02C1ADC3"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1 </w:t>
      </w:r>
      <w:bookmarkStart w:id="4309" w:name="Bookmark_fnpara_1_21"/>
      <w:bookmarkEnd w:id="4309"/>
      <w:r>
        <w:rPr>
          <w:rFonts w:ascii="Arial" w:eastAsia="Arial" w:hAnsi="Arial" w:cs="Arial"/>
          <w:color w:val="000000"/>
          <w:sz w:val="18"/>
        </w:rPr>
        <w:t xml:space="preserve">In this en banc appeal, with one notable exception—that is, the undue-hardship issue, which we resolve </w:t>
      </w:r>
      <w:r>
        <w:rPr>
          <w:rFonts w:ascii="Arial" w:eastAsia="Arial" w:hAnsi="Arial" w:cs="Arial"/>
          <w:i/>
          <w:color w:val="000000"/>
          <w:sz w:val="18"/>
        </w:rPr>
        <w:t>infra</w:t>
      </w:r>
      <w:r>
        <w:rPr>
          <w:rFonts w:ascii="Arial" w:eastAsia="Arial" w:hAnsi="Arial" w:cs="Arial"/>
          <w:color w:val="000000"/>
          <w:sz w:val="18"/>
        </w:rPr>
        <w:t xml:space="preserve"> in Part IV—we do not address the other matters that Ms. Exby-Stolley argued before the panel, specifically, whether the district court erred in refusing to either allow her to instruct the jury on a claim of constructive discharge or to argue constructive discharge in closing argument. The district court may address those matters on remand.</w:t>
      </w:r>
    </w:p>
  </w:footnote>
  <w:footnote w:id="166">
    <w:p w14:paraId="5B33CAC9" w14:textId="77777777" w:rsidR="002B10A6" w:rsidRDefault="00000000">
      <w:pPr>
        <w:pStyle w:val="Normal23"/>
        <w:widowControl w:val="0"/>
        <w:spacing w:before="120" w:line="240" w:lineRule="atLeast"/>
        <w:jc w:val="both"/>
      </w:pPr>
      <w:r>
        <w:rPr>
          <w:rFonts w:ascii="Arial" w:eastAsia="Arial" w:hAnsi="Arial" w:cs="Arial"/>
          <w:color w:val="000000"/>
          <w:sz w:val="18"/>
          <w:vertAlign w:val="superscript"/>
        </w:rPr>
        <w:t>2 </w:t>
      </w:r>
      <w:bookmarkStart w:id="4322" w:name="Bookmark_fnpara_2_17"/>
      <w:bookmarkStart w:id="4323" w:name="Bookmark_LNHNREFclscc5_19"/>
      <w:bookmarkEnd w:id="4322"/>
      <w:bookmarkEnd w:id="4323"/>
      <w:r>
        <w:rPr>
          <w:rFonts w:ascii="Arial" w:eastAsia="Arial" w:hAnsi="Arial" w:cs="Arial"/>
          <w:color w:val="000000"/>
          <w:sz w:val="18"/>
        </w:rPr>
        <w:t>A "qualified individual" is "an individual who, with or without reasonable accommodation, can perform the essential functions of the employment position that such individual holds or desires." 42 U.S.C. § 12111(8).</w:t>
      </w:r>
    </w:p>
  </w:footnote>
  <w:footnote w:id="167">
    <w:p w14:paraId="6CF75CA8"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3 </w:t>
      </w:r>
      <w:bookmarkStart w:id="4360" w:name="Bookmark_fnpara_3_15"/>
      <w:bookmarkStart w:id="4361" w:name="Bookmark_I61CDGH32HM6MR0020000400"/>
      <w:bookmarkStart w:id="4362" w:name="Bookmark_I61CDGH32N1R060010000400"/>
      <w:bookmarkEnd w:id="4360"/>
      <w:bookmarkEnd w:id="4361"/>
      <w:bookmarkEnd w:id="4362"/>
      <w:r>
        <w:rPr>
          <w:rFonts w:ascii="Arial" w:eastAsia="Arial" w:hAnsi="Arial" w:cs="Arial"/>
          <w:color w:val="000000"/>
          <w:sz w:val="18"/>
        </w:rPr>
        <w:t xml:space="preserve">The fact that we have required an adverse employment action to support </w:t>
      </w:r>
      <w:r>
        <w:rPr>
          <w:rFonts w:ascii="Arial" w:eastAsia="Arial" w:hAnsi="Arial" w:cs="Arial"/>
          <w:i/>
          <w:color w:val="000000"/>
          <w:sz w:val="18"/>
        </w:rPr>
        <w:t>Title VII</w:t>
      </w:r>
      <w:r>
        <w:rPr>
          <w:rFonts w:ascii="Arial" w:eastAsia="Arial" w:hAnsi="Arial" w:cs="Arial"/>
          <w:color w:val="000000"/>
          <w:sz w:val="18"/>
        </w:rPr>
        <w:t xml:space="preserve"> religious-accommodation claims, </w:t>
      </w:r>
      <w:r>
        <w:rPr>
          <w:rFonts w:ascii="Arial" w:eastAsia="Arial" w:hAnsi="Arial" w:cs="Arial"/>
          <w:i/>
          <w:color w:val="000000"/>
          <w:sz w:val="18"/>
        </w:rPr>
        <w:t xml:space="preserve">see </w:t>
      </w:r>
      <w:bookmarkStart w:id="4363" w:name="Bookmark_I61CDGH32HM6MR0010000400"/>
      <w:bookmarkEnd w:id="4363"/>
      <w:r>
        <w:rPr>
          <w:rFonts w:ascii="Arial" w:eastAsia="Arial" w:hAnsi="Arial" w:cs="Arial"/>
          <w:i/>
          <w:color w:val="000000"/>
          <w:sz w:val="18"/>
        </w:rPr>
        <w:t>Abercrombie &amp; Fitch Stores</w:t>
      </w:r>
      <w:r>
        <w:rPr>
          <w:rFonts w:ascii="Arial" w:eastAsia="Arial" w:hAnsi="Arial" w:cs="Arial"/>
          <w:color w:val="000000"/>
          <w:sz w:val="18"/>
        </w:rPr>
        <w:t xml:space="preserve">, 731 F.3d at 1122; </w:t>
      </w:r>
      <w:bookmarkStart w:id="4364" w:name="Bookmark_I61CDGH32HM6MR0030000400"/>
      <w:bookmarkEnd w:id="4364"/>
      <w:r>
        <w:rPr>
          <w:rFonts w:ascii="Arial" w:eastAsia="Arial" w:hAnsi="Arial" w:cs="Arial"/>
          <w:i/>
          <w:color w:val="000000"/>
          <w:sz w:val="18"/>
        </w:rPr>
        <w:t>Thomas</w:t>
      </w:r>
      <w:r>
        <w:rPr>
          <w:rFonts w:ascii="Arial" w:eastAsia="Arial" w:hAnsi="Arial" w:cs="Arial"/>
          <w:color w:val="000000"/>
          <w:sz w:val="18"/>
        </w:rPr>
        <w:t xml:space="preserve">, 225 F.3d at 1155, does not militate in favor of including such a requirement for </w:t>
      </w:r>
      <w:r>
        <w:rPr>
          <w:rFonts w:ascii="Arial" w:eastAsia="Arial" w:hAnsi="Arial" w:cs="Arial"/>
          <w:i/>
          <w:color w:val="000000"/>
          <w:sz w:val="18"/>
        </w:rPr>
        <w:t>ADA</w:t>
      </w:r>
      <w:r>
        <w:rPr>
          <w:rFonts w:ascii="Arial" w:eastAsia="Arial" w:hAnsi="Arial" w:cs="Arial"/>
          <w:color w:val="000000"/>
          <w:sz w:val="18"/>
        </w:rPr>
        <w:t xml:space="preserve"> failure-to-accommodate claims. </w:t>
      </w:r>
      <w:bookmarkStart w:id="4365" w:name="Bookmark_LNHNREFclscc9_15"/>
      <w:bookmarkEnd w:id="4365"/>
      <w:r>
        <w:rPr>
          <w:rFonts w:ascii="Arial" w:eastAsia="Arial" w:hAnsi="Arial" w:cs="Arial"/>
          <w:color w:val="000000"/>
          <w:sz w:val="18"/>
        </w:rPr>
        <w:t xml:space="preserve">Significantly, whereas under the ADA a failure-to-accommodate claim is a freestanding claim of discrimination based on a failure to meet an affirmative duty, </w:t>
      </w:r>
      <w:r>
        <w:rPr>
          <w:rFonts w:ascii="Arial" w:eastAsia="Arial" w:hAnsi="Arial" w:cs="Arial"/>
          <w:i/>
          <w:color w:val="000000"/>
          <w:sz w:val="18"/>
        </w:rPr>
        <w:t>see</w:t>
      </w:r>
      <w:r>
        <w:rPr>
          <w:rFonts w:ascii="Arial" w:eastAsia="Arial" w:hAnsi="Arial" w:cs="Arial"/>
          <w:color w:val="000000"/>
          <w:sz w:val="18"/>
        </w:rPr>
        <w:t xml:space="preserve"> 42 U.S.C. § 12112(a), (b)(5)(A), Title VII does not have such a freestanding claim; any claim under Title VII must necessarily be brought under the rubric of a disparate-treatment claim or disparate-impact claim, </w:t>
      </w:r>
      <w:r>
        <w:rPr>
          <w:rFonts w:ascii="Arial" w:eastAsia="Arial" w:hAnsi="Arial" w:cs="Arial"/>
          <w:i/>
          <w:color w:val="000000"/>
          <w:sz w:val="18"/>
        </w:rPr>
        <w:t xml:space="preserve">see </w:t>
      </w:r>
      <w:bookmarkStart w:id="4366" w:name="Bookmark_I61CDGH32HM6MR0050000400"/>
      <w:bookmarkEnd w:id="4366"/>
      <w:r>
        <w:rPr>
          <w:rFonts w:ascii="Arial" w:eastAsia="Arial" w:hAnsi="Arial" w:cs="Arial"/>
          <w:i/>
          <w:color w:val="000000"/>
          <w:sz w:val="18"/>
        </w:rPr>
        <w:t>EEOC v. Abercrombie &amp; Fitch Stores, Inc.</w:t>
      </w:r>
      <w:r>
        <w:rPr>
          <w:rFonts w:ascii="Arial" w:eastAsia="Arial" w:hAnsi="Arial" w:cs="Arial"/>
          <w:color w:val="000000"/>
          <w:sz w:val="18"/>
        </w:rPr>
        <w:t>, 575 U.S. 768, 135 S. Ct. 2028, 2032, 192 L. Ed. 2d 35 (2015) ("[T]he 'disparate treatment' . . . provision and the 'disparate impact' provision[] are the only causes of action under Title VII.").</w:t>
      </w:r>
    </w:p>
    <w:p w14:paraId="68AA8F7E" w14:textId="77777777" w:rsidR="002B10A6" w:rsidRDefault="00000000">
      <w:pPr>
        <w:pStyle w:val="Normal23"/>
        <w:widowControl w:val="0"/>
        <w:spacing w:before="200" w:line="240" w:lineRule="atLeast"/>
        <w:jc w:val="both"/>
      </w:pPr>
      <w:bookmarkStart w:id="4367" w:name="Bookmark_fnpara_4_15"/>
      <w:bookmarkStart w:id="4368" w:name="Bookmark_I61CDGH32N1R060030000400"/>
      <w:bookmarkEnd w:id="4367"/>
      <w:bookmarkEnd w:id="4368"/>
      <w:r>
        <w:rPr>
          <w:rFonts w:ascii="Arial" w:eastAsia="Arial" w:hAnsi="Arial" w:cs="Arial"/>
          <w:color w:val="000000"/>
          <w:sz w:val="18"/>
        </w:rPr>
        <w:t xml:space="preserve">And the Tenth Circuit and Supreme Court Title VII cases concerning the failure to accommodate an employee's religion that mention an adverse-employment-action requirement are specifically addressing disparate-treatment claims. </w:t>
      </w:r>
      <w:bookmarkStart w:id="4369" w:name="Bookmark_I61CDGH428T4SY0010000400"/>
      <w:bookmarkEnd w:id="4369"/>
      <w:r>
        <w:rPr>
          <w:rFonts w:ascii="Arial" w:eastAsia="Arial" w:hAnsi="Arial" w:cs="Arial"/>
          <w:i/>
          <w:color w:val="000000"/>
          <w:sz w:val="18"/>
        </w:rPr>
        <w:t xml:space="preserve">See, e.g., </w:t>
      </w:r>
      <w:bookmarkStart w:id="4370" w:name="Bookmark_I61CDGH32N1R060020000400"/>
      <w:bookmarkEnd w:id="4370"/>
      <w:r>
        <w:rPr>
          <w:rFonts w:ascii="Arial" w:eastAsia="Arial" w:hAnsi="Arial" w:cs="Arial"/>
          <w:i/>
          <w:color w:val="000000"/>
          <w:sz w:val="18"/>
        </w:rPr>
        <w:t>Abercrombie &amp; Fitch Stores</w:t>
      </w:r>
      <w:r>
        <w:rPr>
          <w:rFonts w:ascii="Arial" w:eastAsia="Arial" w:hAnsi="Arial" w:cs="Arial"/>
          <w:color w:val="000000"/>
          <w:sz w:val="18"/>
        </w:rPr>
        <w:t xml:space="preserve">, 135 S. Ct. at 2033 (referring to the claim at issue as a "disparate-treatment claim[] </w:t>
      </w:r>
      <w:r>
        <w:rPr>
          <w:rFonts w:ascii="Arial" w:eastAsia="Arial" w:hAnsi="Arial" w:cs="Arial"/>
          <w:i/>
          <w:color w:val="000000"/>
          <w:sz w:val="18"/>
        </w:rPr>
        <w:t>based on a failure to accommodate a religious practice</w:t>
      </w:r>
      <w:r>
        <w:rPr>
          <w:rFonts w:ascii="Arial" w:eastAsia="Arial" w:hAnsi="Arial" w:cs="Arial"/>
          <w:color w:val="000000"/>
          <w:sz w:val="18"/>
        </w:rPr>
        <w:t xml:space="preserve">" (emphasis added)); </w:t>
      </w:r>
      <w:bookmarkStart w:id="4371" w:name="Bookmark_I61CDGH32N1R060040000400"/>
      <w:bookmarkEnd w:id="4371"/>
      <w:r>
        <w:rPr>
          <w:rFonts w:ascii="Arial" w:eastAsia="Arial" w:hAnsi="Arial" w:cs="Arial"/>
          <w:i/>
          <w:color w:val="000000"/>
          <w:sz w:val="18"/>
        </w:rPr>
        <w:t>Trans World Airlines, Inc. v. Hardison</w:t>
      </w:r>
      <w:r>
        <w:rPr>
          <w:rFonts w:ascii="Arial" w:eastAsia="Arial" w:hAnsi="Arial" w:cs="Arial"/>
          <w:color w:val="000000"/>
          <w:sz w:val="18"/>
        </w:rPr>
        <w:t xml:space="preserve">, 432 U.S. 63, 66, 71, 97 S. Ct. 2264, 53 L. Ed. 2d 113 (1977) (citing 42 U.S.C. § 2000e-2(a)(1), Title VII's disparate-treatment provision, in discussing the claim at issue); </w:t>
      </w:r>
      <w:bookmarkStart w:id="4372" w:name="Bookmark_I61CDGH42HM6MT0010000400"/>
      <w:bookmarkEnd w:id="4372"/>
      <w:r>
        <w:rPr>
          <w:rFonts w:ascii="Arial" w:eastAsia="Arial" w:hAnsi="Arial" w:cs="Arial"/>
          <w:i/>
          <w:color w:val="000000"/>
          <w:sz w:val="18"/>
        </w:rPr>
        <w:t>Abercrombie &amp; Fitch Stores</w:t>
      </w:r>
      <w:r>
        <w:rPr>
          <w:rFonts w:ascii="Arial" w:eastAsia="Arial" w:hAnsi="Arial" w:cs="Arial"/>
          <w:color w:val="000000"/>
          <w:sz w:val="18"/>
        </w:rPr>
        <w:t xml:space="preserve">, 731 F.3d at 1116 (same); </w:t>
      </w:r>
      <w:bookmarkStart w:id="4373" w:name="Bookmark_I61CDGH42HM6MT0030000400"/>
      <w:bookmarkEnd w:id="4373"/>
      <w:r>
        <w:rPr>
          <w:rFonts w:ascii="Arial" w:eastAsia="Arial" w:hAnsi="Arial" w:cs="Arial"/>
          <w:i/>
          <w:color w:val="000000"/>
          <w:sz w:val="18"/>
        </w:rPr>
        <w:t>Thomas</w:t>
      </w:r>
      <w:r>
        <w:rPr>
          <w:rFonts w:ascii="Arial" w:eastAsia="Arial" w:hAnsi="Arial" w:cs="Arial"/>
          <w:color w:val="000000"/>
          <w:sz w:val="18"/>
        </w:rPr>
        <w:t xml:space="preserve">, 225 F.3d at 1154 (same); </w:t>
      </w:r>
      <w:r>
        <w:rPr>
          <w:rFonts w:ascii="Arial" w:eastAsia="Arial" w:hAnsi="Arial" w:cs="Arial"/>
          <w:i/>
          <w:color w:val="000000"/>
          <w:sz w:val="18"/>
        </w:rPr>
        <w:t>see also</w:t>
      </w:r>
      <w:r>
        <w:rPr>
          <w:rFonts w:ascii="Arial" w:eastAsia="Arial" w:hAnsi="Arial" w:cs="Arial"/>
          <w:color w:val="000000"/>
          <w:sz w:val="18"/>
        </w:rPr>
        <w:t xml:space="preserve"> Amina Musa, </w:t>
      </w:r>
      <w:r>
        <w:rPr>
          <w:rFonts w:ascii="Arial" w:eastAsia="Arial" w:hAnsi="Arial" w:cs="Arial"/>
          <w:i/>
          <w:color w:val="000000"/>
          <w:sz w:val="18"/>
        </w:rPr>
        <w:t>'A Motivating Factor' — The Impact of</w:t>
      </w:r>
      <w:r>
        <w:rPr>
          <w:rFonts w:ascii="Arial" w:eastAsia="Arial" w:hAnsi="Arial" w:cs="Arial"/>
          <w:color w:val="000000"/>
          <w:sz w:val="18"/>
        </w:rPr>
        <w:t xml:space="preserve"> EEOC v. Abercrombie &amp; Fitch Stores, Inc. </w:t>
      </w:r>
      <w:r>
        <w:rPr>
          <w:rFonts w:ascii="Arial" w:eastAsia="Arial" w:hAnsi="Arial" w:cs="Arial"/>
          <w:i/>
          <w:color w:val="000000"/>
          <w:sz w:val="18"/>
        </w:rPr>
        <w:t>on Title VII Religious Discrimination Claims</w:t>
      </w:r>
      <w:r>
        <w:rPr>
          <w:rFonts w:ascii="Arial" w:eastAsia="Arial" w:hAnsi="Arial" w:cs="Arial"/>
          <w:color w:val="000000"/>
          <w:sz w:val="18"/>
        </w:rPr>
        <w:t>, 61 ST. LOUIS U. L.J. 143, 155 n.87 (2016) (noting that "the [</w:t>
      </w:r>
      <w:r>
        <w:rPr>
          <w:rFonts w:ascii="Arial" w:eastAsia="Arial" w:hAnsi="Arial" w:cs="Arial"/>
          <w:i/>
          <w:color w:val="000000"/>
          <w:sz w:val="18"/>
        </w:rPr>
        <w:t>Abercrombie</w:t>
      </w:r>
      <w:r>
        <w:rPr>
          <w:rFonts w:ascii="Arial" w:eastAsia="Arial" w:hAnsi="Arial" w:cs="Arial"/>
          <w:color w:val="000000"/>
          <w:sz w:val="18"/>
        </w:rPr>
        <w:t xml:space="preserve">] majority . . . stated that Title VII creates just two causes of action," and observing that religious-accommodation claims are "merged in with the definition of 'religion' under Title VII's 'disparate treatment' provision"). </w:t>
      </w:r>
      <w:bookmarkStart w:id="4374" w:name="Bookmark_I61CDGH428T4SY0010000400_2"/>
      <w:bookmarkEnd w:id="4374"/>
      <w:r>
        <w:rPr>
          <w:rFonts w:ascii="Arial" w:eastAsia="Arial" w:hAnsi="Arial" w:cs="Arial"/>
          <w:color w:val="000000"/>
          <w:sz w:val="18"/>
        </w:rPr>
        <w:t xml:space="preserve">That a disparate-treatment claim—under Title VII </w:t>
      </w:r>
      <w:r>
        <w:rPr>
          <w:rFonts w:ascii="Arial" w:eastAsia="Arial" w:hAnsi="Arial" w:cs="Arial"/>
          <w:i/>
          <w:color w:val="000000"/>
          <w:sz w:val="18"/>
        </w:rPr>
        <w:t>or</w:t>
      </w:r>
      <w:r>
        <w:rPr>
          <w:rFonts w:ascii="Arial" w:eastAsia="Arial" w:hAnsi="Arial" w:cs="Arial"/>
          <w:color w:val="000000"/>
          <w:sz w:val="18"/>
        </w:rPr>
        <w:t xml:space="preserve"> the ADA—would require an adverse employment action is wholly unremarkable, as we examine in Part II.B.2 </w:t>
      </w:r>
      <w:r>
        <w:rPr>
          <w:rFonts w:ascii="Arial" w:eastAsia="Arial" w:hAnsi="Arial" w:cs="Arial"/>
          <w:i/>
          <w:color w:val="000000"/>
          <w:sz w:val="18"/>
        </w:rPr>
        <w:t xml:space="preserve">infra. See, e.g., </w:t>
      </w:r>
      <w:bookmarkStart w:id="4375" w:name="Bookmark_I61CDGH42HM6MT0050000400"/>
      <w:bookmarkEnd w:id="4375"/>
      <w:r>
        <w:rPr>
          <w:rFonts w:ascii="Arial" w:eastAsia="Arial" w:hAnsi="Arial" w:cs="Arial"/>
          <w:i/>
          <w:color w:val="000000"/>
          <w:sz w:val="18"/>
        </w:rPr>
        <w:t>Lincoln</w:t>
      </w:r>
      <w:r>
        <w:rPr>
          <w:rFonts w:ascii="Arial" w:eastAsia="Arial" w:hAnsi="Arial" w:cs="Arial"/>
          <w:color w:val="000000"/>
          <w:sz w:val="18"/>
        </w:rPr>
        <w:t xml:space="preserve">, 900 F.3d at 1191-93; </w:t>
      </w:r>
      <w:bookmarkStart w:id="4376" w:name="Bookmark_I61CDGH428T4SY0020000400"/>
      <w:bookmarkEnd w:id="4376"/>
      <w:r>
        <w:rPr>
          <w:rFonts w:ascii="Arial" w:eastAsia="Arial" w:hAnsi="Arial" w:cs="Arial"/>
          <w:i/>
          <w:color w:val="000000"/>
          <w:sz w:val="18"/>
        </w:rPr>
        <w:t>Luster v. Vilsack</w:t>
      </w:r>
      <w:r>
        <w:rPr>
          <w:rFonts w:ascii="Arial" w:eastAsia="Arial" w:hAnsi="Arial" w:cs="Arial"/>
          <w:color w:val="000000"/>
          <w:sz w:val="18"/>
        </w:rPr>
        <w:t>, 667 F.3d 1089, 1095 (10th Cir. 2011). However, this fact sheds no light on the entirely separate question of whether such a requirement exists for failure-to-accommodate claims under the ADA, where a freestanding claim exists for such unlawful conduct.</w:t>
      </w:r>
    </w:p>
  </w:footnote>
  <w:footnote w:id="168">
    <w:p w14:paraId="724FB55A"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4 </w:t>
      </w:r>
      <w:bookmarkStart w:id="4397" w:name="Bookmark_fnpara_5_12"/>
      <w:bookmarkStart w:id="4398" w:name="Bookmark_I61CDGH42N1R0C0050000400"/>
      <w:bookmarkStart w:id="4399" w:name="Bookmark_I61CDGH428T4T20040000400"/>
      <w:bookmarkEnd w:id="4397"/>
      <w:bookmarkEnd w:id="4398"/>
      <w:bookmarkEnd w:id="4399"/>
      <w:r>
        <w:rPr>
          <w:rFonts w:ascii="Arial" w:eastAsia="Arial" w:hAnsi="Arial" w:cs="Arial"/>
          <w:color w:val="000000"/>
          <w:sz w:val="18"/>
        </w:rPr>
        <w:t xml:space="preserve">We observed in </w:t>
      </w:r>
      <w:r>
        <w:rPr>
          <w:rFonts w:ascii="Arial" w:eastAsia="Arial" w:hAnsi="Arial" w:cs="Arial"/>
          <w:i/>
          <w:color w:val="000000"/>
          <w:sz w:val="18"/>
        </w:rPr>
        <w:t>C.R. England</w:t>
      </w:r>
      <w:r>
        <w:rPr>
          <w:rFonts w:ascii="Arial" w:eastAsia="Arial" w:hAnsi="Arial" w:cs="Arial"/>
          <w:color w:val="000000"/>
          <w:sz w:val="18"/>
        </w:rPr>
        <w:t xml:space="preserve"> that "[i]n order to demonstrate 'discrimination,' a plaintiff </w:t>
      </w:r>
      <w:r>
        <w:rPr>
          <w:rFonts w:ascii="Arial" w:eastAsia="Arial" w:hAnsi="Arial" w:cs="Arial"/>
          <w:i/>
          <w:color w:val="000000"/>
          <w:sz w:val="18"/>
        </w:rPr>
        <w:t>generally</w:t>
      </w:r>
      <w:r>
        <w:rPr>
          <w:rFonts w:ascii="Arial" w:eastAsia="Arial" w:hAnsi="Arial" w:cs="Arial"/>
          <w:color w:val="000000"/>
          <w:sz w:val="18"/>
        </w:rPr>
        <w:t xml:space="preserve"> must show that he has suffered an 'adverse employment action because of the disability.'" </w:t>
      </w:r>
      <w:bookmarkStart w:id="4400" w:name="Bookmark_I61CDGH42N1R0C0040000400"/>
      <w:bookmarkEnd w:id="4400"/>
      <w:r>
        <w:rPr>
          <w:rFonts w:ascii="Arial" w:eastAsia="Arial" w:hAnsi="Arial" w:cs="Arial"/>
          <w:color w:val="000000"/>
          <w:sz w:val="18"/>
        </w:rPr>
        <w:t xml:space="preserve">644 F.3d at 1038 (emphasis added) (footnote omitted) (quoting </w:t>
      </w:r>
      <w:bookmarkStart w:id="4401" w:name="Bookmark_I61CDGH428T4T20010000400"/>
      <w:bookmarkEnd w:id="4401"/>
      <w:r>
        <w:rPr>
          <w:rFonts w:ascii="Arial" w:eastAsia="Arial" w:hAnsi="Arial" w:cs="Arial"/>
          <w:i/>
          <w:color w:val="000000"/>
          <w:sz w:val="18"/>
        </w:rPr>
        <w:t>Mathews</w:t>
      </w:r>
      <w:r>
        <w:rPr>
          <w:rFonts w:ascii="Arial" w:eastAsia="Arial" w:hAnsi="Arial" w:cs="Arial"/>
          <w:color w:val="000000"/>
          <w:sz w:val="18"/>
        </w:rPr>
        <w:t xml:space="preserve">, 263 F.3d at 1167). But we noted that we were making this statement specifically and exclusively in connection with a </w:t>
      </w:r>
      <w:r>
        <w:rPr>
          <w:rFonts w:ascii="Arial" w:eastAsia="Arial" w:hAnsi="Arial" w:cs="Arial"/>
          <w:i/>
          <w:color w:val="000000"/>
          <w:sz w:val="18"/>
        </w:rPr>
        <w:t>disparate-treatment</w:t>
      </w:r>
      <w:r>
        <w:rPr>
          <w:rFonts w:ascii="Arial" w:eastAsia="Arial" w:hAnsi="Arial" w:cs="Arial"/>
          <w:color w:val="000000"/>
          <w:sz w:val="18"/>
        </w:rPr>
        <w:t xml:space="preserve"> claim brought under § 12112(b)(1). </w:t>
      </w:r>
      <w:r>
        <w:rPr>
          <w:rFonts w:ascii="Arial" w:eastAsia="Arial" w:hAnsi="Arial" w:cs="Arial"/>
          <w:i/>
          <w:color w:val="000000"/>
          <w:sz w:val="18"/>
        </w:rPr>
        <w:t xml:space="preserve">See </w:t>
      </w:r>
      <w:bookmarkStart w:id="4402" w:name="Bookmark_I61CDGH428T4T20030000400"/>
      <w:bookmarkEnd w:id="4402"/>
      <w:r>
        <w:rPr>
          <w:rFonts w:ascii="Arial" w:eastAsia="Arial" w:hAnsi="Arial" w:cs="Arial"/>
          <w:i/>
          <w:color w:val="000000"/>
          <w:sz w:val="18"/>
        </w:rPr>
        <w:t>id.</w:t>
      </w:r>
      <w:r>
        <w:rPr>
          <w:rFonts w:ascii="Arial" w:eastAsia="Arial" w:hAnsi="Arial" w:cs="Arial"/>
          <w:color w:val="000000"/>
          <w:sz w:val="18"/>
        </w:rPr>
        <w:t xml:space="preserve"> at 1038 n.10 ("The parties acknowledge that in order to prevail on his ADA discrimination claim, [the employee] must demonstrate some sort of 'adverse' action or 'adverse' effect on his employment. . . . </w:t>
      </w:r>
      <w:bookmarkStart w:id="4403" w:name="Bookmark_LNHNREFclscc11_14"/>
      <w:bookmarkEnd w:id="4403"/>
      <w:r>
        <w:rPr>
          <w:rFonts w:ascii="Arial" w:eastAsia="Arial" w:hAnsi="Arial" w:cs="Arial"/>
          <w:color w:val="000000"/>
          <w:sz w:val="18"/>
        </w:rPr>
        <w:t xml:space="preserve">Indeed, ADA § [12112(b)(1)]—upon which the EEOC's discrimination claim is based—only prohibits 'limiting, segregating, or classifying a[n] . . . employee </w:t>
      </w:r>
      <w:r>
        <w:rPr>
          <w:rFonts w:ascii="Arial" w:eastAsia="Arial" w:hAnsi="Arial" w:cs="Arial"/>
          <w:i/>
          <w:color w:val="000000"/>
          <w:sz w:val="18"/>
        </w:rPr>
        <w:t>in a way that adversely [**17]  affects the opportunities or status</w:t>
      </w:r>
      <w:r>
        <w:rPr>
          <w:rFonts w:ascii="Arial" w:eastAsia="Arial" w:hAnsi="Arial" w:cs="Arial"/>
          <w:color w:val="000000"/>
          <w:sz w:val="18"/>
        </w:rPr>
        <w:t xml:space="preserve"> of such . . . employee because of the disability of such . . . employee.'" (third alteration in original) (second, third, and fourth omissions in original) (quoting 42 U.S.C. § 12112(b)(1))).</w:t>
      </w:r>
    </w:p>
  </w:footnote>
  <w:footnote w:id="169">
    <w:p w14:paraId="76ED4311"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5 </w:t>
      </w:r>
      <w:bookmarkStart w:id="4461" w:name="Bookmark_fnpara_6_10"/>
      <w:bookmarkEnd w:id="4461"/>
      <w:r>
        <w:rPr>
          <w:rFonts w:ascii="Arial" w:eastAsia="Arial" w:hAnsi="Arial" w:cs="Arial"/>
          <w:color w:val="000000"/>
          <w:sz w:val="18"/>
        </w:rPr>
        <w:t xml:space="preserve">A further clue that the district court was likely mistaken or confused in this manner is found in the fourth element of the court's ADA failure-to-accommodate jury instruction, where the court appears to have required the jury to determine whether the County acted with invidious intent. </w:t>
      </w:r>
      <w:bookmarkStart w:id="4462" w:name="Bookmark_I61CDGH72D6MYJ0010000400"/>
      <w:bookmarkEnd w:id="4462"/>
      <w:r>
        <w:rPr>
          <w:rFonts w:ascii="Arial" w:eastAsia="Arial" w:hAnsi="Arial" w:cs="Arial"/>
          <w:i/>
          <w:color w:val="000000"/>
          <w:sz w:val="18"/>
        </w:rPr>
        <w:t>See</w:t>
      </w:r>
      <w:r>
        <w:rPr>
          <w:rFonts w:ascii="Arial" w:eastAsia="Arial" w:hAnsi="Arial" w:cs="Arial"/>
          <w:color w:val="000000"/>
          <w:sz w:val="18"/>
        </w:rPr>
        <w:t xml:space="preserve"> Aplt.'s App., Vol. II, at 440 (requiring Ms. Exby-Stolley to establish that her "disability was a substantial or motivating factor that prompted Defendant to take that action"). As noted, such invidious intent is irrelevant in an ADA failure-to-accommodate claim. </w:t>
      </w:r>
      <w:r>
        <w:rPr>
          <w:rFonts w:ascii="Arial" w:eastAsia="Arial" w:hAnsi="Arial" w:cs="Arial"/>
          <w:i/>
          <w:color w:val="000000"/>
          <w:sz w:val="18"/>
        </w:rPr>
        <w:t xml:space="preserve">See, e.g., </w:t>
      </w:r>
      <w:bookmarkStart w:id="4463" w:name="Bookmark_I61CDGH72SF8F30050000400"/>
      <w:bookmarkEnd w:id="4463"/>
      <w:r>
        <w:rPr>
          <w:rFonts w:ascii="Arial" w:eastAsia="Arial" w:hAnsi="Arial" w:cs="Arial"/>
          <w:i/>
          <w:color w:val="000000"/>
          <w:sz w:val="18"/>
        </w:rPr>
        <w:t>Punt</w:t>
      </w:r>
      <w:r>
        <w:rPr>
          <w:rFonts w:ascii="Arial" w:eastAsia="Arial" w:hAnsi="Arial" w:cs="Arial"/>
          <w:color w:val="000000"/>
          <w:sz w:val="18"/>
        </w:rPr>
        <w:t xml:space="preserve">, 862 F.3d at 1048; Williams, </w:t>
      </w:r>
      <w:r>
        <w:rPr>
          <w:rFonts w:ascii="Arial" w:eastAsia="Arial" w:hAnsi="Arial" w:cs="Arial"/>
          <w:i/>
          <w:color w:val="000000"/>
          <w:sz w:val="18"/>
        </w:rPr>
        <w:t>supra</w:t>
      </w:r>
      <w:r>
        <w:rPr>
          <w:rFonts w:ascii="Arial" w:eastAsia="Arial" w:hAnsi="Arial" w:cs="Arial"/>
          <w:color w:val="000000"/>
          <w:sz w:val="18"/>
        </w:rPr>
        <w:t>, at 152.</w:t>
      </w:r>
    </w:p>
  </w:footnote>
  <w:footnote w:id="170">
    <w:p w14:paraId="0732C94F"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6 </w:t>
      </w:r>
      <w:bookmarkStart w:id="4496" w:name="Bookmark_fnpara_7_7"/>
      <w:bookmarkEnd w:id="4496"/>
      <w:r>
        <w:rPr>
          <w:rFonts w:ascii="Arial" w:eastAsia="Arial" w:hAnsi="Arial" w:cs="Arial"/>
          <w:color w:val="000000"/>
          <w:sz w:val="18"/>
        </w:rPr>
        <w:t xml:space="preserve">During the en banc oral argument, we posed a hypothetical to the County that resembled this one in all material respects, and the County affirmatively agreed that the blind law clerk would have been denied an opportunity to fulfill her potential as a law clerk and that the ADA protects against exactly that outcome. </w:t>
      </w:r>
      <w:r>
        <w:rPr>
          <w:rFonts w:ascii="Arial" w:eastAsia="Arial" w:hAnsi="Arial" w:cs="Arial"/>
          <w:i/>
          <w:color w:val="000000"/>
          <w:sz w:val="18"/>
        </w:rPr>
        <w:t>See</w:t>
      </w:r>
      <w:r>
        <w:rPr>
          <w:rFonts w:ascii="Arial" w:eastAsia="Arial" w:hAnsi="Arial" w:cs="Arial"/>
          <w:color w:val="000000"/>
          <w:sz w:val="18"/>
        </w:rPr>
        <w:t xml:space="preserve"> Oral Arg. at 55:01-56:32.</w:t>
      </w:r>
    </w:p>
  </w:footnote>
  <w:footnote w:id="171">
    <w:p w14:paraId="42617EFE"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7 </w:t>
      </w:r>
      <w:bookmarkStart w:id="4497" w:name="Bookmark_fnpara_8_5"/>
      <w:bookmarkEnd w:id="4497"/>
      <w:r>
        <w:rPr>
          <w:rFonts w:ascii="Arial" w:eastAsia="Arial" w:hAnsi="Arial" w:cs="Arial"/>
          <w:color w:val="000000"/>
          <w:sz w:val="18"/>
        </w:rPr>
        <w:t xml:space="preserve">Without much difficulty, we could envision a similar private-sector scenario—say, a salesperson who suffers from a hearing disability who works at a telephone call center selling satellite-television services. The employee is meeting the employer's required sales targets but aspires to be the top salesperson in the company—for the prestige that comes with such an achievement and to enhance her resume for future career opportunities—and believes that this can be accomplished if she receives a reasonable accommodation. And assume, for purposes of this hypothetical only, the following: (1) that certain modifications to her company phone allowing her to more easily hear and converse with customers would constitute such a reasonable accommodation under the ADA, </w:t>
      </w:r>
      <w:r>
        <w:rPr>
          <w:rFonts w:ascii="Arial" w:eastAsia="Arial" w:hAnsi="Arial" w:cs="Arial"/>
          <w:i/>
          <w:color w:val="000000"/>
          <w:sz w:val="18"/>
        </w:rPr>
        <w:t>see</w:t>
      </w:r>
      <w:r>
        <w:rPr>
          <w:rFonts w:ascii="Arial" w:eastAsia="Arial" w:hAnsi="Arial" w:cs="Arial"/>
          <w:color w:val="000000"/>
          <w:sz w:val="18"/>
        </w:rPr>
        <w:t xml:space="preserve"> 42 U.S.C. § 12111(9)(B) (defining "reasonable accommodation" to potentially include "acquisition or modification of equipment or devices"), and (2) that such a reasonable accommodation unquestionably would not impose an undue hardship on the employer's business operations. However, the employer denies the employee's request for this assumed reasonable accommodation—without even exploring with her other possible reasonable accommodations—saying simply that the employee's performance is good enough. </w:t>
      </w:r>
      <w:bookmarkStart w:id="4498" w:name="Bookmark_I61CDGH92N1R140020000400"/>
      <w:bookmarkEnd w:id="4498"/>
      <w:r>
        <w:rPr>
          <w:rFonts w:ascii="Arial" w:eastAsia="Arial" w:hAnsi="Arial" w:cs="Arial"/>
          <w:color w:val="000000"/>
          <w:sz w:val="18"/>
        </w:rPr>
        <w:t xml:space="preserve">Though this employee has not been fired, demoted, or otherwise suffered "a </w:t>
      </w:r>
      <w:r>
        <w:rPr>
          <w:rFonts w:ascii="Arial" w:eastAsia="Arial" w:hAnsi="Arial" w:cs="Arial"/>
          <w:i/>
          <w:color w:val="000000"/>
          <w:sz w:val="18"/>
        </w:rPr>
        <w:t>significant change in employment status</w:t>
      </w:r>
      <w:r>
        <w:rPr>
          <w:rFonts w:ascii="Arial" w:eastAsia="Arial" w:hAnsi="Arial" w:cs="Arial"/>
          <w:color w:val="000000"/>
          <w:sz w:val="18"/>
        </w:rPr>
        <w:t xml:space="preserve">," Aplt.'s App., Vol. II, at 449 (emphasis added), it is beyond peradventure that the employee has been denied an opportunity "to compete on an equal basis" with her fellow salespersons and the chance "to pursue those opportunities for which our free society is justifiably famous," 42 U.S.C. § 12101(a)(8). An interpretation of the ADA's failure-to-accommodate claim that would permit such a result is one to be avoided. </w:t>
      </w:r>
      <w:r>
        <w:rPr>
          <w:rFonts w:ascii="Arial" w:eastAsia="Arial" w:hAnsi="Arial" w:cs="Arial"/>
          <w:i/>
          <w:color w:val="000000"/>
          <w:sz w:val="18"/>
        </w:rPr>
        <w:t xml:space="preserve">See </w:t>
      </w:r>
      <w:bookmarkStart w:id="4499" w:name="Bookmark_I61CDGH92N1R140010000400"/>
      <w:bookmarkEnd w:id="4499"/>
      <w:r>
        <w:rPr>
          <w:rFonts w:ascii="Arial" w:eastAsia="Arial" w:hAnsi="Arial" w:cs="Arial"/>
          <w:i/>
          <w:color w:val="000000"/>
          <w:sz w:val="18"/>
        </w:rPr>
        <w:t>Hill v. Assocs. for Renewal in Educ., Inc.</w:t>
      </w:r>
      <w:r>
        <w:rPr>
          <w:rFonts w:ascii="Arial" w:eastAsia="Arial" w:hAnsi="Arial" w:cs="Arial"/>
          <w:color w:val="000000"/>
          <w:sz w:val="18"/>
        </w:rPr>
        <w:t xml:space="preserve">, 897 F.3d 232, 239, 437 U.S. App. D.C. 379 (D.C. Cir. 2018) (holding that a reasonable jury could find that plaintiff, a disabled amputee, satisfied the requirements of an ADA failure-to-accommodate claim against his private nonprofit employer and, more specifically, that "[a] reasonable jury could conclude that forcing [the plaintiff] to work with pain when that pain could be alleviated by his requested accommodation violates the ADA"), </w:t>
      </w:r>
      <w:r>
        <w:rPr>
          <w:rFonts w:ascii="Arial" w:eastAsia="Arial" w:hAnsi="Arial" w:cs="Arial"/>
          <w:i/>
          <w:color w:val="000000"/>
          <w:sz w:val="18"/>
        </w:rPr>
        <w:t>cert. denied</w:t>
      </w:r>
      <w:r>
        <w:rPr>
          <w:rFonts w:ascii="Arial" w:eastAsia="Arial" w:hAnsi="Arial" w:cs="Arial"/>
          <w:color w:val="000000"/>
          <w:sz w:val="18"/>
        </w:rPr>
        <w:t xml:space="preserve">, </w:t>
      </w:r>
      <w:bookmarkStart w:id="4500" w:name="Bookmark_I61CDGH92N1R140030000400"/>
      <w:bookmarkEnd w:id="4500"/>
      <w:r>
        <w:rPr>
          <w:rFonts w:ascii="Arial" w:eastAsia="Arial" w:hAnsi="Arial" w:cs="Arial"/>
          <w:color w:val="000000"/>
          <w:sz w:val="18"/>
        </w:rPr>
        <w:t>139 S. Ct. 1201, 203 L. Ed. 2d 257 (2019).</w:t>
      </w:r>
    </w:p>
  </w:footnote>
  <w:footnote w:id="172">
    <w:p w14:paraId="31519EF5"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8 </w:t>
      </w:r>
      <w:bookmarkStart w:id="4504" w:name="Bookmark_fnpara_9_3"/>
      <w:bookmarkStart w:id="4505" w:name="Bookmark_I61CDGH92SF8FJ0030000400"/>
      <w:bookmarkEnd w:id="4504"/>
      <w:bookmarkEnd w:id="4505"/>
      <w:r>
        <w:rPr>
          <w:rFonts w:ascii="Arial" w:eastAsia="Arial" w:hAnsi="Arial" w:cs="Arial"/>
          <w:color w:val="000000"/>
          <w:sz w:val="18"/>
        </w:rPr>
        <w:t xml:space="preserve">The foregoing analysis should reveal the inherent weakness of the critique of the Dissent (McHugh, J.) of the blind-law-clerk hypothetical. </w:t>
      </w:r>
      <w:bookmarkStart w:id="4506" w:name="Bookmark_I61CDGH92SF8FJ0050000400"/>
      <w:bookmarkEnd w:id="4506"/>
      <w:r>
        <w:rPr>
          <w:rFonts w:ascii="Arial" w:eastAsia="Arial" w:hAnsi="Arial" w:cs="Arial"/>
          <w:i/>
          <w:color w:val="000000"/>
          <w:sz w:val="18"/>
        </w:rPr>
        <w:t>See</w:t>
      </w:r>
      <w:r>
        <w:rPr>
          <w:rFonts w:ascii="Arial" w:eastAsia="Arial" w:hAnsi="Arial" w:cs="Arial"/>
          <w:color w:val="000000"/>
          <w:sz w:val="18"/>
        </w:rPr>
        <w:t xml:space="preserve"> Dissent (McHugh, J.) at 12-13, 37-43 [hereinafter the Principal Dissent]. First, it is not enough under the ADA that the judge did not subject the blind law clerk to an adverse employment action; instead, the judge had an "unvarnished obligation," </w:t>
      </w:r>
      <w:bookmarkStart w:id="4507" w:name="Bookmark_I61CDGH92SF8FJ0020000400"/>
      <w:bookmarkEnd w:id="4507"/>
      <w:r>
        <w:rPr>
          <w:rFonts w:ascii="Arial" w:eastAsia="Arial" w:hAnsi="Arial" w:cs="Arial"/>
          <w:i/>
          <w:color w:val="000000"/>
          <w:sz w:val="18"/>
        </w:rPr>
        <w:t>Smith</w:t>
      </w:r>
      <w:r>
        <w:rPr>
          <w:rFonts w:ascii="Arial" w:eastAsia="Arial" w:hAnsi="Arial" w:cs="Arial"/>
          <w:color w:val="000000"/>
          <w:sz w:val="18"/>
        </w:rPr>
        <w:t xml:space="preserve">, 180 F.3d at 1169, to reasonably accommodate the clerk's visual limitation so that the clerk could "compete on an equal basis and . . . pursue those opportunities for which our free society is justifiably famous," 42 U.S.C. § 12101(a)(8). </w:t>
      </w:r>
      <w:bookmarkStart w:id="4508" w:name="Bookmark_I61CDGH92SF8FJ0050000400_2"/>
      <w:bookmarkEnd w:id="4508"/>
      <w:r>
        <w:rPr>
          <w:rFonts w:ascii="Arial" w:eastAsia="Arial" w:hAnsi="Arial" w:cs="Arial"/>
          <w:color w:val="000000"/>
          <w:sz w:val="18"/>
        </w:rPr>
        <w:t xml:space="preserve">More specifically, the judge could not just "allocate work in chambers </w:t>
      </w:r>
      <w:r>
        <w:rPr>
          <w:rFonts w:ascii="Arial" w:eastAsia="Arial" w:hAnsi="Arial" w:cs="Arial"/>
          <w:i/>
          <w:color w:val="000000"/>
          <w:sz w:val="18"/>
        </w:rPr>
        <w:t>with consideration</w:t>
      </w:r>
      <w:r>
        <w:rPr>
          <w:rFonts w:ascii="Arial" w:eastAsia="Arial" w:hAnsi="Arial" w:cs="Arial"/>
          <w:color w:val="000000"/>
          <w:sz w:val="18"/>
        </w:rPr>
        <w:t xml:space="preserve"> for the clerk's limitations," Principal Dissent at 13 (emphasis added); the judge was legally obligated to reasonably accommodate the clerk's limitation, </w:t>
      </w:r>
      <w:r>
        <w:rPr>
          <w:rFonts w:ascii="Arial" w:eastAsia="Arial" w:hAnsi="Arial" w:cs="Arial"/>
          <w:i/>
          <w:color w:val="000000"/>
          <w:sz w:val="18"/>
        </w:rPr>
        <w:t xml:space="preserve">see, e.g., </w:t>
      </w:r>
      <w:bookmarkStart w:id="4509" w:name="Bookmark_I61CDGH92SF8FJ0040000400"/>
      <w:bookmarkEnd w:id="4509"/>
      <w:r>
        <w:rPr>
          <w:rFonts w:ascii="Arial" w:eastAsia="Arial" w:hAnsi="Arial" w:cs="Arial"/>
          <w:i/>
          <w:color w:val="000000"/>
          <w:sz w:val="18"/>
        </w:rPr>
        <w:t>Peebles</w:t>
      </w:r>
      <w:r>
        <w:rPr>
          <w:rFonts w:ascii="Arial" w:eastAsia="Arial" w:hAnsi="Arial" w:cs="Arial"/>
          <w:color w:val="000000"/>
          <w:sz w:val="18"/>
        </w:rPr>
        <w:t xml:space="preserve">, 354 F.3d at 767; </w:t>
      </w:r>
      <w:bookmarkStart w:id="4510" w:name="Bookmark_I61CDGHB2HM6NT0010000400"/>
      <w:bookmarkEnd w:id="4510"/>
      <w:r>
        <w:rPr>
          <w:rFonts w:ascii="Arial" w:eastAsia="Arial" w:hAnsi="Arial" w:cs="Arial"/>
          <w:i/>
          <w:color w:val="000000"/>
          <w:sz w:val="18"/>
        </w:rPr>
        <w:t>Thomas</w:t>
      </w:r>
      <w:r>
        <w:rPr>
          <w:rFonts w:ascii="Arial" w:eastAsia="Arial" w:hAnsi="Arial" w:cs="Arial"/>
          <w:color w:val="000000"/>
          <w:sz w:val="18"/>
        </w:rPr>
        <w:t>, 225 F.3d at 1155 n.5. And, contrary to the Principal Dissent's suggestion, it is pellucid that Congress—in making concrete in the ADA's text its full-participation and equal-opportunity purposes—did not deem the imposition on employers of such an affirmative accommodation duty to equate to unwarranted "micromanag[ing of] employment decisions." Principal Dissent at 13.</w:t>
      </w:r>
    </w:p>
    <w:p w14:paraId="234BD7D3" w14:textId="77777777" w:rsidR="002B10A6" w:rsidRDefault="00000000">
      <w:pPr>
        <w:pStyle w:val="Normal23"/>
        <w:widowControl w:val="0"/>
        <w:spacing w:before="200" w:line="240" w:lineRule="atLeast"/>
        <w:jc w:val="both"/>
      </w:pPr>
      <w:bookmarkStart w:id="4511" w:name="Bookmark_fnpara_10_3"/>
      <w:bookmarkEnd w:id="4511"/>
      <w:r>
        <w:rPr>
          <w:rFonts w:ascii="Arial" w:eastAsia="Arial" w:hAnsi="Arial" w:cs="Arial"/>
          <w:color w:val="000000"/>
          <w:sz w:val="18"/>
        </w:rPr>
        <w:t xml:space="preserve">Furthermore, even where the Principal Dissent later eschews reliance on a purportedly narrow interpretation of adverse employment action (akin to the one adopted by the district court and the Panel Majority) and relies instead on its own conception of the import of the terms-conditions-and-privileges-of-employment language, the Principal Dissent's critique of the blind-law-clerk hypothetical misapprehends the extent of the accommodation duty that the ADA imposes on covered employers. The Principal Dissent proposes that the ADA's terms-conditions-and-privileges-of-employment language—or, as the Principal Dissent would have it, the "in-regard-to clause"—requires a disabled individual to show (at the very least) that the employer's failure to accommodate her disability constructively altered the terms, conditions, or privileges of her employment and, in that connection, caused her more than de minimis harm. </w:t>
      </w:r>
      <w:r>
        <w:rPr>
          <w:rFonts w:ascii="Arial" w:eastAsia="Arial" w:hAnsi="Arial" w:cs="Arial"/>
          <w:i/>
          <w:color w:val="000000"/>
          <w:sz w:val="18"/>
        </w:rPr>
        <w:t>See</w:t>
      </w:r>
      <w:r>
        <w:rPr>
          <w:rFonts w:ascii="Arial" w:eastAsia="Arial" w:hAnsi="Arial" w:cs="Arial"/>
          <w:color w:val="000000"/>
          <w:sz w:val="18"/>
        </w:rPr>
        <w:t xml:space="preserve"> Principal Dissent at 37 (noting that "the plaintiff can make out an ADA discrimination claim either by showing an express change or disparity in the terms or conditions of employment, or by showing a constructive change or disparity in those terms or conditions </w:t>
      </w:r>
      <w:r>
        <w:rPr>
          <w:rFonts w:ascii="Arial" w:eastAsia="Arial" w:hAnsi="Arial" w:cs="Arial"/>
          <w:i/>
          <w:color w:val="000000"/>
          <w:sz w:val="18"/>
        </w:rPr>
        <w:t>based on pervasive hostility or discomfort</w:t>
      </w:r>
      <w:r>
        <w:rPr>
          <w:rFonts w:ascii="Arial" w:eastAsia="Arial" w:hAnsi="Arial" w:cs="Arial"/>
          <w:color w:val="000000"/>
          <w:sz w:val="18"/>
        </w:rPr>
        <w:t xml:space="preserve"> (emphasis added)); </w:t>
      </w:r>
      <w:r>
        <w:rPr>
          <w:rFonts w:ascii="Arial" w:eastAsia="Arial" w:hAnsi="Arial" w:cs="Arial"/>
          <w:i/>
          <w:color w:val="000000"/>
          <w:sz w:val="18"/>
        </w:rPr>
        <w:t>id.</w:t>
      </w:r>
      <w:r>
        <w:rPr>
          <w:rFonts w:ascii="Arial" w:eastAsia="Arial" w:hAnsi="Arial" w:cs="Arial"/>
          <w:color w:val="000000"/>
          <w:sz w:val="18"/>
        </w:rPr>
        <w:t xml:space="preserve"> ("[W]here the failure to accommodate results in a constructive alteration in those terms or conditions [of employment], the employee can satisfy § 12112(a)'s in-regard-to clause."); </w:t>
      </w:r>
      <w:r>
        <w:rPr>
          <w:rFonts w:ascii="Arial" w:eastAsia="Arial" w:hAnsi="Arial" w:cs="Arial"/>
          <w:i/>
          <w:color w:val="000000"/>
          <w:sz w:val="18"/>
        </w:rPr>
        <w:t>id.</w:t>
      </w:r>
      <w:r>
        <w:rPr>
          <w:rFonts w:ascii="Arial" w:eastAsia="Arial" w:hAnsi="Arial" w:cs="Arial"/>
          <w:color w:val="000000"/>
          <w:sz w:val="18"/>
        </w:rPr>
        <w:t xml:space="preserve"> at 39 ("In short, the discrimination must be in regard to the employment-related aspects covered by § 12112(a) </w:t>
      </w:r>
      <w:r>
        <w:rPr>
          <w:rFonts w:ascii="Arial" w:eastAsia="Arial" w:hAnsi="Arial" w:cs="Arial"/>
          <w:i/>
          <w:color w:val="000000"/>
          <w:sz w:val="18"/>
        </w:rPr>
        <w:t>and</w:t>
      </w:r>
      <w:r>
        <w:rPr>
          <w:rFonts w:ascii="Arial" w:eastAsia="Arial" w:hAnsi="Arial" w:cs="Arial"/>
          <w:color w:val="000000"/>
          <w:sz w:val="18"/>
        </w:rPr>
        <w:t xml:space="preserve"> it must cause more than de minimis harm." (emphasis added)). But requiring disabled individuals to satisfy this showing—even if it could be "easily" done, </w:t>
      </w:r>
      <w:r>
        <w:rPr>
          <w:rFonts w:ascii="Arial" w:eastAsia="Arial" w:hAnsi="Arial" w:cs="Arial"/>
          <w:i/>
          <w:color w:val="000000"/>
          <w:sz w:val="18"/>
        </w:rPr>
        <w:t>id.</w:t>
      </w:r>
      <w:r>
        <w:rPr>
          <w:rFonts w:ascii="Arial" w:eastAsia="Arial" w:hAnsi="Arial" w:cs="Arial"/>
          <w:color w:val="000000"/>
          <w:sz w:val="18"/>
        </w:rPr>
        <w:t xml:space="preserve"> at 43—would be improper and, more to the point, incompatible with the ADA's central purposes, as embodied in § 12112(b)(5)(A). </w:t>
      </w:r>
      <w:bookmarkStart w:id="4512" w:name="Bookmark_I61CDGHB2HM6NT0040000400"/>
      <w:bookmarkEnd w:id="4512"/>
      <w:r>
        <w:rPr>
          <w:rFonts w:ascii="Arial" w:eastAsia="Arial" w:hAnsi="Arial" w:cs="Arial"/>
          <w:color w:val="000000"/>
          <w:sz w:val="18"/>
        </w:rPr>
        <w:t xml:space="preserve">As noted, the ADA is concerned with ensuring that disabled individuals can fully participate in society and enjoy equal opportunities in the workplace. </w:t>
      </w:r>
      <w:bookmarkStart w:id="4513" w:name="Bookmark_LNHNREFclscc23_1"/>
      <w:bookmarkEnd w:id="4513"/>
      <w:r>
        <w:rPr>
          <w:rFonts w:ascii="Arial" w:eastAsia="Arial" w:hAnsi="Arial" w:cs="Arial"/>
          <w:color w:val="000000"/>
          <w:sz w:val="18"/>
        </w:rPr>
        <w:t xml:space="preserve">And Congress has made the judgment that these purposes are not fully furthered by merely ensuring that employers cannot inflict non-de-minimis workplace injuries on disabled individuals; rather, these employers must provide such individuals with reasonable accommodations, so that they may "compete on an equal basis and . . . pursue those opportunities for which our free society is justifiably famous." 42 U.S.C. § 12101(a)(8). Stated otherwise, the ADA is not simply concerned with shielding disabled individuals from significant workplace harms but also with reasonably accommodating the limitations of their disabilities so that they may "provide the Nation with the benefit of their consequently increased productivity." </w:t>
      </w:r>
      <w:bookmarkStart w:id="4514" w:name="Bookmark_I61CDGHB2HM6NT0030000400"/>
      <w:bookmarkEnd w:id="4514"/>
      <w:r>
        <w:rPr>
          <w:rFonts w:ascii="Arial" w:eastAsia="Arial" w:hAnsi="Arial" w:cs="Arial"/>
          <w:i/>
          <w:color w:val="000000"/>
          <w:sz w:val="18"/>
        </w:rPr>
        <w:t>Cleveland</w:t>
      </w:r>
      <w:r>
        <w:rPr>
          <w:rFonts w:ascii="Arial" w:eastAsia="Arial" w:hAnsi="Arial" w:cs="Arial"/>
          <w:color w:val="000000"/>
          <w:sz w:val="18"/>
        </w:rPr>
        <w:t xml:space="preserve">, 526 U.S. at 801. To be sure, in the runup to its renewed critique of the blind-law-clerk hypothetical, the Principal Dissent suggests that it understands as much: </w:t>
      </w:r>
      <w:r>
        <w:rPr>
          <w:rFonts w:ascii="Arial" w:eastAsia="Arial" w:hAnsi="Arial" w:cs="Arial"/>
          <w:i/>
          <w:color w:val="000000"/>
          <w:sz w:val="18"/>
        </w:rPr>
        <w:t>viz.</w:t>
      </w:r>
      <w:r>
        <w:rPr>
          <w:rFonts w:ascii="Arial" w:eastAsia="Arial" w:hAnsi="Arial" w:cs="Arial"/>
          <w:color w:val="000000"/>
          <w:sz w:val="18"/>
        </w:rPr>
        <w:t xml:space="preserve">, that the ADA's objective is "to ensure an otherwise qualified individual with a disability is placed </w:t>
      </w:r>
      <w:r>
        <w:rPr>
          <w:rFonts w:ascii="Arial" w:eastAsia="Arial" w:hAnsi="Arial" w:cs="Arial"/>
          <w:i/>
          <w:color w:val="000000"/>
          <w:sz w:val="18"/>
        </w:rPr>
        <w:t>on equal ground</w:t>
      </w:r>
      <w:r>
        <w:rPr>
          <w:rFonts w:ascii="Arial" w:eastAsia="Arial" w:hAnsi="Arial" w:cs="Arial"/>
          <w:color w:val="000000"/>
          <w:sz w:val="18"/>
        </w:rPr>
        <w:t xml:space="preserve"> with other employees in regard to the covered employment relationships." Principal Dissent at 40 (emphasis added). Yet, ultimately, the Principal Dissent loses its way when it concludes that the blind law clerk cannot make out a failure-to-accommodate claim under the ADA, unless—in addition to demonstrating that the judge failed to provide a reasonable accommodation—she also shows that the judge "constructively impacted [the] conditions of [her] employment." </w:t>
      </w:r>
      <w:r>
        <w:rPr>
          <w:rFonts w:ascii="Arial" w:eastAsia="Arial" w:hAnsi="Arial" w:cs="Arial"/>
          <w:i/>
          <w:color w:val="000000"/>
          <w:sz w:val="18"/>
        </w:rPr>
        <w:t>Id.</w:t>
      </w:r>
      <w:r>
        <w:rPr>
          <w:rFonts w:ascii="Arial" w:eastAsia="Arial" w:hAnsi="Arial" w:cs="Arial"/>
          <w:color w:val="000000"/>
          <w:sz w:val="18"/>
        </w:rPr>
        <w:t xml:space="preserve"> at 41. By requiring the blind law clerk to make such a showing, the Principal Dissent diminishes the accommodation duty that the ADA imposes on the employer, while hindering the blind law clerk from competing on an equal basis with her fellow, non-visually-impaired clerks—thereby denying her the full enjoyment of the terms, conditions, and privileges of her employment.</w:t>
      </w:r>
    </w:p>
  </w:footnote>
  <w:footnote w:id="173">
    <w:p w14:paraId="2FA383AF"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9 </w:t>
      </w:r>
      <w:bookmarkStart w:id="4551" w:name="Bookmark_fnpara_11_3"/>
      <w:bookmarkStart w:id="4552" w:name="Bookmark_I61CDGHD2SF8FY0020000400"/>
      <w:bookmarkEnd w:id="4551"/>
      <w:bookmarkEnd w:id="4552"/>
      <w:r>
        <w:rPr>
          <w:rFonts w:ascii="Arial" w:eastAsia="Arial" w:hAnsi="Arial" w:cs="Arial"/>
          <w:color w:val="000000"/>
          <w:sz w:val="18"/>
        </w:rPr>
        <w:t xml:space="preserve">In </w:t>
      </w:r>
      <w:bookmarkStart w:id="4553" w:name="Bookmark_I61CDGHD2SF8FY0010000400"/>
      <w:bookmarkEnd w:id="4553"/>
      <w:r>
        <w:rPr>
          <w:rFonts w:ascii="Arial" w:eastAsia="Arial" w:hAnsi="Arial" w:cs="Arial"/>
          <w:i/>
          <w:color w:val="000000"/>
          <w:sz w:val="18"/>
        </w:rPr>
        <w:t>Colón-Fontánez v. Municipality of San Juan</w:t>
      </w:r>
      <w:r>
        <w:rPr>
          <w:rFonts w:ascii="Arial" w:eastAsia="Arial" w:hAnsi="Arial" w:cs="Arial"/>
          <w:color w:val="000000"/>
          <w:sz w:val="18"/>
        </w:rPr>
        <w:t xml:space="preserve">, 660 F.3d 17 (1st Cir. 2011), the First Circuit concluded that the plaintiff's ADA failure-to-accommodate claim could not succeed because she had not established that she was a "qualified individual" under the ADA. </w:t>
      </w:r>
      <w:bookmarkStart w:id="4554" w:name="Bookmark_I61CDGHD2SF8FY0030000400"/>
      <w:bookmarkEnd w:id="4554"/>
      <w:r>
        <w:rPr>
          <w:rFonts w:ascii="Arial" w:eastAsia="Arial" w:hAnsi="Arial" w:cs="Arial"/>
          <w:i/>
          <w:color w:val="000000"/>
          <w:sz w:val="18"/>
        </w:rPr>
        <w:t>Id.</w:t>
      </w:r>
      <w:r>
        <w:rPr>
          <w:rFonts w:ascii="Arial" w:eastAsia="Arial" w:hAnsi="Arial" w:cs="Arial"/>
          <w:color w:val="000000"/>
          <w:sz w:val="18"/>
        </w:rPr>
        <w:t xml:space="preserve"> at 32. Immediately prior to announcing this conclusion, the </w:t>
      </w:r>
      <w:r>
        <w:rPr>
          <w:rFonts w:ascii="Arial" w:eastAsia="Arial" w:hAnsi="Arial" w:cs="Arial"/>
          <w:i/>
          <w:color w:val="000000"/>
          <w:sz w:val="18"/>
        </w:rPr>
        <w:t>Colón-Fontánez</w:t>
      </w:r>
      <w:r>
        <w:rPr>
          <w:rFonts w:ascii="Arial" w:eastAsia="Arial" w:hAnsi="Arial" w:cs="Arial"/>
          <w:color w:val="000000"/>
          <w:sz w:val="18"/>
        </w:rPr>
        <w:t xml:space="preserve"> court stated that</w:t>
      </w:r>
    </w:p>
    <w:p w14:paraId="2EFF95BC" w14:textId="77777777" w:rsidR="002B10A6" w:rsidRDefault="00000000">
      <w:pPr>
        <w:pStyle w:val="Normal23"/>
        <w:widowControl w:val="0"/>
        <w:spacing w:before="200" w:line="240" w:lineRule="atLeast"/>
        <w:ind w:left="400"/>
        <w:jc w:val="both"/>
      </w:pPr>
      <w:bookmarkStart w:id="4555" w:name="Bookmark_para_57_4"/>
      <w:bookmarkEnd w:id="4555"/>
      <w:r>
        <w:rPr>
          <w:rFonts w:ascii="Arial" w:eastAsia="Arial" w:hAnsi="Arial" w:cs="Arial"/>
          <w:color w:val="000000"/>
          <w:sz w:val="18"/>
        </w:rPr>
        <w:t xml:space="preserve">[t]o establish a claim under the ADA, a plaintiff must prove three factors by a preponderance of the evidence: (1) she was disabled within the meaning of the ADA; (2) she was qualified to perform the essential functions of the job, either with or without reasonable accommodation; and (3) </w:t>
      </w:r>
      <w:r>
        <w:rPr>
          <w:rFonts w:ascii="Arial" w:eastAsia="Arial" w:hAnsi="Arial" w:cs="Arial"/>
          <w:i/>
          <w:color w:val="000000"/>
          <w:sz w:val="18"/>
        </w:rPr>
        <w:t>the employer took an adverse employment action against her because of the alleged disability</w:t>
      </w:r>
      <w:r>
        <w:rPr>
          <w:rFonts w:ascii="Arial" w:eastAsia="Arial" w:hAnsi="Arial" w:cs="Arial"/>
          <w:color w:val="000000"/>
          <w:sz w:val="18"/>
        </w:rPr>
        <w:t>.</w:t>
      </w:r>
    </w:p>
    <w:p w14:paraId="1E2019E0" w14:textId="77777777" w:rsidR="002B10A6" w:rsidRDefault="00000000">
      <w:pPr>
        <w:pStyle w:val="Normal23"/>
        <w:widowControl w:val="0"/>
        <w:spacing w:before="200" w:line="240" w:lineRule="atLeast"/>
        <w:jc w:val="both"/>
      </w:pPr>
      <w:r>
        <w:rPr>
          <w:rFonts w:ascii="Arial" w:eastAsia="Arial" w:hAnsi="Arial" w:cs="Arial"/>
          <w:i/>
          <w:color w:val="000000"/>
          <w:sz w:val="18"/>
        </w:rPr>
        <w:t>Id.</w:t>
      </w:r>
      <w:r>
        <w:rPr>
          <w:rFonts w:ascii="Arial" w:eastAsia="Arial" w:hAnsi="Arial" w:cs="Arial"/>
          <w:color w:val="000000"/>
          <w:sz w:val="18"/>
        </w:rPr>
        <w:t xml:space="preserve"> (emphasis added). As to whether an ADA failure-to-accommodate claim has an adverse-employment-action requirement, we read </w:t>
      </w:r>
      <w:r>
        <w:rPr>
          <w:rFonts w:ascii="Arial" w:eastAsia="Arial" w:hAnsi="Arial" w:cs="Arial"/>
          <w:i/>
          <w:color w:val="000000"/>
          <w:sz w:val="18"/>
        </w:rPr>
        <w:t>Colón-Fontánez</w:t>
      </w:r>
      <w:r>
        <w:rPr>
          <w:rFonts w:ascii="Arial" w:eastAsia="Arial" w:hAnsi="Arial" w:cs="Arial"/>
          <w:color w:val="000000"/>
          <w:sz w:val="18"/>
        </w:rPr>
        <w:t xml:space="preserve">'s articulation of the prima facie case for an ADA discrimination claim to be dictum and not in meaningful conflict with the First Circuit's decision in </w:t>
      </w:r>
      <w:r>
        <w:rPr>
          <w:rFonts w:ascii="Arial" w:eastAsia="Arial" w:hAnsi="Arial" w:cs="Arial"/>
          <w:i/>
          <w:color w:val="000000"/>
          <w:sz w:val="18"/>
        </w:rPr>
        <w:t xml:space="preserve">Carroll. </w:t>
      </w:r>
      <w:bookmarkStart w:id="4556" w:name="Bookmark_I722C9XG5W90000671P0009D"/>
      <w:bookmarkStart w:id="4557" w:name="Bookmark_I61CDGHD2HM6P70010000400"/>
      <w:bookmarkEnd w:id="4556"/>
      <w:bookmarkEnd w:id="4557"/>
      <w:r>
        <w:rPr>
          <w:rFonts w:ascii="Arial" w:eastAsia="Arial" w:hAnsi="Arial" w:cs="Arial"/>
          <w:i/>
          <w:color w:val="000000"/>
          <w:sz w:val="18"/>
        </w:rPr>
        <w:t>Cf.</w:t>
      </w:r>
      <w:bookmarkStart w:id="4558" w:name="Bookmark_I61CDGHD2HM6P70010000400_2"/>
      <w:bookmarkEnd w:id="4558"/>
      <w:r>
        <w:rPr>
          <w:rFonts w:ascii="Arial" w:eastAsia="Arial" w:hAnsi="Arial" w:cs="Arial"/>
          <w:color w:val="000000"/>
          <w:sz w:val="18"/>
        </w:rPr>
        <w:t xml:space="preserve"> </w:t>
      </w:r>
      <w:r>
        <w:rPr>
          <w:rFonts w:ascii="Arial" w:eastAsia="Arial" w:hAnsi="Arial" w:cs="Arial"/>
          <w:smallCaps/>
          <w:color w:val="000000"/>
          <w:sz w:val="18"/>
        </w:rPr>
        <w:t>Bryan A. Garner et al., The Law of Judicial Precedent</w:t>
      </w:r>
      <w:r>
        <w:rPr>
          <w:rFonts w:ascii="Arial" w:eastAsia="Arial" w:hAnsi="Arial" w:cs="Arial"/>
          <w:color w:val="000000"/>
          <w:sz w:val="18"/>
        </w:rPr>
        <w:t xml:space="preserve"> § 36, at 300 (2016) (noting that "[a] court considering [ostensibly] discordant decisions must first determine whether the perceived conflict between them is </w:t>
      </w:r>
      <w:r>
        <w:rPr>
          <w:rFonts w:ascii="Arial" w:eastAsia="Arial" w:hAnsi="Arial" w:cs="Arial"/>
          <w:i/>
          <w:color w:val="000000"/>
          <w:sz w:val="18"/>
        </w:rPr>
        <w:t>real</w:t>
      </w:r>
      <w:r>
        <w:rPr>
          <w:rFonts w:ascii="Arial" w:eastAsia="Arial" w:hAnsi="Arial" w:cs="Arial"/>
          <w:color w:val="000000"/>
          <w:sz w:val="18"/>
        </w:rPr>
        <w:t>" (emphasis added)).</w:t>
      </w:r>
    </w:p>
    <w:p w14:paraId="508D7247" w14:textId="77777777" w:rsidR="002B10A6" w:rsidRDefault="00000000">
      <w:pPr>
        <w:pStyle w:val="Normal23"/>
        <w:widowControl w:val="0"/>
        <w:spacing w:before="200" w:line="240" w:lineRule="atLeast"/>
        <w:jc w:val="both"/>
      </w:pPr>
      <w:bookmarkStart w:id="4559" w:name="Bookmark_fnpara_12_3"/>
      <w:bookmarkStart w:id="4560" w:name="Bookmark_I61CDGHD2HM6P70030000400"/>
      <w:bookmarkStart w:id="4561" w:name="Bookmark_I61CDGHD2HM6P70010000400_3"/>
      <w:bookmarkStart w:id="4562" w:name="Bookmark_I61CDGHD2HM6P70050000400"/>
      <w:bookmarkEnd w:id="4559"/>
      <w:bookmarkEnd w:id="4560"/>
      <w:bookmarkEnd w:id="4561"/>
      <w:bookmarkEnd w:id="4562"/>
      <w:r>
        <w:rPr>
          <w:rFonts w:ascii="Arial" w:eastAsia="Arial" w:hAnsi="Arial" w:cs="Arial"/>
          <w:color w:val="000000"/>
          <w:sz w:val="18"/>
        </w:rPr>
        <w:t xml:space="preserve">Nothing in </w:t>
      </w:r>
      <w:bookmarkStart w:id="4563" w:name="Bookmark_I61CDGHD2SF8FY0050000400"/>
      <w:bookmarkEnd w:id="4563"/>
      <w:r>
        <w:rPr>
          <w:rFonts w:ascii="Arial" w:eastAsia="Arial" w:hAnsi="Arial" w:cs="Arial"/>
          <w:i/>
          <w:color w:val="000000"/>
          <w:sz w:val="18"/>
        </w:rPr>
        <w:t>Colón-Fontánez</w:t>
      </w:r>
      <w:r>
        <w:rPr>
          <w:rFonts w:ascii="Arial" w:eastAsia="Arial" w:hAnsi="Arial" w:cs="Arial"/>
          <w:color w:val="000000"/>
          <w:sz w:val="18"/>
        </w:rPr>
        <w:t xml:space="preserve"> turned on the contents of the third element of its articulated prima facie case; the court simply concluded that the plaintiff did not satisfy the second element because she was not a qualified individual with a disability. </w:t>
      </w:r>
      <w:bookmarkStart w:id="4564" w:name="Bookmark_I61CDGHD2HM6P70050000400_2"/>
      <w:bookmarkEnd w:id="4564"/>
      <w:r>
        <w:rPr>
          <w:rFonts w:ascii="Arial" w:eastAsia="Arial" w:hAnsi="Arial" w:cs="Arial"/>
          <w:i/>
          <w:color w:val="000000"/>
          <w:sz w:val="18"/>
        </w:rPr>
        <w:t xml:space="preserve">See </w:t>
      </w:r>
      <w:bookmarkStart w:id="4565" w:name="Bookmark_I61CDGHD2HM6P70020000400"/>
      <w:bookmarkEnd w:id="4565"/>
      <w:r>
        <w:rPr>
          <w:rFonts w:ascii="Arial" w:eastAsia="Arial" w:hAnsi="Arial" w:cs="Arial"/>
          <w:i/>
          <w:color w:val="000000"/>
          <w:sz w:val="18"/>
        </w:rPr>
        <w:t>id.</w:t>
      </w:r>
      <w:r>
        <w:rPr>
          <w:rFonts w:ascii="Arial" w:eastAsia="Arial" w:hAnsi="Arial" w:cs="Arial"/>
          <w:color w:val="000000"/>
          <w:sz w:val="18"/>
        </w:rPr>
        <w:t xml:space="preserve"> at 32 (stating, immediately following its general articulation of the prima facie case for an ADA discrimination claim, that the plaintiff "failed to establish the second element of an ADA claim, </w:t>
      </w:r>
      <w:r>
        <w:rPr>
          <w:rFonts w:ascii="Arial" w:eastAsia="Arial" w:hAnsi="Arial" w:cs="Arial"/>
          <w:i/>
          <w:color w:val="000000"/>
          <w:sz w:val="18"/>
        </w:rPr>
        <w:t>i.e.</w:t>
      </w:r>
      <w:r>
        <w:rPr>
          <w:rFonts w:ascii="Arial" w:eastAsia="Arial" w:hAnsi="Arial" w:cs="Arial"/>
          <w:color w:val="000000"/>
          <w:sz w:val="18"/>
        </w:rPr>
        <w:t xml:space="preserve">, show that she was a qualified individual under the ADA" and adding that the court "limit[ed] [its] analysis to this factor"). </w:t>
      </w:r>
      <w:bookmarkStart w:id="4566" w:name="Bookmark_I61CDGHD2HM6P70050000400_3"/>
      <w:bookmarkEnd w:id="4566"/>
      <w:r>
        <w:rPr>
          <w:rFonts w:ascii="Arial" w:eastAsia="Arial" w:hAnsi="Arial" w:cs="Arial"/>
          <w:color w:val="000000"/>
          <w:sz w:val="18"/>
        </w:rPr>
        <w:t xml:space="preserve">When the First Circuit was called upon to focus on the elements of an ADA failure-to-accommodate claim in </w:t>
      </w:r>
      <w:r>
        <w:rPr>
          <w:rFonts w:ascii="Arial" w:eastAsia="Arial" w:hAnsi="Arial" w:cs="Arial"/>
          <w:i/>
          <w:color w:val="000000"/>
          <w:sz w:val="18"/>
        </w:rPr>
        <w:t>Carroll</w:t>
      </w:r>
      <w:r>
        <w:rPr>
          <w:rFonts w:ascii="Arial" w:eastAsia="Arial" w:hAnsi="Arial" w:cs="Arial"/>
          <w:color w:val="000000"/>
          <w:sz w:val="18"/>
        </w:rPr>
        <w:t xml:space="preserve">, it offered in express and no uncertain terms its view that, for failure-to-accommodate claims, the adverse-employment-action requirement that is applicable in disparate-treatment cases is swapped out for the requirement that the employer "despite knowing of [the plaintiff's] alleged disability, did not reasonably accommodate it." </w:t>
      </w:r>
      <w:bookmarkStart w:id="4567" w:name="Bookmark_I61CDGHD2HM6P70040000400"/>
      <w:bookmarkEnd w:id="4567"/>
      <w:r>
        <w:rPr>
          <w:rFonts w:ascii="Arial" w:eastAsia="Arial" w:hAnsi="Arial" w:cs="Arial"/>
          <w:color w:val="000000"/>
          <w:sz w:val="18"/>
        </w:rPr>
        <w:t xml:space="preserve">294 F.3d at 237. Moreover, </w:t>
      </w:r>
      <w:r>
        <w:rPr>
          <w:rFonts w:ascii="Arial" w:eastAsia="Arial" w:hAnsi="Arial" w:cs="Arial"/>
          <w:i/>
          <w:color w:val="000000"/>
          <w:sz w:val="18"/>
        </w:rPr>
        <w:t>Colón-Fontánez</w:t>
      </w:r>
      <w:r>
        <w:rPr>
          <w:rFonts w:ascii="Arial" w:eastAsia="Arial" w:hAnsi="Arial" w:cs="Arial"/>
          <w:color w:val="000000"/>
          <w:sz w:val="18"/>
        </w:rPr>
        <w:t xml:space="preserve">'s sole direct citation for the general prima facie case it articulates is </w:t>
      </w:r>
      <w:r>
        <w:rPr>
          <w:rFonts w:ascii="Arial" w:eastAsia="Arial" w:hAnsi="Arial" w:cs="Arial"/>
          <w:i/>
          <w:color w:val="000000"/>
          <w:sz w:val="18"/>
        </w:rPr>
        <w:t>Carroll</w:t>
      </w:r>
      <w:r>
        <w:rPr>
          <w:rFonts w:ascii="Arial" w:eastAsia="Arial" w:hAnsi="Arial" w:cs="Arial"/>
          <w:color w:val="000000"/>
          <w:sz w:val="18"/>
        </w:rPr>
        <w:t xml:space="preserve">, which strongly suggests that </w:t>
      </w:r>
      <w:r>
        <w:rPr>
          <w:rFonts w:ascii="Arial" w:eastAsia="Arial" w:hAnsi="Arial" w:cs="Arial"/>
          <w:i/>
          <w:color w:val="000000"/>
          <w:sz w:val="18"/>
        </w:rPr>
        <w:t>Colón-Fontánez</w:t>
      </w:r>
      <w:r>
        <w:rPr>
          <w:rFonts w:ascii="Arial" w:eastAsia="Arial" w:hAnsi="Arial" w:cs="Arial"/>
          <w:color w:val="000000"/>
          <w:sz w:val="18"/>
        </w:rPr>
        <w:t xml:space="preserve"> had no intention of staking out a position concerning the elements of an ADA failure-to-accommodate claim that was at odds with </w:t>
      </w:r>
      <w:r>
        <w:rPr>
          <w:rFonts w:ascii="Arial" w:eastAsia="Arial" w:hAnsi="Arial" w:cs="Arial"/>
          <w:i/>
          <w:color w:val="000000"/>
          <w:sz w:val="18"/>
        </w:rPr>
        <w:t>Carroll</w:t>
      </w:r>
      <w:r>
        <w:rPr>
          <w:rFonts w:ascii="Arial" w:eastAsia="Arial" w:hAnsi="Arial" w:cs="Arial"/>
          <w:color w:val="000000"/>
          <w:sz w:val="18"/>
        </w:rPr>
        <w:t>.</w:t>
      </w:r>
    </w:p>
  </w:footnote>
  <w:footnote w:id="174">
    <w:p w14:paraId="5D65E7B5"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10 </w:t>
      </w:r>
      <w:bookmarkStart w:id="4571" w:name="Bookmark_fnpara_13_2"/>
      <w:bookmarkEnd w:id="4571"/>
      <w:r>
        <w:rPr>
          <w:rFonts w:ascii="Arial" w:eastAsia="Arial" w:hAnsi="Arial" w:cs="Arial"/>
          <w:i/>
          <w:color w:val="000000"/>
          <w:sz w:val="18"/>
        </w:rPr>
        <w:t>See</w:t>
      </w:r>
      <w:r>
        <w:rPr>
          <w:rFonts w:ascii="Arial" w:eastAsia="Arial" w:hAnsi="Arial" w:cs="Arial"/>
          <w:color w:val="000000"/>
          <w:sz w:val="18"/>
        </w:rPr>
        <w:t xml:space="preserve"> </w:t>
      </w:r>
      <w:r>
        <w:rPr>
          <w:rFonts w:ascii="Arial" w:eastAsia="Arial" w:hAnsi="Arial" w:cs="Arial"/>
          <w:smallCaps/>
          <w:color w:val="000000"/>
          <w:sz w:val="18"/>
        </w:rPr>
        <w:t>Pattern Jury Instructions (Civil Cases) for the Fifth Circuit</w:t>
      </w:r>
      <w:r>
        <w:rPr>
          <w:rFonts w:ascii="Arial" w:eastAsia="Arial" w:hAnsi="Arial" w:cs="Arial"/>
          <w:color w:val="000000"/>
          <w:sz w:val="18"/>
        </w:rPr>
        <w:t xml:space="preserve"> § 11.10, at 200-01, 207 (</w:t>
      </w:r>
      <w:r>
        <w:rPr>
          <w:rFonts w:ascii="Arial" w:eastAsia="Arial" w:hAnsi="Arial" w:cs="Arial"/>
          <w:smallCaps/>
          <w:color w:val="000000"/>
          <w:sz w:val="18"/>
        </w:rPr>
        <w:t>Pattern Jury Instruction Comm. (Civil) of the Fifth Circuit Dist. Judges Ass'n</w:t>
      </w:r>
      <w:r>
        <w:rPr>
          <w:rFonts w:ascii="Arial" w:eastAsia="Arial" w:hAnsi="Arial" w:cs="Arial"/>
          <w:color w:val="000000"/>
          <w:sz w:val="18"/>
        </w:rPr>
        <w:t>, 2020) (lacking, as an element in the pattern jury instructions for an ADA failure-to-accommodate claim, an adverse employment action).</w:t>
      </w:r>
    </w:p>
  </w:footnote>
  <w:footnote w:id="175">
    <w:p w14:paraId="2976E365"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11 </w:t>
      </w:r>
      <w:bookmarkStart w:id="4576" w:name="Bookmark_fnpara_14_2"/>
      <w:bookmarkEnd w:id="4576"/>
      <w:r>
        <w:rPr>
          <w:rFonts w:ascii="Arial" w:eastAsia="Arial" w:hAnsi="Arial" w:cs="Arial"/>
          <w:i/>
          <w:color w:val="000000"/>
          <w:sz w:val="18"/>
        </w:rPr>
        <w:t>Accord</w:t>
      </w:r>
      <w:r>
        <w:rPr>
          <w:rFonts w:ascii="Arial" w:eastAsia="Arial" w:hAnsi="Arial" w:cs="Arial"/>
          <w:color w:val="000000"/>
          <w:sz w:val="18"/>
        </w:rPr>
        <w:t xml:space="preserve"> </w:t>
      </w:r>
      <w:r>
        <w:rPr>
          <w:rFonts w:ascii="Arial" w:eastAsia="Arial" w:hAnsi="Arial" w:cs="Arial"/>
          <w:smallCaps/>
          <w:color w:val="000000"/>
          <w:sz w:val="18"/>
        </w:rPr>
        <w:t>Eleventh Circuit Pattern Jury Instructions (Civil Cases)</w:t>
      </w:r>
      <w:r>
        <w:rPr>
          <w:rFonts w:ascii="Arial" w:eastAsia="Arial" w:hAnsi="Arial" w:cs="Arial"/>
          <w:color w:val="000000"/>
          <w:sz w:val="18"/>
        </w:rPr>
        <w:t xml:space="preserve"> § 4.12, at 1 </w:t>
      </w:r>
      <w:r>
        <w:rPr>
          <w:rFonts w:ascii="Arial" w:eastAsia="Arial" w:hAnsi="Arial" w:cs="Arial"/>
          <w:smallCaps/>
          <w:color w:val="000000"/>
          <w:sz w:val="18"/>
        </w:rPr>
        <w:t>(Comm. on Pattern Jury Instructions of the Eleventh Circuit Judicial Council</w:t>
      </w:r>
      <w:r>
        <w:rPr>
          <w:rFonts w:ascii="Arial" w:eastAsia="Arial" w:hAnsi="Arial" w:cs="Arial"/>
          <w:color w:val="000000"/>
          <w:sz w:val="18"/>
        </w:rPr>
        <w:t>, revised 2020) (omitting an adverse-employment-action element from the pattern jury instruction for a failure-to-accommodate claim under the ADA).</w:t>
      </w:r>
    </w:p>
  </w:footnote>
  <w:footnote w:id="176">
    <w:p w14:paraId="50FE6EF6"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12 </w:t>
      </w:r>
      <w:bookmarkStart w:id="4578" w:name="Bookmark_fnpara_15_1"/>
      <w:bookmarkStart w:id="4579" w:name="Bookmark_I61CDGHD28T4VC0020000400"/>
      <w:bookmarkEnd w:id="4578"/>
      <w:bookmarkEnd w:id="4579"/>
      <w:r>
        <w:rPr>
          <w:rFonts w:ascii="Arial" w:eastAsia="Arial" w:hAnsi="Arial" w:cs="Arial"/>
          <w:color w:val="000000"/>
          <w:sz w:val="18"/>
        </w:rPr>
        <w:t xml:space="preserve">A prior case from the D.C. Circuit, </w:t>
      </w:r>
      <w:bookmarkStart w:id="4580" w:name="Bookmark_I61CDGHD28T4VC0010000400"/>
      <w:bookmarkEnd w:id="4580"/>
      <w:r>
        <w:rPr>
          <w:rFonts w:ascii="Arial" w:eastAsia="Arial" w:hAnsi="Arial" w:cs="Arial"/>
          <w:i/>
          <w:color w:val="000000"/>
          <w:sz w:val="18"/>
        </w:rPr>
        <w:t>Marshall v. Federal Express Corp.</w:t>
      </w:r>
      <w:r>
        <w:rPr>
          <w:rFonts w:ascii="Arial" w:eastAsia="Arial" w:hAnsi="Arial" w:cs="Arial"/>
          <w:color w:val="000000"/>
          <w:sz w:val="18"/>
        </w:rPr>
        <w:t xml:space="preserve">, 130 F.3d 1095, 327 U.S. App. D.C. 302 (D.C. Cir. 1997), stated that "[a]s the language of § 12112(a) makes clear, for discrimination (including denial of reasonable accommodation) to be actionable, it must occur </w:t>
      </w:r>
      <w:r>
        <w:rPr>
          <w:rFonts w:ascii="Arial" w:eastAsia="Arial" w:hAnsi="Arial" w:cs="Arial"/>
          <w:i/>
          <w:color w:val="000000"/>
          <w:sz w:val="18"/>
        </w:rPr>
        <w:t>in regard to</w:t>
      </w:r>
      <w:r>
        <w:rPr>
          <w:rFonts w:ascii="Arial" w:eastAsia="Arial" w:hAnsi="Arial" w:cs="Arial"/>
          <w:color w:val="000000"/>
          <w:sz w:val="18"/>
        </w:rPr>
        <w:t xml:space="preserve"> some adverse personnel decision or other term or condition of employment." </w:t>
      </w:r>
      <w:bookmarkStart w:id="4581" w:name="Bookmark_I61CDGHD28T4VC0030000400"/>
      <w:bookmarkEnd w:id="4581"/>
      <w:r>
        <w:rPr>
          <w:rFonts w:ascii="Arial" w:eastAsia="Arial" w:hAnsi="Arial" w:cs="Arial"/>
          <w:i/>
          <w:color w:val="000000"/>
          <w:sz w:val="18"/>
        </w:rPr>
        <w:t>Id.</w:t>
      </w:r>
      <w:r>
        <w:rPr>
          <w:rFonts w:ascii="Arial" w:eastAsia="Arial" w:hAnsi="Arial" w:cs="Arial"/>
          <w:color w:val="000000"/>
          <w:sz w:val="18"/>
        </w:rPr>
        <w:t xml:space="preserve"> at 1099. We do not read this language as suggesting, however, that an adverse employment action—as the district court here understood it, that is, one involving "a </w:t>
      </w:r>
      <w:r>
        <w:rPr>
          <w:rFonts w:ascii="Arial" w:eastAsia="Arial" w:hAnsi="Arial" w:cs="Arial"/>
          <w:i/>
          <w:color w:val="000000"/>
          <w:sz w:val="18"/>
        </w:rPr>
        <w:t>significant change in employment status</w:t>
      </w:r>
      <w:r>
        <w:rPr>
          <w:rFonts w:ascii="Arial" w:eastAsia="Arial" w:hAnsi="Arial" w:cs="Arial"/>
          <w:color w:val="000000"/>
          <w:sz w:val="18"/>
        </w:rPr>
        <w:t xml:space="preserve">," Aplt.'s App., Vol. II, at 449 (emphasis added)—is a requisite element of a failure-to-accommodate claim. Indeed, </w:t>
      </w:r>
      <w:r>
        <w:rPr>
          <w:rFonts w:ascii="Arial" w:eastAsia="Arial" w:hAnsi="Arial" w:cs="Arial"/>
          <w:i/>
          <w:color w:val="000000"/>
          <w:sz w:val="18"/>
        </w:rPr>
        <w:t>Marshall</w:t>
      </w:r>
      <w:r>
        <w:rPr>
          <w:rFonts w:ascii="Arial" w:eastAsia="Arial" w:hAnsi="Arial" w:cs="Arial"/>
          <w:color w:val="000000"/>
          <w:sz w:val="18"/>
        </w:rPr>
        <w:t xml:space="preserve"> itself left little room for doubt on the matter: the panel there</w:t>
      </w:r>
    </w:p>
    <w:p w14:paraId="4BF3A1F7" w14:textId="77777777" w:rsidR="002B10A6" w:rsidRDefault="00000000">
      <w:pPr>
        <w:pStyle w:val="Normal23"/>
        <w:widowControl w:val="0"/>
        <w:spacing w:before="200" w:line="240" w:lineRule="atLeast"/>
        <w:ind w:left="400"/>
        <w:jc w:val="both"/>
      </w:pPr>
      <w:bookmarkStart w:id="4582" w:name="Bookmark_para_58_4"/>
      <w:bookmarkStart w:id="4583" w:name="Bookmark_I61CDGHD2D6N0H0010000400"/>
      <w:bookmarkEnd w:id="4582"/>
      <w:bookmarkEnd w:id="4583"/>
      <w:r>
        <w:rPr>
          <w:rFonts w:ascii="Arial" w:eastAsia="Arial" w:hAnsi="Arial" w:cs="Arial"/>
          <w:color w:val="000000"/>
          <w:sz w:val="18"/>
        </w:rPr>
        <w:t xml:space="preserve">assume[d] without deciding that if working conditions inflict pain or hardship on a disabled employee, the employer fails to modify the condition upon the employee's demand, and the employee simply bears the conditions, this could amount to a denial [**42]  of a reasonable accommodation, </w:t>
      </w:r>
      <w:r>
        <w:rPr>
          <w:rFonts w:ascii="Arial" w:eastAsia="Arial" w:hAnsi="Arial" w:cs="Arial"/>
          <w:i/>
          <w:color w:val="000000"/>
          <w:sz w:val="18"/>
        </w:rPr>
        <w:t>despite there being no job loss, pay loss, transfer, demotion, denial of advancement, or other adverse personnel action</w:t>
      </w:r>
      <w:r>
        <w:rPr>
          <w:rFonts w:ascii="Arial" w:eastAsia="Arial" w:hAnsi="Arial" w:cs="Arial"/>
          <w:color w:val="000000"/>
          <w:sz w:val="18"/>
        </w:rPr>
        <w:t>.</w:t>
      </w:r>
    </w:p>
    <w:p w14:paraId="5C996F53" w14:textId="77777777" w:rsidR="002B10A6" w:rsidRDefault="00000000">
      <w:pPr>
        <w:pStyle w:val="Normal23"/>
        <w:widowControl w:val="0"/>
        <w:spacing w:before="200" w:line="240" w:lineRule="atLeast"/>
        <w:jc w:val="both"/>
      </w:pPr>
      <w:bookmarkStart w:id="4584" w:name="Bookmark_I61CDGHD2D6N0H0010000400_2"/>
      <w:bookmarkStart w:id="4585" w:name="Bookmark_I61CDGHD28T4VC0050000400"/>
      <w:bookmarkEnd w:id="4584"/>
      <w:bookmarkEnd w:id="4585"/>
      <w:r>
        <w:rPr>
          <w:rFonts w:ascii="Arial" w:eastAsia="Arial" w:hAnsi="Arial" w:cs="Arial"/>
          <w:color w:val="000000"/>
          <w:sz w:val="18"/>
        </w:rPr>
        <w:t xml:space="preserve">130 F.3d at 1099 (emphasis added). The </w:t>
      </w:r>
      <w:r>
        <w:rPr>
          <w:rFonts w:ascii="Arial" w:eastAsia="Arial" w:hAnsi="Arial" w:cs="Arial"/>
          <w:i/>
          <w:color w:val="000000"/>
          <w:sz w:val="18"/>
        </w:rPr>
        <w:t>Marshall</w:t>
      </w:r>
      <w:r>
        <w:rPr>
          <w:rFonts w:ascii="Arial" w:eastAsia="Arial" w:hAnsi="Arial" w:cs="Arial"/>
          <w:color w:val="000000"/>
          <w:sz w:val="18"/>
        </w:rPr>
        <w:t xml:space="preserve"> panel would not have been able to make this assumption if—in stating that an ADA failure-to-accommodate claim must be "in regard to some adverse personnel decision or other term or condition of employment," </w:t>
      </w:r>
      <w:r>
        <w:rPr>
          <w:rFonts w:ascii="Arial" w:eastAsia="Arial" w:hAnsi="Arial" w:cs="Arial"/>
          <w:i/>
          <w:color w:val="000000"/>
          <w:sz w:val="18"/>
        </w:rPr>
        <w:t>id.</w:t>
      </w:r>
      <w:r>
        <w:rPr>
          <w:rFonts w:ascii="Arial" w:eastAsia="Arial" w:hAnsi="Arial" w:cs="Arial"/>
          <w:color w:val="000000"/>
          <w:sz w:val="18"/>
        </w:rPr>
        <w:t>—it was in fact expressing the view that the viability of such claims is conditioned on the presence of an adverse employment action, as the district court here understood it (i.e., a significant change in employment status).</w:t>
      </w:r>
    </w:p>
  </w:footnote>
  <w:footnote w:id="177">
    <w:p w14:paraId="0550A0E4"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13 </w:t>
      </w:r>
      <w:bookmarkStart w:id="4596" w:name="Bookmark_fnpara_16_1"/>
      <w:bookmarkStart w:id="4597" w:name="Bookmark_I61CDGHF2N1R1W0050000400"/>
      <w:bookmarkStart w:id="4598" w:name="Bookmark_I61CDGHF2SF8G70020000400"/>
      <w:bookmarkEnd w:id="4596"/>
      <w:bookmarkEnd w:id="4597"/>
      <w:bookmarkEnd w:id="4598"/>
      <w:r>
        <w:rPr>
          <w:rFonts w:ascii="Arial" w:eastAsia="Arial" w:hAnsi="Arial" w:cs="Arial"/>
          <w:color w:val="000000"/>
          <w:sz w:val="18"/>
        </w:rPr>
        <w:t xml:space="preserve">A panel of the Eighth Circuit has strayed from the path marked by other Eighth Circuit panels addressing ADA failure-to-accommodate claims. </w:t>
      </w:r>
      <w:bookmarkStart w:id="4599" w:name="Bookmark_I61CDGHF28T4VM0010000400"/>
      <w:bookmarkEnd w:id="4599"/>
      <w:r>
        <w:rPr>
          <w:rFonts w:ascii="Arial" w:eastAsia="Arial" w:hAnsi="Arial" w:cs="Arial"/>
          <w:i/>
          <w:color w:val="000000"/>
          <w:sz w:val="18"/>
        </w:rPr>
        <w:t xml:space="preserve">See </w:t>
      </w:r>
      <w:bookmarkStart w:id="4600" w:name="Bookmark_I61CDGHF2N1R1W0040000400"/>
      <w:bookmarkEnd w:id="4600"/>
      <w:r>
        <w:rPr>
          <w:rFonts w:ascii="Arial" w:eastAsia="Arial" w:hAnsi="Arial" w:cs="Arial"/>
          <w:i/>
          <w:color w:val="000000"/>
          <w:sz w:val="18"/>
        </w:rPr>
        <w:t>Fenney v. Dakota, Minn. &amp; E. R.R. Co.</w:t>
      </w:r>
      <w:r>
        <w:rPr>
          <w:rFonts w:ascii="Arial" w:eastAsia="Arial" w:hAnsi="Arial" w:cs="Arial"/>
          <w:color w:val="000000"/>
          <w:sz w:val="18"/>
        </w:rPr>
        <w:t xml:space="preserve">, 327 F.3d 707 (8th Cir. 2003). </w:t>
      </w:r>
      <w:bookmarkStart w:id="4601" w:name="Bookmark_I61CDGHF28T4VM0030000400"/>
      <w:bookmarkEnd w:id="4601"/>
      <w:r>
        <w:rPr>
          <w:rFonts w:ascii="Arial" w:eastAsia="Arial" w:hAnsi="Arial" w:cs="Arial"/>
          <w:color w:val="000000"/>
          <w:sz w:val="18"/>
        </w:rPr>
        <w:t xml:space="preserve">There, the panel stated that, in pursuing a failure-to-accommodate claim, a plaintiff must demonstrate, </w:t>
      </w:r>
      <w:r>
        <w:rPr>
          <w:rFonts w:ascii="Arial" w:eastAsia="Arial" w:hAnsi="Arial" w:cs="Arial"/>
          <w:i/>
          <w:color w:val="000000"/>
          <w:sz w:val="18"/>
        </w:rPr>
        <w:t>inter alia</w:t>
      </w:r>
      <w:r>
        <w:rPr>
          <w:rFonts w:ascii="Arial" w:eastAsia="Arial" w:hAnsi="Arial" w:cs="Arial"/>
          <w:color w:val="000000"/>
          <w:sz w:val="18"/>
        </w:rPr>
        <w:t xml:space="preserve">, that she "suffered an adverse employment action as a result of the disability." </w:t>
      </w:r>
      <w:bookmarkStart w:id="4602" w:name="Bookmark_I61CDGHF2SF8G70010000400"/>
      <w:bookmarkEnd w:id="4602"/>
      <w:r>
        <w:rPr>
          <w:rFonts w:ascii="Arial" w:eastAsia="Arial" w:hAnsi="Arial" w:cs="Arial"/>
          <w:i/>
          <w:color w:val="000000"/>
          <w:sz w:val="18"/>
        </w:rPr>
        <w:t>Id.</w:t>
      </w:r>
      <w:r>
        <w:rPr>
          <w:rFonts w:ascii="Arial" w:eastAsia="Arial" w:hAnsi="Arial" w:cs="Arial"/>
          <w:color w:val="000000"/>
          <w:sz w:val="18"/>
        </w:rPr>
        <w:t xml:space="preserve"> at 711 (quoting </w:t>
      </w:r>
      <w:bookmarkStart w:id="4603" w:name="Bookmark_I61CDGHF2SF8G70030000400"/>
      <w:bookmarkEnd w:id="4603"/>
      <w:r>
        <w:rPr>
          <w:rFonts w:ascii="Arial" w:eastAsia="Arial" w:hAnsi="Arial" w:cs="Arial"/>
          <w:i/>
          <w:color w:val="000000"/>
          <w:sz w:val="18"/>
        </w:rPr>
        <w:t>Duty v. Norton-Alcoa Proppants</w:t>
      </w:r>
      <w:r>
        <w:rPr>
          <w:rFonts w:ascii="Arial" w:eastAsia="Arial" w:hAnsi="Arial" w:cs="Arial"/>
          <w:color w:val="000000"/>
          <w:sz w:val="18"/>
        </w:rPr>
        <w:t xml:space="preserve">, 293 F.3d 481, 490 (8th Cir. 2002)). </w:t>
      </w:r>
      <w:bookmarkStart w:id="4604" w:name="Bookmark_I61CDGHF28T4VM0030000400_2"/>
      <w:bookmarkStart w:id="4605" w:name="Bookmark_I61CDGHF28T4VM0010000400_2"/>
      <w:bookmarkStart w:id="4606" w:name="Bookmark_I722C9XGG9F0000671P0009H"/>
      <w:bookmarkStart w:id="4607" w:name="Bookmark_I61CDGHF28T4VM0050000400"/>
      <w:bookmarkEnd w:id="4604"/>
      <w:bookmarkEnd w:id="4605"/>
      <w:bookmarkEnd w:id="4606"/>
      <w:bookmarkEnd w:id="4607"/>
      <w:r>
        <w:rPr>
          <w:rFonts w:ascii="Arial" w:eastAsia="Arial" w:hAnsi="Arial" w:cs="Arial"/>
          <w:color w:val="000000"/>
          <w:sz w:val="18"/>
        </w:rPr>
        <w:t xml:space="preserve">And it relied on the Seventh Circuit's decision in </w:t>
      </w:r>
      <w:bookmarkStart w:id="4608" w:name="Bookmark_I61CDGHF2SF8G70050000400"/>
      <w:bookmarkEnd w:id="4608"/>
      <w:r>
        <w:rPr>
          <w:rFonts w:ascii="Arial" w:eastAsia="Arial" w:hAnsi="Arial" w:cs="Arial"/>
          <w:i/>
          <w:color w:val="000000"/>
          <w:sz w:val="18"/>
        </w:rPr>
        <w:t>Foster v. Arthur Andersen, LLP</w:t>
      </w:r>
      <w:r>
        <w:rPr>
          <w:rFonts w:ascii="Arial" w:eastAsia="Arial" w:hAnsi="Arial" w:cs="Arial"/>
          <w:color w:val="000000"/>
          <w:sz w:val="18"/>
        </w:rPr>
        <w:t xml:space="preserve">, 168 F.3d 1029 (7th Cir. 1999), in support of this proposition. </w:t>
      </w:r>
      <w:bookmarkStart w:id="4609" w:name="Bookmark_I61CDGHF28T4VM0050000400_2"/>
      <w:bookmarkStart w:id="4610" w:name="Bookmark_I61CDGHG2D6N0R0020000400"/>
      <w:bookmarkEnd w:id="4609"/>
      <w:bookmarkEnd w:id="4610"/>
      <w:r>
        <w:rPr>
          <w:rFonts w:ascii="Arial" w:eastAsia="Arial" w:hAnsi="Arial" w:cs="Arial"/>
          <w:i/>
          <w:color w:val="000000"/>
          <w:sz w:val="18"/>
        </w:rPr>
        <w:t xml:space="preserve">See </w:t>
      </w:r>
      <w:bookmarkStart w:id="4611" w:name="Bookmark_I61CDGHF28T4VM0020000400"/>
      <w:bookmarkEnd w:id="4611"/>
      <w:r>
        <w:rPr>
          <w:rFonts w:ascii="Arial" w:eastAsia="Arial" w:hAnsi="Arial" w:cs="Arial"/>
          <w:i/>
          <w:color w:val="000000"/>
          <w:sz w:val="18"/>
        </w:rPr>
        <w:t>Fenney</w:t>
      </w:r>
      <w:r>
        <w:rPr>
          <w:rFonts w:ascii="Arial" w:eastAsia="Arial" w:hAnsi="Arial" w:cs="Arial"/>
          <w:color w:val="000000"/>
          <w:sz w:val="18"/>
        </w:rPr>
        <w:t xml:space="preserve">, 327 F.3d at 716 &amp; n.18. </w:t>
      </w:r>
      <w:bookmarkStart w:id="4612" w:name="Bookmark_I61CDGHG2D6N0R0020000400_2"/>
      <w:bookmarkStart w:id="4613" w:name="Bookmark_I61CDGHF28T4VM0050000400_3"/>
      <w:bookmarkStart w:id="4614" w:name="Bookmark_I722C9XGSM50000671P0009M"/>
      <w:bookmarkStart w:id="4615" w:name="Bookmark_I61CDGHG2D6N0R0040000400"/>
      <w:bookmarkStart w:id="4616" w:name="Bookmark_I61CDGHF28T4VM0040000400"/>
      <w:bookmarkEnd w:id="4612"/>
      <w:bookmarkEnd w:id="4613"/>
      <w:bookmarkEnd w:id="4614"/>
      <w:bookmarkEnd w:id="4615"/>
      <w:bookmarkEnd w:id="4616"/>
      <w:r>
        <w:rPr>
          <w:rFonts w:ascii="Arial" w:eastAsia="Arial" w:hAnsi="Arial" w:cs="Arial"/>
          <w:i/>
          <w:color w:val="000000"/>
          <w:sz w:val="18"/>
        </w:rPr>
        <w:t>Fenney</w:t>
      </w:r>
      <w:r>
        <w:rPr>
          <w:rFonts w:ascii="Arial" w:eastAsia="Arial" w:hAnsi="Arial" w:cs="Arial"/>
          <w:color w:val="000000"/>
          <w:sz w:val="18"/>
        </w:rPr>
        <w:t xml:space="preserve"> is unrepresentative of Eighth Circuit failure-to-accommodate cases, and it would be a problematic guide for us for at least two reasons. </w:t>
      </w:r>
      <w:bookmarkStart w:id="4617" w:name="Bookmark_I61CDGHG2D6N0R0040000400_2"/>
      <w:bookmarkEnd w:id="4617"/>
      <w:r>
        <w:rPr>
          <w:rFonts w:ascii="Arial" w:eastAsia="Arial" w:hAnsi="Arial" w:cs="Arial"/>
          <w:color w:val="000000"/>
          <w:sz w:val="18"/>
        </w:rPr>
        <w:t xml:space="preserve">First, the </w:t>
      </w:r>
      <w:r>
        <w:rPr>
          <w:rFonts w:ascii="Arial" w:eastAsia="Arial" w:hAnsi="Arial" w:cs="Arial"/>
          <w:i/>
          <w:color w:val="000000"/>
          <w:sz w:val="18"/>
        </w:rPr>
        <w:t>Duty</w:t>
      </w:r>
      <w:r>
        <w:rPr>
          <w:rFonts w:ascii="Arial" w:eastAsia="Arial" w:hAnsi="Arial" w:cs="Arial"/>
          <w:color w:val="000000"/>
          <w:sz w:val="18"/>
        </w:rPr>
        <w:t xml:space="preserve"> case from which </w:t>
      </w:r>
      <w:r>
        <w:rPr>
          <w:rFonts w:ascii="Arial" w:eastAsia="Arial" w:hAnsi="Arial" w:cs="Arial"/>
          <w:i/>
          <w:color w:val="000000"/>
          <w:sz w:val="18"/>
        </w:rPr>
        <w:t>Fenney</w:t>
      </w:r>
      <w:r>
        <w:rPr>
          <w:rFonts w:ascii="Arial" w:eastAsia="Arial" w:hAnsi="Arial" w:cs="Arial"/>
          <w:color w:val="000000"/>
          <w:sz w:val="18"/>
        </w:rPr>
        <w:t xml:space="preserve"> quoted the elements of a prima facie case is not even a failure-to-accommodate case; instead, as classically befits a disparate-treatment claim, the plaintiff there alleged that his employer "terminated his employment, based on disability." </w:t>
      </w:r>
      <w:bookmarkStart w:id="4618" w:name="Bookmark_I61CDGHG2D6N0R0010000400"/>
      <w:bookmarkEnd w:id="4618"/>
      <w:r>
        <w:rPr>
          <w:rFonts w:ascii="Arial" w:eastAsia="Arial" w:hAnsi="Arial" w:cs="Arial"/>
          <w:i/>
          <w:color w:val="000000"/>
          <w:sz w:val="18"/>
        </w:rPr>
        <w:t>Duty</w:t>
      </w:r>
      <w:r>
        <w:rPr>
          <w:rFonts w:ascii="Arial" w:eastAsia="Arial" w:hAnsi="Arial" w:cs="Arial"/>
          <w:color w:val="000000"/>
          <w:sz w:val="18"/>
        </w:rPr>
        <w:t xml:space="preserve">, 293 F.3d at 488. </w:t>
      </w:r>
      <w:bookmarkStart w:id="4619" w:name="Bookmark_I61CDGHG2D6N0R0040000400_3"/>
      <w:bookmarkEnd w:id="4619"/>
      <w:r>
        <w:rPr>
          <w:rFonts w:ascii="Arial" w:eastAsia="Arial" w:hAnsi="Arial" w:cs="Arial"/>
          <w:color w:val="000000"/>
          <w:sz w:val="18"/>
        </w:rPr>
        <w:t xml:space="preserve">Further, as we explicate in this same subpart </w:t>
      </w:r>
      <w:bookmarkStart w:id="4620" w:name="Bookmark_I61CDGHG2D6N0R0040000400_4"/>
      <w:bookmarkEnd w:id="4620"/>
      <w:r>
        <w:rPr>
          <w:rFonts w:ascii="Arial" w:eastAsia="Arial" w:hAnsi="Arial" w:cs="Arial"/>
          <w:i/>
          <w:color w:val="000000"/>
          <w:sz w:val="18"/>
        </w:rPr>
        <w:t xml:space="preserve">infra, </w:t>
      </w:r>
      <w:bookmarkStart w:id="4621" w:name="Bookmark_I61CDGHG2D6N0R0030000400"/>
      <w:bookmarkEnd w:id="4621"/>
      <w:r>
        <w:rPr>
          <w:rFonts w:ascii="Arial" w:eastAsia="Arial" w:hAnsi="Arial" w:cs="Arial"/>
          <w:i/>
          <w:color w:val="000000"/>
          <w:sz w:val="18"/>
        </w:rPr>
        <w:t>Foster</w:t>
      </w:r>
      <w:r>
        <w:rPr>
          <w:rFonts w:ascii="Arial" w:eastAsia="Arial" w:hAnsi="Arial" w:cs="Arial"/>
          <w:color w:val="000000"/>
          <w:sz w:val="18"/>
        </w:rPr>
        <w:t xml:space="preserve"> is at best dubious authority and seems to be an outlier in the Seventh Circuit.</w:t>
      </w:r>
    </w:p>
  </w:footnote>
  <w:footnote w:id="178">
    <w:p w14:paraId="01390739"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14 </w:t>
      </w:r>
      <w:bookmarkStart w:id="4624" w:name="Bookmark_fnpara_17_1"/>
      <w:bookmarkStart w:id="4625" w:name="Bookmark_I61CDGHG2SF8G90010000400"/>
      <w:bookmarkStart w:id="4626" w:name="Bookmark_I61CDGHG2SF8G90030000400"/>
      <w:bookmarkEnd w:id="4624"/>
      <w:bookmarkEnd w:id="4625"/>
      <w:bookmarkEnd w:id="4626"/>
      <w:r>
        <w:rPr>
          <w:rFonts w:ascii="Arial" w:eastAsia="Arial" w:hAnsi="Arial" w:cs="Arial"/>
          <w:color w:val="000000"/>
          <w:sz w:val="18"/>
        </w:rPr>
        <w:t xml:space="preserve">In fact, a recent decision may suggest that the Eighth Circuit is effacing completely whatever nominal, thin line has typically separated its precedent from those circuits that have straightforwardly declined to incorporate an adverse-employment-action requirement into an ADA failure-to-accommodate claim. </w:t>
      </w:r>
      <w:r>
        <w:rPr>
          <w:rFonts w:ascii="Arial" w:eastAsia="Arial" w:hAnsi="Arial" w:cs="Arial"/>
          <w:i/>
          <w:color w:val="000000"/>
          <w:sz w:val="18"/>
        </w:rPr>
        <w:t xml:space="preserve">See </w:t>
      </w:r>
      <w:bookmarkStart w:id="4627" w:name="Bookmark_I61CDGHG2D6N0R0050000400"/>
      <w:bookmarkEnd w:id="4627"/>
      <w:r>
        <w:rPr>
          <w:rFonts w:ascii="Arial" w:eastAsia="Arial" w:hAnsi="Arial" w:cs="Arial"/>
          <w:i/>
          <w:color w:val="000000"/>
          <w:sz w:val="18"/>
        </w:rPr>
        <w:t>Garrison v. Dolgencorp, LLC</w:t>
      </w:r>
      <w:r>
        <w:rPr>
          <w:rFonts w:ascii="Arial" w:eastAsia="Arial" w:hAnsi="Arial" w:cs="Arial"/>
          <w:color w:val="000000"/>
          <w:sz w:val="18"/>
        </w:rPr>
        <w:t xml:space="preserve">, 939 F.3d 937 (8th Cir. 2019). </w:t>
      </w:r>
      <w:bookmarkStart w:id="4628" w:name="Bookmark_I61CDGHG28T4VR0020000400"/>
      <w:bookmarkEnd w:id="4628"/>
      <w:r>
        <w:rPr>
          <w:rFonts w:ascii="Arial" w:eastAsia="Arial" w:hAnsi="Arial" w:cs="Arial"/>
          <w:color w:val="000000"/>
          <w:sz w:val="18"/>
        </w:rPr>
        <w:t xml:space="preserve">In </w:t>
      </w:r>
      <w:r>
        <w:rPr>
          <w:rFonts w:ascii="Arial" w:eastAsia="Arial" w:hAnsi="Arial" w:cs="Arial"/>
          <w:i/>
          <w:color w:val="000000"/>
          <w:sz w:val="18"/>
        </w:rPr>
        <w:t>Garrison</w:t>
      </w:r>
      <w:r>
        <w:rPr>
          <w:rFonts w:ascii="Arial" w:eastAsia="Arial" w:hAnsi="Arial" w:cs="Arial"/>
          <w:color w:val="000000"/>
          <w:sz w:val="18"/>
        </w:rPr>
        <w:t xml:space="preserve">, the Eighth Circuit panel elided any mention of an adverse-employment-action element in expressly setting forth the plaintiff's prima face case in a failure-to-accommodate claim; it required the plaintiff to show, as most relevant here, only that the employer "failed to engage in a 'flexible' and 'informal[] interactive process' with her about possible accommodations" and that "her disability could have been reasonably accommodated had the interactive process taken place." </w:t>
      </w:r>
      <w:bookmarkStart w:id="4629" w:name="Bookmark_I61CDGHG2SF8G90020000400"/>
      <w:bookmarkEnd w:id="4629"/>
      <w:r>
        <w:rPr>
          <w:rFonts w:ascii="Arial" w:eastAsia="Arial" w:hAnsi="Arial" w:cs="Arial"/>
          <w:i/>
          <w:color w:val="000000"/>
          <w:sz w:val="18"/>
        </w:rPr>
        <w:t>Id.</w:t>
      </w:r>
      <w:r>
        <w:rPr>
          <w:rFonts w:ascii="Arial" w:eastAsia="Arial" w:hAnsi="Arial" w:cs="Arial"/>
          <w:color w:val="000000"/>
          <w:sz w:val="18"/>
        </w:rPr>
        <w:t xml:space="preserve"> at 941 (alteration in original) (quoting </w:t>
      </w:r>
      <w:bookmarkStart w:id="4630" w:name="Bookmark_I61CDGHG2SF8G90040000400"/>
      <w:bookmarkEnd w:id="4630"/>
      <w:r>
        <w:rPr>
          <w:rFonts w:ascii="Arial" w:eastAsia="Arial" w:hAnsi="Arial" w:cs="Arial"/>
          <w:i/>
          <w:color w:val="000000"/>
          <w:sz w:val="18"/>
        </w:rPr>
        <w:t>Fjellestad v. Pizza Hut of Am., Inc.</w:t>
      </w:r>
      <w:r>
        <w:rPr>
          <w:rFonts w:ascii="Arial" w:eastAsia="Arial" w:hAnsi="Arial" w:cs="Arial"/>
          <w:color w:val="000000"/>
          <w:sz w:val="18"/>
        </w:rPr>
        <w:t xml:space="preserve">, 188 F.3d 944, 951-52 (8th Cir. 1999)). </w:t>
      </w:r>
      <w:bookmarkStart w:id="4631" w:name="Bookmark_I61CDGHG28T4VR0020000400_2"/>
      <w:bookmarkStart w:id="4632" w:name="Bookmark_I722C9XH5N60000671P0009S"/>
      <w:bookmarkStart w:id="4633" w:name="Bookmark_I61CDGHG2SF8GD0030000400"/>
      <w:bookmarkEnd w:id="4631"/>
      <w:bookmarkEnd w:id="4632"/>
      <w:bookmarkEnd w:id="4633"/>
      <w:r>
        <w:rPr>
          <w:rFonts w:ascii="Arial" w:eastAsia="Arial" w:hAnsi="Arial" w:cs="Arial"/>
          <w:color w:val="000000"/>
          <w:sz w:val="18"/>
        </w:rPr>
        <w:t xml:space="preserve">That, moreover, was not the end of the story. </w:t>
      </w:r>
      <w:r>
        <w:rPr>
          <w:rFonts w:ascii="Arial" w:eastAsia="Arial" w:hAnsi="Arial" w:cs="Arial"/>
          <w:i/>
          <w:color w:val="000000"/>
          <w:sz w:val="18"/>
        </w:rPr>
        <w:t>Garrison</w:t>
      </w:r>
      <w:r>
        <w:rPr>
          <w:rFonts w:ascii="Arial" w:eastAsia="Arial" w:hAnsi="Arial" w:cs="Arial"/>
          <w:color w:val="000000"/>
          <w:sz w:val="18"/>
        </w:rPr>
        <w:t xml:space="preserve"> also expressly distinguished the plaintiff's ADA failure-to-accommodate claim from her other claims, including a state-law failure-to-accommodate claim, that required her to show that "she suffered an 'adverse employment action.'" </w:t>
      </w:r>
      <w:bookmarkStart w:id="4634" w:name="Bookmark_I61CDGHG28T4VR0010000400"/>
      <w:bookmarkEnd w:id="4634"/>
      <w:r>
        <w:rPr>
          <w:rFonts w:ascii="Arial" w:eastAsia="Arial" w:hAnsi="Arial" w:cs="Arial"/>
          <w:i/>
          <w:color w:val="000000"/>
          <w:sz w:val="18"/>
        </w:rPr>
        <w:t>Id.</w:t>
      </w:r>
      <w:r>
        <w:rPr>
          <w:rFonts w:ascii="Arial" w:eastAsia="Arial" w:hAnsi="Arial" w:cs="Arial"/>
          <w:color w:val="000000"/>
          <w:sz w:val="18"/>
        </w:rPr>
        <w:t xml:space="preserve"> at 942 n.1 (quoting </w:t>
      </w:r>
      <w:bookmarkStart w:id="4635" w:name="Bookmark_I61CDGHG28T4VR0030000400"/>
      <w:bookmarkEnd w:id="4635"/>
      <w:r>
        <w:rPr>
          <w:rFonts w:ascii="Arial" w:eastAsia="Arial" w:hAnsi="Arial" w:cs="Arial"/>
          <w:i/>
          <w:color w:val="000000"/>
          <w:sz w:val="18"/>
        </w:rPr>
        <w:t>Markham v. Wertin</w:t>
      </w:r>
      <w:r>
        <w:rPr>
          <w:rFonts w:ascii="Arial" w:eastAsia="Arial" w:hAnsi="Arial" w:cs="Arial"/>
          <w:color w:val="000000"/>
          <w:sz w:val="18"/>
        </w:rPr>
        <w:t xml:space="preserve">, 861 F.3d 748, 756 (8th Cir. 2017)); </w:t>
      </w:r>
      <w:r>
        <w:rPr>
          <w:rFonts w:ascii="Arial" w:eastAsia="Arial" w:hAnsi="Arial" w:cs="Arial"/>
          <w:i/>
          <w:color w:val="000000"/>
          <w:sz w:val="18"/>
        </w:rPr>
        <w:t xml:space="preserve">see </w:t>
      </w:r>
      <w:bookmarkStart w:id="4636" w:name="Bookmark_I61CDGHG28T4VR0050000400"/>
      <w:bookmarkEnd w:id="4636"/>
      <w:r>
        <w:rPr>
          <w:rFonts w:ascii="Arial" w:eastAsia="Arial" w:hAnsi="Arial" w:cs="Arial"/>
          <w:i/>
          <w:color w:val="000000"/>
          <w:sz w:val="18"/>
        </w:rPr>
        <w:t>id.</w:t>
      </w:r>
      <w:r>
        <w:rPr>
          <w:rFonts w:ascii="Arial" w:eastAsia="Arial" w:hAnsi="Arial" w:cs="Arial"/>
          <w:color w:val="000000"/>
          <w:sz w:val="18"/>
        </w:rPr>
        <w:t xml:space="preserve"> at 942 (distinguishing plaintiff's failure-to-accommodate claim from her others where a plaintiff "would need to prove that [the employer] took an adverse employment action against her"). </w:t>
      </w:r>
      <w:bookmarkStart w:id="4637" w:name="Bookmark_I61CDGHG2SF8GD0030000400_2"/>
      <w:bookmarkEnd w:id="4637"/>
      <w:r>
        <w:rPr>
          <w:rFonts w:ascii="Arial" w:eastAsia="Arial" w:hAnsi="Arial" w:cs="Arial"/>
          <w:color w:val="000000"/>
          <w:sz w:val="18"/>
        </w:rPr>
        <w:t xml:space="preserve">Therefore, if </w:t>
      </w:r>
      <w:bookmarkStart w:id="4638" w:name="Bookmark_I61CDGHG2SF8GD0030000400_3"/>
      <w:bookmarkStart w:id="4639" w:name="Bookmark_I61CDGHG2SF8GD0020000400"/>
      <w:bookmarkEnd w:id="4638"/>
      <w:bookmarkEnd w:id="4639"/>
      <w:r>
        <w:rPr>
          <w:rFonts w:ascii="Arial" w:eastAsia="Arial" w:hAnsi="Arial" w:cs="Arial"/>
          <w:i/>
          <w:color w:val="000000"/>
          <w:sz w:val="18"/>
        </w:rPr>
        <w:t>Garrison</w:t>
      </w:r>
      <w:r>
        <w:rPr>
          <w:rFonts w:ascii="Arial" w:eastAsia="Arial" w:hAnsi="Arial" w:cs="Arial"/>
          <w:color w:val="000000"/>
          <w:sz w:val="18"/>
        </w:rPr>
        <w:t xml:space="preserve"> is a bellwether of the Eighth Circuit's developing jurisprudence in the ADA failure-to-accommodate context, that circuit may be erasing the thin line that typically has separated its precedent—albeit only nominally—from those circuits that have straightforwardly declined to incorporate an adverse-employment-action requirement into an ADA failure-to-accommodate claim.</w:t>
      </w:r>
    </w:p>
  </w:footnote>
  <w:footnote w:id="179">
    <w:p w14:paraId="03D6D89F"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15 </w:t>
      </w:r>
      <w:bookmarkStart w:id="4654" w:name="Bookmark_fnpara_18_1"/>
      <w:bookmarkEnd w:id="4654"/>
      <w:r>
        <w:rPr>
          <w:rFonts w:ascii="Arial" w:eastAsia="Arial" w:hAnsi="Arial" w:cs="Arial"/>
          <w:color w:val="000000"/>
          <w:sz w:val="18"/>
        </w:rPr>
        <w:t xml:space="preserve">Indeed, as Ms. Exby-Stolley pointed out in oral argument, </w:t>
      </w:r>
      <w:r>
        <w:rPr>
          <w:rFonts w:ascii="Arial" w:eastAsia="Arial" w:hAnsi="Arial" w:cs="Arial"/>
          <w:i/>
          <w:color w:val="000000"/>
          <w:sz w:val="18"/>
        </w:rPr>
        <w:t>see</w:t>
      </w:r>
      <w:r>
        <w:rPr>
          <w:rFonts w:ascii="Arial" w:eastAsia="Arial" w:hAnsi="Arial" w:cs="Arial"/>
          <w:color w:val="000000"/>
          <w:sz w:val="18"/>
        </w:rPr>
        <w:t xml:space="preserve"> Oral Arg. at 19:16-19:51, the author of </w:t>
      </w:r>
      <w:r>
        <w:rPr>
          <w:rFonts w:ascii="Arial" w:eastAsia="Arial" w:hAnsi="Arial" w:cs="Arial"/>
          <w:i/>
          <w:color w:val="000000"/>
          <w:sz w:val="18"/>
        </w:rPr>
        <w:t>Foster</w:t>
      </w:r>
      <w:r>
        <w:rPr>
          <w:rFonts w:ascii="Arial" w:eastAsia="Arial" w:hAnsi="Arial" w:cs="Arial"/>
          <w:color w:val="000000"/>
          <w:sz w:val="18"/>
        </w:rPr>
        <w:t xml:space="preserve"> joined—as a panel member—over ten years later, the </w:t>
      </w:r>
      <w:r>
        <w:rPr>
          <w:rFonts w:ascii="Arial" w:eastAsia="Arial" w:hAnsi="Arial" w:cs="Arial"/>
          <w:i/>
          <w:color w:val="000000"/>
          <w:sz w:val="18"/>
        </w:rPr>
        <w:t>AutoZone</w:t>
      </w:r>
      <w:r>
        <w:rPr>
          <w:rFonts w:ascii="Arial" w:eastAsia="Arial" w:hAnsi="Arial" w:cs="Arial"/>
          <w:color w:val="000000"/>
          <w:sz w:val="18"/>
        </w:rPr>
        <w:t xml:space="preserve"> decision, which expressly and clearly held that "[n]o adverse employment action is required to prove a failure to accommodate," </w:t>
      </w:r>
      <w:bookmarkStart w:id="4655" w:name="Bookmark_I61CDGHH2D6N120010000400"/>
      <w:bookmarkEnd w:id="4655"/>
      <w:r>
        <w:rPr>
          <w:rFonts w:ascii="Arial" w:eastAsia="Arial" w:hAnsi="Arial" w:cs="Arial"/>
          <w:i/>
          <w:color w:val="000000"/>
          <w:sz w:val="18"/>
        </w:rPr>
        <w:t>AutoZone</w:t>
      </w:r>
      <w:r>
        <w:rPr>
          <w:rFonts w:ascii="Arial" w:eastAsia="Arial" w:hAnsi="Arial" w:cs="Arial"/>
          <w:color w:val="000000"/>
          <w:sz w:val="18"/>
        </w:rPr>
        <w:t>, 630 F.3d at 638 n.1.</w:t>
      </w:r>
    </w:p>
  </w:footnote>
  <w:footnote w:id="180">
    <w:p w14:paraId="6441071B"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16 </w:t>
      </w:r>
      <w:bookmarkStart w:id="4689" w:name="Bookmark_fnpara_19_1"/>
      <w:bookmarkEnd w:id="4689"/>
      <w:r>
        <w:rPr>
          <w:rFonts w:ascii="Arial" w:eastAsia="Arial" w:hAnsi="Arial" w:cs="Arial"/>
          <w:color w:val="000000"/>
          <w:sz w:val="18"/>
        </w:rPr>
        <w:t xml:space="preserve">As we noted </w:t>
      </w:r>
      <w:r>
        <w:rPr>
          <w:rFonts w:ascii="Arial" w:eastAsia="Arial" w:hAnsi="Arial" w:cs="Arial"/>
          <w:i/>
          <w:color w:val="000000"/>
          <w:sz w:val="18"/>
        </w:rPr>
        <w:t>supra, see</w:t>
      </w:r>
      <w:r>
        <w:rPr>
          <w:rFonts w:ascii="Arial" w:eastAsia="Arial" w:hAnsi="Arial" w:cs="Arial"/>
          <w:color w:val="000000"/>
          <w:sz w:val="18"/>
        </w:rPr>
        <w:t xml:space="preserve"> Part II.A, we frequently refer to the latter-quoted language, in short, as "the terms-conditions-and-privileges-of-employment language."</w:t>
      </w:r>
    </w:p>
  </w:footnote>
  <w:footnote w:id="181">
    <w:p w14:paraId="2DBA76C0"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17 </w:t>
      </w:r>
      <w:bookmarkStart w:id="4703" w:name="Bookmark_fnpara_20_1"/>
      <w:bookmarkEnd w:id="4703"/>
      <w:r>
        <w:rPr>
          <w:rFonts w:ascii="Arial" w:eastAsia="Arial" w:hAnsi="Arial" w:cs="Arial"/>
          <w:color w:val="000000"/>
          <w:sz w:val="18"/>
        </w:rPr>
        <w:t xml:space="preserve">Though drawing the wrong conclusion from this point, the Panel Majority seemed to recognize as much, too, because it reproduced the statutory text with the two brackets inserted in the same places. </w:t>
      </w:r>
      <w:r>
        <w:rPr>
          <w:rFonts w:ascii="Arial" w:eastAsia="Arial" w:hAnsi="Arial" w:cs="Arial"/>
          <w:i/>
          <w:color w:val="000000"/>
          <w:sz w:val="18"/>
        </w:rPr>
        <w:t>See</w:t>
      </w:r>
      <w:r>
        <w:rPr>
          <w:rFonts w:ascii="Arial" w:eastAsia="Arial" w:hAnsi="Arial" w:cs="Arial"/>
          <w:color w:val="000000"/>
          <w:sz w:val="18"/>
        </w:rPr>
        <w:t xml:space="preserve"> </w:t>
      </w:r>
      <w:bookmarkStart w:id="4704" w:name="Bookmark_I61CDGHM2SF8H30030000400"/>
      <w:bookmarkEnd w:id="4704"/>
      <w:r>
        <w:rPr>
          <w:rFonts w:ascii="Arial" w:eastAsia="Arial" w:hAnsi="Arial" w:cs="Arial"/>
          <w:color w:val="000000"/>
          <w:sz w:val="18"/>
        </w:rPr>
        <w:t>906 F.3d at 907.</w:t>
      </w:r>
    </w:p>
  </w:footnote>
  <w:footnote w:id="182">
    <w:p w14:paraId="656A7977"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18 </w:t>
      </w:r>
      <w:bookmarkStart w:id="4721" w:name="Bookmark_fnpara_21_1"/>
      <w:bookmarkEnd w:id="4721"/>
      <w:r>
        <w:rPr>
          <w:rFonts w:ascii="Arial" w:eastAsia="Arial" w:hAnsi="Arial" w:cs="Arial"/>
          <w:color w:val="000000"/>
          <w:sz w:val="18"/>
        </w:rPr>
        <w:t xml:space="preserve">The Panel Majority mistakenly viewed the examples in subsection (b) as in some sense distinct from the areas of discrimination specified in the second component of the "General rule." </w:t>
      </w:r>
      <w:r>
        <w:rPr>
          <w:rFonts w:ascii="Arial" w:eastAsia="Arial" w:hAnsi="Arial" w:cs="Arial"/>
          <w:i/>
          <w:color w:val="000000"/>
          <w:sz w:val="18"/>
        </w:rPr>
        <w:t>See</w:t>
      </w:r>
      <w:r>
        <w:rPr>
          <w:rFonts w:ascii="Arial" w:eastAsia="Arial" w:hAnsi="Arial" w:cs="Arial"/>
          <w:color w:val="000000"/>
          <w:sz w:val="18"/>
        </w:rPr>
        <w:t xml:space="preserve"> </w:t>
      </w:r>
      <w:bookmarkStart w:id="4722" w:name="Bookmark_I61CDGHM2SF8H30050000400"/>
      <w:bookmarkEnd w:id="4722"/>
      <w:r>
        <w:rPr>
          <w:rFonts w:ascii="Arial" w:eastAsia="Arial" w:hAnsi="Arial" w:cs="Arial"/>
          <w:color w:val="000000"/>
          <w:sz w:val="18"/>
        </w:rPr>
        <w:t xml:space="preserve">906 F.3d at 907 ("What subparagraph (b)(5)(A) and the other provisions in subsection (b) do is to provide disabled persons with a cause of action even when they have not shown that the employer 'discriminate[d] against a qualified individual on the basis of disability,' </w:t>
      </w:r>
      <w:r>
        <w:rPr>
          <w:rFonts w:ascii="Arial" w:eastAsia="Arial" w:hAnsi="Arial" w:cs="Arial"/>
          <w:i/>
          <w:color w:val="000000"/>
          <w:sz w:val="18"/>
        </w:rPr>
        <w:t>as otherwise required by § 12112(a)</w:t>
      </w:r>
      <w:r>
        <w:rPr>
          <w:rFonts w:ascii="Arial" w:eastAsia="Arial" w:hAnsi="Arial" w:cs="Arial"/>
          <w:color w:val="000000"/>
          <w:sz w:val="18"/>
        </w:rPr>
        <w:t>." (alteration in original) (emphasis added)).</w:t>
      </w:r>
    </w:p>
  </w:footnote>
  <w:footnote w:id="183">
    <w:p w14:paraId="40C2C2A4"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19 </w:t>
      </w:r>
      <w:bookmarkStart w:id="4735" w:name="Bookmark_fnpara_22_1"/>
      <w:bookmarkEnd w:id="4735"/>
      <w:r>
        <w:rPr>
          <w:rFonts w:ascii="Arial" w:eastAsia="Arial" w:hAnsi="Arial" w:cs="Arial"/>
          <w:color w:val="000000"/>
          <w:sz w:val="18"/>
        </w:rPr>
        <w:t xml:space="preserve">Thus, it should be patent from the foregoing analysis that, in predicating its position on the belief that we have somehow ignored the terms-conditions-and-privileges-of-employment language—what the Principal Dissent calls the "in-regard-to clause"—or rendered this language irrelevant to an ADA failure-to-accommodate claim, the Principal Dissent is fundamentally mistaken. </w:t>
      </w:r>
      <w:r>
        <w:rPr>
          <w:rFonts w:ascii="Arial" w:eastAsia="Arial" w:hAnsi="Arial" w:cs="Arial"/>
          <w:i/>
          <w:color w:val="000000"/>
          <w:sz w:val="18"/>
        </w:rPr>
        <w:t>See, e.g.</w:t>
      </w:r>
      <w:r>
        <w:rPr>
          <w:rFonts w:ascii="Arial" w:eastAsia="Arial" w:hAnsi="Arial" w:cs="Arial"/>
          <w:color w:val="000000"/>
          <w:sz w:val="18"/>
        </w:rPr>
        <w:t xml:space="preserve">, Principal Dissent at 1-5, 43-45. </w:t>
      </w:r>
      <w:bookmarkStart w:id="4736" w:name="Bookmark_LNHNREFclscc44_0"/>
      <w:bookmarkEnd w:id="4736"/>
      <w:r>
        <w:rPr>
          <w:rFonts w:ascii="Arial" w:eastAsia="Arial" w:hAnsi="Arial" w:cs="Arial"/>
          <w:color w:val="000000"/>
          <w:sz w:val="18"/>
        </w:rPr>
        <w:t>Suffice it to say that, properly understood, the statutory language that forms the basis for an ADA failure-to-accommodate claim, § 12112(b)(5)(A), is inextricably intertwined with and necessarily implicates the terms-conditions-and-privileges-of-employment language (i.e., the second component of § 12112(a)'s "General rule").</w:t>
      </w:r>
    </w:p>
  </w:footnote>
  <w:footnote w:id="184">
    <w:p w14:paraId="0AB1E373"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20 </w:t>
      </w:r>
      <w:bookmarkStart w:id="4737" w:name="Bookmark_fnpara_23_1"/>
      <w:bookmarkStart w:id="4738" w:name="Bookmark_LNHNREFclscc45"/>
      <w:bookmarkEnd w:id="4737"/>
      <w:bookmarkEnd w:id="4738"/>
      <w:r>
        <w:rPr>
          <w:rFonts w:ascii="Arial" w:eastAsia="Arial" w:hAnsi="Arial" w:cs="Arial"/>
          <w:color w:val="000000"/>
          <w:sz w:val="18"/>
        </w:rPr>
        <w:t xml:space="preserve">To be clear, a district court—in belt-and-suspenders fashion—may permissibly instruct a jury that, in order for the plaintiff to prevail on an ADA failure-to-accommodate claim, the plaintiff must establish that the claim was in regard to the plaintiff's terms, conditions, or privileges of employment. In other words, we do not suggest that a court would err if it elected to include in its instructions a requirement that the employer's failure to accommodate must be "in regard to" the employee's terms, conditions, or privileges of employment. And we specifically discuss the proper meaning of the terms-conditions-and-privileges-of-employment language below. </w:t>
      </w:r>
      <w:r>
        <w:rPr>
          <w:rFonts w:ascii="Arial" w:eastAsia="Arial" w:hAnsi="Arial" w:cs="Arial"/>
          <w:i/>
          <w:color w:val="000000"/>
          <w:sz w:val="18"/>
        </w:rPr>
        <w:t>See</w:t>
      </w:r>
      <w:r>
        <w:rPr>
          <w:rFonts w:ascii="Arial" w:eastAsia="Arial" w:hAnsi="Arial" w:cs="Arial"/>
          <w:color w:val="000000"/>
          <w:sz w:val="18"/>
        </w:rPr>
        <w:t xml:space="preserve"> Part II.C.2. But such an instruction is simply not necessary. And, for the reasons explicated below (i.e., Part II.C.2), it would be improper—in all events—for such an instruction to equate the terms-conditions-and-privileges-of-employment language with an adverse-employment-action requirement.</w:t>
      </w:r>
    </w:p>
  </w:footnote>
  <w:footnote w:id="185">
    <w:p w14:paraId="656F6C65"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21 </w:t>
      </w:r>
      <w:bookmarkStart w:id="4760" w:name="Bookmark_fnpara_24_1"/>
      <w:bookmarkStart w:id="4761" w:name="Bookmark_I61CDGHP2N1R320030000400"/>
      <w:bookmarkStart w:id="4762" w:name="Bookmark_I61CDGHP2N1R320050000400"/>
      <w:bookmarkEnd w:id="4760"/>
      <w:bookmarkEnd w:id="4761"/>
      <w:bookmarkEnd w:id="4762"/>
      <w:r>
        <w:rPr>
          <w:rFonts w:ascii="Arial" w:eastAsia="Arial" w:hAnsi="Arial" w:cs="Arial"/>
          <w:color w:val="000000"/>
          <w:sz w:val="18"/>
        </w:rPr>
        <w:t xml:space="preserve">The Panel Majority stated that the Supreme Court in </w:t>
      </w:r>
      <w:r>
        <w:rPr>
          <w:rFonts w:ascii="Arial" w:eastAsia="Arial" w:hAnsi="Arial" w:cs="Arial"/>
          <w:i/>
          <w:color w:val="000000"/>
          <w:sz w:val="18"/>
        </w:rPr>
        <w:t>Burlington</w:t>
      </w:r>
      <w:r>
        <w:rPr>
          <w:rFonts w:ascii="Arial" w:eastAsia="Arial" w:hAnsi="Arial" w:cs="Arial"/>
          <w:color w:val="000000"/>
          <w:sz w:val="18"/>
        </w:rPr>
        <w:t xml:space="preserve"> "made the connection between adverse employment action and the statutory terms-and-conditions-of-employment language." </w:t>
      </w:r>
      <w:bookmarkStart w:id="4763" w:name="Bookmark_I61CDGHP2N1R320020000400"/>
      <w:bookmarkEnd w:id="4763"/>
      <w:r>
        <w:rPr>
          <w:rFonts w:ascii="Arial" w:eastAsia="Arial" w:hAnsi="Arial" w:cs="Arial"/>
          <w:color w:val="000000"/>
          <w:sz w:val="18"/>
        </w:rPr>
        <w:t xml:space="preserve">906 F.3d at 907 n.2 (emphasis omitted). </w:t>
      </w:r>
      <w:bookmarkStart w:id="4764" w:name="Bookmark_I722C9XHFRY0000671P0009W"/>
      <w:bookmarkStart w:id="4765" w:name="Bookmark_I61CDGHP28T4WR0020000400"/>
      <w:bookmarkEnd w:id="4764"/>
      <w:bookmarkEnd w:id="4765"/>
      <w:r>
        <w:rPr>
          <w:rFonts w:ascii="Arial" w:eastAsia="Arial" w:hAnsi="Arial" w:cs="Arial"/>
          <w:color w:val="000000"/>
          <w:sz w:val="18"/>
        </w:rPr>
        <w:t xml:space="preserve">More specifically, the Panel Majority described </w:t>
      </w:r>
      <w:r>
        <w:rPr>
          <w:rFonts w:ascii="Arial" w:eastAsia="Arial" w:hAnsi="Arial" w:cs="Arial"/>
          <w:i/>
          <w:color w:val="000000"/>
          <w:sz w:val="18"/>
        </w:rPr>
        <w:t>Burlington</w:t>
      </w:r>
      <w:r>
        <w:rPr>
          <w:rFonts w:ascii="Arial" w:eastAsia="Arial" w:hAnsi="Arial" w:cs="Arial"/>
          <w:color w:val="000000"/>
          <w:sz w:val="18"/>
        </w:rPr>
        <w:t xml:space="preserve"> as holding that Title VII retaliation claims do not require an adverse employment action since Title VII's anti-retaliation provision—unlike that statute's substantive, anti-discrimination provision—does not contain any language regarding the "terms, conditions, or privileges of employment." </w:t>
      </w:r>
      <w:r>
        <w:rPr>
          <w:rFonts w:ascii="Arial" w:eastAsia="Arial" w:hAnsi="Arial" w:cs="Arial"/>
          <w:i/>
          <w:color w:val="000000"/>
          <w:sz w:val="18"/>
        </w:rPr>
        <w:t>See id.</w:t>
      </w:r>
      <w:r>
        <w:rPr>
          <w:rFonts w:ascii="Arial" w:eastAsia="Arial" w:hAnsi="Arial" w:cs="Arial"/>
          <w:color w:val="000000"/>
          <w:sz w:val="18"/>
        </w:rPr>
        <w:t xml:space="preserve"> We disagree with this reading of </w:t>
      </w:r>
      <w:r>
        <w:rPr>
          <w:rFonts w:ascii="Arial" w:eastAsia="Arial" w:hAnsi="Arial" w:cs="Arial"/>
          <w:i/>
          <w:color w:val="000000"/>
          <w:sz w:val="18"/>
        </w:rPr>
        <w:t>Burlington</w:t>
      </w:r>
      <w:r>
        <w:rPr>
          <w:rFonts w:ascii="Arial" w:eastAsia="Arial" w:hAnsi="Arial" w:cs="Arial"/>
          <w:color w:val="000000"/>
          <w:sz w:val="18"/>
        </w:rPr>
        <w:t xml:space="preserve">, which effectively equates an adverse employment action with the terms-conditions-and-privileges-of-employment language. </w:t>
      </w:r>
      <w:bookmarkStart w:id="4766" w:name="Bookmark_I61CDGHP28T4WR0040000400"/>
      <w:bookmarkEnd w:id="4766"/>
      <w:r>
        <w:rPr>
          <w:rFonts w:ascii="Arial" w:eastAsia="Arial" w:hAnsi="Arial" w:cs="Arial"/>
          <w:color w:val="000000"/>
          <w:sz w:val="18"/>
        </w:rPr>
        <w:t>As relevant here, that case simply held that, given the absence of terms-conditions-and-privileges-of-employment language in Title VII's anti-retaliation provision, actionable retaliation under Title VII is not limited to "</w:t>
      </w:r>
      <w:r>
        <w:rPr>
          <w:rFonts w:ascii="Arial" w:eastAsia="Arial" w:hAnsi="Arial" w:cs="Arial"/>
          <w:i/>
          <w:color w:val="000000"/>
          <w:sz w:val="18"/>
        </w:rPr>
        <w:t>workplace-related</w:t>
      </w:r>
      <w:r>
        <w:rPr>
          <w:rFonts w:ascii="Arial" w:eastAsia="Arial" w:hAnsi="Arial" w:cs="Arial"/>
          <w:color w:val="000000"/>
          <w:sz w:val="18"/>
        </w:rPr>
        <w:t xml:space="preserve"> or </w:t>
      </w:r>
      <w:r>
        <w:rPr>
          <w:rFonts w:ascii="Arial" w:eastAsia="Arial" w:hAnsi="Arial" w:cs="Arial"/>
          <w:i/>
          <w:color w:val="000000"/>
          <w:sz w:val="18"/>
        </w:rPr>
        <w:t>employment-related</w:t>
      </w:r>
      <w:r>
        <w:rPr>
          <w:rFonts w:ascii="Arial" w:eastAsia="Arial" w:hAnsi="Arial" w:cs="Arial"/>
          <w:color w:val="000000"/>
          <w:sz w:val="18"/>
        </w:rPr>
        <w:t xml:space="preserve"> retaliatory acts and harm." </w:t>
      </w:r>
      <w:bookmarkStart w:id="4767" w:name="Bookmark_I61CDGHP2N1R320040000400"/>
      <w:bookmarkEnd w:id="4767"/>
      <w:r>
        <w:rPr>
          <w:rFonts w:ascii="Arial" w:eastAsia="Arial" w:hAnsi="Arial" w:cs="Arial"/>
          <w:color w:val="000000"/>
          <w:sz w:val="18"/>
        </w:rPr>
        <w:t xml:space="preserve">548 U.S. at 67 (emphases added). </w:t>
      </w:r>
      <w:bookmarkStart w:id="4768" w:name="Bookmark_I61CDGHP28T4WR0040000400_2"/>
      <w:bookmarkStart w:id="4769" w:name="Bookmark_I61CDGHP28T4WR0020000400_2"/>
      <w:bookmarkEnd w:id="4768"/>
      <w:bookmarkEnd w:id="4769"/>
      <w:r>
        <w:rPr>
          <w:rFonts w:ascii="Arial" w:eastAsia="Arial" w:hAnsi="Arial" w:cs="Arial"/>
          <w:color w:val="000000"/>
          <w:sz w:val="18"/>
        </w:rPr>
        <w:t xml:space="preserve">That is, the Supreme Court in </w:t>
      </w:r>
      <w:bookmarkStart w:id="4770" w:name="Bookmark_I61CDGHP28T4WR0010000400"/>
      <w:bookmarkEnd w:id="4770"/>
      <w:r>
        <w:rPr>
          <w:rFonts w:ascii="Arial" w:eastAsia="Arial" w:hAnsi="Arial" w:cs="Arial"/>
          <w:i/>
          <w:color w:val="000000"/>
          <w:sz w:val="18"/>
        </w:rPr>
        <w:t>Burlington</w:t>
      </w:r>
      <w:r>
        <w:rPr>
          <w:rFonts w:ascii="Arial" w:eastAsia="Arial" w:hAnsi="Arial" w:cs="Arial"/>
          <w:color w:val="000000"/>
          <w:sz w:val="18"/>
        </w:rPr>
        <w:t xml:space="preserve"> merely expressed the view that the inclusion of terms-conditions-and-privileges-of-employment language in a statutory provision signals that the conduct the provision covers must "affect employment or alter the conditions of the workplace," and that the absence of such language suggests that the provision's covered conduct can transcend the workplace. </w:t>
      </w:r>
      <w:bookmarkStart w:id="4771" w:name="Bookmark_I61CDGHP28T4WR0030000400"/>
      <w:bookmarkEnd w:id="4771"/>
      <w:r>
        <w:rPr>
          <w:rFonts w:ascii="Arial" w:eastAsia="Arial" w:hAnsi="Arial" w:cs="Arial"/>
          <w:i/>
          <w:color w:val="000000"/>
          <w:sz w:val="18"/>
        </w:rPr>
        <w:t>Id.</w:t>
      </w:r>
      <w:r>
        <w:rPr>
          <w:rFonts w:ascii="Arial" w:eastAsia="Arial" w:hAnsi="Arial" w:cs="Arial"/>
          <w:color w:val="000000"/>
          <w:sz w:val="18"/>
        </w:rPr>
        <w:t xml:space="preserve"> at 62. The Court said nothing about a connection between the terms-conditions-and-privileges-of-employment statutory language and an adverse-employment-action requirement, much less held that such a connection exists.</w:t>
      </w:r>
    </w:p>
  </w:footnote>
  <w:footnote w:id="186">
    <w:p w14:paraId="7E9E52AD"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22 </w:t>
      </w:r>
      <w:bookmarkStart w:id="4805" w:name="Bookmark_fnpara_25_1"/>
      <w:bookmarkEnd w:id="4805"/>
      <w:r>
        <w:rPr>
          <w:rFonts w:ascii="Arial" w:eastAsia="Arial" w:hAnsi="Arial" w:cs="Arial"/>
          <w:color w:val="000000"/>
          <w:sz w:val="18"/>
        </w:rPr>
        <w:t>Counsel for the Department of Justice's Civil Rights Division, appearing as an amicus curiae, hypothesized that the Panel Majority's "shorthand" theory—i.e., its view that "adverse employment action" is judicial shorthand for § 12112(a)'s terms-conditions-and-privileges-of-employment language—"</w:t>
      </w:r>
      <w:r>
        <w:rPr>
          <w:rFonts w:ascii="Arial" w:eastAsia="Arial" w:hAnsi="Arial" w:cs="Arial"/>
          <w:i/>
          <w:color w:val="000000"/>
          <w:sz w:val="18"/>
        </w:rPr>
        <w:t>could be</w:t>
      </w:r>
      <w:r>
        <w:rPr>
          <w:rFonts w:ascii="Arial" w:eastAsia="Arial" w:hAnsi="Arial" w:cs="Arial"/>
          <w:color w:val="000000"/>
          <w:sz w:val="18"/>
        </w:rPr>
        <w:t xml:space="preserve"> accurate if courts truly treated 'adverse employment action' as synonymous with the statutory language." Gov't's Br. at 17 (emphasis added). </w:t>
      </w:r>
      <w:bookmarkStart w:id="4806" w:name="Bookmark_I61CDGHP28T4WX0040000400"/>
      <w:bookmarkEnd w:id="4806"/>
      <w:r>
        <w:rPr>
          <w:rFonts w:ascii="Arial" w:eastAsia="Arial" w:hAnsi="Arial" w:cs="Arial"/>
          <w:color w:val="000000"/>
          <w:sz w:val="18"/>
        </w:rPr>
        <w:t xml:space="preserve">Yet, in virtually the same breath, the Department's counsel acknowledged that "many courts, </w:t>
      </w:r>
      <w:r>
        <w:rPr>
          <w:rFonts w:ascii="Arial" w:eastAsia="Arial" w:hAnsi="Arial" w:cs="Arial"/>
          <w:i/>
          <w:color w:val="000000"/>
          <w:sz w:val="18"/>
        </w:rPr>
        <w:t>including the district court here</w:t>
      </w:r>
      <w:r>
        <w:rPr>
          <w:rFonts w:ascii="Arial" w:eastAsia="Arial" w:hAnsi="Arial" w:cs="Arial"/>
          <w:color w:val="000000"/>
          <w:sz w:val="18"/>
        </w:rPr>
        <w:t xml:space="preserve">, construe 'adverse employment action' far more narrowly than actions that pertain to the 'terms, conditions, and privileges of employment.'" </w:t>
      </w:r>
      <w:r>
        <w:rPr>
          <w:rFonts w:ascii="Arial" w:eastAsia="Arial" w:hAnsi="Arial" w:cs="Arial"/>
          <w:i/>
          <w:color w:val="000000"/>
          <w:sz w:val="18"/>
        </w:rPr>
        <w:t>Id.</w:t>
      </w:r>
      <w:r>
        <w:rPr>
          <w:rFonts w:ascii="Arial" w:eastAsia="Arial" w:hAnsi="Arial" w:cs="Arial"/>
          <w:color w:val="000000"/>
          <w:sz w:val="18"/>
        </w:rPr>
        <w:t xml:space="preserve"> at 17-18 (emphasis added). In particular, the district court here interpreted the term "adverse employment action" to mean "a </w:t>
      </w:r>
      <w:r>
        <w:rPr>
          <w:rFonts w:ascii="Arial" w:eastAsia="Arial" w:hAnsi="Arial" w:cs="Arial"/>
          <w:i/>
          <w:color w:val="000000"/>
          <w:sz w:val="18"/>
        </w:rPr>
        <w:t>significant change in employment status</w:t>
      </w:r>
      <w:r>
        <w:rPr>
          <w:rFonts w:ascii="Arial" w:eastAsia="Arial" w:hAnsi="Arial" w:cs="Arial"/>
          <w:color w:val="000000"/>
          <w:sz w:val="18"/>
        </w:rPr>
        <w:t xml:space="preserve">." Aplt.'s App., Vol. II, at 440, 449 (emphasis added). As noted, this interpretation not only is consistent with our precedent, </w:t>
      </w:r>
      <w:r>
        <w:rPr>
          <w:rFonts w:ascii="Arial" w:eastAsia="Arial" w:hAnsi="Arial" w:cs="Arial"/>
          <w:i/>
          <w:color w:val="000000"/>
          <w:sz w:val="18"/>
        </w:rPr>
        <w:t xml:space="preserve">see, e.g., </w:t>
      </w:r>
      <w:bookmarkStart w:id="4807" w:name="Bookmark_I61CDGHP28T4WX0030000400"/>
      <w:bookmarkEnd w:id="4807"/>
      <w:r>
        <w:rPr>
          <w:rFonts w:ascii="Arial" w:eastAsia="Arial" w:hAnsi="Arial" w:cs="Arial"/>
          <w:i/>
          <w:color w:val="000000"/>
          <w:sz w:val="18"/>
        </w:rPr>
        <w:t>Annett</w:t>
      </w:r>
      <w:r>
        <w:rPr>
          <w:rFonts w:ascii="Arial" w:eastAsia="Arial" w:hAnsi="Arial" w:cs="Arial"/>
          <w:color w:val="000000"/>
          <w:sz w:val="18"/>
        </w:rPr>
        <w:t xml:space="preserve">, 371 F.3d at 1237-38, but it also was embraced by the Panel Majority, </w:t>
      </w:r>
      <w:r>
        <w:rPr>
          <w:rFonts w:ascii="Arial" w:eastAsia="Arial" w:hAnsi="Arial" w:cs="Arial"/>
          <w:i/>
          <w:color w:val="000000"/>
          <w:sz w:val="18"/>
        </w:rPr>
        <w:t>see, e.g.</w:t>
      </w:r>
      <w:r>
        <w:rPr>
          <w:rFonts w:ascii="Arial" w:eastAsia="Arial" w:hAnsi="Arial" w:cs="Arial"/>
          <w:color w:val="000000"/>
          <w:sz w:val="18"/>
        </w:rPr>
        <w:t xml:space="preserve">, </w:t>
      </w:r>
      <w:bookmarkStart w:id="4808" w:name="Bookmark_I61CDGHP28T4WX0050000400"/>
      <w:bookmarkEnd w:id="4808"/>
      <w:r>
        <w:rPr>
          <w:rFonts w:ascii="Arial" w:eastAsia="Arial" w:hAnsi="Arial" w:cs="Arial"/>
          <w:color w:val="000000"/>
          <w:sz w:val="18"/>
        </w:rPr>
        <w:t>906 F.3d at 902 (defining an "adverse employment action" as a "</w:t>
      </w:r>
      <w:r>
        <w:rPr>
          <w:rFonts w:ascii="Arial" w:eastAsia="Arial" w:hAnsi="Arial" w:cs="Arial"/>
          <w:i/>
          <w:color w:val="000000"/>
          <w:sz w:val="18"/>
        </w:rPr>
        <w:t>materially adverse</w:t>
      </w:r>
      <w:r>
        <w:rPr>
          <w:rFonts w:ascii="Arial" w:eastAsia="Arial" w:hAnsi="Arial" w:cs="Arial"/>
          <w:color w:val="000000"/>
          <w:sz w:val="18"/>
        </w:rPr>
        <w:t xml:space="preserve"> decision" relating to those terms, conditions, and privileges (emphasis added)). The upshot is that the hypothetical circumstances that the Department's counsel posited under which the Panel Majority's shorthand theory "could be accurate," Gov't's Br. at 17, are not present here.</w:t>
      </w:r>
    </w:p>
  </w:footnote>
  <w:footnote w:id="187">
    <w:p w14:paraId="1AD6BDF2"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23 </w:t>
      </w:r>
      <w:bookmarkStart w:id="4809" w:name="Bookmark_fnpara_26_1"/>
      <w:bookmarkStart w:id="4810" w:name="Bookmark_I722C9WN63M0000671P0001X"/>
      <w:bookmarkStart w:id="4811" w:name="Bookmark_I61CDGHP2N1R380030000400"/>
      <w:bookmarkStart w:id="4812" w:name="Bookmark_I61CDGHP2N1R380050000400"/>
      <w:bookmarkEnd w:id="4809"/>
      <w:bookmarkEnd w:id="4810"/>
      <w:bookmarkEnd w:id="4811"/>
      <w:bookmarkEnd w:id="4812"/>
      <w:r>
        <w:rPr>
          <w:rFonts w:ascii="Arial" w:eastAsia="Arial" w:hAnsi="Arial" w:cs="Arial"/>
          <w:color w:val="000000"/>
          <w:sz w:val="18"/>
        </w:rPr>
        <w:t xml:space="preserve">The Panel Majority's opposing assertion in this regard rested on a weak foundation of out-of-circuit authority. For example, contrary to the Panel Majority's suggestion, the Eighth Circuit in </w:t>
      </w:r>
      <w:bookmarkStart w:id="4813" w:name="Bookmark_I61CDGHP2N1R380020000400"/>
      <w:bookmarkEnd w:id="4813"/>
      <w:r>
        <w:rPr>
          <w:rFonts w:ascii="Arial" w:eastAsia="Arial" w:hAnsi="Arial" w:cs="Arial"/>
          <w:i/>
          <w:color w:val="000000"/>
          <w:sz w:val="18"/>
        </w:rPr>
        <w:t>Kelleher v. Wal-Mart Stores, Inc.</w:t>
      </w:r>
      <w:r>
        <w:rPr>
          <w:rFonts w:ascii="Arial" w:eastAsia="Arial" w:hAnsi="Arial" w:cs="Arial"/>
          <w:color w:val="000000"/>
          <w:sz w:val="18"/>
        </w:rPr>
        <w:t xml:space="preserve">, 817 F.3d 624 (8th Cir. 2016), did not examine the meaning of the terms-conditions-and-privileges-of-employment language at all, but instead predicated its analysis on the district court's and plaintiff's agreement that the ADA disparate-treatment and failure-to-accommodate claims at issue could be </w:t>
      </w:r>
      <w:r>
        <w:rPr>
          <w:rFonts w:ascii="Arial" w:eastAsia="Arial" w:hAnsi="Arial" w:cs="Arial"/>
          <w:i/>
          <w:color w:val="000000"/>
          <w:sz w:val="18"/>
        </w:rPr>
        <w:t xml:space="preserve">conflated and addressed as one claim. </w:t>
      </w:r>
      <w:bookmarkStart w:id="4814" w:name="Bookmark_I61CDGHR2SF8HK0020000400"/>
      <w:bookmarkEnd w:id="4814"/>
      <w:r>
        <w:rPr>
          <w:rFonts w:ascii="Arial" w:eastAsia="Arial" w:hAnsi="Arial" w:cs="Arial"/>
          <w:i/>
          <w:color w:val="000000"/>
          <w:sz w:val="18"/>
        </w:rPr>
        <w:t xml:space="preserve">See </w:t>
      </w:r>
      <w:bookmarkStart w:id="4815" w:name="Bookmark_I61CDGHR2SF8HK0020000400_2"/>
      <w:bookmarkStart w:id="4816" w:name="Bookmark_I61CDGHP2N1R380040000400"/>
      <w:bookmarkEnd w:id="4815"/>
      <w:bookmarkEnd w:id="4816"/>
      <w:r>
        <w:rPr>
          <w:rFonts w:ascii="Arial" w:eastAsia="Arial" w:hAnsi="Arial" w:cs="Arial"/>
          <w:i/>
          <w:color w:val="000000"/>
          <w:sz w:val="18"/>
        </w:rPr>
        <w:t>id.</w:t>
      </w:r>
      <w:r>
        <w:rPr>
          <w:rFonts w:ascii="Arial" w:eastAsia="Arial" w:hAnsi="Arial" w:cs="Arial"/>
          <w:color w:val="000000"/>
          <w:sz w:val="18"/>
        </w:rPr>
        <w:t xml:space="preserve"> at 631 &amp; n.4 ("Kelleher included her disability discrimination claim and her 'failure to continue to accommodate' claim as Counts 1 and 2, respectively, in her first amended complaint, but the district court addressed those claims as a single failure to accommodate claim. </w:t>
      </w:r>
      <w:bookmarkStart w:id="4817" w:name="Bookmark_I61CDGHR2SF8HK0020000400_3"/>
      <w:bookmarkEnd w:id="4817"/>
      <w:r>
        <w:rPr>
          <w:rFonts w:ascii="Arial" w:eastAsia="Arial" w:hAnsi="Arial" w:cs="Arial"/>
          <w:color w:val="000000"/>
          <w:sz w:val="18"/>
        </w:rPr>
        <w:t xml:space="preserve">On appeal, Kelleher also </w:t>
      </w:r>
      <w:r>
        <w:rPr>
          <w:rFonts w:ascii="Arial" w:eastAsia="Arial" w:hAnsi="Arial" w:cs="Arial"/>
          <w:i/>
          <w:color w:val="000000"/>
          <w:sz w:val="18"/>
        </w:rPr>
        <w:t>treats them as a single claim, and we will [**70]  do the same</w:t>
      </w:r>
      <w:r>
        <w:rPr>
          <w:rFonts w:ascii="Arial" w:eastAsia="Arial" w:hAnsi="Arial" w:cs="Arial"/>
          <w:color w:val="000000"/>
          <w:sz w:val="18"/>
        </w:rPr>
        <w:t xml:space="preserve">." (emphasis added)). </w:t>
      </w:r>
      <w:bookmarkStart w:id="4818" w:name="Bookmark_I61CDGHR2SF8HK0040000400"/>
      <w:bookmarkEnd w:id="4818"/>
      <w:r>
        <w:rPr>
          <w:rFonts w:ascii="Arial" w:eastAsia="Arial" w:hAnsi="Arial" w:cs="Arial"/>
          <w:color w:val="000000"/>
          <w:sz w:val="18"/>
        </w:rPr>
        <w:t xml:space="preserve">However, as we have discussed, </w:t>
      </w:r>
      <w:r>
        <w:rPr>
          <w:rFonts w:ascii="Arial" w:eastAsia="Arial" w:hAnsi="Arial" w:cs="Arial"/>
          <w:i/>
          <w:color w:val="000000"/>
          <w:sz w:val="18"/>
        </w:rPr>
        <w:t>see</w:t>
      </w:r>
      <w:r>
        <w:rPr>
          <w:rFonts w:ascii="Arial" w:eastAsia="Arial" w:hAnsi="Arial" w:cs="Arial"/>
          <w:color w:val="000000"/>
          <w:sz w:val="18"/>
        </w:rPr>
        <w:t xml:space="preserve"> Part II.B.2 </w:t>
      </w:r>
      <w:r>
        <w:rPr>
          <w:rFonts w:ascii="Arial" w:eastAsia="Arial" w:hAnsi="Arial" w:cs="Arial"/>
          <w:i/>
          <w:color w:val="000000"/>
          <w:sz w:val="18"/>
        </w:rPr>
        <w:t>supra</w:t>
      </w:r>
      <w:r>
        <w:rPr>
          <w:rFonts w:ascii="Arial" w:eastAsia="Arial" w:hAnsi="Arial" w:cs="Arial"/>
          <w:color w:val="000000"/>
          <w:sz w:val="18"/>
        </w:rPr>
        <w:t xml:space="preserve">, such an agreement regarding the conflation of the two claims was misguided because these claims have distinct elements; in particular, the disparate-treatment claim has an adverse-employment-action requirement and the failure-to-accommodate claim does not. The Panel Majority also cited for support the D.C. Circuit's decision in </w:t>
      </w:r>
      <w:r>
        <w:rPr>
          <w:rFonts w:ascii="Arial" w:eastAsia="Arial" w:hAnsi="Arial" w:cs="Arial"/>
          <w:i/>
          <w:color w:val="000000"/>
          <w:sz w:val="18"/>
        </w:rPr>
        <w:t>Marshall v. Federal Express Corp.</w:t>
      </w:r>
      <w:r>
        <w:rPr>
          <w:rFonts w:ascii="Arial" w:eastAsia="Arial" w:hAnsi="Arial" w:cs="Arial"/>
          <w:color w:val="000000"/>
          <w:sz w:val="18"/>
        </w:rPr>
        <w:t xml:space="preserve"> It is true that there the court did make an observation seemingly helpful to the Panel Majority's position: "As the language of § 12112(a) makes clear, for discrimination (including denial of reasonable accommodation) to be actionable, it must occur </w:t>
      </w:r>
      <w:r>
        <w:rPr>
          <w:rFonts w:ascii="Arial" w:eastAsia="Arial" w:hAnsi="Arial" w:cs="Arial"/>
          <w:i/>
          <w:color w:val="000000"/>
          <w:sz w:val="18"/>
        </w:rPr>
        <w:t>in regard to</w:t>
      </w:r>
      <w:r>
        <w:rPr>
          <w:rFonts w:ascii="Arial" w:eastAsia="Arial" w:hAnsi="Arial" w:cs="Arial"/>
          <w:color w:val="000000"/>
          <w:sz w:val="18"/>
        </w:rPr>
        <w:t xml:space="preserve"> some adverse personnel decision or other term or condition of employment." </w:t>
      </w:r>
      <w:bookmarkStart w:id="4819" w:name="Bookmark_I61CDGHR2SF8HK0010000400"/>
      <w:bookmarkEnd w:id="4819"/>
      <w:r>
        <w:rPr>
          <w:rFonts w:ascii="Arial" w:eastAsia="Arial" w:hAnsi="Arial" w:cs="Arial"/>
          <w:color w:val="000000"/>
          <w:sz w:val="18"/>
        </w:rPr>
        <w:t xml:space="preserve">130 F.3d at 1099. </w:t>
      </w:r>
      <w:bookmarkStart w:id="4820" w:name="Bookmark_I61CDGHR2SF8HK0040000400_2"/>
      <w:bookmarkEnd w:id="4820"/>
      <w:r>
        <w:rPr>
          <w:rFonts w:ascii="Arial" w:eastAsia="Arial" w:hAnsi="Arial" w:cs="Arial"/>
          <w:color w:val="000000"/>
          <w:sz w:val="18"/>
        </w:rPr>
        <w:t>But the court made this observation without citation to further authority or without even offering further analysis, and it did so—</w:t>
      </w:r>
      <w:r>
        <w:rPr>
          <w:rFonts w:ascii="Arial" w:eastAsia="Arial" w:hAnsi="Arial" w:cs="Arial"/>
          <w:i/>
          <w:color w:val="000000"/>
          <w:sz w:val="18"/>
        </w:rPr>
        <w:t>not</w:t>
      </w:r>
      <w:r>
        <w:rPr>
          <w:rFonts w:ascii="Arial" w:eastAsia="Arial" w:hAnsi="Arial" w:cs="Arial"/>
          <w:color w:val="000000"/>
          <w:sz w:val="18"/>
        </w:rPr>
        <w:t xml:space="preserve"> in the context of resolving the merits of an ADA failure-to-accommodate claim—but, rather, in connection with rendering a holding regarding administrative exhaustion; therefore, the language is likely dictum in any event. </w:t>
      </w:r>
      <w:r>
        <w:rPr>
          <w:rFonts w:ascii="Arial" w:eastAsia="Arial" w:hAnsi="Arial" w:cs="Arial"/>
          <w:i/>
          <w:color w:val="000000"/>
          <w:sz w:val="18"/>
        </w:rPr>
        <w:t xml:space="preserve">See </w:t>
      </w:r>
      <w:bookmarkStart w:id="4821" w:name="Bookmark_I61CDGHR2SF8HK0030000400"/>
      <w:bookmarkEnd w:id="4821"/>
      <w:r>
        <w:rPr>
          <w:rFonts w:ascii="Arial" w:eastAsia="Arial" w:hAnsi="Arial" w:cs="Arial"/>
          <w:i/>
          <w:color w:val="000000"/>
          <w:sz w:val="18"/>
        </w:rPr>
        <w:t>id.</w:t>
      </w:r>
      <w:r>
        <w:rPr>
          <w:rFonts w:ascii="Arial" w:eastAsia="Arial" w:hAnsi="Arial" w:cs="Arial"/>
          <w:color w:val="000000"/>
          <w:sz w:val="18"/>
        </w:rPr>
        <w:t xml:space="preserve"> at 1098-99; </w:t>
      </w:r>
      <w:r>
        <w:rPr>
          <w:rFonts w:ascii="Arial" w:eastAsia="Arial" w:hAnsi="Arial" w:cs="Arial"/>
          <w:i/>
          <w:color w:val="000000"/>
          <w:sz w:val="18"/>
        </w:rPr>
        <w:t>see also supra</w:t>
      </w:r>
      <w:r>
        <w:rPr>
          <w:rFonts w:ascii="Arial" w:eastAsia="Arial" w:hAnsi="Arial" w:cs="Arial"/>
          <w:color w:val="000000"/>
          <w:sz w:val="18"/>
        </w:rPr>
        <w:t xml:space="preserve"> note 12 (suggesting further reasons for rejecting the idea that this case supports the contention that "adverse employment action" functions as a shorthand for § 12112(a)'s terms-conditions-and-privileges-of-employment language). Moreover, it bears emphasis that—even if these snippets of language from </w:t>
      </w:r>
      <w:r>
        <w:rPr>
          <w:rFonts w:ascii="Arial" w:eastAsia="Arial" w:hAnsi="Arial" w:cs="Arial"/>
          <w:i/>
          <w:color w:val="000000"/>
          <w:sz w:val="18"/>
        </w:rPr>
        <w:t>Kelleher</w:t>
      </w:r>
      <w:r>
        <w:rPr>
          <w:rFonts w:ascii="Arial" w:eastAsia="Arial" w:hAnsi="Arial" w:cs="Arial"/>
          <w:color w:val="000000"/>
          <w:sz w:val="18"/>
        </w:rPr>
        <w:t xml:space="preserve"> and </w:t>
      </w:r>
      <w:r>
        <w:rPr>
          <w:rFonts w:ascii="Arial" w:eastAsia="Arial" w:hAnsi="Arial" w:cs="Arial"/>
          <w:i/>
          <w:color w:val="000000"/>
          <w:sz w:val="18"/>
        </w:rPr>
        <w:t>Marshall</w:t>
      </w:r>
      <w:r>
        <w:rPr>
          <w:rFonts w:ascii="Arial" w:eastAsia="Arial" w:hAnsi="Arial" w:cs="Arial"/>
          <w:color w:val="000000"/>
          <w:sz w:val="18"/>
        </w:rPr>
        <w:t xml:space="preserve"> lent any meaningful support to the "shorthand" theory that the Panel Majority advances (which is doubtful)—at the end of the day, as we discussed in Part II.B.5 </w:t>
      </w:r>
      <w:r>
        <w:rPr>
          <w:rFonts w:ascii="Arial" w:eastAsia="Arial" w:hAnsi="Arial" w:cs="Arial"/>
          <w:i/>
          <w:color w:val="000000"/>
          <w:sz w:val="18"/>
        </w:rPr>
        <w:t>supra</w:t>
      </w:r>
      <w:r>
        <w:rPr>
          <w:rFonts w:ascii="Arial" w:eastAsia="Arial" w:hAnsi="Arial" w:cs="Arial"/>
          <w:color w:val="000000"/>
          <w:sz w:val="18"/>
        </w:rPr>
        <w:t xml:space="preserve">, the Eighth Circuit and the D.C. Circuit (i.e., the courts issuing </w:t>
      </w:r>
      <w:r>
        <w:rPr>
          <w:rFonts w:ascii="Arial" w:eastAsia="Arial" w:hAnsi="Arial" w:cs="Arial"/>
          <w:i/>
          <w:color w:val="000000"/>
          <w:sz w:val="18"/>
        </w:rPr>
        <w:t>Kelleher</w:t>
      </w:r>
      <w:r>
        <w:rPr>
          <w:rFonts w:ascii="Arial" w:eastAsia="Arial" w:hAnsi="Arial" w:cs="Arial"/>
          <w:color w:val="000000"/>
          <w:sz w:val="18"/>
        </w:rPr>
        <w:t xml:space="preserve"> and </w:t>
      </w:r>
      <w:r>
        <w:rPr>
          <w:rFonts w:ascii="Arial" w:eastAsia="Arial" w:hAnsi="Arial" w:cs="Arial"/>
          <w:i/>
          <w:color w:val="000000"/>
          <w:sz w:val="18"/>
        </w:rPr>
        <w:t>Marshall</w:t>
      </w:r>
      <w:r>
        <w:rPr>
          <w:rFonts w:ascii="Arial" w:eastAsia="Arial" w:hAnsi="Arial" w:cs="Arial"/>
          <w:color w:val="000000"/>
          <w:sz w:val="18"/>
        </w:rPr>
        <w:t>, respectively) have not held that an adverse employment action—at least in substance—is a requisite element of an ADA failure-to-accommodate claim. Therefore, for these reasons too, the Panel Majority's "shorthand" theory is unpersuasive, and we reject it.</w:t>
      </w:r>
    </w:p>
  </w:footnote>
  <w:footnote w:id="188">
    <w:p w14:paraId="3B41B392"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24 </w:t>
      </w:r>
      <w:bookmarkStart w:id="4843" w:name="Bookmark_fnpara_27_0"/>
      <w:bookmarkStart w:id="4844" w:name="Bookmark_I61CDGHS28T4X70040000400"/>
      <w:bookmarkEnd w:id="4843"/>
      <w:bookmarkEnd w:id="4844"/>
      <w:r>
        <w:rPr>
          <w:rFonts w:ascii="Arial" w:eastAsia="Arial" w:hAnsi="Arial" w:cs="Arial"/>
          <w:color w:val="000000"/>
          <w:sz w:val="18"/>
        </w:rPr>
        <w:t xml:space="preserve">Ms. Exby-Stolley has maintained that the County waived the right to assert the undue-hardship defense by failing to raise the defense in its answer and—more significantly—in the pretrial order. </w:t>
      </w:r>
      <w:bookmarkStart w:id="4845" w:name="Bookmark_I61CDGHS2SF8HY0050000400"/>
      <w:bookmarkEnd w:id="4845"/>
      <w:r>
        <w:rPr>
          <w:rFonts w:ascii="Arial" w:eastAsia="Arial" w:hAnsi="Arial" w:cs="Arial"/>
          <w:color w:val="000000"/>
          <w:sz w:val="18"/>
        </w:rPr>
        <w:t xml:space="preserve">Even assuming that the County failed to properly raise the defense in these documents, though the district court may well have had the discretion to exclude the issue of undue hardship from trial, </w:t>
      </w:r>
      <w:r>
        <w:rPr>
          <w:rFonts w:ascii="Arial" w:eastAsia="Arial" w:hAnsi="Arial" w:cs="Arial"/>
          <w:i/>
          <w:color w:val="000000"/>
          <w:sz w:val="18"/>
        </w:rPr>
        <w:t xml:space="preserve">see, e.g., </w:t>
      </w:r>
      <w:bookmarkStart w:id="4846" w:name="Bookmark_I61CDGHS28T4X70030000400"/>
      <w:bookmarkEnd w:id="4846"/>
      <w:r>
        <w:rPr>
          <w:rFonts w:ascii="Arial" w:eastAsia="Arial" w:hAnsi="Arial" w:cs="Arial"/>
          <w:i/>
          <w:color w:val="000000"/>
          <w:sz w:val="18"/>
        </w:rPr>
        <w:t>Rios v. Bigler</w:t>
      </w:r>
      <w:r>
        <w:rPr>
          <w:rFonts w:ascii="Arial" w:eastAsia="Arial" w:hAnsi="Arial" w:cs="Arial"/>
          <w:color w:val="000000"/>
          <w:sz w:val="18"/>
        </w:rPr>
        <w:t xml:space="preserve">, 67 F.3d 1543, 1549 (10th Cir. 1995), it would not have been required to do so. </w:t>
      </w:r>
      <w:r>
        <w:rPr>
          <w:rFonts w:ascii="Arial" w:eastAsia="Arial" w:hAnsi="Arial" w:cs="Arial"/>
          <w:i/>
          <w:color w:val="000000"/>
          <w:sz w:val="18"/>
        </w:rPr>
        <w:t xml:space="preserve">See </w:t>
      </w:r>
      <w:bookmarkStart w:id="4847" w:name="Bookmark_I61CDGHS28T4X70050000400"/>
      <w:bookmarkEnd w:id="4847"/>
      <w:r>
        <w:rPr>
          <w:rFonts w:ascii="Arial" w:eastAsia="Arial" w:hAnsi="Arial" w:cs="Arial"/>
          <w:i/>
          <w:color w:val="000000"/>
          <w:sz w:val="18"/>
        </w:rPr>
        <w:t>MacCuish v. United States</w:t>
      </w:r>
      <w:r>
        <w:rPr>
          <w:rFonts w:ascii="Arial" w:eastAsia="Arial" w:hAnsi="Arial" w:cs="Arial"/>
          <w:color w:val="000000"/>
          <w:sz w:val="18"/>
        </w:rPr>
        <w:t xml:space="preserve">, 844 F.2d 733, 736 (10th Cir. 1988) ("When there exists a 'properly drawn, detailed pretrial order, a trial court's determination that certain facts or issues must [or should not] be excluded from trial on the basis of a pretrial order may be reversed only if there is an abuse of discretion.'" (quoting </w:t>
      </w:r>
      <w:bookmarkStart w:id="4848" w:name="Bookmark_I61CDGHS2SF8HY0020000400"/>
      <w:bookmarkEnd w:id="4848"/>
      <w:r>
        <w:rPr>
          <w:rFonts w:ascii="Arial" w:eastAsia="Arial" w:hAnsi="Arial" w:cs="Arial"/>
          <w:i/>
          <w:color w:val="000000"/>
          <w:sz w:val="18"/>
        </w:rPr>
        <w:t>Smith v. Ford Motor Co.</w:t>
      </w:r>
      <w:r>
        <w:rPr>
          <w:rFonts w:ascii="Arial" w:eastAsia="Arial" w:hAnsi="Arial" w:cs="Arial"/>
          <w:color w:val="000000"/>
          <w:sz w:val="18"/>
        </w:rPr>
        <w:t xml:space="preserve">, 626 F.2d 784, 795 (10th Cir. 1980))). In a proper exercise of its discretion, the district court still could permissibly instruct the jury at trial concerning the issue of undue hardship, absent a showing of (among other things) surprise or prejudice by Ms. Exby-Stolley. </w:t>
      </w:r>
      <w:bookmarkStart w:id="4849" w:name="Bookmark_I61CDGHS2SF8HY0050000400_2"/>
      <w:bookmarkEnd w:id="4849"/>
      <w:r>
        <w:rPr>
          <w:rFonts w:ascii="Arial" w:eastAsia="Arial" w:hAnsi="Arial" w:cs="Arial"/>
          <w:i/>
          <w:color w:val="000000"/>
          <w:sz w:val="18"/>
        </w:rPr>
        <w:t xml:space="preserve">See </w:t>
      </w:r>
      <w:bookmarkStart w:id="4850" w:name="Bookmark_I61CDGHS2SF8HY0040000400"/>
      <w:bookmarkEnd w:id="4850"/>
      <w:r>
        <w:rPr>
          <w:rFonts w:ascii="Arial" w:eastAsia="Arial" w:hAnsi="Arial" w:cs="Arial"/>
          <w:i/>
          <w:color w:val="000000"/>
          <w:sz w:val="18"/>
        </w:rPr>
        <w:t>Smith</w:t>
      </w:r>
      <w:r>
        <w:rPr>
          <w:rFonts w:ascii="Arial" w:eastAsia="Arial" w:hAnsi="Arial" w:cs="Arial"/>
          <w:color w:val="000000"/>
          <w:sz w:val="18"/>
        </w:rPr>
        <w:t xml:space="preserve">, 626 F.2d at 797 (noting that among the factors we should consider in determining whether the district court abused its discretion concerning the exclusion </w:t>
      </w:r>
      <w:r>
        <w:rPr>
          <w:rFonts w:ascii="Arial" w:eastAsia="Arial" w:hAnsi="Arial" w:cs="Arial"/>
          <w:i/>
          <w:color w:val="000000"/>
          <w:sz w:val="18"/>
        </w:rPr>
        <w:t>vel non</w:t>
      </w:r>
      <w:r>
        <w:rPr>
          <w:rFonts w:ascii="Arial" w:eastAsia="Arial" w:hAnsi="Arial" w:cs="Arial"/>
          <w:color w:val="000000"/>
          <w:sz w:val="18"/>
        </w:rPr>
        <w:t xml:space="preserve"> of evidence not included in the pretrial order are "the prejudice or surprise in fact of the party against" whom the omitted matter is introduced (quoting </w:t>
      </w:r>
      <w:bookmarkStart w:id="4851" w:name="Bookmark_I61CDGHS2N1R3S0010000400"/>
      <w:bookmarkEnd w:id="4851"/>
      <w:r>
        <w:rPr>
          <w:rFonts w:ascii="Arial" w:eastAsia="Arial" w:hAnsi="Arial" w:cs="Arial"/>
          <w:i/>
          <w:color w:val="000000"/>
          <w:sz w:val="18"/>
        </w:rPr>
        <w:t>Meyers v. Pennypack Woods Home Ownership Ass'n</w:t>
      </w:r>
      <w:r>
        <w:rPr>
          <w:rFonts w:ascii="Arial" w:eastAsia="Arial" w:hAnsi="Arial" w:cs="Arial"/>
          <w:color w:val="000000"/>
          <w:sz w:val="18"/>
        </w:rPr>
        <w:t xml:space="preserve">, 559 F.2d 894, 904 (3d Cir. 1977), </w:t>
      </w:r>
      <w:r>
        <w:rPr>
          <w:rFonts w:ascii="Arial" w:eastAsia="Arial" w:hAnsi="Arial" w:cs="Arial"/>
          <w:i/>
          <w:color w:val="000000"/>
          <w:sz w:val="18"/>
        </w:rPr>
        <w:t xml:space="preserve">abrogated on other grounds as recognized by </w:t>
      </w:r>
      <w:bookmarkStart w:id="4852" w:name="Bookmark_I61CDGHS2N1R3S0030000400"/>
      <w:bookmarkEnd w:id="4852"/>
      <w:r>
        <w:rPr>
          <w:rFonts w:ascii="Arial" w:eastAsia="Arial" w:hAnsi="Arial" w:cs="Arial"/>
          <w:i/>
          <w:color w:val="000000"/>
          <w:sz w:val="18"/>
        </w:rPr>
        <w:t>Goodman v. Lukens Steel Co.</w:t>
      </w:r>
      <w:r>
        <w:rPr>
          <w:rFonts w:ascii="Arial" w:eastAsia="Arial" w:hAnsi="Arial" w:cs="Arial"/>
          <w:color w:val="000000"/>
          <w:sz w:val="18"/>
        </w:rPr>
        <w:t xml:space="preserve">, 777 F.2d 113, 120 (3d Cir. 1985))); </w:t>
      </w:r>
      <w:r>
        <w:rPr>
          <w:rFonts w:ascii="Arial" w:eastAsia="Arial" w:hAnsi="Arial" w:cs="Arial"/>
          <w:i/>
          <w:color w:val="000000"/>
          <w:sz w:val="18"/>
        </w:rPr>
        <w:t xml:space="preserve">accord </w:t>
      </w:r>
      <w:bookmarkStart w:id="4853" w:name="Bookmark_I61CDGHS2N1R3S0050000400"/>
      <w:bookmarkEnd w:id="4853"/>
      <w:r>
        <w:rPr>
          <w:rFonts w:ascii="Arial" w:eastAsia="Arial" w:hAnsi="Arial" w:cs="Arial"/>
          <w:i/>
          <w:color w:val="000000"/>
          <w:sz w:val="18"/>
        </w:rPr>
        <w:t>Cannon Oil &amp; Gas Well Serv., Inc. v. Evertson</w:t>
      </w:r>
      <w:r>
        <w:rPr>
          <w:rFonts w:ascii="Arial" w:eastAsia="Arial" w:hAnsi="Arial" w:cs="Arial"/>
          <w:color w:val="000000"/>
          <w:sz w:val="18"/>
        </w:rPr>
        <w:t xml:space="preserve">, 836 F.2d 1252, 1256 (10th Cir. 1987); </w:t>
      </w:r>
      <w:r>
        <w:rPr>
          <w:rFonts w:ascii="Arial" w:eastAsia="Arial" w:hAnsi="Arial" w:cs="Arial"/>
          <w:i/>
          <w:color w:val="000000"/>
          <w:sz w:val="18"/>
        </w:rPr>
        <w:t xml:space="preserve">cf. </w:t>
      </w:r>
      <w:bookmarkStart w:id="4854" w:name="Bookmark_I61CDGHT2HM6SB0020000400"/>
      <w:bookmarkEnd w:id="4854"/>
      <w:r>
        <w:rPr>
          <w:rFonts w:ascii="Arial" w:eastAsia="Arial" w:hAnsi="Arial" w:cs="Arial"/>
          <w:i/>
          <w:color w:val="000000"/>
          <w:sz w:val="18"/>
        </w:rPr>
        <w:t>Marino v. Otis Eng'g Corp.</w:t>
      </w:r>
      <w:r>
        <w:rPr>
          <w:rFonts w:ascii="Arial" w:eastAsia="Arial" w:hAnsi="Arial" w:cs="Arial"/>
          <w:color w:val="000000"/>
          <w:sz w:val="18"/>
        </w:rPr>
        <w:t xml:space="preserve">, 839 F.2d 1404, 1411 (10th Cir. 1988) ("Our cases show that when a party requests a new trial on the basis of surprise testimony it must be able to show surprise, prejudice, and an attempt to cure the prejudice such as a motion for a continuance."). And, based on our reading of the record, we discern no basis for such a showing of surprise or prejudice. For example, in its motion for summary judgment, the County argued that Ms. Exby-Stolley's "proposed accommodations would place an undue hardship on the [County]." Aplt.'s App., Vol. I, at 63-64 (Def.'s Mot. for Summ. J., filed May 28, 2014). And Ms. Exby-Stolley responded to that argument in her opposition to the motion for summary judgment. </w:t>
      </w:r>
      <w:bookmarkStart w:id="4855" w:name="Bookmark_I61CDGHT2HM6SB0050000400"/>
      <w:bookmarkEnd w:id="4855"/>
      <w:r>
        <w:rPr>
          <w:rFonts w:ascii="Arial" w:eastAsia="Arial" w:hAnsi="Arial" w:cs="Arial"/>
          <w:i/>
          <w:color w:val="000000"/>
          <w:sz w:val="18"/>
        </w:rPr>
        <w:t>Id.</w:t>
      </w:r>
      <w:r>
        <w:rPr>
          <w:rFonts w:ascii="Arial" w:eastAsia="Arial" w:hAnsi="Arial" w:cs="Arial"/>
          <w:color w:val="000000"/>
          <w:sz w:val="18"/>
        </w:rPr>
        <w:t xml:space="preserve"> at 81, 89, 97 (Pl.'s Resp. to Def.'s Mot. for Summ. J., filed June 25, 2014). Based on the district court briefing then, Ms. Exby-Stolley cannot reasonably claim that she was surprised or prejudiced when the County requested a jury instruction on an undue-hardship defense. </w:t>
      </w:r>
      <w:r>
        <w:rPr>
          <w:rFonts w:ascii="Arial" w:eastAsia="Arial" w:hAnsi="Arial" w:cs="Arial"/>
          <w:i/>
          <w:color w:val="000000"/>
          <w:sz w:val="18"/>
        </w:rPr>
        <w:t xml:space="preserve">Cf. </w:t>
      </w:r>
      <w:bookmarkStart w:id="4856" w:name="Bookmark_I61CDGHT2HM6SB0040000400"/>
      <w:bookmarkEnd w:id="4856"/>
      <w:r>
        <w:rPr>
          <w:rFonts w:ascii="Arial" w:eastAsia="Arial" w:hAnsi="Arial" w:cs="Arial"/>
          <w:i/>
          <w:color w:val="000000"/>
          <w:sz w:val="18"/>
        </w:rPr>
        <w:t>McBeth v. Himes</w:t>
      </w:r>
      <w:r>
        <w:rPr>
          <w:rFonts w:ascii="Arial" w:eastAsia="Arial" w:hAnsi="Arial" w:cs="Arial"/>
          <w:color w:val="000000"/>
          <w:sz w:val="18"/>
        </w:rPr>
        <w:t xml:space="preserve">, 598 F.3d 708, 716 (10th Cir. 2010) (holding that the plaintiff's claim was properly presented, even though first raised in response to a motion for summary judgment, because the defendant did not suffer prejudice). Indeed, though vigorously challenging on appeal the specific language of the district court's instructions relating to the issue of undue hardship, Ms. Exby-Stolley has not expressly claimed that she was surprised or prejudiced by the presence of the issue in the case. Therefore, irrespective of the County's assumed failure to raise the undue-hardship defense in its answer or in the pretrial order, the district court did not abuse its discretion in instructing the jury concerning the issue of undue hardship. However, we are constrained to conclude </w:t>
      </w:r>
      <w:r>
        <w:rPr>
          <w:rFonts w:ascii="Arial" w:eastAsia="Arial" w:hAnsi="Arial" w:cs="Arial"/>
          <w:i/>
          <w:color w:val="000000"/>
          <w:sz w:val="18"/>
        </w:rPr>
        <w:t>infra</w:t>
      </w:r>
      <w:r>
        <w:rPr>
          <w:rFonts w:ascii="Arial" w:eastAsia="Arial" w:hAnsi="Arial" w:cs="Arial"/>
          <w:color w:val="000000"/>
          <w:sz w:val="18"/>
        </w:rPr>
        <w:t xml:space="preserve"> that the district court erred in how it instructed the jury concerning the matter.</w:t>
      </w:r>
    </w:p>
  </w:footnote>
  <w:footnote w:id="189">
    <w:p w14:paraId="6292CCE4" w14:textId="77777777" w:rsidR="002B10A6" w:rsidRDefault="00000000">
      <w:pPr>
        <w:pStyle w:val="Normal23"/>
        <w:widowControl w:val="0"/>
        <w:spacing w:before="120" w:line="240" w:lineRule="atLeast"/>
        <w:jc w:val="both"/>
      </w:pPr>
      <w:r>
        <w:rPr>
          <w:rFonts w:ascii="Arial" w:eastAsia="Arial" w:hAnsi="Arial" w:cs="Arial"/>
          <w:color w:val="000000"/>
          <w:sz w:val="18"/>
          <w:vertAlign w:val="superscript"/>
        </w:rPr>
        <w:t>1 </w:t>
      </w:r>
      <w:bookmarkStart w:id="4880" w:name="Bookmark_fnpara_28_0"/>
      <w:bookmarkEnd w:id="4880"/>
      <w:r>
        <w:rPr>
          <w:rFonts w:ascii="Arial" w:eastAsia="Arial" w:hAnsi="Arial" w:cs="Arial"/>
          <w:color w:val="000000"/>
          <w:sz w:val="18"/>
        </w:rPr>
        <w:t>For clarity, I will refer to the first requirement as the "discrimination clause" and the second requirement as the "in-regard-to clause." The "in-regard-to clause" is referenced by the majority as the "terms-conditions-and-privileges-of-employment clause." I use different nomenclature to distinguish the "in-regard-to clause" of the ADA from the "with-regard-to" clause of Title VII, because both include the "terms-conditions-and-privileges-of-employment" language.</w:t>
      </w:r>
    </w:p>
    <w:p w14:paraId="34CB3366" w14:textId="77777777" w:rsidR="002B10A6" w:rsidRDefault="00000000">
      <w:pPr>
        <w:pStyle w:val="Normal23"/>
        <w:widowControl w:val="0"/>
        <w:spacing w:before="200" w:line="240" w:lineRule="atLeast"/>
        <w:jc w:val="both"/>
      </w:pPr>
      <w:bookmarkStart w:id="4881" w:name="Bookmark_fnpara_29_0"/>
      <w:bookmarkEnd w:id="4881"/>
      <w:r>
        <w:rPr>
          <w:rFonts w:ascii="Arial" w:eastAsia="Arial" w:hAnsi="Arial" w:cs="Arial"/>
          <w:color w:val="000000"/>
          <w:sz w:val="18"/>
        </w:rPr>
        <w:t xml:space="preserve">Technically, there is a third clause that requires proving the discriminator is a covered entity under the ADA. The parties stipulated that the County regularly employed more than fifteen employees, thereby satisfying the definition of covered entity. </w:t>
      </w:r>
      <w:r>
        <w:rPr>
          <w:rFonts w:ascii="Arial" w:eastAsia="Arial" w:hAnsi="Arial" w:cs="Arial"/>
          <w:i/>
          <w:color w:val="000000"/>
          <w:sz w:val="18"/>
        </w:rPr>
        <w:t>See</w:t>
      </w:r>
      <w:r>
        <w:rPr>
          <w:rFonts w:ascii="Arial" w:eastAsia="Arial" w:hAnsi="Arial" w:cs="Arial"/>
          <w:color w:val="000000"/>
          <w:sz w:val="18"/>
        </w:rPr>
        <w:t xml:space="preserve"> 42 U.S.C. § 12111(2), (5).</w:t>
      </w:r>
    </w:p>
  </w:footnote>
  <w:footnote w:id="190">
    <w:p w14:paraId="727FB175" w14:textId="77777777" w:rsidR="002B10A6" w:rsidRDefault="00000000">
      <w:pPr>
        <w:pStyle w:val="Normal23"/>
        <w:widowControl w:val="0"/>
        <w:spacing w:before="120" w:line="240" w:lineRule="atLeast"/>
        <w:jc w:val="both"/>
      </w:pPr>
      <w:r>
        <w:rPr>
          <w:rFonts w:ascii="Arial" w:eastAsia="Arial" w:hAnsi="Arial" w:cs="Arial"/>
          <w:color w:val="000000"/>
          <w:sz w:val="18"/>
          <w:vertAlign w:val="superscript"/>
        </w:rPr>
        <w:t>2 </w:t>
      </w:r>
      <w:bookmarkStart w:id="4885" w:name="Bookmark_fnpara_30_0"/>
      <w:bookmarkEnd w:id="4885"/>
      <w:r>
        <w:rPr>
          <w:rFonts w:ascii="Arial" w:eastAsia="Arial" w:hAnsi="Arial" w:cs="Arial"/>
          <w:color w:val="000000"/>
          <w:sz w:val="18"/>
        </w:rPr>
        <w:t>In 2009, the language of 42 U.S.C. § 12112(a) was amended by replacing "with a disability because of the disability of such individual" with "on the basis of disability." ADA Amendments Act of 2008, Pub. L. No. 110-325, § 5(a)(1), 122 Stat. 3553 (2008).</w:t>
      </w:r>
    </w:p>
  </w:footnote>
  <w:footnote w:id="191">
    <w:p w14:paraId="27C7DACE"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3 </w:t>
      </w:r>
      <w:bookmarkStart w:id="4901" w:name="Bookmark_fnpara_31_0"/>
      <w:bookmarkEnd w:id="4901"/>
      <w:r>
        <w:rPr>
          <w:rFonts w:ascii="Arial" w:eastAsia="Arial" w:hAnsi="Arial" w:cs="Arial"/>
          <w:color w:val="000000"/>
          <w:sz w:val="18"/>
        </w:rPr>
        <w:t xml:space="preserve">In this regard, I also note that while the majority relies heavily on dicta from our past cases to help establish its position, </w:t>
      </w:r>
      <w:r>
        <w:rPr>
          <w:rFonts w:ascii="Arial" w:eastAsia="Arial" w:hAnsi="Arial" w:cs="Arial"/>
          <w:i/>
          <w:color w:val="000000"/>
          <w:sz w:val="18"/>
        </w:rPr>
        <w:t>see</w:t>
      </w:r>
      <w:r>
        <w:rPr>
          <w:rFonts w:ascii="Arial" w:eastAsia="Arial" w:hAnsi="Arial" w:cs="Arial"/>
          <w:color w:val="000000"/>
          <w:sz w:val="18"/>
        </w:rPr>
        <w:t xml:space="preserve"> Maj. Op., Part II.B.1, it subsequently rejects similarly situated statements in extra-circuit authority that cut against its position, </w:t>
      </w:r>
      <w:r>
        <w:rPr>
          <w:rFonts w:ascii="Arial" w:eastAsia="Arial" w:hAnsi="Arial" w:cs="Arial"/>
          <w:i/>
          <w:color w:val="000000"/>
          <w:sz w:val="18"/>
        </w:rPr>
        <w:t>see id.</w:t>
      </w:r>
      <w:r>
        <w:rPr>
          <w:rFonts w:ascii="Arial" w:eastAsia="Arial" w:hAnsi="Arial" w:cs="Arial"/>
          <w:color w:val="000000"/>
          <w:sz w:val="18"/>
        </w:rPr>
        <w:t xml:space="preserve"> at 40 n.9 (deeming a First Circuit opinion's "articulation of the prima facie case for an ADA discrimination claim to be dictum," because "[n]othing in [the opinion] turned on the contents of the third element of its articulated prima facie case").</w:t>
      </w:r>
    </w:p>
  </w:footnote>
  <w:footnote w:id="192">
    <w:p w14:paraId="3921C9B5"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4 </w:t>
      </w:r>
      <w:bookmarkStart w:id="5057" w:name="Bookmark_fnpara_32_0"/>
      <w:bookmarkStart w:id="5058" w:name="Bookmark_I722C9WX54T0000671P0004D"/>
      <w:bookmarkStart w:id="5059" w:name="Bookmark_I61CDGJW2D6N7K0030000400"/>
      <w:bookmarkEnd w:id="5057"/>
      <w:bookmarkEnd w:id="5058"/>
      <w:bookmarkEnd w:id="5059"/>
      <w:r>
        <w:rPr>
          <w:rFonts w:ascii="Arial" w:eastAsia="Arial" w:hAnsi="Arial" w:cs="Arial"/>
          <w:i/>
          <w:color w:val="000000"/>
          <w:sz w:val="18"/>
        </w:rPr>
        <w:t>Higgins</w:t>
      </w:r>
      <w:r>
        <w:rPr>
          <w:rFonts w:ascii="Arial" w:eastAsia="Arial" w:hAnsi="Arial" w:cs="Arial"/>
          <w:color w:val="000000"/>
          <w:sz w:val="18"/>
        </w:rPr>
        <w:t xml:space="preserve"> deemed these requirements, including the requirement that the failure to accommodate "affect[] the terms, conditions, or privileges of the plaintiff's employment," to be "rather undemanding." </w:t>
      </w:r>
      <w:bookmarkStart w:id="5060" w:name="Bookmark_I61CDGJW2D6N7K0020000400"/>
      <w:bookmarkEnd w:id="5060"/>
      <w:r>
        <w:rPr>
          <w:rFonts w:ascii="Arial" w:eastAsia="Arial" w:hAnsi="Arial" w:cs="Arial"/>
          <w:color w:val="000000"/>
          <w:sz w:val="18"/>
        </w:rPr>
        <w:t xml:space="preserve">194 F.3d at 264-65. This characterization aligns with my conclusion that the in-regard-to clause, while still an independent requirement that must be met in order to state a failure-to-accommodate claim, erects a barrier less demanding than that imposed by the "tangible employment action" required for a certain variety of Title VII sexual harassment claim. </w:t>
      </w:r>
      <w:r>
        <w:rPr>
          <w:rFonts w:ascii="Arial" w:eastAsia="Arial" w:hAnsi="Arial" w:cs="Arial"/>
          <w:i/>
          <w:color w:val="000000"/>
          <w:sz w:val="18"/>
        </w:rPr>
        <w:t>See infra</w:t>
      </w:r>
      <w:r>
        <w:rPr>
          <w:rFonts w:ascii="Arial" w:eastAsia="Arial" w:hAnsi="Arial" w:cs="Arial"/>
          <w:color w:val="000000"/>
          <w:sz w:val="18"/>
        </w:rPr>
        <w:t xml:space="preserve"> Part III.A.</w:t>
      </w:r>
    </w:p>
  </w:footnote>
  <w:footnote w:id="193">
    <w:p w14:paraId="6043F96C" w14:textId="77777777" w:rsidR="002B10A6" w:rsidRDefault="00000000">
      <w:pPr>
        <w:pStyle w:val="Normal23"/>
        <w:widowControl w:val="0"/>
        <w:spacing w:before="120" w:line="240" w:lineRule="atLeast"/>
        <w:jc w:val="both"/>
      </w:pPr>
      <w:r>
        <w:rPr>
          <w:rFonts w:ascii="Arial" w:eastAsia="Arial" w:hAnsi="Arial" w:cs="Arial"/>
          <w:color w:val="000000"/>
          <w:sz w:val="18"/>
          <w:vertAlign w:val="superscript"/>
        </w:rPr>
        <w:t>5 </w:t>
      </w:r>
      <w:bookmarkStart w:id="5063" w:name="Bookmark_fnpara_33_0"/>
      <w:bookmarkEnd w:id="5063"/>
      <w:r>
        <w:rPr>
          <w:rFonts w:ascii="Arial" w:eastAsia="Arial" w:hAnsi="Arial" w:cs="Arial"/>
          <w:color w:val="000000"/>
          <w:sz w:val="18"/>
        </w:rPr>
        <w:t>As the majority opinion notes, the D.C. Circuit went on to state:</w:t>
      </w:r>
    </w:p>
    <w:p w14:paraId="2AC487D1" w14:textId="77777777" w:rsidR="002B10A6" w:rsidRDefault="00000000">
      <w:pPr>
        <w:pStyle w:val="Normal23"/>
        <w:widowControl w:val="0"/>
        <w:spacing w:before="200" w:line="240" w:lineRule="atLeast"/>
        <w:ind w:left="400"/>
        <w:jc w:val="both"/>
      </w:pPr>
      <w:bookmarkStart w:id="5064" w:name="Bookmark_para_146"/>
      <w:bookmarkEnd w:id="5064"/>
      <w:r>
        <w:rPr>
          <w:rFonts w:ascii="Arial" w:eastAsia="Arial" w:hAnsi="Arial" w:cs="Arial"/>
          <w:color w:val="000000"/>
          <w:sz w:val="18"/>
        </w:rPr>
        <w:t xml:space="preserve">We assume without deciding that if working conditions inflict pain or hardship on a disabled employee, the employer fails to modify the conditions upon the employee's demand, and the employee simply bears the conditions, this could amount to a denial of reasonable accommodation, despite there being no job loss, pay loss, transfer, demotion, denial of advancement, or other adverse personnel action. </w:t>
      </w:r>
      <w:bookmarkStart w:id="5065" w:name="Bookmark_I722C9WX7XM0000671P0004F"/>
      <w:bookmarkStart w:id="5066" w:name="Bookmark_I61CDGJW2D6N7K0050000400"/>
      <w:bookmarkEnd w:id="5065"/>
      <w:bookmarkEnd w:id="5066"/>
      <w:r>
        <w:rPr>
          <w:rFonts w:ascii="Arial" w:eastAsia="Arial" w:hAnsi="Arial" w:cs="Arial"/>
          <w:color w:val="000000"/>
          <w:sz w:val="18"/>
        </w:rPr>
        <w:t>Such a scenario might be viewed as the ADA equivalent of the hostile working [**100]  environment claim cognizable under other discrimination laws.</w:t>
      </w:r>
    </w:p>
    <w:p w14:paraId="509B1FC3" w14:textId="77777777" w:rsidR="002B10A6" w:rsidRDefault="00000000">
      <w:pPr>
        <w:pStyle w:val="Normal23"/>
        <w:widowControl w:val="0"/>
        <w:spacing w:before="200" w:line="240" w:lineRule="atLeast"/>
        <w:jc w:val="both"/>
      </w:pPr>
      <w:bookmarkStart w:id="5067" w:name="Bookmark_I61CDGJW2D6N7K0050000400_2"/>
      <w:bookmarkStart w:id="5068" w:name="Bookmark_I61CDGJW2D6N7K0040000400"/>
      <w:bookmarkEnd w:id="5067"/>
      <w:bookmarkEnd w:id="5068"/>
      <w:r>
        <w:rPr>
          <w:rFonts w:ascii="Arial" w:eastAsia="Arial" w:hAnsi="Arial" w:cs="Arial"/>
          <w:i/>
          <w:color w:val="000000"/>
          <w:sz w:val="18"/>
        </w:rPr>
        <w:t>Marshall</w:t>
      </w:r>
      <w:r>
        <w:rPr>
          <w:rFonts w:ascii="Arial" w:eastAsia="Arial" w:hAnsi="Arial" w:cs="Arial"/>
          <w:color w:val="000000"/>
          <w:sz w:val="18"/>
        </w:rPr>
        <w:t xml:space="preserve">, 130 F.3d at 1099. Again, this reasoning jibes with my suggested approach to aligning the contours of the in-regard-to clause with Title VII hostile work environment claims, as discussed </w:t>
      </w:r>
      <w:r>
        <w:rPr>
          <w:rFonts w:ascii="Arial" w:eastAsia="Arial" w:hAnsi="Arial" w:cs="Arial"/>
          <w:i/>
          <w:color w:val="000000"/>
          <w:sz w:val="18"/>
        </w:rPr>
        <w:t>infra</w:t>
      </w:r>
      <w:r>
        <w:rPr>
          <w:rFonts w:ascii="Arial" w:eastAsia="Arial" w:hAnsi="Arial" w:cs="Arial"/>
          <w:color w:val="000000"/>
          <w:sz w:val="18"/>
        </w:rPr>
        <w:t xml:space="preserve"> Part III.B.</w:t>
      </w:r>
    </w:p>
  </w:footnote>
  <w:footnote w:id="194">
    <w:p w14:paraId="6A1E5693"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6 </w:t>
      </w:r>
      <w:bookmarkStart w:id="5139" w:name="Bookmark_fnpara_34_0"/>
      <w:bookmarkStart w:id="5140" w:name="Bookmark_I722C9X1PDW0000671P0005B"/>
      <w:bookmarkStart w:id="5141" w:name="Bookmark_I61CDGJY28T3V30050000400"/>
      <w:bookmarkStart w:id="5142" w:name="Bookmark_I722C9X1T5W0000671P0005C"/>
      <w:bookmarkStart w:id="5143" w:name="Bookmark_I722C9X1X5X0000671P0005D"/>
      <w:bookmarkStart w:id="5144" w:name="Bookmark_I722C9X20X00000671P0005F"/>
      <w:bookmarkStart w:id="5145" w:name="Bookmark_I61CDGJY2D6N7W0020000400"/>
      <w:bookmarkStart w:id="5146" w:name="Bookmark_I722C9X23S50000671P0005G"/>
      <w:bookmarkStart w:id="5147" w:name="Bookmark_I61CDGK028T3V50030000400"/>
      <w:bookmarkEnd w:id="5139"/>
      <w:bookmarkEnd w:id="5140"/>
      <w:bookmarkEnd w:id="5141"/>
      <w:bookmarkEnd w:id="5142"/>
      <w:bookmarkEnd w:id="5143"/>
      <w:bookmarkEnd w:id="5144"/>
      <w:bookmarkEnd w:id="5145"/>
      <w:bookmarkEnd w:id="5146"/>
      <w:bookmarkEnd w:id="5147"/>
      <w:r>
        <w:rPr>
          <w:rFonts w:ascii="Arial" w:eastAsia="Arial" w:hAnsi="Arial" w:cs="Arial"/>
          <w:color w:val="000000"/>
          <w:sz w:val="18"/>
        </w:rPr>
        <w:t xml:space="preserve">Disparate treatment and disparate impact "are the only causes of action under Title VII." </w:t>
      </w:r>
      <w:bookmarkStart w:id="5148" w:name="Bookmark_I61CDGJY28T3V30040000400"/>
      <w:bookmarkEnd w:id="5148"/>
      <w:r>
        <w:rPr>
          <w:rFonts w:ascii="Arial" w:eastAsia="Arial" w:hAnsi="Arial" w:cs="Arial"/>
          <w:i/>
          <w:color w:val="000000"/>
          <w:sz w:val="18"/>
        </w:rPr>
        <w:t>Abercrombie &amp; Fitch Stores, Inc.</w:t>
      </w:r>
      <w:r>
        <w:rPr>
          <w:rFonts w:ascii="Arial" w:eastAsia="Arial" w:hAnsi="Arial" w:cs="Arial"/>
          <w:color w:val="000000"/>
          <w:sz w:val="18"/>
        </w:rPr>
        <w:t xml:space="preserve">, 575 U.S. 768, 135 S. Ct. 2028, 2032, 192 L. Ed. 2d 35 (2015). </w:t>
      </w:r>
      <w:bookmarkStart w:id="5149" w:name="Bookmark_I722C9X26HK0000671P0005H"/>
      <w:bookmarkStart w:id="5150" w:name="Bookmark_I722C9X2D730000671P0005K"/>
      <w:bookmarkStart w:id="5151" w:name="Bookmark_I61CDGK028T3V50050000400"/>
      <w:bookmarkEnd w:id="5149"/>
      <w:bookmarkEnd w:id="5150"/>
      <w:bookmarkEnd w:id="5151"/>
      <w:r>
        <w:rPr>
          <w:rFonts w:ascii="Arial" w:eastAsia="Arial" w:hAnsi="Arial" w:cs="Arial"/>
          <w:color w:val="000000"/>
          <w:sz w:val="18"/>
        </w:rPr>
        <w:t xml:space="preserve">Disparate treatment exists when "'[t]he employer simply treats some people less favorably than others because of their race, color, religion, sex, or [other protected characteristic].' Liability in a disparate-treatment case 'depends on whether the protected trait . . . actually motivated the employer's decision.'" </w:t>
      </w:r>
      <w:bookmarkStart w:id="5152" w:name="Bookmark_I61CDGJY2D6N7W0010000400"/>
      <w:bookmarkEnd w:id="5152"/>
      <w:r>
        <w:rPr>
          <w:rFonts w:ascii="Arial" w:eastAsia="Arial" w:hAnsi="Arial" w:cs="Arial"/>
          <w:i/>
          <w:color w:val="000000"/>
          <w:sz w:val="18"/>
        </w:rPr>
        <w:t>Raytheon Co. v. Hernandez</w:t>
      </w:r>
      <w:r>
        <w:rPr>
          <w:rFonts w:ascii="Arial" w:eastAsia="Arial" w:hAnsi="Arial" w:cs="Arial"/>
          <w:color w:val="000000"/>
          <w:sz w:val="18"/>
        </w:rPr>
        <w:t xml:space="preserve">, 540 U.S. 44, 52, 124 S. Ct. 513, 157 L. Ed. 2d 357 (2003) (second alteration and ellipsis in original) (citation omitted) (first quoting </w:t>
      </w:r>
      <w:bookmarkStart w:id="5153" w:name="Bookmark_I61CDGJY2D6N7W0030000400"/>
      <w:bookmarkEnd w:id="5153"/>
      <w:r>
        <w:rPr>
          <w:rFonts w:ascii="Arial" w:eastAsia="Arial" w:hAnsi="Arial" w:cs="Arial"/>
          <w:i/>
          <w:color w:val="000000"/>
          <w:sz w:val="18"/>
        </w:rPr>
        <w:t>Int'l Brotherhood of Teamsters v. United States</w:t>
      </w:r>
      <w:r>
        <w:rPr>
          <w:rFonts w:ascii="Arial" w:eastAsia="Arial" w:hAnsi="Arial" w:cs="Arial"/>
          <w:color w:val="000000"/>
          <w:sz w:val="18"/>
        </w:rPr>
        <w:t xml:space="preserve">, 431 U.S. 324, 335 n.15, 97 S. Ct. 1843, 52 L. Ed. 2d 396 (1977); then quoting </w:t>
      </w:r>
      <w:bookmarkStart w:id="5154" w:name="Bookmark_I61CDGJY2D6N7W0050000400"/>
      <w:bookmarkEnd w:id="5154"/>
      <w:r>
        <w:rPr>
          <w:rFonts w:ascii="Arial" w:eastAsia="Arial" w:hAnsi="Arial" w:cs="Arial"/>
          <w:i/>
          <w:color w:val="000000"/>
          <w:sz w:val="18"/>
        </w:rPr>
        <w:t>Hazen Paper Co. v. Biggins</w:t>
      </w:r>
      <w:r>
        <w:rPr>
          <w:rFonts w:ascii="Arial" w:eastAsia="Arial" w:hAnsi="Arial" w:cs="Arial"/>
          <w:color w:val="000000"/>
          <w:sz w:val="18"/>
        </w:rPr>
        <w:t xml:space="preserve">, 507 U.S. 604, 610, 113 S. Ct. 1701, 123 L. Ed. 2d 338 (1993)). Conversely, "disparate-impact claims 'involve employment practices that are facially neutral in their treatment of different groups but that in fact fall more harshly on one group than another and cannot be justified by business necessity.'" </w:t>
      </w:r>
      <w:r>
        <w:rPr>
          <w:rFonts w:ascii="Arial" w:eastAsia="Arial" w:hAnsi="Arial" w:cs="Arial"/>
          <w:i/>
          <w:color w:val="000000"/>
          <w:sz w:val="18"/>
        </w:rPr>
        <w:t>Id.</w:t>
      </w:r>
      <w:r>
        <w:rPr>
          <w:rFonts w:ascii="Arial" w:eastAsia="Arial" w:hAnsi="Arial" w:cs="Arial"/>
          <w:color w:val="000000"/>
          <w:sz w:val="18"/>
        </w:rPr>
        <w:t xml:space="preserve"> (quoting </w:t>
      </w:r>
      <w:bookmarkStart w:id="5155" w:name="Bookmark_I61CDGK028T3V50020000400"/>
      <w:bookmarkEnd w:id="5155"/>
      <w:r>
        <w:rPr>
          <w:rFonts w:ascii="Arial" w:eastAsia="Arial" w:hAnsi="Arial" w:cs="Arial"/>
          <w:i/>
          <w:color w:val="000000"/>
          <w:sz w:val="18"/>
        </w:rPr>
        <w:t>Int'l Brotherhood of Teamsters</w:t>
      </w:r>
      <w:r>
        <w:rPr>
          <w:rFonts w:ascii="Arial" w:eastAsia="Arial" w:hAnsi="Arial" w:cs="Arial"/>
          <w:color w:val="000000"/>
          <w:sz w:val="18"/>
        </w:rPr>
        <w:t xml:space="preserve">, 431 U.S. at 335 n.15). </w:t>
      </w:r>
      <w:bookmarkStart w:id="5156" w:name="Bookmark_I61CDGK028T3V50050000400_2"/>
      <w:bookmarkEnd w:id="5156"/>
      <w:r>
        <w:rPr>
          <w:rFonts w:ascii="Arial" w:eastAsia="Arial" w:hAnsi="Arial" w:cs="Arial"/>
          <w:color w:val="000000"/>
          <w:sz w:val="18"/>
        </w:rPr>
        <w:t xml:space="preserve">"Under a disparate-impact theory of discrimination, 'a facially neutral employment practice may be deemed [illegally discriminatory] without evidence of the employer's subjective intent to discriminate that is required in a "disparate-treatment" case.'" </w:t>
      </w:r>
      <w:bookmarkStart w:id="5157" w:name="Bookmark_I61CDGK028T3V50040000400"/>
      <w:bookmarkEnd w:id="5157"/>
      <w:r>
        <w:rPr>
          <w:rFonts w:ascii="Arial" w:eastAsia="Arial" w:hAnsi="Arial" w:cs="Arial"/>
          <w:i/>
          <w:color w:val="000000"/>
          <w:sz w:val="18"/>
        </w:rPr>
        <w:t>Id.</w:t>
      </w:r>
      <w:r>
        <w:rPr>
          <w:rFonts w:ascii="Arial" w:eastAsia="Arial" w:hAnsi="Arial" w:cs="Arial"/>
          <w:color w:val="000000"/>
          <w:sz w:val="18"/>
        </w:rPr>
        <w:t xml:space="preserve"> at 52-53 (alteration in original) (quoting </w:t>
      </w:r>
      <w:bookmarkStart w:id="5158" w:name="Bookmark_I61CDGK02D6N7Y0010000400"/>
      <w:bookmarkEnd w:id="5158"/>
      <w:r>
        <w:rPr>
          <w:rFonts w:ascii="Arial" w:eastAsia="Arial" w:hAnsi="Arial" w:cs="Arial"/>
          <w:i/>
          <w:color w:val="000000"/>
          <w:sz w:val="18"/>
        </w:rPr>
        <w:t>Wards Cove Packing Co. v. Atonio</w:t>
      </w:r>
      <w:r>
        <w:rPr>
          <w:rFonts w:ascii="Arial" w:eastAsia="Arial" w:hAnsi="Arial" w:cs="Arial"/>
          <w:color w:val="000000"/>
          <w:sz w:val="18"/>
        </w:rPr>
        <w:t>, 490 U.S. 642, 645-46, 109 S. Ct. 2115, 104 L. Ed. 2d 733 (1989)).</w:t>
      </w:r>
    </w:p>
  </w:footnote>
  <w:footnote w:id="195">
    <w:p w14:paraId="28EC4455"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7 </w:t>
      </w:r>
      <w:bookmarkStart w:id="5284" w:name="Bookmark_fnpara_35_0"/>
      <w:bookmarkEnd w:id="5284"/>
      <w:r>
        <w:rPr>
          <w:rFonts w:ascii="Arial" w:eastAsia="Arial" w:hAnsi="Arial" w:cs="Arial"/>
          <w:color w:val="000000"/>
          <w:sz w:val="18"/>
        </w:rPr>
        <w:t xml:space="preserve">It is important to note that </w:t>
      </w:r>
      <w:r>
        <w:rPr>
          <w:rFonts w:ascii="Arial" w:eastAsia="Arial" w:hAnsi="Arial" w:cs="Arial"/>
          <w:i/>
          <w:color w:val="000000"/>
          <w:sz w:val="18"/>
        </w:rPr>
        <w:t>Ellerth</w:t>
      </w:r>
      <w:r>
        <w:rPr>
          <w:rFonts w:ascii="Arial" w:eastAsia="Arial" w:hAnsi="Arial" w:cs="Arial"/>
          <w:color w:val="000000"/>
          <w:sz w:val="18"/>
        </w:rPr>
        <w:t>'s definition of tangible employment action, along with the Court's jurisprudence on hostile work environment claims, covers both the existence of discrimination (</w:t>
      </w:r>
      <w:r>
        <w:rPr>
          <w:rFonts w:ascii="Arial" w:eastAsia="Arial" w:hAnsi="Arial" w:cs="Arial"/>
          <w:i/>
          <w:color w:val="000000"/>
          <w:sz w:val="18"/>
        </w:rPr>
        <w:t>i.e.</w:t>
      </w:r>
      <w:r>
        <w:rPr>
          <w:rFonts w:ascii="Arial" w:eastAsia="Arial" w:hAnsi="Arial" w:cs="Arial"/>
          <w:color w:val="000000"/>
          <w:sz w:val="18"/>
        </w:rPr>
        <w:t>, unfavorable treatment) and that it was taken with respect to hiring, firing, or the other terms, conditions, and privileges of employment. It is necessary to consider the required degree of unfavorable treatment separately from the aspects of employment that are protected.</w:t>
      </w:r>
    </w:p>
    <w:p w14:paraId="0B063F2F" w14:textId="77777777" w:rsidR="002B10A6" w:rsidRDefault="00000000">
      <w:pPr>
        <w:pStyle w:val="Normal23"/>
        <w:widowControl w:val="0"/>
        <w:spacing w:before="200" w:line="240" w:lineRule="atLeast"/>
        <w:jc w:val="both"/>
      </w:pPr>
      <w:bookmarkStart w:id="5285" w:name="Bookmark_fnpara_36_0"/>
      <w:bookmarkEnd w:id="5285"/>
      <w:r>
        <w:rPr>
          <w:rFonts w:ascii="Arial" w:eastAsia="Arial" w:hAnsi="Arial" w:cs="Arial"/>
          <w:color w:val="000000"/>
          <w:sz w:val="18"/>
        </w:rPr>
        <w:t xml:space="preserve">Additionally, </w:t>
      </w:r>
      <w:r>
        <w:rPr>
          <w:rFonts w:ascii="Arial" w:eastAsia="Arial" w:hAnsi="Arial" w:cs="Arial"/>
          <w:i/>
          <w:color w:val="000000"/>
          <w:sz w:val="18"/>
        </w:rPr>
        <w:t>Ellerth</w:t>
      </w:r>
      <w:r>
        <w:rPr>
          <w:rFonts w:ascii="Arial" w:eastAsia="Arial" w:hAnsi="Arial" w:cs="Arial"/>
          <w:color w:val="000000"/>
          <w:sz w:val="18"/>
        </w:rPr>
        <w:t xml:space="preserve"> dealt only with discriminatory actions taken after commencement of employment, which is why it discussed tangible employment actions in terms of a </w:t>
      </w:r>
      <w:r>
        <w:rPr>
          <w:rFonts w:ascii="Arial" w:eastAsia="Arial" w:hAnsi="Arial" w:cs="Arial"/>
          <w:i/>
          <w:color w:val="000000"/>
          <w:sz w:val="18"/>
        </w:rPr>
        <w:t>change</w:t>
      </w:r>
      <w:r>
        <w:rPr>
          <w:rFonts w:ascii="Arial" w:eastAsia="Arial" w:hAnsi="Arial" w:cs="Arial"/>
          <w:color w:val="000000"/>
          <w:sz w:val="18"/>
        </w:rPr>
        <w:t xml:space="preserve"> in employment status. </w:t>
      </w:r>
      <w:r>
        <w:rPr>
          <w:rFonts w:ascii="Arial" w:eastAsia="Arial" w:hAnsi="Arial" w:cs="Arial"/>
          <w:i/>
          <w:color w:val="000000"/>
          <w:sz w:val="18"/>
        </w:rPr>
        <w:t>Ellerth</w:t>
      </w:r>
      <w:r>
        <w:rPr>
          <w:rFonts w:ascii="Arial" w:eastAsia="Arial" w:hAnsi="Arial" w:cs="Arial"/>
          <w:color w:val="000000"/>
          <w:sz w:val="18"/>
        </w:rPr>
        <w:t xml:space="preserve"> did not address discriminatory treatment existing since the inception of employment or the provision of benefits.</w:t>
      </w:r>
    </w:p>
  </w:footnote>
  <w:footnote w:id="196">
    <w:p w14:paraId="09B29A6F" w14:textId="77777777" w:rsidR="002B10A6" w:rsidRDefault="00000000">
      <w:pPr>
        <w:pStyle w:val="Normal23"/>
        <w:widowControl w:val="0"/>
        <w:spacing w:before="120" w:line="240" w:lineRule="atLeast"/>
        <w:jc w:val="both"/>
      </w:pPr>
      <w:r>
        <w:rPr>
          <w:rFonts w:ascii="Arial" w:eastAsia="Arial" w:hAnsi="Arial" w:cs="Arial"/>
          <w:color w:val="000000"/>
          <w:sz w:val="18"/>
          <w:vertAlign w:val="superscript"/>
        </w:rPr>
        <w:t>8 </w:t>
      </w:r>
      <w:bookmarkStart w:id="5374" w:name="Bookmark_fnpara_37_0"/>
      <w:bookmarkEnd w:id="5374"/>
      <w:r>
        <w:rPr>
          <w:rFonts w:ascii="Arial" w:eastAsia="Arial" w:hAnsi="Arial" w:cs="Arial"/>
          <w:color w:val="000000"/>
          <w:sz w:val="18"/>
        </w:rPr>
        <w:t>The amici include the Colorado Plaintiff Employment Lawyers Association, the National Disability Rights Network, the National Employment Lawyers Association, and the United States.</w:t>
      </w:r>
    </w:p>
  </w:footnote>
  <w:footnote w:id="197">
    <w:p w14:paraId="23DB5C2F" w14:textId="77777777" w:rsidR="002B10A6" w:rsidRDefault="00000000">
      <w:pPr>
        <w:pStyle w:val="Normal23"/>
        <w:widowControl w:val="0"/>
        <w:spacing w:before="200" w:line="240" w:lineRule="atLeast"/>
        <w:jc w:val="both"/>
      </w:pPr>
      <w:r>
        <w:rPr>
          <w:rFonts w:ascii="Arial" w:eastAsia="Arial" w:hAnsi="Arial" w:cs="Arial"/>
          <w:color w:val="000000"/>
          <w:sz w:val="18"/>
          <w:vertAlign w:val="superscript"/>
        </w:rPr>
        <w:t>9 </w:t>
      </w:r>
      <w:bookmarkStart w:id="5400" w:name="Bookmark_fnpara_38_0"/>
      <w:bookmarkEnd w:id="5400"/>
      <w:r>
        <w:rPr>
          <w:rFonts w:ascii="Arial" w:eastAsia="Arial" w:hAnsi="Arial" w:cs="Arial"/>
          <w:color w:val="000000"/>
          <w:sz w:val="18"/>
        </w:rPr>
        <w:t xml:space="preserve">Importantly, this was the only challenge to the district court's construction of what constitutes an adverse employment action preserved by Ms. Exby-Stolley in her opening brief. </w:t>
      </w:r>
      <w:r>
        <w:rPr>
          <w:rFonts w:ascii="Arial" w:eastAsia="Arial" w:hAnsi="Arial" w:cs="Arial"/>
          <w:i/>
          <w:color w:val="000000"/>
          <w:sz w:val="18"/>
        </w:rPr>
        <w:t xml:space="preserve">See </w:t>
      </w:r>
      <w:bookmarkStart w:id="5401" w:name="Bookmark_I61CDGK52D6N8X0020000400"/>
      <w:bookmarkEnd w:id="5401"/>
      <w:r>
        <w:rPr>
          <w:rFonts w:ascii="Arial" w:eastAsia="Arial" w:hAnsi="Arial" w:cs="Arial"/>
          <w:i/>
          <w:color w:val="000000"/>
          <w:sz w:val="18"/>
        </w:rPr>
        <w:t>Adler v. Wal-Mart Stores, Inc.</w:t>
      </w:r>
      <w:r>
        <w:rPr>
          <w:rFonts w:ascii="Arial" w:eastAsia="Arial" w:hAnsi="Arial" w:cs="Arial"/>
          <w:color w:val="000000"/>
          <w:sz w:val="18"/>
        </w:rPr>
        <w:t>, 144 F.3d 664, 679 (10th Cir. 1998).</w:t>
      </w:r>
    </w:p>
  </w:footnote>
  <w:footnote w:id="198">
    <w:p w14:paraId="316C31F8" w14:textId="77777777" w:rsidR="002B10A6" w:rsidRDefault="00000000">
      <w:pPr>
        <w:pStyle w:val="Normal23"/>
        <w:widowControl w:val="0"/>
        <w:spacing w:before="120" w:line="240" w:lineRule="atLeast"/>
        <w:jc w:val="both"/>
      </w:pPr>
      <w:r>
        <w:rPr>
          <w:rFonts w:ascii="Arial" w:eastAsia="Arial" w:hAnsi="Arial" w:cs="Arial"/>
          <w:color w:val="000000"/>
          <w:sz w:val="18"/>
          <w:vertAlign w:val="superscript"/>
        </w:rPr>
        <w:t>1 </w:t>
      </w:r>
      <w:bookmarkStart w:id="5432" w:name="Bookmark_fnpara_39_0"/>
      <w:bookmarkEnd w:id="5432"/>
      <w:r>
        <w:rPr>
          <w:rFonts w:ascii="Arial" w:eastAsia="Arial" w:hAnsi="Arial" w:cs="Arial"/>
          <w:color w:val="000000"/>
          <w:sz w:val="18"/>
        </w:rPr>
        <w:t>It is not clear to me where these authorities get the essential-functions-of-the-job requirement. I see nothing in the language of § 12112(b)(5)(A) that would impose that restriction. Perhaps the terms-or-conditions language of § 12112(a) could be the source.</w:t>
      </w:r>
    </w:p>
  </w:footnote>
  <w:footnote w:id="199">
    <w:p w14:paraId="1EC5C818" w14:textId="77777777" w:rsidR="002B10A6" w:rsidRDefault="00000000">
      <w:pPr>
        <w:pStyle w:val="Normal25"/>
        <w:widowControl w:val="0"/>
        <w:spacing w:before="120" w:line="240" w:lineRule="atLeast"/>
        <w:jc w:val="both"/>
      </w:pPr>
      <w:r>
        <w:rPr>
          <w:rFonts w:ascii="Arial" w:eastAsia="Arial" w:hAnsi="Arial" w:cs="Arial"/>
          <w:color w:val="000000"/>
          <w:sz w:val="18"/>
          <w:vertAlign w:val="superscript"/>
        </w:rPr>
        <w:t>1 </w:t>
      </w:r>
      <w:bookmarkStart w:id="5526" w:name="Bookmark_fnpara_1_22"/>
      <w:bookmarkEnd w:id="5526"/>
      <w:r>
        <w:rPr>
          <w:rFonts w:ascii="Arial" w:eastAsia="Arial" w:hAnsi="Arial" w:cs="Arial"/>
          <w:color w:val="000000"/>
          <w:sz w:val="18"/>
        </w:rPr>
        <w:t>Although Aubrey did not specify in the meeting, this appointment was apparently on April 30, 2015.</w:t>
      </w:r>
    </w:p>
  </w:footnote>
  <w:footnote w:id="200">
    <w:p w14:paraId="249A01C2" w14:textId="77777777" w:rsidR="002B10A6" w:rsidRDefault="00000000">
      <w:pPr>
        <w:pStyle w:val="Normal25"/>
        <w:widowControl w:val="0"/>
        <w:spacing w:before="200" w:line="240" w:lineRule="atLeast"/>
        <w:jc w:val="both"/>
      </w:pPr>
      <w:r>
        <w:rPr>
          <w:rFonts w:ascii="Arial" w:eastAsia="Arial" w:hAnsi="Arial" w:cs="Arial"/>
          <w:color w:val="000000"/>
          <w:sz w:val="18"/>
          <w:vertAlign w:val="superscript"/>
        </w:rPr>
        <w:t>2 </w:t>
      </w:r>
      <w:bookmarkStart w:id="5534" w:name="Bookmark_fnpara_2_18"/>
      <w:bookmarkEnd w:id="5534"/>
      <w:r>
        <w:rPr>
          <w:rFonts w:ascii="Arial" w:eastAsia="Arial" w:hAnsi="Arial" w:cs="Arial"/>
          <w:color w:val="000000"/>
          <w:sz w:val="18"/>
        </w:rPr>
        <w:t xml:space="preserve">The 2008 amendments "primarily" revised "the ADA's definition of 'disability,'" </w:t>
      </w:r>
      <w:bookmarkStart w:id="5535" w:name="Bookmark_I61HP1PT2SF7S40030000400"/>
      <w:bookmarkEnd w:id="5535"/>
      <w:r>
        <w:rPr>
          <w:rFonts w:ascii="Arial" w:eastAsia="Arial" w:hAnsi="Arial" w:cs="Arial"/>
          <w:color w:val="000000"/>
          <w:sz w:val="18"/>
          <w:u w:val="single"/>
        </w:rPr>
        <w:t>DeWitt v. SW Bell Tel. Co.</w:t>
      </w:r>
      <w:r>
        <w:rPr>
          <w:rFonts w:ascii="Arial" w:eastAsia="Arial" w:hAnsi="Arial" w:cs="Arial"/>
          <w:color w:val="000000"/>
          <w:sz w:val="18"/>
        </w:rPr>
        <w:t xml:space="preserve">, 845 F.3d 1299, 1303 n.1 (10th Cir. 2017), an issue not presented in this case. In light of that, "we freely rely on authorities prior to ADAAA's effective date that apply and construe the ADA, insofar as they are relevant." </w:t>
      </w:r>
      <w:r>
        <w:rPr>
          <w:rFonts w:ascii="Arial" w:eastAsia="Arial" w:hAnsi="Arial" w:cs="Arial"/>
          <w:color w:val="000000"/>
          <w:sz w:val="18"/>
          <w:u w:val="single"/>
        </w:rPr>
        <w:t>Id.</w:t>
      </w:r>
    </w:p>
  </w:footnote>
  <w:footnote w:id="201">
    <w:p w14:paraId="43423C6E" w14:textId="77777777" w:rsidR="002B10A6" w:rsidRDefault="00000000">
      <w:pPr>
        <w:pStyle w:val="Normal25"/>
        <w:widowControl w:val="0"/>
        <w:spacing w:before="120" w:line="240" w:lineRule="atLeast"/>
        <w:jc w:val="both"/>
      </w:pPr>
      <w:r>
        <w:rPr>
          <w:rFonts w:ascii="Arial" w:eastAsia="Arial" w:hAnsi="Arial" w:cs="Arial"/>
          <w:color w:val="000000"/>
          <w:sz w:val="18"/>
          <w:vertAlign w:val="superscript"/>
        </w:rPr>
        <w:t>3 </w:t>
      </w:r>
      <w:bookmarkStart w:id="5536" w:name="Bookmark_fnpara_3_16"/>
      <w:bookmarkEnd w:id="5536"/>
      <w:r>
        <w:rPr>
          <w:rFonts w:ascii="Arial" w:eastAsia="Arial" w:hAnsi="Arial" w:cs="Arial"/>
          <w:color w:val="000000"/>
          <w:sz w:val="18"/>
        </w:rPr>
        <w:t>Aubrey moved for partial summary judgment on the question of whether she had a disability for ADA purposes. The district court denied that motion as moot after granting Weld County summary judgment on all claims. Aubrey does not challenge that decision on appeal. However, given our other rulings, Aubrey would be free to renew her partial summary judgment motion on remand.</w:t>
      </w:r>
    </w:p>
  </w:footnote>
  <w:footnote w:id="202">
    <w:p w14:paraId="5F151057" w14:textId="77777777" w:rsidR="002B10A6" w:rsidRDefault="00000000">
      <w:pPr>
        <w:pStyle w:val="Normal25"/>
        <w:widowControl w:val="0"/>
        <w:spacing w:before="200" w:line="240" w:lineRule="atLeast"/>
        <w:jc w:val="both"/>
      </w:pPr>
      <w:r>
        <w:rPr>
          <w:rFonts w:ascii="Arial" w:eastAsia="Arial" w:hAnsi="Arial" w:cs="Arial"/>
          <w:color w:val="000000"/>
          <w:sz w:val="18"/>
          <w:vertAlign w:val="superscript"/>
        </w:rPr>
        <w:t>4 </w:t>
      </w:r>
      <w:bookmarkStart w:id="5549" w:name="Bookmark_fnpara_4_16"/>
      <w:bookmarkEnd w:id="5549"/>
      <w:r>
        <w:rPr>
          <w:rFonts w:ascii="Arial" w:eastAsia="Arial" w:hAnsi="Arial" w:cs="Arial"/>
          <w:color w:val="000000"/>
          <w:sz w:val="18"/>
          <w:u w:val="single"/>
        </w:rPr>
        <w:t>See</w:t>
      </w:r>
      <w:r>
        <w:rPr>
          <w:rFonts w:ascii="Arial" w:eastAsia="Arial" w:hAnsi="Arial" w:cs="Arial"/>
          <w:color w:val="000000"/>
          <w:sz w:val="18"/>
        </w:rPr>
        <w:t xml:space="preserve"> 42 U.S.C. § 12201 (ADA providing that, "[e]xcept as otherwise provided in this chapter, nothing in this chapter shall be construed to apply a lesser standard than the standards applied under title V of the Rehabilitation Act of 1973 (29 U.S.C. 790 et seq.) or the regulations issued by Federal agencies pursuant to such title"); Colo. Rev. Stat. § 24-34-405(6) (CADA providing that, "[e]xcept when federal law is silent on the issue, this section shall be construed, interpreted, and applied in a manner that is consistent with standards established through judicial interpretation of . . . titles I and V of the federal 'Americans with Disabilities Act of 1990', as amended, 42 U.S.C. sec. 12111 et seq."); </w:t>
      </w:r>
      <w:r>
        <w:rPr>
          <w:rFonts w:ascii="Arial" w:eastAsia="Arial" w:hAnsi="Arial" w:cs="Arial"/>
          <w:color w:val="000000"/>
          <w:sz w:val="18"/>
          <w:u w:val="single"/>
        </w:rPr>
        <w:t xml:space="preserve">see also </w:t>
      </w:r>
      <w:bookmarkStart w:id="5550" w:name="Bookmark_I61HP1PW2N1PXB0040000400"/>
      <w:bookmarkEnd w:id="5550"/>
      <w:r>
        <w:rPr>
          <w:rFonts w:ascii="Arial" w:eastAsia="Arial" w:hAnsi="Arial" w:cs="Arial"/>
          <w:color w:val="000000"/>
          <w:sz w:val="18"/>
          <w:u w:val="single"/>
        </w:rPr>
        <w:t>Rivero v. Bd. of Regents of Univ. of N.M.</w:t>
      </w:r>
      <w:r>
        <w:rPr>
          <w:rFonts w:ascii="Arial" w:eastAsia="Arial" w:hAnsi="Arial" w:cs="Arial"/>
          <w:color w:val="000000"/>
          <w:sz w:val="18"/>
        </w:rPr>
        <w:t xml:space="preserve">, 950 F.3d 754, 758 (10th Cir. 2020) (noting that, because Rehabilitation Act incorporates ADA standards, ADA case law applies to Rehabilitation Act claims and vice versa); </w:t>
      </w:r>
      <w:bookmarkStart w:id="5551" w:name="Bookmark_I61HP1PW2SF7S90010000400"/>
      <w:bookmarkEnd w:id="5551"/>
      <w:r>
        <w:rPr>
          <w:rFonts w:ascii="Arial" w:eastAsia="Arial" w:hAnsi="Arial" w:cs="Arial"/>
          <w:color w:val="000000"/>
          <w:sz w:val="18"/>
          <w:u w:val="single"/>
        </w:rPr>
        <w:t>Unrein v. PHC-Fort Morgan, Inc.</w:t>
      </w:r>
      <w:r>
        <w:rPr>
          <w:rFonts w:ascii="Arial" w:eastAsia="Arial" w:hAnsi="Arial" w:cs="Arial"/>
          <w:color w:val="000000"/>
          <w:sz w:val="18"/>
        </w:rPr>
        <w:t xml:space="preserve">, No. 17-cv-02846-REB-SKC, 2020 U.S. Dist. LEXIS 85230, 2020 WL 2465719, at *1 (D. Colo. May 13, 2020) (noting that, because they are "parallel statutes," the CADA should be interpreted consistent with the ADA "[w]henever possible), </w:t>
      </w:r>
      <w:r>
        <w:rPr>
          <w:rFonts w:ascii="Arial" w:eastAsia="Arial" w:hAnsi="Arial" w:cs="Arial"/>
          <w:color w:val="000000"/>
          <w:sz w:val="18"/>
          <w:u w:val="single"/>
        </w:rPr>
        <w:t>appeal filed</w:t>
      </w:r>
      <w:r>
        <w:rPr>
          <w:rFonts w:ascii="Arial" w:eastAsia="Arial" w:hAnsi="Arial" w:cs="Arial"/>
          <w:color w:val="000000"/>
          <w:sz w:val="18"/>
        </w:rPr>
        <w:t xml:space="preserve">, </w:t>
      </w:r>
      <w:bookmarkStart w:id="5552" w:name="Bookmark_I61HP1PW2SF7S90030000400"/>
      <w:bookmarkEnd w:id="5552"/>
      <w:r>
        <w:rPr>
          <w:rFonts w:ascii="Arial" w:eastAsia="Arial" w:hAnsi="Arial" w:cs="Arial"/>
          <w:color w:val="000000"/>
          <w:sz w:val="18"/>
        </w:rPr>
        <w:t>(10th Cir. June 15, 2020) (No. 20-1219). Neither the parties nor the district court separately analyzed Aubrey's Rehabilitation Act and CADA claims; neither do we.</w:t>
      </w:r>
    </w:p>
  </w:footnote>
  <w:footnote w:id="203">
    <w:p w14:paraId="4620C547" w14:textId="77777777" w:rsidR="002B10A6" w:rsidRDefault="00000000">
      <w:pPr>
        <w:pStyle w:val="Normal25"/>
        <w:widowControl w:val="0"/>
        <w:spacing w:before="200" w:line="240" w:lineRule="atLeast"/>
        <w:jc w:val="both"/>
      </w:pPr>
      <w:r>
        <w:rPr>
          <w:rFonts w:ascii="Arial" w:eastAsia="Arial" w:hAnsi="Arial" w:cs="Arial"/>
          <w:color w:val="000000"/>
          <w:sz w:val="18"/>
          <w:vertAlign w:val="superscript"/>
        </w:rPr>
        <w:t>5 </w:t>
      </w:r>
      <w:bookmarkStart w:id="5563" w:name="Bookmark_fnpara_5_13"/>
      <w:bookmarkStart w:id="5564" w:name="Bookmark_I7C9TG1B4VS0000678T00021"/>
      <w:bookmarkStart w:id="5565" w:name="Bookmark_I7C9TG1B6N30000678T00022"/>
      <w:bookmarkStart w:id="5566" w:name="Bookmark_I61HP1PY2D6N5X0050000400"/>
      <w:bookmarkEnd w:id="5563"/>
      <w:bookmarkEnd w:id="5564"/>
      <w:bookmarkEnd w:id="5565"/>
      <w:bookmarkEnd w:id="5566"/>
      <w:r>
        <w:rPr>
          <w:rFonts w:ascii="Arial" w:eastAsia="Arial" w:hAnsi="Arial" w:cs="Arial"/>
          <w:color w:val="000000"/>
          <w:sz w:val="18"/>
        </w:rPr>
        <w:t xml:space="preserve">Though unpublished, the panel finds the reasoning in </w:t>
      </w:r>
      <w:bookmarkStart w:id="5567" w:name="Bookmark_I61HP1PY2D6N5X0040000400"/>
      <w:bookmarkEnd w:id="5567"/>
      <w:r>
        <w:rPr>
          <w:rFonts w:ascii="Arial" w:eastAsia="Arial" w:hAnsi="Arial" w:cs="Arial"/>
          <w:color w:val="000000"/>
          <w:sz w:val="18"/>
          <w:u w:val="single"/>
        </w:rPr>
        <w:t>McFarland</w:t>
      </w:r>
      <w:r>
        <w:rPr>
          <w:rFonts w:ascii="Arial" w:eastAsia="Arial" w:hAnsi="Arial" w:cs="Arial"/>
          <w:color w:val="000000"/>
          <w:sz w:val="18"/>
        </w:rPr>
        <w:t xml:space="preserve"> and </w:t>
      </w:r>
      <w:bookmarkStart w:id="5568" w:name="Bookmark_I61HP1PY28T3YM0010000400"/>
      <w:bookmarkEnd w:id="5568"/>
      <w:r>
        <w:rPr>
          <w:rFonts w:ascii="Arial" w:eastAsia="Arial" w:hAnsi="Arial" w:cs="Arial"/>
          <w:color w:val="000000"/>
          <w:sz w:val="18"/>
          <w:u w:val="single"/>
        </w:rPr>
        <w:t>Spielman</w:t>
      </w:r>
      <w:r>
        <w:rPr>
          <w:rFonts w:ascii="Arial" w:eastAsia="Arial" w:hAnsi="Arial" w:cs="Arial"/>
          <w:color w:val="000000"/>
          <w:sz w:val="18"/>
        </w:rPr>
        <w:t xml:space="preserve"> helpful.</w:t>
      </w:r>
    </w:p>
  </w:footnote>
  <w:footnote w:id="204">
    <w:p w14:paraId="723D0F4E" w14:textId="77777777" w:rsidR="002B10A6" w:rsidRDefault="00000000">
      <w:pPr>
        <w:pStyle w:val="Normal25"/>
        <w:widowControl w:val="0"/>
        <w:spacing w:before="200" w:line="240" w:lineRule="atLeast"/>
        <w:jc w:val="both"/>
      </w:pPr>
      <w:r>
        <w:rPr>
          <w:rFonts w:ascii="Arial" w:eastAsia="Arial" w:hAnsi="Arial" w:cs="Arial"/>
          <w:color w:val="000000"/>
          <w:sz w:val="18"/>
          <w:vertAlign w:val="superscript"/>
        </w:rPr>
        <w:t>6 </w:t>
      </w:r>
      <w:bookmarkStart w:id="5569" w:name="Bookmark_fnpara_6_11"/>
      <w:bookmarkStart w:id="5570" w:name="Bookmark_I7C9TG19DM50000678T0001N"/>
      <w:bookmarkStart w:id="5571" w:name="Bookmark_I61HP1PY28T3YM0040000400"/>
      <w:bookmarkEnd w:id="5569"/>
      <w:bookmarkEnd w:id="5570"/>
      <w:bookmarkEnd w:id="5571"/>
      <w:r>
        <w:rPr>
          <w:rFonts w:ascii="Arial" w:eastAsia="Arial" w:hAnsi="Arial" w:cs="Arial"/>
          <w:color w:val="000000"/>
          <w:sz w:val="18"/>
        </w:rPr>
        <w:t xml:space="preserve">The Tenth Circuit is currently considering, en banc, whether a plaintiff asserting a failure-to-accommodate claim must also prove that she suffered an adverse employment action, in addition to the employer's failure to accommodate her disability. </w:t>
      </w:r>
      <w:r>
        <w:rPr>
          <w:rFonts w:ascii="Arial" w:eastAsia="Arial" w:hAnsi="Arial" w:cs="Arial"/>
          <w:color w:val="000000"/>
          <w:sz w:val="18"/>
          <w:u w:val="single"/>
        </w:rPr>
        <w:t xml:space="preserve">See </w:t>
      </w:r>
      <w:bookmarkStart w:id="5572" w:name="Bookmark_I61HP1PY28T3YM0030000400"/>
      <w:bookmarkEnd w:id="5572"/>
      <w:r>
        <w:rPr>
          <w:rFonts w:ascii="Arial" w:eastAsia="Arial" w:hAnsi="Arial" w:cs="Arial"/>
          <w:color w:val="000000"/>
          <w:sz w:val="18"/>
          <w:u w:val="single"/>
        </w:rPr>
        <w:t>Exby-Stolley v. Bd. of Cty. Comm'rs</w:t>
      </w:r>
      <w:r>
        <w:rPr>
          <w:rFonts w:ascii="Arial" w:eastAsia="Arial" w:hAnsi="Arial" w:cs="Arial"/>
          <w:color w:val="000000"/>
          <w:sz w:val="18"/>
        </w:rPr>
        <w:t xml:space="preserve">, 906 F.3d 900, 902, 908 (10th Cir.), </w:t>
      </w:r>
      <w:r>
        <w:rPr>
          <w:rFonts w:ascii="Arial" w:eastAsia="Arial" w:hAnsi="Arial" w:cs="Arial"/>
          <w:color w:val="000000"/>
          <w:sz w:val="18"/>
          <w:u w:val="single"/>
        </w:rPr>
        <w:t>reh'g en banc granted</w:t>
      </w:r>
      <w:r>
        <w:rPr>
          <w:rFonts w:ascii="Arial" w:eastAsia="Arial" w:hAnsi="Arial" w:cs="Arial"/>
          <w:color w:val="000000"/>
          <w:sz w:val="18"/>
        </w:rPr>
        <w:t xml:space="preserve">, 910 F.3d 1129 (10th Cir. 2018). Here, Aubrey has easily established that the County took adverse action against her by terminating her employment. So, we see no need to hold this opinion until the en banc Tenth Circuit decides the </w:t>
      </w:r>
      <w:r>
        <w:rPr>
          <w:rFonts w:ascii="Arial" w:eastAsia="Arial" w:hAnsi="Arial" w:cs="Arial"/>
          <w:color w:val="000000"/>
          <w:sz w:val="18"/>
          <w:u w:val="single"/>
        </w:rPr>
        <w:t>Exby-Stolley</w:t>
      </w:r>
      <w:r>
        <w:rPr>
          <w:rFonts w:ascii="Arial" w:eastAsia="Arial" w:hAnsi="Arial" w:cs="Arial"/>
          <w:color w:val="000000"/>
          <w:sz w:val="18"/>
        </w:rPr>
        <w:t xml:space="preserve"> opinion.</w:t>
      </w:r>
    </w:p>
  </w:footnote>
  <w:footnote w:id="205">
    <w:p w14:paraId="2B810D5C" w14:textId="77777777" w:rsidR="002B10A6" w:rsidRDefault="00000000">
      <w:pPr>
        <w:pStyle w:val="Normal25"/>
        <w:widowControl w:val="0"/>
        <w:spacing w:before="200" w:line="240" w:lineRule="atLeast"/>
        <w:jc w:val="both"/>
      </w:pPr>
      <w:r>
        <w:rPr>
          <w:rFonts w:ascii="Arial" w:eastAsia="Arial" w:hAnsi="Arial" w:cs="Arial"/>
          <w:color w:val="000000"/>
          <w:sz w:val="18"/>
          <w:vertAlign w:val="superscript"/>
        </w:rPr>
        <w:t>7 </w:t>
      </w:r>
      <w:bookmarkStart w:id="5672" w:name="Bookmark_fnpara_7_8"/>
      <w:bookmarkEnd w:id="5672"/>
      <w:r>
        <w:rPr>
          <w:rFonts w:ascii="Arial" w:eastAsia="Arial" w:hAnsi="Arial" w:cs="Arial"/>
          <w:color w:val="000000"/>
          <w:sz w:val="18"/>
        </w:rPr>
        <w:t xml:space="preserve">Although unpublished, we deem </w:t>
      </w:r>
      <w:r>
        <w:rPr>
          <w:rFonts w:ascii="Arial" w:eastAsia="Arial" w:hAnsi="Arial" w:cs="Arial"/>
          <w:color w:val="000000"/>
          <w:sz w:val="18"/>
          <w:u w:val="single"/>
        </w:rPr>
        <w:t>Valdez</w:t>
      </w:r>
      <w:r>
        <w:rPr>
          <w:rFonts w:ascii="Arial" w:eastAsia="Arial" w:hAnsi="Arial" w:cs="Arial"/>
          <w:color w:val="000000"/>
          <w:sz w:val="18"/>
        </w:rPr>
        <w:t xml:space="preserve"> persuasive on this point.</w:t>
      </w:r>
    </w:p>
  </w:footnote>
  <w:footnote w:id="206">
    <w:p w14:paraId="10EA5D2A" w14:textId="77777777" w:rsidR="002B10A6" w:rsidRDefault="00000000">
      <w:pPr>
        <w:pStyle w:val="Normal25"/>
        <w:widowControl w:val="0"/>
        <w:spacing w:before="120" w:line="240" w:lineRule="atLeast"/>
        <w:jc w:val="both"/>
      </w:pPr>
      <w:r>
        <w:rPr>
          <w:rFonts w:ascii="Arial" w:eastAsia="Arial" w:hAnsi="Arial" w:cs="Arial"/>
          <w:color w:val="000000"/>
          <w:sz w:val="18"/>
          <w:vertAlign w:val="superscript"/>
        </w:rPr>
        <w:t>8 </w:t>
      </w:r>
      <w:bookmarkStart w:id="5717" w:name="Bookmark_fnpara_8_6"/>
      <w:bookmarkEnd w:id="5717"/>
      <w:r>
        <w:rPr>
          <w:rFonts w:ascii="Arial" w:eastAsia="Arial" w:hAnsi="Arial" w:cs="Arial"/>
          <w:color w:val="000000"/>
          <w:sz w:val="18"/>
        </w:rPr>
        <w:t>The County also contends that it would have been an undue hardship to extend Aubrey's unpaid leave because Koppes considered all the jobs in the Clerk and Recorder's recording division and Aubrey could not do any of them. But that assertion does not address why the County was unable to provide Aubrey with additional time off to get her doctors' certificates.</w:t>
      </w:r>
    </w:p>
  </w:footnote>
  <w:footnote w:id="207">
    <w:p w14:paraId="0A04C677" w14:textId="77777777" w:rsidR="002B10A6" w:rsidRDefault="00000000">
      <w:pPr>
        <w:pStyle w:val="Normal25"/>
        <w:widowControl w:val="0"/>
        <w:spacing w:before="200" w:line="240" w:lineRule="atLeast"/>
        <w:jc w:val="both"/>
      </w:pPr>
      <w:r>
        <w:rPr>
          <w:rFonts w:ascii="Arial" w:eastAsia="Arial" w:hAnsi="Arial" w:cs="Arial"/>
          <w:color w:val="000000"/>
          <w:sz w:val="18"/>
          <w:vertAlign w:val="superscript"/>
        </w:rPr>
        <w:t>9 </w:t>
      </w:r>
      <w:bookmarkStart w:id="5740" w:name="Bookmark_fnpara_9_4"/>
      <w:bookmarkStart w:id="5741" w:name="Bookmark_I61HP1R52N1PYH0010000400"/>
      <w:bookmarkEnd w:id="5740"/>
      <w:bookmarkEnd w:id="5741"/>
      <w:r>
        <w:rPr>
          <w:rFonts w:ascii="Arial" w:eastAsia="Arial" w:hAnsi="Arial" w:cs="Arial"/>
          <w:color w:val="000000"/>
          <w:sz w:val="18"/>
        </w:rPr>
        <w:t xml:space="preserve">During the pre-termination meeting, County officials were quick to assure the soon-to-be terminated Aubrey that, if she recovered sufficiently and there was an opening in the Clerk and Recorder's office, Koppes would consider hiring her again. </w:t>
      </w:r>
      <w:bookmarkStart w:id="5742" w:name="Bookmark_LNHNREFclscc21_2"/>
      <w:bookmarkEnd w:id="5742"/>
      <w:r>
        <w:rPr>
          <w:rFonts w:ascii="Arial" w:eastAsia="Arial" w:hAnsi="Arial" w:cs="Arial"/>
          <w:color w:val="000000"/>
          <w:sz w:val="18"/>
        </w:rPr>
        <w:t xml:space="preserve">But reassignment to a vacant position as a reasonable accommodation generally means the disabled employee is entitled to that position without having to compete with other applicants. </w:t>
      </w:r>
      <w:bookmarkStart w:id="5743" w:name="Bookmark_I61HP1R52N1PYH0050000400"/>
      <w:bookmarkStart w:id="5744" w:name="Bookmark_I61HP1R42HM5V80050000400"/>
      <w:bookmarkEnd w:id="5743"/>
      <w:bookmarkEnd w:id="5744"/>
      <w:r>
        <w:rPr>
          <w:rFonts w:ascii="Arial" w:eastAsia="Arial" w:hAnsi="Arial" w:cs="Arial"/>
          <w:color w:val="000000"/>
          <w:sz w:val="18"/>
          <w:u w:val="single"/>
        </w:rPr>
        <w:t>Lincoln</w:t>
      </w:r>
      <w:r>
        <w:rPr>
          <w:rFonts w:ascii="Arial" w:eastAsia="Arial" w:hAnsi="Arial" w:cs="Arial"/>
          <w:color w:val="000000"/>
          <w:sz w:val="18"/>
        </w:rPr>
        <w:t xml:space="preserve">, 900 F.3d at 1204-05 (citing </w:t>
      </w:r>
      <w:bookmarkStart w:id="5745" w:name="Bookmark_I61HP1R52N1PYH0020000400"/>
      <w:bookmarkEnd w:id="5745"/>
      <w:r>
        <w:rPr>
          <w:rFonts w:ascii="Arial" w:eastAsia="Arial" w:hAnsi="Arial" w:cs="Arial"/>
          <w:color w:val="000000"/>
          <w:sz w:val="18"/>
          <w:u w:val="single"/>
        </w:rPr>
        <w:t>Smith</w:t>
      </w:r>
      <w:r>
        <w:rPr>
          <w:rFonts w:ascii="Arial" w:eastAsia="Arial" w:hAnsi="Arial" w:cs="Arial"/>
          <w:color w:val="000000"/>
          <w:sz w:val="18"/>
        </w:rPr>
        <w:t xml:space="preserve">, 180 F.3d at 1166-67). </w:t>
      </w:r>
      <w:bookmarkStart w:id="5746" w:name="Bookmark_I61HP1R52N1PYH0050000400_2"/>
      <w:bookmarkEnd w:id="5746"/>
      <w:r>
        <w:rPr>
          <w:rFonts w:ascii="Arial" w:eastAsia="Arial" w:hAnsi="Arial" w:cs="Arial"/>
          <w:color w:val="000000"/>
          <w:sz w:val="18"/>
        </w:rPr>
        <w:t xml:space="preserve">Assuring a disabled employee that she could compete for future available jobs, then, is not an accommodation. </w:t>
      </w:r>
      <w:r>
        <w:rPr>
          <w:rFonts w:ascii="Arial" w:eastAsia="Arial" w:hAnsi="Arial" w:cs="Arial"/>
          <w:color w:val="000000"/>
          <w:sz w:val="18"/>
          <w:u w:val="single"/>
        </w:rPr>
        <w:t xml:space="preserve">See </w:t>
      </w:r>
      <w:bookmarkStart w:id="5747" w:name="Bookmark_I61HP1R52N1PYH0040000400"/>
      <w:bookmarkEnd w:id="5747"/>
      <w:r>
        <w:rPr>
          <w:rFonts w:ascii="Arial" w:eastAsia="Arial" w:hAnsi="Arial" w:cs="Arial"/>
          <w:color w:val="000000"/>
          <w:sz w:val="18"/>
          <w:u w:val="single"/>
        </w:rPr>
        <w:t>Davoll v. Webb</w:t>
      </w:r>
      <w:r>
        <w:rPr>
          <w:rFonts w:ascii="Arial" w:eastAsia="Arial" w:hAnsi="Arial" w:cs="Arial"/>
          <w:color w:val="000000"/>
          <w:sz w:val="18"/>
        </w:rPr>
        <w:t xml:space="preserve">, 194 F.3d 1116, 1131-32 (10th Cir. 1999) (citing </w:t>
      </w:r>
      <w:bookmarkStart w:id="5748" w:name="Bookmark_I61HP1R528T40K0010000400"/>
      <w:bookmarkEnd w:id="5748"/>
      <w:r>
        <w:rPr>
          <w:rFonts w:ascii="Arial" w:eastAsia="Arial" w:hAnsi="Arial" w:cs="Arial"/>
          <w:color w:val="000000"/>
          <w:sz w:val="18"/>
          <w:u w:val="single"/>
        </w:rPr>
        <w:t>Smith</w:t>
      </w:r>
      <w:r>
        <w:rPr>
          <w:rFonts w:ascii="Arial" w:eastAsia="Arial" w:hAnsi="Arial" w:cs="Arial"/>
          <w:color w:val="000000"/>
          <w:sz w:val="18"/>
        </w:rPr>
        <w:t>, 180 F.3d at 1165).</w:t>
      </w:r>
    </w:p>
  </w:footnote>
  <w:footnote w:id="208">
    <w:p w14:paraId="743E6B2A" w14:textId="77777777" w:rsidR="002B10A6" w:rsidRDefault="00000000">
      <w:pPr>
        <w:pStyle w:val="Normal25"/>
        <w:widowControl w:val="0"/>
        <w:spacing w:before="200" w:line="240" w:lineRule="atLeast"/>
        <w:jc w:val="both"/>
      </w:pPr>
      <w:r>
        <w:rPr>
          <w:rFonts w:ascii="Arial" w:eastAsia="Arial" w:hAnsi="Arial" w:cs="Arial"/>
          <w:color w:val="000000"/>
          <w:sz w:val="18"/>
          <w:vertAlign w:val="superscript"/>
        </w:rPr>
        <w:t>10 </w:t>
      </w:r>
      <w:bookmarkStart w:id="5787" w:name="Bookmark_fnpara_10_4"/>
      <w:bookmarkStart w:id="5788" w:name="Bookmark_I61HP1R62SF7TM0010000400"/>
      <w:bookmarkEnd w:id="5787"/>
      <w:bookmarkEnd w:id="5788"/>
      <w:r>
        <w:rPr>
          <w:rFonts w:ascii="Arial" w:eastAsia="Arial" w:hAnsi="Arial" w:cs="Arial"/>
          <w:color w:val="000000"/>
          <w:sz w:val="18"/>
          <w:u w:val="single"/>
        </w:rPr>
        <w:t>McDonnell-Douglas Corp. v. Green</w:t>
      </w:r>
      <w:r>
        <w:rPr>
          <w:rFonts w:ascii="Arial" w:eastAsia="Arial" w:hAnsi="Arial" w:cs="Arial"/>
          <w:color w:val="000000"/>
          <w:sz w:val="18"/>
        </w:rPr>
        <w:t>, 411 U.S. 792, 93 S. Ct. 1817, 36 L. Ed. 2d 668 (1973).</w:t>
      </w:r>
    </w:p>
  </w:footnote>
  <w:footnote w:id="209">
    <w:p w14:paraId="19A22358" w14:textId="77777777" w:rsidR="002B10A6" w:rsidRDefault="00000000">
      <w:pPr>
        <w:pStyle w:val="Normal26"/>
        <w:widowControl w:val="0"/>
        <w:spacing w:before="120" w:line="240" w:lineRule="atLeast"/>
        <w:jc w:val="both"/>
      </w:pPr>
      <w:r>
        <w:rPr>
          <w:rFonts w:ascii="Arial" w:eastAsia="Arial" w:hAnsi="Arial" w:cs="Arial"/>
          <w:color w:val="000000"/>
          <w:sz w:val="18"/>
          <w:vertAlign w:val="superscript"/>
        </w:rPr>
        <w:t>1 </w:t>
      </w:r>
      <w:bookmarkStart w:id="5833" w:name="Bookmark_fnpara_1_23"/>
      <w:bookmarkEnd w:id="5833"/>
      <w:r>
        <w:rPr>
          <w:rFonts w:ascii="Arial" w:eastAsia="Arial" w:hAnsi="Arial" w:cs="Arial"/>
          <w:color w:val="000000"/>
          <w:sz w:val="18"/>
        </w:rPr>
        <w:t>Such a device simultaneously amplifies safe noise and blocks harmful and excessive noise.</w:t>
      </w:r>
    </w:p>
  </w:footnote>
  <w:footnote w:id="210">
    <w:p w14:paraId="7C32AED2" w14:textId="77777777" w:rsidR="002B10A6" w:rsidRDefault="00000000">
      <w:pPr>
        <w:pStyle w:val="Normal26"/>
        <w:widowControl w:val="0"/>
        <w:spacing w:before="120" w:line="240" w:lineRule="atLeast"/>
        <w:jc w:val="both"/>
      </w:pPr>
      <w:r>
        <w:rPr>
          <w:rFonts w:ascii="Arial" w:eastAsia="Arial" w:hAnsi="Arial" w:cs="Arial"/>
          <w:color w:val="000000"/>
          <w:sz w:val="18"/>
          <w:vertAlign w:val="superscript"/>
        </w:rPr>
        <w:t>2 </w:t>
      </w:r>
      <w:bookmarkStart w:id="5853" w:name="Bookmark_fnpara_2_19"/>
      <w:bookmarkEnd w:id="5853"/>
      <w:r>
        <w:rPr>
          <w:rFonts w:ascii="Arial" w:eastAsia="Arial" w:hAnsi="Arial" w:cs="Arial"/>
          <w:color w:val="000000"/>
          <w:sz w:val="18"/>
        </w:rPr>
        <w:t>Mlsna moved to reconsider these rulings, which the district court denied.</w:t>
      </w:r>
    </w:p>
  </w:footnote>
  <w:footnote w:id="211">
    <w:p w14:paraId="3F69B5E9" w14:textId="77777777" w:rsidR="002B10A6" w:rsidRDefault="00000000">
      <w:pPr>
        <w:pStyle w:val="Normal26"/>
        <w:widowControl w:val="0"/>
        <w:spacing w:before="120" w:line="240" w:lineRule="atLeast"/>
        <w:jc w:val="both"/>
      </w:pPr>
      <w:r>
        <w:rPr>
          <w:rFonts w:ascii="Arial" w:eastAsia="Arial" w:hAnsi="Arial" w:cs="Arial"/>
          <w:color w:val="000000"/>
          <w:sz w:val="18"/>
          <w:vertAlign w:val="superscript"/>
        </w:rPr>
        <w:t>3 </w:t>
      </w:r>
      <w:bookmarkStart w:id="5877" w:name="Bookmark_fnpara_3_17"/>
      <w:bookmarkEnd w:id="5877"/>
      <w:r>
        <w:rPr>
          <w:rFonts w:ascii="Arial" w:eastAsia="Arial" w:hAnsi="Arial" w:cs="Arial"/>
          <w:color w:val="000000"/>
          <w:sz w:val="18"/>
        </w:rPr>
        <w:t>A noise dosimeter is a specialized sound level meter that measures a person's exposure to noise over a period of time. It can be used to assess compliance with health and safety regulations such as the occupational noise exposure standard of the Occupational Safety and Health Act, 29 C.F.R. 1910.95. It measures and stores sound pressure levels and provides a cumulative noise-exposure reading for a given period of time, such as an 8-hour workday.</w:t>
      </w:r>
    </w:p>
  </w:footnote>
  <w:footnote w:id="212">
    <w:p w14:paraId="55747CCA" w14:textId="77777777" w:rsidR="002B10A6" w:rsidRDefault="00000000">
      <w:pPr>
        <w:pStyle w:val="Normal26"/>
        <w:widowControl w:val="0"/>
        <w:spacing w:before="120" w:line="240" w:lineRule="atLeast"/>
        <w:jc w:val="both"/>
      </w:pPr>
      <w:r>
        <w:rPr>
          <w:rFonts w:ascii="Arial" w:eastAsia="Arial" w:hAnsi="Arial" w:cs="Arial"/>
          <w:color w:val="000000"/>
          <w:sz w:val="18"/>
          <w:vertAlign w:val="superscript"/>
        </w:rPr>
        <w:t>4 </w:t>
      </w:r>
      <w:bookmarkStart w:id="5884" w:name="Bookmark_fnpara_4_17"/>
      <w:bookmarkEnd w:id="5884"/>
      <w:r>
        <w:rPr>
          <w:rFonts w:ascii="Arial" w:eastAsia="Arial" w:hAnsi="Arial" w:cs="Arial"/>
          <w:color w:val="000000"/>
          <w:sz w:val="18"/>
        </w:rPr>
        <w:t>While, for example, the Dictionary Act states "words used in the present tense include the future tense as well as the present," 1 U.S.C. § 1, it does not state that words used in the present tense also include the past tense.</w:t>
      </w:r>
    </w:p>
  </w:footnote>
  <w:footnote w:id="213">
    <w:p w14:paraId="70E446B8" w14:textId="77777777" w:rsidR="002B10A6" w:rsidRDefault="00000000">
      <w:pPr>
        <w:pStyle w:val="Normal26"/>
        <w:widowControl w:val="0"/>
        <w:spacing w:before="200" w:line="240" w:lineRule="atLeast"/>
        <w:jc w:val="both"/>
      </w:pPr>
      <w:r>
        <w:rPr>
          <w:rFonts w:ascii="Arial" w:eastAsia="Arial" w:hAnsi="Arial" w:cs="Arial"/>
          <w:color w:val="000000"/>
          <w:sz w:val="18"/>
          <w:vertAlign w:val="superscript"/>
        </w:rPr>
        <w:t>5 </w:t>
      </w:r>
      <w:bookmarkStart w:id="5902" w:name="Bookmark_fnpara_5_14"/>
      <w:bookmarkStart w:id="5903" w:name="Bookmark_LNHNREFclscc12_15"/>
      <w:bookmarkEnd w:id="5902"/>
      <w:bookmarkEnd w:id="5903"/>
      <w:r>
        <w:rPr>
          <w:rFonts w:ascii="Arial" w:eastAsia="Arial" w:hAnsi="Arial" w:cs="Arial"/>
          <w:color w:val="000000"/>
          <w:sz w:val="18"/>
        </w:rPr>
        <w:t xml:space="preserve">The definition of "reasonable accommodation" includes: "To determine the appropriate reasonable accommodation it may be necessary for the [employer] to initiate an informal, </w:t>
      </w:r>
      <w:r>
        <w:rPr>
          <w:rFonts w:ascii="Arial" w:eastAsia="Arial" w:hAnsi="Arial" w:cs="Arial"/>
          <w:i/>
          <w:color w:val="000000"/>
          <w:sz w:val="18"/>
        </w:rPr>
        <w:t>interactive process</w:t>
      </w:r>
      <w:r>
        <w:rPr>
          <w:rFonts w:ascii="Arial" w:eastAsia="Arial" w:hAnsi="Arial" w:cs="Arial"/>
          <w:color w:val="000000"/>
          <w:sz w:val="18"/>
        </w:rPr>
        <w:t xml:space="preserve"> with the individual with a disability in need of the accommodation. This process should identify the precise limitations resulting from the disability and potential reasonable accommodations that could overcome those limitations." 29 C.F.R. § 1630.2(o)(3) (emphasis supplied).</w:t>
      </w:r>
    </w:p>
  </w:footnote>
  <w:footnote w:id="214">
    <w:p w14:paraId="0079EBEC" w14:textId="77777777" w:rsidR="002B10A6" w:rsidRDefault="00000000">
      <w:pPr>
        <w:pStyle w:val="Normal27"/>
        <w:widowControl w:val="0"/>
        <w:spacing w:before="120" w:line="240" w:lineRule="atLeast"/>
        <w:jc w:val="both"/>
      </w:pPr>
      <w:r>
        <w:rPr>
          <w:rFonts w:ascii="Arial" w:eastAsia="Arial" w:hAnsi="Arial" w:cs="Arial"/>
          <w:color w:val="000000"/>
          <w:sz w:val="18"/>
          <w:vertAlign w:val="superscript"/>
        </w:rPr>
        <w:t>** </w:t>
      </w:r>
      <w:bookmarkStart w:id="5940" w:name="Bookmark_fnpara_1_24"/>
      <w:bookmarkEnd w:id="5940"/>
      <w:r>
        <w:rPr>
          <w:rFonts w:ascii="Arial" w:eastAsia="Arial" w:hAnsi="Arial" w:cs="Arial"/>
          <w:color w:val="000000"/>
          <w:sz w:val="18"/>
        </w:rPr>
        <w:t>This summary constitutes no part of the opinion of the court. It has been prepared by court staff for the convenience of the reader.</w:t>
      </w:r>
    </w:p>
  </w:footnote>
  <w:footnote w:id="215">
    <w:p w14:paraId="605C5F93" w14:textId="77777777" w:rsidR="002B10A6" w:rsidRDefault="00000000">
      <w:pPr>
        <w:pStyle w:val="Normal27"/>
        <w:widowControl w:val="0"/>
        <w:spacing w:before="120" w:line="240" w:lineRule="atLeast"/>
        <w:jc w:val="both"/>
      </w:pPr>
      <w:r>
        <w:rPr>
          <w:rFonts w:ascii="Arial" w:eastAsia="Arial" w:hAnsi="Arial" w:cs="Arial"/>
          <w:color w:val="000000"/>
          <w:sz w:val="18"/>
          <w:vertAlign w:val="superscript"/>
        </w:rPr>
        <w:t>** </w:t>
      </w:r>
      <w:bookmarkStart w:id="5948" w:name="Bookmark_fnpara_2_20"/>
      <w:bookmarkEnd w:id="5948"/>
      <w:r>
        <w:rPr>
          <w:rFonts w:ascii="Arial" w:eastAsia="Arial" w:hAnsi="Arial" w:cs="Arial"/>
          <w:color w:val="000000"/>
          <w:sz w:val="18"/>
        </w:rPr>
        <w:t>This summary constitutes no part of the opinion of the court. It has been prepared by court staff for the convenience of the reader.</w:t>
      </w:r>
    </w:p>
  </w:footnote>
  <w:footnote w:id="216">
    <w:p w14:paraId="52CB7600" w14:textId="77777777" w:rsidR="002B10A6" w:rsidRDefault="00000000">
      <w:pPr>
        <w:pStyle w:val="Normal27"/>
        <w:widowControl w:val="0"/>
        <w:spacing w:before="120" w:line="240" w:lineRule="atLeast"/>
        <w:jc w:val="both"/>
      </w:pPr>
      <w:r>
        <w:rPr>
          <w:rFonts w:ascii="Arial" w:eastAsia="Arial" w:hAnsi="Arial" w:cs="Arial"/>
          <w:color w:val="000000"/>
          <w:sz w:val="18"/>
          <w:vertAlign w:val="superscript"/>
        </w:rPr>
        <w:t>* </w:t>
      </w:r>
      <w:bookmarkStart w:id="5956" w:name="Bookmark_fnpara_3_18"/>
      <w:bookmarkEnd w:id="5956"/>
      <w:r>
        <w:rPr>
          <w:rFonts w:ascii="Arial" w:eastAsia="Arial" w:hAnsi="Arial" w:cs="Arial"/>
          <w:color w:val="000000"/>
          <w:sz w:val="18"/>
        </w:rPr>
        <w:t>The Honorable Alvin K. Hellerstein, United States District Judge for the Southern District of New York, sitting by designation.</w:t>
      </w:r>
    </w:p>
  </w:footnote>
  <w:footnote w:id="217">
    <w:p w14:paraId="627ABD02" w14:textId="77777777" w:rsidR="002B10A6" w:rsidRDefault="00000000">
      <w:pPr>
        <w:pStyle w:val="Normal27"/>
        <w:widowControl w:val="0"/>
        <w:spacing w:before="200" w:line="240" w:lineRule="atLeast"/>
        <w:jc w:val="both"/>
      </w:pPr>
      <w:r>
        <w:rPr>
          <w:rFonts w:ascii="Arial" w:eastAsia="Arial" w:hAnsi="Arial" w:cs="Arial"/>
          <w:color w:val="000000"/>
          <w:sz w:val="18"/>
          <w:vertAlign w:val="superscript"/>
        </w:rPr>
        <w:t>1 </w:t>
      </w:r>
      <w:bookmarkStart w:id="5985" w:name="Bookmark_fnpara_4_18"/>
      <w:bookmarkStart w:id="5986" w:name="Bookmark_I610RP3T2N1RD40010000400"/>
      <w:bookmarkEnd w:id="5985"/>
      <w:bookmarkEnd w:id="5986"/>
      <w:r>
        <w:rPr>
          <w:rFonts w:ascii="Arial" w:eastAsia="Arial" w:hAnsi="Arial" w:cs="Arial"/>
          <w:color w:val="000000"/>
          <w:sz w:val="18"/>
        </w:rPr>
        <w:t xml:space="preserve">Catalina argues that the ADA does not apply to Lopez's claims because its operations do not affect commerce for the purposes of 42 U.S.C. § 12184. Section 12184 prohibits discrimination "in specified public transportation services provided by private entities." </w:t>
      </w:r>
      <w:r>
        <w:rPr>
          <w:rFonts w:ascii="Arial" w:eastAsia="Arial" w:hAnsi="Arial" w:cs="Arial"/>
          <w:i/>
          <w:color w:val="000000"/>
          <w:sz w:val="18"/>
        </w:rPr>
        <w:t>Id.</w:t>
      </w:r>
      <w:r>
        <w:rPr>
          <w:rFonts w:ascii="Arial" w:eastAsia="Arial" w:hAnsi="Arial" w:cs="Arial"/>
          <w:color w:val="000000"/>
          <w:sz w:val="18"/>
        </w:rPr>
        <w:t xml:space="preserve"> But Lopez's claims arise under 42 U.S.C. § 12182, not § 12184, and § 12182 prohibits discrimination "by public accommodations." Catalina admitted in its answer that it was a place of public accommodation, and this admission is binding. </w:t>
      </w:r>
      <w:bookmarkStart w:id="5987" w:name="Bookmark_I610RP3S2N1RD20050000400"/>
      <w:bookmarkEnd w:id="5987"/>
      <w:r>
        <w:rPr>
          <w:rFonts w:ascii="Arial" w:eastAsia="Arial" w:hAnsi="Arial" w:cs="Arial"/>
          <w:i/>
          <w:color w:val="000000"/>
          <w:sz w:val="18"/>
        </w:rPr>
        <w:t>Am. Title Ins. Co. v. Lacelaw Corp.</w:t>
      </w:r>
      <w:r>
        <w:rPr>
          <w:rFonts w:ascii="Arial" w:eastAsia="Arial" w:hAnsi="Arial" w:cs="Arial"/>
          <w:color w:val="000000"/>
          <w:sz w:val="18"/>
        </w:rPr>
        <w:t>, 861 F.2d 224, 226 (9th Cir. 1988).</w:t>
      </w:r>
    </w:p>
  </w:footnote>
  <w:footnote w:id="218">
    <w:p w14:paraId="19B1DBDB" w14:textId="77777777" w:rsidR="002B10A6" w:rsidRDefault="00000000">
      <w:pPr>
        <w:pStyle w:val="Normal27"/>
        <w:widowControl w:val="0"/>
        <w:spacing w:before="120" w:line="240" w:lineRule="atLeast"/>
        <w:jc w:val="both"/>
      </w:pPr>
      <w:r>
        <w:rPr>
          <w:rFonts w:ascii="Arial" w:eastAsia="Arial" w:hAnsi="Arial" w:cs="Arial"/>
          <w:color w:val="000000"/>
          <w:sz w:val="18"/>
          <w:vertAlign w:val="superscript"/>
        </w:rPr>
        <w:t>2 </w:t>
      </w:r>
      <w:bookmarkStart w:id="5998" w:name="Bookmark_fnpara_5_15"/>
      <w:bookmarkEnd w:id="5998"/>
      <w:r>
        <w:rPr>
          <w:rFonts w:ascii="Arial" w:eastAsia="Arial" w:hAnsi="Arial" w:cs="Arial"/>
          <w:color w:val="000000"/>
          <w:sz w:val="18"/>
        </w:rPr>
        <w:t>Lopez's complaint also raises claims that Catalina failed to make "reasonable modifications in policies, practices, or procedures" and "alterations." 42 U.S.C. §§ 12182(b)(2)(A)(ii), 12183(a)(2). However, he moved for summary judgment only on his claim that Catalina did not remove an architectural barrier, in violation of §§ 12182(b)(2)(A)(iv)-(v).</w:t>
      </w:r>
    </w:p>
  </w:footnote>
  <w:footnote w:id="219">
    <w:p w14:paraId="574C2A23" w14:textId="77777777" w:rsidR="002B10A6" w:rsidRDefault="00000000">
      <w:pPr>
        <w:pStyle w:val="Normal27"/>
        <w:widowControl w:val="0"/>
        <w:spacing w:before="200" w:line="240" w:lineRule="atLeast"/>
        <w:jc w:val="both"/>
      </w:pPr>
      <w:r>
        <w:rPr>
          <w:rFonts w:ascii="Arial" w:eastAsia="Arial" w:hAnsi="Arial" w:cs="Arial"/>
          <w:color w:val="000000"/>
          <w:sz w:val="18"/>
          <w:vertAlign w:val="superscript"/>
        </w:rPr>
        <w:t>3 </w:t>
      </w:r>
      <w:bookmarkStart w:id="6033" w:name="Bookmark_fnpara_6_12"/>
      <w:bookmarkEnd w:id="6033"/>
      <w:r>
        <w:rPr>
          <w:rFonts w:ascii="Arial" w:eastAsia="Arial" w:hAnsi="Arial" w:cs="Arial"/>
          <w:color w:val="000000"/>
          <w:sz w:val="18"/>
        </w:rPr>
        <w:t xml:space="preserve">In the absence of direction from us, most district courts in our circuit have also followed </w:t>
      </w:r>
      <w:r>
        <w:rPr>
          <w:rFonts w:ascii="Arial" w:eastAsia="Arial" w:hAnsi="Arial" w:cs="Arial"/>
          <w:i/>
          <w:color w:val="000000"/>
          <w:sz w:val="18"/>
        </w:rPr>
        <w:t>Colorado Cross</w:t>
      </w:r>
      <w:r>
        <w:rPr>
          <w:rFonts w:ascii="Arial" w:eastAsia="Arial" w:hAnsi="Arial" w:cs="Arial"/>
          <w:color w:val="000000"/>
          <w:sz w:val="18"/>
        </w:rPr>
        <w:t xml:space="preserve">, assigning plaintiffs the initial burden of establishing that removing an architectural barrier is readily achievable. </w:t>
      </w:r>
      <w:r>
        <w:rPr>
          <w:rFonts w:ascii="Arial" w:eastAsia="Arial" w:hAnsi="Arial" w:cs="Arial"/>
          <w:i/>
          <w:color w:val="000000"/>
          <w:sz w:val="18"/>
        </w:rPr>
        <w:t xml:space="preserve">See, e.g., </w:t>
      </w:r>
      <w:bookmarkStart w:id="6034" w:name="Bookmark_I610RP3W2N1RD60010000400"/>
      <w:bookmarkEnd w:id="6034"/>
      <w:r>
        <w:rPr>
          <w:rFonts w:ascii="Arial" w:eastAsia="Arial" w:hAnsi="Arial" w:cs="Arial"/>
          <w:i/>
          <w:color w:val="000000"/>
          <w:sz w:val="18"/>
        </w:rPr>
        <w:t>Vogel v. Rite Aid Corp.</w:t>
      </w:r>
      <w:r>
        <w:rPr>
          <w:rFonts w:ascii="Arial" w:eastAsia="Arial" w:hAnsi="Arial" w:cs="Arial"/>
          <w:color w:val="000000"/>
          <w:sz w:val="18"/>
        </w:rPr>
        <w:t xml:space="preserve">, 992 F. Supp. 2d 998, 1010-11 (C.D. Cal. 2014); </w:t>
      </w:r>
      <w:bookmarkStart w:id="6035" w:name="Bookmark_I610RP3W2N1RD60030000400"/>
      <w:bookmarkEnd w:id="6035"/>
      <w:r>
        <w:rPr>
          <w:rFonts w:ascii="Arial" w:eastAsia="Arial" w:hAnsi="Arial" w:cs="Arial"/>
          <w:i/>
          <w:color w:val="000000"/>
          <w:sz w:val="18"/>
        </w:rPr>
        <w:t>Paulsen v. PS Bus. Parks, LP</w:t>
      </w:r>
      <w:r>
        <w:rPr>
          <w:rFonts w:ascii="Arial" w:eastAsia="Arial" w:hAnsi="Arial" w:cs="Arial"/>
          <w:color w:val="000000"/>
          <w:sz w:val="18"/>
        </w:rPr>
        <w:t xml:space="preserve">, No. C10-1031, 2011 U.S. Dist. LEXIS 85845, 2011 WL 3419894, at *2 (W.D. Wash. Aug. 4, 2011); </w:t>
      </w:r>
      <w:bookmarkStart w:id="6036" w:name="Bookmark_I610RP3W2N1RD60050000400"/>
      <w:bookmarkEnd w:id="6036"/>
      <w:r>
        <w:rPr>
          <w:rFonts w:ascii="Arial" w:eastAsia="Arial" w:hAnsi="Arial" w:cs="Arial"/>
          <w:i/>
          <w:color w:val="000000"/>
          <w:sz w:val="18"/>
        </w:rPr>
        <w:t>Moeller v. Taco Bell Corp.</w:t>
      </w:r>
      <w:r>
        <w:rPr>
          <w:rFonts w:ascii="Arial" w:eastAsia="Arial" w:hAnsi="Arial" w:cs="Arial"/>
          <w:color w:val="000000"/>
          <w:sz w:val="18"/>
        </w:rPr>
        <w:t xml:space="preserve">, 816 F. Supp. 2d 831, 854 (N.D. Cal. 2011); </w:t>
      </w:r>
      <w:bookmarkStart w:id="6037" w:name="Bookmark_I610RP3X28T3Y70020000400"/>
      <w:bookmarkEnd w:id="6037"/>
      <w:r>
        <w:rPr>
          <w:rFonts w:ascii="Arial" w:eastAsia="Arial" w:hAnsi="Arial" w:cs="Arial"/>
          <w:i/>
          <w:color w:val="000000"/>
          <w:sz w:val="18"/>
        </w:rPr>
        <w:t>Vesecky v. Garick, Inc.</w:t>
      </w:r>
      <w:r>
        <w:rPr>
          <w:rFonts w:ascii="Arial" w:eastAsia="Arial" w:hAnsi="Arial" w:cs="Arial"/>
          <w:color w:val="000000"/>
          <w:sz w:val="18"/>
        </w:rPr>
        <w:t xml:space="preserve">, No. 07-1173, 2008 U.S. Dist. LEXIS 78443, 2008 WL 4446714, at *3 (D. Ariz. Sept. 30, 2008); [**12]  </w:t>
      </w:r>
      <w:bookmarkStart w:id="6038" w:name="Bookmark_I610RP3X28T3Y70040000400"/>
      <w:bookmarkEnd w:id="6038"/>
      <w:r>
        <w:rPr>
          <w:rFonts w:ascii="Arial" w:eastAsia="Arial" w:hAnsi="Arial" w:cs="Arial"/>
          <w:i/>
          <w:color w:val="000000"/>
          <w:sz w:val="18"/>
        </w:rPr>
        <w:t>Wilson v. Pier 1 Imps. (US), Inc.</w:t>
      </w:r>
      <w:r>
        <w:rPr>
          <w:rFonts w:ascii="Arial" w:eastAsia="Arial" w:hAnsi="Arial" w:cs="Arial"/>
          <w:color w:val="000000"/>
          <w:sz w:val="18"/>
        </w:rPr>
        <w:t xml:space="preserve">, 439 F. Supp. 2d 1054, 1067 (E.D. Cal. 2006); </w:t>
      </w:r>
      <w:bookmarkStart w:id="6039" w:name="Bookmark_I610RP3Y2SF7JY0010000400"/>
      <w:bookmarkEnd w:id="6039"/>
      <w:r>
        <w:rPr>
          <w:rFonts w:ascii="Arial" w:eastAsia="Arial" w:hAnsi="Arial" w:cs="Arial"/>
          <w:i/>
          <w:color w:val="000000"/>
          <w:sz w:val="18"/>
        </w:rPr>
        <w:t>Hubbard v. Rite Aid Corp.</w:t>
      </w:r>
      <w:r>
        <w:rPr>
          <w:rFonts w:ascii="Arial" w:eastAsia="Arial" w:hAnsi="Arial" w:cs="Arial"/>
          <w:color w:val="000000"/>
          <w:sz w:val="18"/>
        </w:rPr>
        <w:t>, 433 F. Supp. 2d 1150, 1159 (S.D. Cal. 2006).</w:t>
      </w:r>
    </w:p>
  </w:footnote>
  <w:footnote w:id="220">
    <w:p w14:paraId="1FF968CB" w14:textId="77777777" w:rsidR="002B10A6" w:rsidRDefault="00000000">
      <w:pPr>
        <w:pStyle w:val="Normal27"/>
        <w:widowControl w:val="0"/>
        <w:spacing w:before="120" w:line="240" w:lineRule="atLeast"/>
        <w:jc w:val="both"/>
      </w:pPr>
      <w:r>
        <w:rPr>
          <w:rFonts w:ascii="Arial" w:eastAsia="Arial" w:hAnsi="Arial" w:cs="Arial"/>
          <w:color w:val="000000"/>
          <w:sz w:val="18"/>
          <w:vertAlign w:val="superscript"/>
        </w:rPr>
        <w:t>4 </w:t>
      </w:r>
      <w:bookmarkStart w:id="6059" w:name="Bookmark_fnpara_7_9"/>
      <w:bookmarkEnd w:id="6059"/>
      <w:r>
        <w:rPr>
          <w:rFonts w:ascii="Arial" w:eastAsia="Arial" w:hAnsi="Arial" w:cs="Arial"/>
          <w:color w:val="000000"/>
          <w:sz w:val="18"/>
        </w:rPr>
        <w:t>Discrimination under these subsections includes, among other things,</w:t>
      </w:r>
    </w:p>
    <w:p w14:paraId="3E35F2B0" w14:textId="77777777" w:rsidR="002B10A6" w:rsidRDefault="00000000">
      <w:pPr>
        <w:pStyle w:val="Normal27"/>
        <w:widowControl w:val="0"/>
        <w:spacing w:before="200" w:line="240" w:lineRule="atLeast"/>
        <w:ind w:left="400"/>
        <w:jc w:val="both"/>
      </w:pPr>
      <w:bookmarkStart w:id="6060" w:name="Bookmark_para_24_18"/>
      <w:bookmarkEnd w:id="6060"/>
      <w:r>
        <w:rPr>
          <w:rFonts w:ascii="Arial" w:eastAsia="Arial" w:hAnsi="Arial" w:cs="Arial"/>
          <w:color w:val="000000"/>
          <w:sz w:val="18"/>
        </w:rPr>
        <w:t xml:space="preserve">(A) not making </w:t>
      </w:r>
      <w:r>
        <w:rPr>
          <w:rFonts w:ascii="Arial" w:eastAsia="Arial" w:hAnsi="Arial" w:cs="Arial"/>
          <w:i/>
          <w:color w:val="000000"/>
          <w:sz w:val="18"/>
        </w:rPr>
        <w:t>reasonable accommodations [**15] </w:t>
      </w:r>
      <w:r>
        <w:rPr>
          <w:rFonts w:ascii="Arial" w:eastAsia="Arial" w:hAnsi="Arial" w:cs="Arial"/>
          <w:color w:val="000000"/>
          <w:sz w:val="18"/>
        </w:rPr>
        <w:t xml:space="preserve"> to the known physical or mental limitations of an otherwise qualified individual with a disability who is an applicant or employee, </w:t>
      </w:r>
      <w:r>
        <w:rPr>
          <w:rFonts w:ascii="Arial" w:eastAsia="Arial" w:hAnsi="Arial" w:cs="Arial"/>
          <w:i/>
          <w:color w:val="000000"/>
          <w:sz w:val="18"/>
        </w:rPr>
        <w:t>unless such covered entity can demonstrate that the accommodation would impose an undue hardship</w:t>
      </w:r>
      <w:r>
        <w:rPr>
          <w:rFonts w:ascii="Arial" w:eastAsia="Arial" w:hAnsi="Arial" w:cs="Arial"/>
          <w:color w:val="000000"/>
          <w:sz w:val="18"/>
        </w:rPr>
        <w:t xml:space="preserve"> on the operation of the business of such covered entity; or (B) denying employment opportunities to a job applicant or employee who is an otherwise qualified individual with a disability, if such denial is based on the need of such covered entity to make </w:t>
      </w:r>
      <w:r>
        <w:rPr>
          <w:rFonts w:ascii="Arial" w:eastAsia="Arial" w:hAnsi="Arial" w:cs="Arial"/>
          <w:i/>
          <w:color w:val="000000"/>
          <w:sz w:val="18"/>
        </w:rPr>
        <w:t>reasonable accommodation</w:t>
      </w:r>
      <w:r>
        <w:rPr>
          <w:rFonts w:ascii="Arial" w:eastAsia="Arial" w:hAnsi="Arial" w:cs="Arial"/>
          <w:color w:val="000000"/>
          <w:sz w:val="18"/>
        </w:rPr>
        <w:t xml:space="preserve"> to the physical or mental impairments of the employee or applicant."</w:t>
      </w:r>
    </w:p>
    <w:p w14:paraId="36AC1398" w14:textId="77777777" w:rsidR="002B10A6" w:rsidRDefault="00000000">
      <w:pPr>
        <w:pStyle w:val="Normal27"/>
        <w:widowControl w:val="0"/>
        <w:spacing w:before="120" w:line="240" w:lineRule="atLeast"/>
        <w:jc w:val="both"/>
      </w:pPr>
      <w:r>
        <w:rPr>
          <w:rFonts w:ascii="Arial" w:eastAsia="Arial" w:hAnsi="Arial" w:cs="Arial"/>
          <w:color w:val="000000"/>
          <w:sz w:val="18"/>
        </w:rPr>
        <w:t>42 U.S.C. § 12112(b)(5) (emphases added).</w:t>
      </w:r>
    </w:p>
  </w:footnote>
  <w:footnote w:id="221">
    <w:p w14:paraId="027876E7" w14:textId="77777777" w:rsidR="002B10A6" w:rsidRDefault="00000000">
      <w:pPr>
        <w:pStyle w:val="Normal27"/>
        <w:widowControl w:val="0"/>
        <w:spacing w:before="200" w:line="240" w:lineRule="atLeast"/>
        <w:jc w:val="both"/>
      </w:pPr>
      <w:r>
        <w:rPr>
          <w:rFonts w:ascii="Arial" w:eastAsia="Arial" w:hAnsi="Arial" w:cs="Arial"/>
          <w:color w:val="000000"/>
          <w:sz w:val="18"/>
          <w:vertAlign w:val="superscript"/>
        </w:rPr>
        <w:t>5 </w:t>
      </w:r>
      <w:bookmarkStart w:id="6081" w:name="Bookmark_fnpara_8_7"/>
      <w:bookmarkStart w:id="6082" w:name="Bookmark_I610RP4028T3Y90020000400"/>
      <w:bookmarkStart w:id="6083" w:name="Bookmark_I610RP4028T3Y90040000400"/>
      <w:bookmarkEnd w:id="6081"/>
      <w:bookmarkEnd w:id="6082"/>
      <w:bookmarkEnd w:id="6083"/>
      <w:r>
        <w:rPr>
          <w:rFonts w:ascii="Arial" w:eastAsia="Arial" w:hAnsi="Arial" w:cs="Arial"/>
          <w:color w:val="000000"/>
          <w:sz w:val="18"/>
        </w:rPr>
        <w:t xml:space="preserve">Unsurprisingly, most district courts in our circuit have declined to apply </w:t>
      </w:r>
      <w:r>
        <w:rPr>
          <w:rFonts w:ascii="Arial" w:eastAsia="Arial" w:hAnsi="Arial" w:cs="Arial"/>
          <w:i/>
          <w:color w:val="000000"/>
          <w:sz w:val="18"/>
        </w:rPr>
        <w:t>Molski</w:t>
      </w:r>
      <w:r>
        <w:rPr>
          <w:rFonts w:ascii="Arial" w:eastAsia="Arial" w:hAnsi="Arial" w:cs="Arial"/>
          <w:color w:val="000000"/>
          <w:sz w:val="18"/>
        </w:rPr>
        <w:t xml:space="preserve"> when a case does not involve a historic facility. </w:t>
      </w:r>
      <w:r>
        <w:rPr>
          <w:rFonts w:ascii="Arial" w:eastAsia="Arial" w:hAnsi="Arial" w:cs="Arial"/>
          <w:i/>
          <w:color w:val="000000"/>
          <w:sz w:val="18"/>
        </w:rPr>
        <w:t xml:space="preserve">See, e.g., </w:t>
      </w:r>
      <w:bookmarkStart w:id="6084" w:name="Bookmark_I610RP4028T3Y90010000400"/>
      <w:bookmarkEnd w:id="6084"/>
      <w:r>
        <w:rPr>
          <w:rFonts w:ascii="Arial" w:eastAsia="Arial" w:hAnsi="Arial" w:cs="Arial"/>
          <w:i/>
          <w:color w:val="000000"/>
          <w:sz w:val="18"/>
        </w:rPr>
        <w:t>Vogel</w:t>
      </w:r>
      <w:r>
        <w:rPr>
          <w:rFonts w:ascii="Arial" w:eastAsia="Arial" w:hAnsi="Arial" w:cs="Arial"/>
          <w:color w:val="000000"/>
          <w:sz w:val="18"/>
        </w:rPr>
        <w:t>, 992 F. Supp. 2d at 1011 n. 35 ("</w:t>
      </w:r>
      <w:r>
        <w:rPr>
          <w:rFonts w:ascii="Arial" w:eastAsia="Arial" w:hAnsi="Arial" w:cs="Arial"/>
          <w:i/>
          <w:color w:val="000000"/>
          <w:sz w:val="18"/>
        </w:rPr>
        <w:t>Molski</w:t>
      </w:r>
      <w:r>
        <w:rPr>
          <w:rFonts w:ascii="Arial" w:eastAsia="Arial" w:hAnsi="Arial" w:cs="Arial"/>
          <w:color w:val="000000"/>
          <w:sz w:val="18"/>
        </w:rPr>
        <w:t xml:space="preserve"> appears to be limited to the historic building context . . . . The decision does not address non-historic building compliance and is not controlling in this case."); </w:t>
      </w:r>
      <w:bookmarkStart w:id="6085" w:name="Bookmark_I610RP4028T3Y90030000400"/>
      <w:bookmarkEnd w:id="6085"/>
      <w:r>
        <w:rPr>
          <w:rFonts w:ascii="Arial" w:eastAsia="Arial" w:hAnsi="Arial" w:cs="Arial"/>
          <w:i/>
          <w:color w:val="000000"/>
          <w:sz w:val="18"/>
        </w:rPr>
        <w:t>Vesecky</w:t>
      </w:r>
      <w:r>
        <w:rPr>
          <w:rFonts w:ascii="Arial" w:eastAsia="Arial" w:hAnsi="Arial" w:cs="Arial"/>
          <w:color w:val="000000"/>
          <w:sz w:val="18"/>
        </w:rPr>
        <w:t>, 2008 U.S. Dist. LEXIS 78443, 2018 WL 4446714, at *3 ("[U]ntil the Ninth Circuit provides additional and specific instruction to the lower courts this Court will follow the overwhelming majority of federal courts that apply the burden-shifting framework of [</w:t>
      </w:r>
      <w:r>
        <w:rPr>
          <w:rFonts w:ascii="Arial" w:eastAsia="Arial" w:hAnsi="Arial" w:cs="Arial"/>
          <w:i/>
          <w:color w:val="000000"/>
          <w:sz w:val="18"/>
        </w:rPr>
        <w:t>Colorado</w:t>
      </w:r>
      <w:r>
        <w:rPr>
          <w:rFonts w:ascii="Arial" w:eastAsia="Arial" w:hAnsi="Arial" w:cs="Arial"/>
          <w:color w:val="000000"/>
          <w:sz w:val="18"/>
        </w:rPr>
        <w:t xml:space="preserve">] </w:t>
      </w:r>
      <w:r>
        <w:rPr>
          <w:rFonts w:ascii="Arial" w:eastAsia="Arial" w:hAnsi="Arial" w:cs="Arial"/>
          <w:i/>
          <w:color w:val="000000"/>
          <w:sz w:val="18"/>
        </w:rPr>
        <w:t>Cross</w:t>
      </w:r>
      <w:r>
        <w:rPr>
          <w:rFonts w:ascii="Arial" w:eastAsia="Arial" w:hAnsi="Arial" w:cs="Arial"/>
          <w:color w:val="000000"/>
          <w:sz w:val="18"/>
        </w:rPr>
        <w:t xml:space="preserve">, specifically in cases where a historic building is not at issue."); </w:t>
      </w:r>
      <w:bookmarkStart w:id="6086" w:name="Bookmark_I610RP4028T3Y90050000400"/>
      <w:bookmarkEnd w:id="6086"/>
      <w:r>
        <w:rPr>
          <w:rFonts w:ascii="Arial" w:eastAsia="Arial" w:hAnsi="Arial" w:cs="Arial"/>
          <w:i/>
          <w:color w:val="000000"/>
          <w:sz w:val="18"/>
        </w:rPr>
        <w:t>Ridola v. Chao</w:t>
      </w:r>
      <w:r>
        <w:rPr>
          <w:rFonts w:ascii="Arial" w:eastAsia="Arial" w:hAnsi="Arial" w:cs="Arial"/>
          <w:color w:val="000000"/>
          <w:sz w:val="18"/>
        </w:rPr>
        <w:t xml:space="preserve">, No. 16-CV-02246-BLF, 2018 U.S. Dist. LEXIS 84241, 2018 WL 2287668, at *10 (N.D. Cal. May 18, 2018) (same); </w:t>
      </w:r>
      <w:bookmarkStart w:id="6087" w:name="Bookmark_I610RP4028T3YB0020000400"/>
      <w:bookmarkEnd w:id="6087"/>
      <w:r>
        <w:rPr>
          <w:rFonts w:ascii="Arial" w:eastAsia="Arial" w:hAnsi="Arial" w:cs="Arial"/>
          <w:i/>
          <w:color w:val="000000"/>
          <w:sz w:val="18"/>
        </w:rPr>
        <w:t>Gonzalez v. Riverrock Properties, LLC</w:t>
      </w:r>
      <w:r>
        <w:rPr>
          <w:rFonts w:ascii="Arial" w:eastAsia="Arial" w:hAnsi="Arial" w:cs="Arial"/>
          <w:color w:val="000000"/>
          <w:sz w:val="18"/>
        </w:rPr>
        <w:t xml:space="preserve">, No. 2:14-CV-2362-TLN-EFB, 2016 U.S. Dist. LEXIS 77459, 2016 WL 3267116, at *3 (E.D. Cal. June 14, 2016) (same); </w:t>
      </w:r>
      <w:bookmarkStart w:id="6088" w:name="Bookmark_I610RP4028T3YB0040000400"/>
      <w:bookmarkEnd w:id="6088"/>
      <w:r>
        <w:rPr>
          <w:rFonts w:ascii="Arial" w:eastAsia="Arial" w:hAnsi="Arial" w:cs="Arial"/>
          <w:i/>
          <w:color w:val="000000"/>
          <w:sz w:val="18"/>
        </w:rPr>
        <w:t>Paulsen</w:t>
      </w:r>
      <w:r>
        <w:rPr>
          <w:rFonts w:ascii="Arial" w:eastAsia="Arial" w:hAnsi="Arial" w:cs="Arial"/>
          <w:color w:val="000000"/>
          <w:sz w:val="18"/>
        </w:rPr>
        <w:t xml:space="preserve">, 2011 U.S. Dist. LEXIS 85845, 2011 WL 3419894, at *2 (same); </w:t>
      </w:r>
      <w:r>
        <w:rPr>
          <w:rFonts w:ascii="Arial" w:eastAsia="Arial" w:hAnsi="Arial" w:cs="Arial"/>
          <w:i/>
          <w:color w:val="000000"/>
          <w:sz w:val="18"/>
        </w:rPr>
        <w:t xml:space="preserve">but see </w:t>
      </w:r>
      <w:bookmarkStart w:id="6089" w:name="Bookmark_I610RP412SF7K20010000400"/>
      <w:bookmarkEnd w:id="6089"/>
      <w:r>
        <w:rPr>
          <w:rFonts w:ascii="Arial" w:eastAsia="Arial" w:hAnsi="Arial" w:cs="Arial"/>
          <w:i/>
          <w:color w:val="000000"/>
          <w:sz w:val="18"/>
        </w:rPr>
        <w:t>Rodriguez</w:t>
      </w:r>
      <w:r>
        <w:rPr>
          <w:rFonts w:ascii="Arial" w:eastAsia="Arial" w:hAnsi="Arial" w:cs="Arial"/>
          <w:color w:val="000000"/>
          <w:sz w:val="18"/>
        </w:rPr>
        <w:t>, 2012 U.S. Dist. LEXIS 91749, 2012 WL 3538014, at *11 ("While it is true that [</w:t>
      </w:r>
      <w:r>
        <w:rPr>
          <w:rFonts w:ascii="Arial" w:eastAsia="Arial" w:hAnsi="Arial" w:cs="Arial"/>
          <w:i/>
          <w:color w:val="000000"/>
          <w:sz w:val="18"/>
        </w:rPr>
        <w:t>Molski</w:t>
      </w:r>
      <w:r>
        <w:rPr>
          <w:rFonts w:ascii="Arial" w:eastAsia="Arial" w:hAnsi="Arial" w:cs="Arial"/>
          <w:color w:val="000000"/>
          <w:sz w:val="18"/>
        </w:rPr>
        <w:t>] is, by its terms, limited to cases where the historical exception is asserted, its concerns regarding the availability of evidence have equal weight when defendant claims that remediation would be too costly or impractical.").</w:t>
      </w:r>
    </w:p>
  </w:footnote>
  <w:footnote w:id="222">
    <w:p w14:paraId="627636BC" w14:textId="77777777" w:rsidR="002B10A6" w:rsidRDefault="00000000">
      <w:pPr>
        <w:pStyle w:val="Normal27"/>
        <w:widowControl w:val="0"/>
        <w:spacing w:before="200" w:line="240" w:lineRule="atLeast"/>
        <w:jc w:val="both"/>
      </w:pPr>
      <w:r>
        <w:rPr>
          <w:rFonts w:ascii="Arial" w:eastAsia="Arial" w:hAnsi="Arial" w:cs="Arial"/>
          <w:color w:val="000000"/>
          <w:sz w:val="18"/>
          <w:vertAlign w:val="superscript"/>
        </w:rPr>
        <w:t>6 </w:t>
      </w:r>
      <w:bookmarkStart w:id="6110" w:name="Bookmark_fnpara_9_5"/>
      <w:bookmarkEnd w:id="6110"/>
      <w:r>
        <w:rPr>
          <w:rFonts w:ascii="Arial" w:eastAsia="Arial" w:hAnsi="Arial" w:cs="Arial"/>
          <w:i/>
          <w:color w:val="000000"/>
          <w:sz w:val="18"/>
        </w:rPr>
        <w:t xml:space="preserve">See e.g., </w:t>
      </w:r>
      <w:bookmarkStart w:id="6111" w:name="Bookmark_I610RP412HM5T50010000400"/>
      <w:bookmarkEnd w:id="6111"/>
      <w:r>
        <w:rPr>
          <w:rFonts w:ascii="Arial" w:eastAsia="Arial" w:hAnsi="Arial" w:cs="Arial"/>
          <w:i/>
          <w:color w:val="000000"/>
          <w:sz w:val="18"/>
        </w:rPr>
        <w:t>Garibay v. Rodriguez</w:t>
      </w:r>
      <w:r>
        <w:rPr>
          <w:rFonts w:ascii="Arial" w:eastAsia="Arial" w:hAnsi="Arial" w:cs="Arial"/>
          <w:color w:val="000000"/>
          <w:sz w:val="18"/>
        </w:rPr>
        <w:t xml:space="preserve">, No. CV 18-09187, 2019 U.S. Dist. LEXIS 228019, 2019 WL 8060795, at *4 (C.D. Cal. Dec. 19, 2019); </w:t>
      </w:r>
      <w:bookmarkStart w:id="6112" w:name="Bookmark_I610RP412HM5T50030000400"/>
      <w:bookmarkEnd w:id="6112"/>
      <w:r>
        <w:rPr>
          <w:rFonts w:ascii="Arial" w:eastAsia="Arial" w:hAnsi="Arial" w:cs="Arial"/>
          <w:i/>
          <w:color w:val="000000"/>
          <w:sz w:val="18"/>
        </w:rPr>
        <w:t>Lopez v. Lopez</w:t>
      </w:r>
      <w:r>
        <w:rPr>
          <w:rFonts w:ascii="Arial" w:eastAsia="Arial" w:hAnsi="Arial" w:cs="Arial"/>
          <w:color w:val="000000"/>
          <w:sz w:val="18"/>
        </w:rPr>
        <w:t xml:space="preserve">, No. CV 18-6473, 2019 U.S. Dist. LEXIS 227227, 2019 WL 7905742, at *6 (C.D. Cal. Oct. 17, 2019); </w:t>
      </w:r>
      <w:bookmarkStart w:id="6113" w:name="Bookmark_I610RP412HM5T50050000400"/>
      <w:bookmarkEnd w:id="6113"/>
      <w:r>
        <w:rPr>
          <w:rFonts w:ascii="Arial" w:eastAsia="Arial" w:hAnsi="Arial" w:cs="Arial"/>
          <w:i/>
          <w:color w:val="000000"/>
          <w:sz w:val="18"/>
        </w:rPr>
        <w:t>Mannick v. Kaiser Found. Health Plan, Inc.</w:t>
      </w:r>
      <w:r>
        <w:rPr>
          <w:rFonts w:ascii="Arial" w:eastAsia="Arial" w:hAnsi="Arial" w:cs="Arial"/>
          <w:color w:val="000000"/>
          <w:sz w:val="18"/>
        </w:rPr>
        <w:t>, No. C 03-5905, 2006 U.S. Dist. LEXIS 38430, 2006 WL 1626909, at *12 (N.D. Cal. June 9, 2006).</w:t>
      </w:r>
    </w:p>
  </w:footnote>
  <w:footnote w:id="223">
    <w:p w14:paraId="6C1EBAB0" w14:textId="77777777" w:rsidR="002B10A6" w:rsidRDefault="00000000">
      <w:pPr>
        <w:pStyle w:val="Normal27"/>
        <w:widowControl w:val="0"/>
        <w:spacing w:before="120" w:line="240" w:lineRule="atLeast"/>
        <w:jc w:val="both"/>
      </w:pPr>
      <w:r>
        <w:rPr>
          <w:rFonts w:ascii="Arial" w:eastAsia="Arial" w:hAnsi="Arial" w:cs="Arial"/>
          <w:color w:val="000000"/>
          <w:sz w:val="18"/>
          <w:vertAlign w:val="superscript"/>
        </w:rPr>
        <w:t>7 </w:t>
      </w:r>
      <w:bookmarkStart w:id="6118" w:name="Bookmark_fnpara_10_5"/>
      <w:bookmarkEnd w:id="6118"/>
      <w:r>
        <w:rPr>
          <w:rFonts w:ascii="Arial" w:eastAsia="Arial" w:hAnsi="Arial" w:cs="Arial"/>
          <w:color w:val="000000"/>
          <w:sz w:val="18"/>
        </w:rPr>
        <w:t>The district court did address Lopez's alternative argument that "even if 'full barrier removal' is not readily achievable, readily achievable partial accommodations must still be made." This appears to be a different argument having to do with Catalina's duty to remove architectural barriers that is unrelated to Catalina's duty to make the restroom available to Lopez through "alternative methods." 42 U.S.C. §§ 12182(b)(2)(A)(v).</w:t>
      </w:r>
    </w:p>
  </w:footnote>
  <w:footnote w:id="224">
    <w:p w14:paraId="71ECF476"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 </w:t>
      </w:r>
      <w:bookmarkStart w:id="6124" w:name="Bookmark_fnpara_1_25"/>
      <w:bookmarkEnd w:id="6124"/>
      <w:r>
        <w:rPr>
          <w:rFonts w:ascii="Arial" w:eastAsia="Arial" w:hAnsi="Arial" w:cs="Arial"/>
          <w:color w:val="000000"/>
          <w:sz w:val="18"/>
        </w:rPr>
        <w:t>We have agreed to decide the case without oral argument because the briefs and record adequately present the facts and legal arguments, and oral argument would not significantly aid the court. FED. R. APP. P. 34(a)(2)(C).</w:t>
      </w:r>
    </w:p>
  </w:footnote>
  <w:footnote w:id="225">
    <w:p w14:paraId="2A6B3CE4"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1 </w:t>
      </w:r>
      <w:bookmarkStart w:id="6137" w:name="Bookmark_fnpara_2_21"/>
      <w:bookmarkEnd w:id="6137"/>
      <w:r>
        <w:rPr>
          <w:rFonts w:ascii="Arial" w:eastAsia="Arial" w:hAnsi="Arial" w:cs="Arial"/>
          <w:color w:val="000000"/>
          <w:sz w:val="18"/>
        </w:rPr>
        <w:t>R.152-1 at 3-4, 9 (Norfleet Dep. 12:8-13:9, 14:18-23, 34:12-35:15).</w:t>
      </w:r>
    </w:p>
  </w:footnote>
  <w:footnote w:id="226">
    <w:p w14:paraId="6F0BD190"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2 </w:t>
      </w:r>
      <w:bookmarkStart w:id="6138" w:name="Bookmark_fnpara_3_19"/>
      <w:bookmarkEnd w:id="6138"/>
      <w:r>
        <w:rPr>
          <w:rFonts w:ascii="Arial" w:eastAsia="Arial" w:hAnsi="Arial" w:cs="Arial"/>
          <w:i/>
          <w:color w:val="000000"/>
          <w:sz w:val="18"/>
        </w:rPr>
        <w:t>Id.</w:t>
      </w:r>
      <w:r>
        <w:rPr>
          <w:rFonts w:ascii="Arial" w:eastAsia="Arial" w:hAnsi="Arial" w:cs="Arial"/>
          <w:color w:val="000000"/>
          <w:sz w:val="18"/>
        </w:rPr>
        <w:t xml:space="preserve"> at 4-7, 11 (Norfleet Dep. 14:18-25:17, 43:14-18). Mr. Norfleet has since been moved to Menard Correctional Center.</w:t>
      </w:r>
    </w:p>
  </w:footnote>
  <w:footnote w:id="227">
    <w:p w14:paraId="3373803E"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3 </w:t>
      </w:r>
      <w:bookmarkStart w:id="6140" w:name="Bookmark_fnpara_4_19"/>
      <w:bookmarkEnd w:id="6140"/>
      <w:r>
        <w:rPr>
          <w:rFonts w:ascii="Arial" w:eastAsia="Arial" w:hAnsi="Arial" w:cs="Arial"/>
          <w:i/>
          <w:color w:val="000000"/>
          <w:sz w:val="18"/>
        </w:rPr>
        <w:t>Id.</w:t>
      </w:r>
      <w:r>
        <w:rPr>
          <w:rFonts w:ascii="Arial" w:eastAsia="Arial" w:hAnsi="Arial" w:cs="Arial"/>
          <w:color w:val="000000"/>
          <w:sz w:val="18"/>
        </w:rPr>
        <w:t xml:space="preserve"> at 19 (Norfleet Dep. 73:15-20).</w:t>
      </w:r>
    </w:p>
  </w:footnote>
  <w:footnote w:id="228">
    <w:p w14:paraId="710B98F8"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4 </w:t>
      </w:r>
      <w:bookmarkStart w:id="6141" w:name="Bookmark_fnpara_5_16"/>
      <w:bookmarkEnd w:id="6141"/>
      <w:r>
        <w:rPr>
          <w:rFonts w:ascii="Arial" w:eastAsia="Arial" w:hAnsi="Arial" w:cs="Arial"/>
          <w:color w:val="000000"/>
          <w:sz w:val="18"/>
        </w:rPr>
        <w:t>R.1-1 at 35.</w:t>
      </w:r>
    </w:p>
  </w:footnote>
  <w:footnote w:id="229">
    <w:p w14:paraId="64F8691D"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5 </w:t>
      </w:r>
      <w:bookmarkStart w:id="6142" w:name="Bookmark_fnpara_6_13"/>
      <w:bookmarkEnd w:id="6142"/>
      <w:r>
        <w:rPr>
          <w:rFonts w:ascii="Arial" w:eastAsia="Arial" w:hAnsi="Arial" w:cs="Arial"/>
          <w:color w:val="000000"/>
          <w:sz w:val="18"/>
        </w:rPr>
        <w:t>R.152-1 at 11-12 (Norfleet Dep. 44:2-8, 44:21-45:3, 46:6-47:13).</w:t>
      </w:r>
    </w:p>
  </w:footnote>
  <w:footnote w:id="230">
    <w:p w14:paraId="28E563AA"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6 </w:t>
      </w:r>
      <w:bookmarkStart w:id="6143" w:name="Bookmark_fnpara_7_10"/>
      <w:bookmarkEnd w:id="6143"/>
      <w:r>
        <w:rPr>
          <w:rFonts w:ascii="Arial" w:eastAsia="Arial" w:hAnsi="Arial" w:cs="Arial"/>
          <w:color w:val="000000"/>
          <w:sz w:val="18"/>
        </w:rPr>
        <w:t>R.1-1 at 35-36.</w:t>
      </w:r>
    </w:p>
  </w:footnote>
  <w:footnote w:id="231">
    <w:p w14:paraId="032D3A57"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7 </w:t>
      </w:r>
      <w:bookmarkStart w:id="6145" w:name="Bookmark_fnpara_8_8"/>
      <w:bookmarkEnd w:id="6145"/>
      <w:r>
        <w:rPr>
          <w:rFonts w:ascii="Arial" w:eastAsia="Arial" w:hAnsi="Arial" w:cs="Arial"/>
          <w:i/>
          <w:color w:val="000000"/>
          <w:sz w:val="18"/>
        </w:rPr>
        <w:t>Id.</w:t>
      </w:r>
      <w:r>
        <w:rPr>
          <w:rFonts w:ascii="Arial" w:eastAsia="Arial" w:hAnsi="Arial" w:cs="Arial"/>
          <w:color w:val="000000"/>
          <w:sz w:val="18"/>
        </w:rPr>
        <w:t xml:space="preserve"> at 31-32.</w:t>
      </w:r>
    </w:p>
  </w:footnote>
  <w:footnote w:id="232">
    <w:p w14:paraId="7923DD50"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8 </w:t>
      </w:r>
      <w:bookmarkStart w:id="6146" w:name="Bookmark_fnpara_9_6"/>
      <w:bookmarkEnd w:id="6146"/>
      <w:r>
        <w:rPr>
          <w:rFonts w:ascii="Arial" w:eastAsia="Arial" w:hAnsi="Arial" w:cs="Arial"/>
          <w:color w:val="000000"/>
          <w:sz w:val="18"/>
        </w:rPr>
        <w:t>R.152-1 at 17, 22 (Norfleet Dep. 65:19-67:17, 87:7-88:15).</w:t>
      </w:r>
    </w:p>
  </w:footnote>
  <w:footnote w:id="233">
    <w:p w14:paraId="6FEE51BB"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9 </w:t>
      </w:r>
      <w:bookmarkStart w:id="6147" w:name="Bookmark_fnpara_10_6"/>
      <w:bookmarkEnd w:id="6147"/>
      <w:r>
        <w:rPr>
          <w:rFonts w:ascii="Arial" w:eastAsia="Arial" w:hAnsi="Arial" w:cs="Arial"/>
          <w:i/>
          <w:color w:val="000000"/>
          <w:sz w:val="18"/>
        </w:rPr>
        <w:t>Id.</w:t>
      </w:r>
      <w:r>
        <w:rPr>
          <w:rFonts w:ascii="Arial" w:eastAsia="Arial" w:hAnsi="Arial" w:cs="Arial"/>
          <w:color w:val="000000"/>
          <w:sz w:val="18"/>
        </w:rPr>
        <w:t xml:space="preserve"> at 18 (Norfleet Dep. 69:17-24).</w:t>
      </w:r>
    </w:p>
  </w:footnote>
  <w:footnote w:id="234">
    <w:p w14:paraId="24C253AB"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10 </w:t>
      </w:r>
      <w:bookmarkStart w:id="6148" w:name="Bookmark_fnpara_11_4"/>
      <w:bookmarkEnd w:id="6148"/>
      <w:r>
        <w:rPr>
          <w:rFonts w:ascii="Arial" w:eastAsia="Arial" w:hAnsi="Arial" w:cs="Arial"/>
          <w:i/>
          <w:color w:val="000000"/>
          <w:sz w:val="18"/>
        </w:rPr>
        <w:t>Id.</w:t>
      </w:r>
      <w:r>
        <w:rPr>
          <w:rFonts w:ascii="Arial" w:eastAsia="Arial" w:hAnsi="Arial" w:cs="Arial"/>
          <w:color w:val="000000"/>
          <w:sz w:val="18"/>
        </w:rPr>
        <w:t xml:space="preserve"> at 28-29 (Norfleet Dep. 112:15-113:14); R.1-1 at 31-34.</w:t>
      </w:r>
    </w:p>
  </w:footnote>
  <w:footnote w:id="235">
    <w:p w14:paraId="4E108DC7"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11 </w:t>
      </w:r>
      <w:bookmarkStart w:id="6150" w:name="Bookmark_fnpara_12_4"/>
      <w:bookmarkEnd w:id="6150"/>
      <w:r>
        <w:rPr>
          <w:rFonts w:ascii="Arial" w:eastAsia="Arial" w:hAnsi="Arial" w:cs="Arial"/>
          <w:color w:val="000000"/>
          <w:sz w:val="18"/>
        </w:rPr>
        <w:t>R.152-1 at 23-24 (Norfleet Dep. 91:13-95:22); R.1-1 at 34.</w:t>
      </w:r>
    </w:p>
  </w:footnote>
  <w:footnote w:id="236">
    <w:p w14:paraId="6C1BF025"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12 </w:t>
      </w:r>
      <w:bookmarkStart w:id="6151" w:name="Bookmark_fnpara_13_3"/>
      <w:bookmarkEnd w:id="6151"/>
      <w:r>
        <w:rPr>
          <w:rFonts w:ascii="Arial" w:eastAsia="Arial" w:hAnsi="Arial" w:cs="Arial"/>
          <w:color w:val="000000"/>
          <w:sz w:val="18"/>
        </w:rPr>
        <w:t>R.152-1 at 24 (Norfleet Dep. 93:12-24); R.1-1 at 34.</w:t>
      </w:r>
    </w:p>
  </w:footnote>
  <w:footnote w:id="237">
    <w:p w14:paraId="06D8A804"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13 </w:t>
      </w:r>
      <w:bookmarkStart w:id="6153" w:name="Bookmark_fnpara_14_3"/>
      <w:bookmarkEnd w:id="6153"/>
      <w:r>
        <w:rPr>
          <w:rFonts w:ascii="Arial" w:eastAsia="Arial" w:hAnsi="Arial" w:cs="Arial"/>
          <w:color w:val="000000"/>
          <w:sz w:val="18"/>
        </w:rPr>
        <w:t>R.152-1 at 20-22 (Norfleet Dep. 77:16-86:2).</w:t>
      </w:r>
    </w:p>
  </w:footnote>
  <w:footnote w:id="238">
    <w:p w14:paraId="40B25C92"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14 </w:t>
      </w:r>
      <w:bookmarkStart w:id="6154" w:name="Bookmark_fnpara_15_2"/>
      <w:bookmarkEnd w:id="6154"/>
      <w:r>
        <w:rPr>
          <w:rFonts w:ascii="Arial" w:eastAsia="Arial" w:hAnsi="Arial" w:cs="Arial"/>
          <w:i/>
          <w:color w:val="000000"/>
          <w:sz w:val="18"/>
        </w:rPr>
        <w:t>Id.</w:t>
      </w:r>
    </w:p>
  </w:footnote>
  <w:footnote w:id="239">
    <w:p w14:paraId="159632F2"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15 </w:t>
      </w:r>
      <w:bookmarkStart w:id="6155" w:name="Bookmark_fnpara_16_2"/>
      <w:bookmarkEnd w:id="6155"/>
      <w:r>
        <w:rPr>
          <w:rFonts w:ascii="Arial" w:eastAsia="Arial" w:hAnsi="Arial" w:cs="Arial"/>
          <w:color w:val="000000"/>
          <w:sz w:val="18"/>
        </w:rPr>
        <w:t>R.1-1 at 15 (Keane Dep. 47:22-48:3).</w:t>
      </w:r>
    </w:p>
  </w:footnote>
  <w:footnote w:id="240">
    <w:p w14:paraId="3E2D2297"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16 </w:t>
      </w:r>
      <w:bookmarkStart w:id="6157" w:name="Bookmark_fnpara_17_2"/>
      <w:bookmarkEnd w:id="6157"/>
      <w:r>
        <w:rPr>
          <w:rFonts w:ascii="Arial" w:eastAsia="Arial" w:hAnsi="Arial" w:cs="Arial"/>
          <w:color w:val="000000"/>
          <w:sz w:val="18"/>
        </w:rPr>
        <w:t>R.1.</w:t>
      </w:r>
    </w:p>
  </w:footnote>
  <w:footnote w:id="241">
    <w:p w14:paraId="6494C8EE"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17 </w:t>
      </w:r>
      <w:bookmarkStart w:id="6158" w:name="Bookmark_fnpara_18_2"/>
      <w:bookmarkEnd w:id="6158"/>
      <w:r>
        <w:rPr>
          <w:rFonts w:ascii="Arial" w:eastAsia="Arial" w:hAnsi="Arial" w:cs="Arial"/>
          <w:i/>
          <w:color w:val="000000"/>
          <w:sz w:val="18"/>
        </w:rPr>
        <w:t>Id.</w:t>
      </w:r>
      <w:r>
        <w:rPr>
          <w:rFonts w:ascii="Arial" w:eastAsia="Arial" w:hAnsi="Arial" w:cs="Arial"/>
          <w:color w:val="000000"/>
          <w:sz w:val="18"/>
        </w:rPr>
        <w:t xml:space="preserve"> at 14-17.</w:t>
      </w:r>
    </w:p>
  </w:footnote>
  <w:footnote w:id="242">
    <w:p w14:paraId="3AED36A4"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18 </w:t>
      </w:r>
      <w:bookmarkStart w:id="6159" w:name="Bookmark_fnpara_19_2"/>
      <w:bookmarkEnd w:id="6159"/>
      <w:r>
        <w:rPr>
          <w:rFonts w:ascii="Arial" w:eastAsia="Arial" w:hAnsi="Arial" w:cs="Arial"/>
          <w:color w:val="000000"/>
          <w:sz w:val="18"/>
        </w:rPr>
        <w:t>R.17 at 9-16. The court also severed a First Amendment retaliation claim against the warden into a separate case, dismissed an Eighth Amendment claim for denial of his medications as duplicative of a separate lawsuit, and dismissed a First Amendment access-to-courts claim for failure to state a claim. Mr. Norfleet does not pursue these claims on appeal.</w:t>
      </w:r>
    </w:p>
  </w:footnote>
  <w:footnote w:id="243">
    <w:p w14:paraId="395605CC"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19 </w:t>
      </w:r>
      <w:bookmarkStart w:id="6161" w:name="Bookmark_fnpara_20_2"/>
      <w:bookmarkEnd w:id="6161"/>
      <w:r>
        <w:rPr>
          <w:rFonts w:ascii="Arial" w:eastAsia="Arial" w:hAnsi="Arial" w:cs="Arial"/>
          <w:color w:val="000000"/>
          <w:sz w:val="18"/>
        </w:rPr>
        <w:t>R.172.</w:t>
      </w:r>
    </w:p>
  </w:footnote>
  <w:footnote w:id="244">
    <w:p w14:paraId="3429433E"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20 </w:t>
      </w:r>
      <w:bookmarkStart w:id="6162" w:name="Bookmark_fnpara_21_2"/>
      <w:bookmarkEnd w:id="6162"/>
      <w:r>
        <w:rPr>
          <w:rFonts w:ascii="Arial" w:eastAsia="Arial" w:hAnsi="Arial" w:cs="Arial"/>
          <w:i/>
          <w:color w:val="000000"/>
          <w:sz w:val="18"/>
        </w:rPr>
        <w:t>Id.</w:t>
      </w:r>
      <w:r>
        <w:rPr>
          <w:rFonts w:ascii="Arial" w:eastAsia="Arial" w:hAnsi="Arial" w:cs="Arial"/>
          <w:color w:val="000000"/>
          <w:sz w:val="18"/>
        </w:rPr>
        <w:t xml:space="preserve"> at 24-28.</w:t>
      </w:r>
    </w:p>
  </w:footnote>
  <w:footnote w:id="245">
    <w:p w14:paraId="2E057D16"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21 </w:t>
      </w:r>
      <w:bookmarkStart w:id="6163" w:name="Bookmark_fnpara_22_2"/>
      <w:bookmarkEnd w:id="6163"/>
      <w:r>
        <w:rPr>
          <w:rFonts w:ascii="Arial" w:eastAsia="Arial" w:hAnsi="Arial" w:cs="Arial"/>
          <w:i/>
          <w:color w:val="000000"/>
          <w:sz w:val="18"/>
        </w:rPr>
        <w:t>Id.</w:t>
      </w:r>
      <w:r>
        <w:rPr>
          <w:rFonts w:ascii="Arial" w:eastAsia="Arial" w:hAnsi="Arial" w:cs="Arial"/>
          <w:color w:val="000000"/>
          <w:sz w:val="18"/>
        </w:rPr>
        <w:t xml:space="preserve"> at 22-23.</w:t>
      </w:r>
    </w:p>
  </w:footnote>
  <w:footnote w:id="246">
    <w:p w14:paraId="239C8D7C"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22 </w:t>
      </w:r>
      <w:bookmarkStart w:id="6164" w:name="Bookmark_fnpara_23_2"/>
      <w:bookmarkEnd w:id="6164"/>
      <w:r>
        <w:rPr>
          <w:rFonts w:ascii="Arial" w:eastAsia="Arial" w:hAnsi="Arial" w:cs="Arial"/>
          <w:i/>
          <w:color w:val="000000"/>
          <w:sz w:val="18"/>
        </w:rPr>
        <w:t>Id.</w:t>
      </w:r>
    </w:p>
  </w:footnote>
  <w:footnote w:id="247">
    <w:p w14:paraId="47EC9561"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23 </w:t>
      </w:r>
      <w:bookmarkStart w:id="6165" w:name="Bookmark_fnpara_24_2"/>
      <w:bookmarkEnd w:id="6165"/>
      <w:r>
        <w:rPr>
          <w:rFonts w:ascii="Arial" w:eastAsia="Arial" w:hAnsi="Arial" w:cs="Arial"/>
          <w:i/>
          <w:color w:val="000000"/>
          <w:sz w:val="18"/>
        </w:rPr>
        <w:t>Id.</w:t>
      </w:r>
      <w:r>
        <w:rPr>
          <w:rFonts w:ascii="Arial" w:eastAsia="Arial" w:hAnsi="Arial" w:cs="Arial"/>
          <w:color w:val="000000"/>
          <w:sz w:val="18"/>
        </w:rPr>
        <w:t xml:space="preserve"> at 29; R.177.</w:t>
      </w:r>
    </w:p>
  </w:footnote>
  <w:footnote w:id="248">
    <w:p w14:paraId="5A2B8114"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24 </w:t>
      </w:r>
      <w:bookmarkStart w:id="6167" w:name="Bookmark_fnpara_25_2"/>
      <w:bookmarkEnd w:id="6167"/>
      <w:r>
        <w:rPr>
          <w:rFonts w:ascii="Arial" w:eastAsia="Arial" w:hAnsi="Arial" w:cs="Arial"/>
          <w:color w:val="000000"/>
          <w:sz w:val="18"/>
        </w:rPr>
        <w:t>R.186 at 2.</w:t>
      </w:r>
    </w:p>
  </w:footnote>
  <w:footnote w:id="249">
    <w:p w14:paraId="5203CA1C"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25 </w:t>
      </w:r>
      <w:bookmarkStart w:id="6168" w:name="Bookmark_fnpara_26_2"/>
      <w:bookmarkEnd w:id="6168"/>
      <w:r>
        <w:rPr>
          <w:rFonts w:ascii="Arial" w:eastAsia="Arial" w:hAnsi="Arial" w:cs="Arial"/>
          <w:color w:val="000000"/>
          <w:sz w:val="18"/>
        </w:rPr>
        <w:t>R.187.</w:t>
      </w:r>
    </w:p>
  </w:footnote>
  <w:footnote w:id="250">
    <w:p w14:paraId="766D78F3"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26 </w:t>
      </w:r>
      <w:bookmarkStart w:id="6169" w:name="Bookmark_fnpara_27_1"/>
      <w:bookmarkEnd w:id="6169"/>
      <w:r>
        <w:rPr>
          <w:rFonts w:ascii="Arial" w:eastAsia="Arial" w:hAnsi="Arial" w:cs="Arial"/>
          <w:color w:val="000000"/>
          <w:sz w:val="18"/>
        </w:rPr>
        <w:t>R.202 at 1.</w:t>
      </w:r>
    </w:p>
  </w:footnote>
  <w:footnote w:id="251">
    <w:p w14:paraId="60C5E7E1"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27 </w:t>
      </w:r>
      <w:bookmarkStart w:id="6170" w:name="Bookmark_fnpara_28_1"/>
      <w:bookmarkEnd w:id="6170"/>
      <w:r>
        <w:rPr>
          <w:rFonts w:ascii="Arial" w:eastAsia="Arial" w:hAnsi="Arial" w:cs="Arial"/>
          <w:color w:val="000000"/>
          <w:sz w:val="18"/>
        </w:rPr>
        <w:t>R.225 at 3-4.</w:t>
      </w:r>
    </w:p>
  </w:footnote>
  <w:footnote w:id="252">
    <w:p w14:paraId="235D8845"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28 </w:t>
      </w:r>
      <w:bookmarkStart w:id="6172" w:name="Bookmark_fnpara_29_1"/>
      <w:bookmarkEnd w:id="6172"/>
      <w:r>
        <w:rPr>
          <w:rFonts w:ascii="Arial" w:eastAsia="Arial" w:hAnsi="Arial" w:cs="Arial"/>
          <w:color w:val="000000"/>
          <w:sz w:val="18"/>
        </w:rPr>
        <w:t>R.230. No transcript of this hearing appears to have been prepared.</w:t>
      </w:r>
    </w:p>
  </w:footnote>
  <w:footnote w:id="253">
    <w:p w14:paraId="56417743"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29 </w:t>
      </w:r>
      <w:bookmarkStart w:id="6173" w:name="Bookmark_fnpara_30_1"/>
      <w:bookmarkEnd w:id="6173"/>
      <w:r>
        <w:rPr>
          <w:rFonts w:ascii="Arial" w:eastAsia="Arial" w:hAnsi="Arial" w:cs="Arial"/>
          <w:color w:val="000000"/>
          <w:sz w:val="18"/>
        </w:rPr>
        <w:t>Appellant's Br. 5; Reply Br. 16.</w:t>
      </w:r>
    </w:p>
  </w:footnote>
  <w:footnote w:id="254">
    <w:p w14:paraId="28892806"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30 </w:t>
      </w:r>
      <w:bookmarkStart w:id="6175" w:name="Bookmark_fnpara_31_1"/>
      <w:bookmarkEnd w:id="6175"/>
      <w:r>
        <w:rPr>
          <w:rFonts w:ascii="Arial" w:eastAsia="Arial" w:hAnsi="Arial" w:cs="Arial"/>
          <w:color w:val="000000"/>
          <w:sz w:val="18"/>
        </w:rPr>
        <w:t>App. R.17.</w:t>
      </w:r>
    </w:p>
  </w:footnote>
  <w:footnote w:id="255">
    <w:p w14:paraId="30D12A20"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31 </w:t>
      </w:r>
      <w:bookmarkStart w:id="6176" w:name="Bookmark_fnpara_32_1"/>
      <w:bookmarkEnd w:id="6176"/>
      <w:r>
        <w:rPr>
          <w:rFonts w:ascii="Arial" w:eastAsia="Arial" w:hAnsi="Arial" w:cs="Arial"/>
          <w:color w:val="000000"/>
          <w:sz w:val="18"/>
        </w:rPr>
        <w:t>App. R.25.</w:t>
      </w:r>
    </w:p>
  </w:footnote>
  <w:footnote w:id="256">
    <w:p w14:paraId="6349CD16"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32 </w:t>
      </w:r>
      <w:bookmarkStart w:id="6179" w:name="Bookmark_fnpara_33_1"/>
      <w:bookmarkEnd w:id="6179"/>
      <w:r>
        <w:rPr>
          <w:rFonts w:ascii="Arial" w:eastAsia="Arial" w:hAnsi="Arial" w:cs="Arial"/>
          <w:color w:val="000000"/>
          <w:sz w:val="18"/>
        </w:rPr>
        <w:t>App. R.27.</w:t>
      </w:r>
    </w:p>
  </w:footnote>
  <w:footnote w:id="257">
    <w:p w14:paraId="214DBF6D" w14:textId="77777777" w:rsidR="002B10A6" w:rsidRDefault="00000000">
      <w:pPr>
        <w:pStyle w:val="Normal28"/>
        <w:widowControl w:val="0"/>
        <w:spacing w:before="200" w:line="240" w:lineRule="atLeast"/>
        <w:jc w:val="both"/>
      </w:pPr>
      <w:r>
        <w:rPr>
          <w:rFonts w:ascii="Arial" w:eastAsia="Arial" w:hAnsi="Arial" w:cs="Arial"/>
          <w:color w:val="000000"/>
          <w:sz w:val="18"/>
          <w:vertAlign w:val="superscript"/>
        </w:rPr>
        <w:t>33 </w:t>
      </w:r>
      <w:bookmarkStart w:id="6180" w:name="Bookmark_fnpara_34_1"/>
      <w:bookmarkStart w:id="6181" w:name="Bookmark_I61B4TK42HM64Y0010000400"/>
      <w:bookmarkEnd w:id="6180"/>
      <w:bookmarkEnd w:id="6181"/>
      <w:r>
        <w:rPr>
          <w:rFonts w:ascii="Arial" w:eastAsia="Arial" w:hAnsi="Arial" w:cs="Arial"/>
          <w:i/>
          <w:color w:val="000000"/>
          <w:sz w:val="18"/>
        </w:rPr>
        <w:t>Norfleet v. Baldwin</w:t>
      </w:r>
      <w:r>
        <w:rPr>
          <w:rFonts w:ascii="Arial" w:eastAsia="Arial" w:hAnsi="Arial" w:cs="Arial"/>
          <w:color w:val="000000"/>
          <w:sz w:val="18"/>
        </w:rPr>
        <w:t>, No. 19-1337, 2019 U.S. App. LEXIS 1633, App. R.9 at 2 (April 9, 2019).</w:t>
      </w:r>
    </w:p>
  </w:footnote>
  <w:footnote w:id="258">
    <w:p w14:paraId="3EB58ACB"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34 </w:t>
      </w:r>
      <w:bookmarkStart w:id="6182" w:name="Bookmark_fnpara_35_1"/>
      <w:bookmarkEnd w:id="6182"/>
      <w:r>
        <w:rPr>
          <w:rFonts w:ascii="Arial" w:eastAsia="Arial" w:hAnsi="Arial" w:cs="Arial"/>
          <w:color w:val="000000"/>
          <w:sz w:val="18"/>
        </w:rPr>
        <w:t>App. R.27 at 3.</w:t>
      </w:r>
    </w:p>
  </w:footnote>
  <w:footnote w:id="259">
    <w:p w14:paraId="559A718D"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35 </w:t>
      </w:r>
      <w:bookmarkStart w:id="6183" w:name="Bookmark_fnpara_36_1"/>
      <w:bookmarkEnd w:id="6183"/>
      <w:r>
        <w:rPr>
          <w:rFonts w:ascii="Arial" w:eastAsia="Arial" w:hAnsi="Arial" w:cs="Arial"/>
          <w:color w:val="000000"/>
          <w:sz w:val="18"/>
        </w:rPr>
        <w:t>App. R.28 at 1.</w:t>
      </w:r>
    </w:p>
  </w:footnote>
  <w:footnote w:id="260">
    <w:p w14:paraId="210305F7"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36 </w:t>
      </w:r>
      <w:bookmarkStart w:id="6185" w:name="Bookmark_fnpara_37_1"/>
      <w:bookmarkEnd w:id="6185"/>
      <w:r>
        <w:rPr>
          <w:rFonts w:ascii="Arial" w:eastAsia="Arial" w:hAnsi="Arial" w:cs="Arial"/>
          <w:color w:val="000000"/>
          <w:sz w:val="18"/>
        </w:rPr>
        <w:t>Appellant Br. 5; Reply Br. 16.</w:t>
      </w:r>
    </w:p>
  </w:footnote>
  <w:footnote w:id="261">
    <w:p w14:paraId="0C08A31C"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37 </w:t>
      </w:r>
      <w:bookmarkStart w:id="6186" w:name="Bookmark_fnpara_38_1"/>
      <w:bookmarkEnd w:id="6186"/>
      <w:r>
        <w:rPr>
          <w:rFonts w:ascii="Arial" w:eastAsia="Arial" w:hAnsi="Arial" w:cs="Arial"/>
          <w:color w:val="000000"/>
          <w:sz w:val="18"/>
        </w:rPr>
        <w:t>Reply Br. 16.</w:t>
      </w:r>
    </w:p>
  </w:footnote>
  <w:footnote w:id="262">
    <w:p w14:paraId="42661C7F" w14:textId="77777777" w:rsidR="002B10A6" w:rsidRDefault="00000000">
      <w:pPr>
        <w:pStyle w:val="Normal28"/>
        <w:widowControl w:val="0"/>
        <w:spacing w:before="120" w:line="240" w:lineRule="atLeast"/>
        <w:jc w:val="both"/>
      </w:pPr>
      <w:r>
        <w:rPr>
          <w:rFonts w:ascii="Arial" w:eastAsia="Arial" w:hAnsi="Arial" w:cs="Arial"/>
          <w:color w:val="000000"/>
          <w:sz w:val="18"/>
          <w:vertAlign w:val="superscript"/>
        </w:rPr>
        <w:t>38 </w:t>
      </w:r>
      <w:bookmarkStart w:id="6216" w:name="Bookmark_fnpara_39_1"/>
      <w:bookmarkEnd w:id="6216"/>
      <w:r>
        <w:rPr>
          <w:rFonts w:ascii="Arial" w:eastAsia="Arial" w:hAnsi="Arial" w:cs="Arial"/>
          <w:color w:val="000000"/>
          <w:sz w:val="18"/>
        </w:rPr>
        <w:t>R.82 at 18-26 (Prelim. Inj. Tr. 18:24-26:21); R.152-1 at 11 (Norfleet Dep. 43:2-18).</w:t>
      </w:r>
    </w:p>
  </w:footnote>
  <w:footnote w:id="263">
    <w:p w14:paraId="62601E3C" w14:textId="77777777" w:rsidR="002B10A6" w:rsidRDefault="00000000">
      <w:pPr>
        <w:pStyle w:val="Normal29"/>
        <w:widowControl w:val="0"/>
        <w:spacing w:before="120" w:line="240" w:lineRule="atLeast"/>
        <w:jc w:val="both"/>
      </w:pPr>
      <w:r>
        <w:rPr>
          <w:rFonts w:ascii="Arial" w:eastAsia="Arial" w:hAnsi="Arial" w:cs="Arial"/>
          <w:color w:val="000000"/>
          <w:sz w:val="18"/>
          <w:vertAlign w:val="superscript"/>
        </w:rPr>
        <w:t>* </w:t>
      </w:r>
      <w:bookmarkStart w:id="6243" w:name="Bookmark_fnpara_1_26"/>
      <w:bookmarkEnd w:id="6243"/>
      <w:r>
        <w:rPr>
          <w:rFonts w:ascii="Arial" w:eastAsia="Arial" w:hAnsi="Arial" w:cs="Arial"/>
          <w:color w:val="000000"/>
          <w:sz w:val="18"/>
        </w:rPr>
        <w:t>This disposition is not appropriate for publication and is not precedent except as provided by Ninth Circuit Rule 36-3.</w:t>
      </w:r>
    </w:p>
  </w:footnote>
  <w:footnote w:id="264">
    <w:p w14:paraId="1C74C56E" w14:textId="77777777" w:rsidR="002B10A6" w:rsidRDefault="00000000">
      <w:pPr>
        <w:pStyle w:val="Normal29"/>
        <w:widowControl w:val="0"/>
        <w:spacing w:before="120" w:line="240" w:lineRule="atLeast"/>
        <w:jc w:val="both"/>
      </w:pPr>
      <w:r>
        <w:rPr>
          <w:rFonts w:ascii="Arial" w:eastAsia="Arial" w:hAnsi="Arial" w:cs="Arial"/>
          <w:color w:val="000000"/>
          <w:sz w:val="18"/>
          <w:vertAlign w:val="superscript"/>
        </w:rPr>
        <w:t>1 </w:t>
      </w:r>
      <w:bookmarkStart w:id="6268" w:name="Bookmark_fnpara_2_22"/>
      <w:bookmarkEnd w:id="6268"/>
      <w:r>
        <w:rPr>
          <w:rFonts w:ascii="Arial" w:eastAsia="Arial" w:hAnsi="Arial" w:cs="Arial"/>
          <w:color w:val="000000"/>
          <w:sz w:val="18"/>
        </w:rPr>
        <w:t>Rosales conceded he could not do all the "side work"—the work food servers did between delivering orders to customers, such as cleaning and resupplying the kitchen. For example, Rosales admitted he could not frequently carry a gallon of milk or juice from the refrigerator, and that he couldn't unstack and set up tables. In fact, the only side work that Rosales indicated he could do was cleaning the beverage area. It is undisputed that this "side work" is an essential function of the job.</w:t>
      </w:r>
    </w:p>
  </w:footnote>
  <w:footnote w:id="265">
    <w:p w14:paraId="46C6DA70" w14:textId="77777777" w:rsidR="002B10A6" w:rsidRDefault="00000000">
      <w:pPr>
        <w:pStyle w:val="Normal29"/>
        <w:widowControl w:val="0"/>
        <w:spacing w:before="200" w:line="240" w:lineRule="atLeast"/>
        <w:jc w:val="both"/>
      </w:pPr>
      <w:r>
        <w:rPr>
          <w:rFonts w:ascii="Arial" w:eastAsia="Arial" w:hAnsi="Arial" w:cs="Arial"/>
          <w:color w:val="000000"/>
          <w:sz w:val="18"/>
          <w:vertAlign w:val="superscript"/>
        </w:rPr>
        <w:t>2 </w:t>
      </w:r>
      <w:bookmarkStart w:id="6279" w:name="Bookmark_fnpara_3_20"/>
      <w:bookmarkEnd w:id="6279"/>
      <w:r>
        <w:rPr>
          <w:rFonts w:ascii="Arial" w:eastAsia="Arial" w:hAnsi="Arial" w:cs="Arial"/>
          <w:color w:val="000000"/>
          <w:sz w:val="18"/>
        </w:rPr>
        <w:t xml:space="preserve">Even if a light-duty position was a reasonable accommodation, Rosales admitted that he can't even perform the "light work." For example, in discussing the neck movements required by the job, Rosales plainly stated: "even after my surgery, doing the light work, I don't think that would help me. I think that would actually hurt me[.]" Likewise, he testified that he "started wondering" during his meeting with Bellagio whether he "can do </w:t>
      </w:r>
      <w:r>
        <w:rPr>
          <w:rFonts w:ascii="Arial" w:eastAsia="Arial" w:hAnsi="Arial" w:cs="Arial"/>
          <w:i/>
          <w:color w:val="000000"/>
          <w:sz w:val="18"/>
        </w:rPr>
        <w:t>some</w:t>
      </w:r>
      <w:r>
        <w:rPr>
          <w:rFonts w:ascii="Arial" w:eastAsia="Arial" w:hAnsi="Arial" w:cs="Arial"/>
          <w:color w:val="000000"/>
          <w:sz w:val="18"/>
        </w:rPr>
        <w:t xml:space="preserve"> of the light work." He also testified that he wasn't able to sit through a GED course because his "neck would start hurting a lot." Accordingly, it's clear that Rosales can't do the job even if he was entitled to just do the "light work."</w:t>
      </w:r>
    </w:p>
  </w:footnote>
  <w:footnote w:id="266">
    <w:p w14:paraId="55B6CD7B" w14:textId="77777777" w:rsidR="002B10A6" w:rsidRDefault="00000000">
      <w:pPr>
        <w:pStyle w:val="Normal29"/>
        <w:widowControl w:val="0"/>
        <w:spacing w:before="200" w:line="240" w:lineRule="atLeast"/>
        <w:jc w:val="both"/>
      </w:pPr>
      <w:r>
        <w:rPr>
          <w:rFonts w:ascii="Arial" w:eastAsia="Arial" w:hAnsi="Arial" w:cs="Arial"/>
          <w:color w:val="000000"/>
          <w:sz w:val="18"/>
          <w:vertAlign w:val="superscript"/>
        </w:rPr>
        <w:t>3 </w:t>
      </w:r>
      <w:bookmarkStart w:id="6286" w:name="Bookmark_fnpara_4_20"/>
      <w:bookmarkEnd w:id="6286"/>
      <w:r>
        <w:rPr>
          <w:rFonts w:ascii="Arial" w:eastAsia="Arial" w:hAnsi="Arial" w:cs="Arial"/>
          <w:color w:val="000000"/>
          <w:sz w:val="18"/>
        </w:rPr>
        <w:t xml:space="preserve">We've previously rejected this as a basis for finding a lack of good faith because "the law affords employers the ability to have some internal discussion." </w:t>
      </w:r>
      <w:bookmarkStart w:id="6287" w:name="Bookmark_I61B4T8J2N1PYG0020000400"/>
      <w:bookmarkEnd w:id="6287"/>
      <w:r>
        <w:rPr>
          <w:rFonts w:ascii="Arial" w:eastAsia="Arial" w:hAnsi="Arial" w:cs="Arial"/>
          <w:i/>
          <w:color w:val="000000"/>
          <w:sz w:val="18"/>
        </w:rPr>
        <w:t>Dep't of Fair Emp't &amp; Hous. v. Lucent Techs., Inc.</w:t>
      </w:r>
      <w:r>
        <w:rPr>
          <w:rFonts w:ascii="Arial" w:eastAsia="Arial" w:hAnsi="Arial" w:cs="Arial"/>
          <w:color w:val="000000"/>
          <w:sz w:val="18"/>
        </w:rPr>
        <w:t>, 642 F.3d 728, 743 n.15 (9th Cir. 2011) (analyzing claim under similar California antidiscrimination law).</w:t>
      </w:r>
    </w:p>
  </w:footnote>
  <w:footnote w:id="267">
    <w:p w14:paraId="60F5DCDF" w14:textId="77777777" w:rsidR="002B10A6" w:rsidRDefault="00000000">
      <w:pPr>
        <w:pStyle w:val="Normal29"/>
        <w:widowControl w:val="0"/>
        <w:spacing w:before="200" w:line="240" w:lineRule="atLeast"/>
        <w:jc w:val="both"/>
      </w:pPr>
      <w:r>
        <w:rPr>
          <w:rFonts w:ascii="Arial" w:eastAsia="Arial" w:hAnsi="Arial" w:cs="Arial"/>
          <w:color w:val="000000"/>
          <w:sz w:val="18"/>
          <w:vertAlign w:val="superscript"/>
        </w:rPr>
        <w:t>4 </w:t>
      </w:r>
      <w:bookmarkStart w:id="6311" w:name="Bookmark_fnpara_5_17"/>
      <w:bookmarkEnd w:id="6311"/>
      <w:r>
        <w:rPr>
          <w:rFonts w:ascii="Arial" w:eastAsia="Arial" w:hAnsi="Arial" w:cs="Arial"/>
          <w:color w:val="000000"/>
          <w:sz w:val="18"/>
        </w:rPr>
        <w:t xml:space="preserve">Although this court recently repeated </w:t>
      </w:r>
      <w:bookmarkStart w:id="6312" w:name="Bookmark_I61B4T8M2N1PYN0040000400"/>
      <w:bookmarkEnd w:id="6312"/>
      <w:r>
        <w:rPr>
          <w:rFonts w:ascii="Arial" w:eastAsia="Arial" w:hAnsi="Arial" w:cs="Arial"/>
          <w:i/>
          <w:color w:val="000000"/>
          <w:sz w:val="18"/>
        </w:rPr>
        <w:t>Barnett</w:t>
      </w:r>
      <w:r>
        <w:rPr>
          <w:rFonts w:ascii="Arial" w:eastAsia="Arial" w:hAnsi="Arial" w:cs="Arial"/>
          <w:color w:val="000000"/>
          <w:sz w:val="18"/>
        </w:rPr>
        <w:t xml:space="preserve">'s questionable line in </w:t>
      </w:r>
      <w:bookmarkStart w:id="6313" w:name="Bookmark_I61B4T8M2HM6M70010000400"/>
      <w:bookmarkEnd w:id="6313"/>
      <w:r>
        <w:rPr>
          <w:rFonts w:ascii="Arial" w:eastAsia="Arial" w:hAnsi="Arial" w:cs="Arial"/>
          <w:i/>
          <w:color w:val="000000"/>
          <w:sz w:val="18"/>
        </w:rPr>
        <w:t>Anthony v. Trax Int'l Corp.</w:t>
      </w:r>
      <w:r>
        <w:rPr>
          <w:rFonts w:ascii="Arial" w:eastAsia="Arial" w:hAnsi="Arial" w:cs="Arial"/>
          <w:color w:val="000000"/>
          <w:sz w:val="18"/>
        </w:rPr>
        <w:t xml:space="preserve">, 955 F.3d 1123, 1134 (9th Cir. 2020), that statement was "not necessary to the decision and thus [has] no binding or precedential impact[.]" </w:t>
      </w:r>
      <w:bookmarkStart w:id="6314" w:name="Bookmark_I61B4T8M2HM6M70030000400"/>
      <w:bookmarkEnd w:id="6314"/>
      <w:r>
        <w:rPr>
          <w:rFonts w:ascii="Arial" w:eastAsia="Arial" w:hAnsi="Arial" w:cs="Arial"/>
          <w:i/>
          <w:color w:val="000000"/>
          <w:sz w:val="18"/>
        </w:rPr>
        <w:t>Exp. Grp. v. Reef Indus., Inc.</w:t>
      </w:r>
      <w:r>
        <w:rPr>
          <w:rFonts w:ascii="Arial" w:eastAsia="Arial" w:hAnsi="Arial" w:cs="Arial"/>
          <w:color w:val="000000"/>
          <w:sz w:val="18"/>
        </w:rPr>
        <w:t>, 54 F.3d 1466, 1472 (9th Cir. 1995).</w:t>
      </w:r>
    </w:p>
  </w:footnote>
  <w:footnote w:id="268">
    <w:p w14:paraId="53273426" w14:textId="77777777" w:rsidR="002B10A6" w:rsidRDefault="00000000">
      <w:pPr>
        <w:pStyle w:val="Normal30"/>
        <w:widowControl w:val="0"/>
        <w:spacing w:before="120" w:line="240" w:lineRule="atLeast"/>
        <w:jc w:val="both"/>
      </w:pPr>
      <w:r>
        <w:rPr>
          <w:rFonts w:ascii="Arial" w:eastAsia="Arial" w:hAnsi="Arial" w:cs="Arial"/>
          <w:color w:val="000000"/>
          <w:sz w:val="18"/>
          <w:vertAlign w:val="superscript"/>
        </w:rPr>
        <w:t>** </w:t>
      </w:r>
      <w:bookmarkStart w:id="6332" w:name="Bookmark_fnpara_1_27"/>
      <w:bookmarkEnd w:id="6332"/>
      <w:r>
        <w:rPr>
          <w:rFonts w:ascii="Arial" w:eastAsia="Arial" w:hAnsi="Arial" w:cs="Arial"/>
          <w:color w:val="000000"/>
          <w:sz w:val="18"/>
        </w:rPr>
        <w:t>The panel unanimously concludes this case is suitable for decision without oral argument. See Fed. R. App. P. 34(a)(2).</w:t>
      </w:r>
    </w:p>
  </w:footnote>
  <w:footnote w:id="269">
    <w:p w14:paraId="2208672E" w14:textId="77777777" w:rsidR="002B10A6" w:rsidRDefault="00000000">
      <w:pPr>
        <w:pStyle w:val="Normal30"/>
        <w:widowControl w:val="0"/>
        <w:spacing w:before="120" w:line="240" w:lineRule="atLeast"/>
        <w:jc w:val="both"/>
      </w:pPr>
      <w:r>
        <w:rPr>
          <w:rFonts w:ascii="Arial" w:eastAsia="Arial" w:hAnsi="Arial" w:cs="Arial"/>
          <w:color w:val="000000"/>
          <w:sz w:val="18"/>
          <w:vertAlign w:val="superscript"/>
        </w:rPr>
        <w:t>*** </w:t>
      </w:r>
      <w:bookmarkStart w:id="6342" w:name="Bookmark_fnpara_2_23"/>
      <w:bookmarkEnd w:id="6342"/>
      <w:r>
        <w:rPr>
          <w:rFonts w:ascii="Arial" w:eastAsia="Arial" w:hAnsi="Arial" w:cs="Arial"/>
          <w:color w:val="000000"/>
          <w:sz w:val="18"/>
        </w:rPr>
        <w:t>The Honorable Carol Bagley Amon, United States District Judge for the Eastern District of New York, sitting by designation.</w:t>
      </w:r>
    </w:p>
  </w:footnote>
  <w:footnote w:id="270">
    <w:p w14:paraId="376B0D3A" w14:textId="77777777" w:rsidR="002B10A6" w:rsidRDefault="00000000">
      <w:pPr>
        <w:pStyle w:val="Normal30"/>
        <w:widowControl w:val="0"/>
        <w:spacing w:before="120" w:line="240" w:lineRule="atLeast"/>
        <w:jc w:val="both"/>
      </w:pPr>
      <w:r>
        <w:rPr>
          <w:rFonts w:ascii="Arial" w:eastAsia="Arial" w:hAnsi="Arial" w:cs="Arial"/>
          <w:color w:val="000000"/>
          <w:sz w:val="18"/>
          <w:vertAlign w:val="superscript"/>
        </w:rPr>
        <w:t>* </w:t>
      </w:r>
      <w:bookmarkStart w:id="6344" w:name="Bookmark_fnpara_3_21"/>
      <w:bookmarkEnd w:id="6344"/>
      <w:r>
        <w:rPr>
          <w:rFonts w:ascii="Arial" w:eastAsia="Arial" w:hAnsi="Arial" w:cs="Arial"/>
          <w:color w:val="000000"/>
          <w:sz w:val="18"/>
        </w:rPr>
        <w:t>This disposition is not appropriate for publication and is not precedent except as provided by Ninth Circuit Rule 36-3.</w:t>
      </w:r>
    </w:p>
  </w:footnote>
  <w:footnote w:id="271">
    <w:p w14:paraId="20E748C8" w14:textId="77777777" w:rsidR="002B10A6" w:rsidRDefault="00000000">
      <w:pPr>
        <w:pStyle w:val="Normal30"/>
        <w:widowControl w:val="0"/>
        <w:spacing w:before="120" w:line="240" w:lineRule="atLeast"/>
        <w:jc w:val="both"/>
      </w:pPr>
      <w:r>
        <w:rPr>
          <w:rFonts w:ascii="Arial" w:eastAsia="Arial" w:hAnsi="Arial" w:cs="Arial"/>
          <w:color w:val="000000"/>
          <w:sz w:val="18"/>
          <w:vertAlign w:val="superscript"/>
        </w:rPr>
        <w:t>1 </w:t>
      </w:r>
      <w:bookmarkStart w:id="6346" w:name="Bookmark_fnpara_4_21"/>
      <w:bookmarkEnd w:id="6346"/>
      <w:r>
        <w:rPr>
          <w:rFonts w:ascii="Arial" w:eastAsia="Arial" w:hAnsi="Arial" w:cs="Arial"/>
          <w:color w:val="000000"/>
          <w:sz w:val="18"/>
        </w:rPr>
        <w:t>Kong also brought claims under California's Unruh Civil Rights Act, which the district court dismissed on the grounds that their success depended on the viability of the ADA claims.</w:t>
      </w:r>
    </w:p>
  </w:footnote>
  <w:footnote w:id="272">
    <w:p w14:paraId="63DFEAE9" w14:textId="77777777" w:rsidR="002B10A6" w:rsidRDefault="00000000">
      <w:pPr>
        <w:pStyle w:val="Normal30"/>
        <w:widowControl w:val="0"/>
        <w:spacing w:before="200" w:line="240" w:lineRule="atLeast"/>
        <w:jc w:val="both"/>
      </w:pPr>
      <w:r>
        <w:rPr>
          <w:rFonts w:ascii="Arial" w:eastAsia="Arial" w:hAnsi="Arial" w:cs="Arial"/>
          <w:color w:val="000000"/>
          <w:sz w:val="18"/>
          <w:vertAlign w:val="superscript"/>
        </w:rPr>
        <w:t>2 </w:t>
      </w:r>
      <w:bookmarkStart w:id="6347" w:name="Bookmark_fnpara_5_18"/>
      <w:bookmarkStart w:id="6348" w:name="Bookmark_I6070TB22SF8SW0020000400"/>
      <w:bookmarkEnd w:id="6347"/>
      <w:bookmarkEnd w:id="6348"/>
      <w:r>
        <w:rPr>
          <w:rFonts w:ascii="Arial" w:eastAsia="Arial" w:hAnsi="Arial" w:cs="Arial"/>
          <w:color w:val="000000"/>
          <w:sz w:val="18"/>
        </w:rPr>
        <w:t xml:space="preserve">Kong moves for judicial notice of the district court's decision in </w:t>
      </w:r>
      <w:r>
        <w:rPr>
          <w:rFonts w:ascii="Arial" w:eastAsia="Arial" w:hAnsi="Arial" w:cs="Arial"/>
          <w:i/>
          <w:color w:val="000000"/>
          <w:sz w:val="18"/>
        </w:rPr>
        <w:t>Whitaker v. ELC Beauty, LLC</w:t>
      </w:r>
      <w:r>
        <w:rPr>
          <w:rFonts w:ascii="Arial" w:eastAsia="Arial" w:hAnsi="Arial" w:cs="Arial"/>
          <w:color w:val="000000"/>
          <w:sz w:val="18"/>
        </w:rPr>
        <w:t xml:space="preserve">, 8:19-cv-00407-DF (C.D. Cal. Nov. 12, 2019). 9th Cir. Dkt. 27. Starbucks moves for judicial notice of the rulings granting its motions to dismiss in </w:t>
      </w:r>
      <w:r>
        <w:rPr>
          <w:rFonts w:ascii="Arial" w:eastAsia="Arial" w:hAnsi="Arial" w:cs="Arial"/>
          <w:i/>
          <w:color w:val="000000"/>
          <w:sz w:val="18"/>
        </w:rPr>
        <w:t>Whitaker v. Starbucks Corporation</w:t>
      </w:r>
      <w:r>
        <w:rPr>
          <w:rFonts w:ascii="Arial" w:eastAsia="Arial" w:hAnsi="Arial" w:cs="Arial"/>
          <w:color w:val="000000"/>
          <w:sz w:val="18"/>
        </w:rPr>
        <w:t xml:space="preserve">, No. 2:19-cv-6583-GW-SK, ECF No. 28 (C.D. Cal. Nov. 25, 2019), </w:t>
      </w:r>
      <w:r>
        <w:rPr>
          <w:rFonts w:ascii="Arial" w:eastAsia="Arial" w:hAnsi="Arial" w:cs="Arial"/>
          <w:i/>
          <w:color w:val="000000"/>
          <w:sz w:val="18"/>
        </w:rPr>
        <w:t>Whitaker v. Starbucks Corporation</w:t>
      </w:r>
      <w:r>
        <w:rPr>
          <w:rFonts w:ascii="Arial" w:eastAsia="Arial" w:hAnsi="Arial" w:cs="Arial"/>
          <w:color w:val="000000"/>
          <w:sz w:val="18"/>
        </w:rPr>
        <w:t xml:space="preserve">, No. 2:19-cv-6795-GW-SS, ECF No. 20 (C.D. Cal. Dec. 2, 2019), and </w:t>
      </w:r>
      <w:r>
        <w:rPr>
          <w:rFonts w:ascii="Arial" w:eastAsia="Arial" w:hAnsi="Arial" w:cs="Arial"/>
          <w:i/>
          <w:color w:val="000000"/>
          <w:sz w:val="18"/>
        </w:rPr>
        <w:t>Whitaker v. Starbucks Corporation</w:t>
      </w:r>
      <w:r>
        <w:rPr>
          <w:rFonts w:ascii="Arial" w:eastAsia="Arial" w:hAnsi="Arial" w:cs="Arial"/>
          <w:color w:val="000000"/>
          <w:sz w:val="18"/>
        </w:rPr>
        <w:t xml:space="preserve">, No. 2:19-cv-09793-CJC-MRW, ECF No. 18 (C.D. Cal. Jan. 17, 2020). 9th Cir. Dkt. 33. Both motions are granted, as the documents are "not subject to reasonable dispute," Fed. R. Evid. 201, and the "proceedings [to which they relate] have a direct relation to matters at issue," </w:t>
      </w:r>
      <w:bookmarkStart w:id="6349" w:name="Bookmark_I6070TB22SF8SW0010000400"/>
      <w:bookmarkEnd w:id="6349"/>
      <w:r>
        <w:rPr>
          <w:rFonts w:ascii="Arial" w:eastAsia="Arial" w:hAnsi="Arial" w:cs="Arial"/>
          <w:i/>
          <w:color w:val="000000"/>
          <w:sz w:val="18"/>
        </w:rPr>
        <w:t>United States ex rel. Robinson Rancheria Citizens Council v. Borneo, Inc.</w:t>
      </w:r>
      <w:r>
        <w:rPr>
          <w:rFonts w:ascii="Arial" w:eastAsia="Arial" w:hAnsi="Arial" w:cs="Arial"/>
          <w:color w:val="000000"/>
          <w:sz w:val="18"/>
        </w:rPr>
        <w:t>, 971 F.2d 244, 248 (9th Cir. 1992) (internal quotation marks omitted).</w:t>
      </w:r>
    </w:p>
  </w:footnote>
  <w:footnote w:id="273">
    <w:p w14:paraId="2043C6B6" w14:textId="77777777" w:rsidR="002B10A6" w:rsidRDefault="00000000">
      <w:pPr>
        <w:pStyle w:val="Normal30"/>
        <w:widowControl w:val="0"/>
        <w:spacing w:before="120" w:line="240" w:lineRule="atLeast"/>
        <w:jc w:val="both"/>
      </w:pPr>
      <w:r>
        <w:rPr>
          <w:rFonts w:ascii="Arial" w:eastAsia="Arial" w:hAnsi="Arial" w:cs="Arial"/>
          <w:color w:val="000000"/>
          <w:sz w:val="18"/>
          <w:vertAlign w:val="superscript"/>
        </w:rPr>
        <w:t>3 </w:t>
      </w:r>
      <w:bookmarkStart w:id="6360" w:name="Bookmark_fnpara_6_14"/>
      <w:bookmarkEnd w:id="6360"/>
      <w:r>
        <w:rPr>
          <w:rFonts w:ascii="Arial" w:eastAsia="Arial" w:hAnsi="Arial" w:cs="Arial"/>
          <w:color w:val="000000"/>
          <w:sz w:val="18"/>
        </w:rPr>
        <w:t xml:space="preserve">Kong argues that, taken to its "logical extension," Starbucks' position, supported by an amicus brief filed by the Department of Justice, means that Starbucks could comply with Section 904.4.1 by providing a counter that does not have a "single millimeter of clear, useable space for wheelchair users." Because Kong ultimately asks this Court to hold that Starbucks must, without exception, provide 36 inches of usable counter space, we need not reach the question of whether there are any potential limits of the exception to Section 904.4.1. We hold only that </w:t>
      </w:r>
      <w:bookmarkStart w:id="6361" w:name="Bookmark_LNHNREFclscc4_24"/>
      <w:bookmarkEnd w:id="6361"/>
      <w:r>
        <w:rPr>
          <w:rFonts w:ascii="Arial" w:eastAsia="Arial" w:hAnsi="Arial" w:cs="Arial"/>
          <w:color w:val="000000"/>
          <w:sz w:val="18"/>
        </w:rPr>
        <w:t>Section 904.4.1 does not in all instances require Starbucks to provide 36 inches of usable counter space.</w:t>
      </w:r>
    </w:p>
  </w:footnote>
  <w:footnote w:id="274">
    <w:p w14:paraId="632AF454" w14:textId="77777777" w:rsidR="002B10A6" w:rsidRDefault="00000000">
      <w:pPr>
        <w:pStyle w:val="Normal31"/>
        <w:widowControl w:val="0"/>
        <w:spacing w:before="120" w:line="240" w:lineRule="atLeast"/>
        <w:jc w:val="both"/>
      </w:pPr>
      <w:r>
        <w:rPr>
          <w:rFonts w:ascii="Arial" w:eastAsia="Arial" w:hAnsi="Arial" w:cs="Arial"/>
          <w:color w:val="000000"/>
          <w:sz w:val="18"/>
          <w:vertAlign w:val="superscript"/>
        </w:rPr>
        <w:t>** </w:t>
      </w:r>
      <w:bookmarkStart w:id="6370" w:name="Bookmark_fnpara_1_28"/>
      <w:bookmarkEnd w:id="6370"/>
      <w:r>
        <w:rPr>
          <w:rFonts w:ascii="Arial" w:eastAsia="Arial" w:hAnsi="Arial" w:cs="Arial"/>
          <w:color w:val="000000"/>
          <w:sz w:val="18"/>
        </w:rPr>
        <w:t>The panel unanimously concludes this case is suitable for decision without oral argument. See Fed. R. App. P. 34(a)(2).</w:t>
      </w:r>
    </w:p>
  </w:footnote>
  <w:footnote w:id="275">
    <w:p w14:paraId="01EC2DE9" w14:textId="77777777" w:rsidR="002B10A6" w:rsidRDefault="00000000">
      <w:pPr>
        <w:pStyle w:val="Normal31"/>
        <w:widowControl w:val="0"/>
        <w:spacing w:before="120" w:line="240" w:lineRule="atLeast"/>
        <w:jc w:val="both"/>
      </w:pPr>
      <w:r>
        <w:rPr>
          <w:rFonts w:ascii="Arial" w:eastAsia="Arial" w:hAnsi="Arial" w:cs="Arial"/>
          <w:color w:val="000000"/>
          <w:sz w:val="18"/>
          <w:vertAlign w:val="superscript"/>
        </w:rPr>
        <w:t>*** </w:t>
      </w:r>
      <w:bookmarkStart w:id="6380" w:name="Bookmark_fnpara_2_24"/>
      <w:bookmarkEnd w:id="6380"/>
      <w:r>
        <w:rPr>
          <w:rFonts w:ascii="Arial" w:eastAsia="Arial" w:hAnsi="Arial" w:cs="Arial"/>
          <w:color w:val="000000"/>
          <w:sz w:val="18"/>
        </w:rPr>
        <w:t>The Honorable Barry Ted Moskowitz, United States District Judge for the Southern District of California, sitting by designation.</w:t>
      </w:r>
    </w:p>
  </w:footnote>
  <w:footnote w:id="276">
    <w:p w14:paraId="5CA9ECA1" w14:textId="77777777" w:rsidR="002B10A6" w:rsidRDefault="00000000">
      <w:pPr>
        <w:pStyle w:val="Normal31"/>
        <w:widowControl w:val="0"/>
        <w:spacing w:before="120" w:line="240" w:lineRule="atLeast"/>
        <w:jc w:val="both"/>
      </w:pPr>
      <w:r>
        <w:rPr>
          <w:rFonts w:ascii="Arial" w:eastAsia="Arial" w:hAnsi="Arial" w:cs="Arial"/>
          <w:color w:val="000000"/>
          <w:sz w:val="18"/>
          <w:vertAlign w:val="superscript"/>
        </w:rPr>
        <w:t>* </w:t>
      </w:r>
      <w:bookmarkStart w:id="6382" w:name="Bookmark_fnpara_3_22"/>
      <w:bookmarkEnd w:id="6382"/>
      <w:r>
        <w:rPr>
          <w:rFonts w:ascii="Arial" w:eastAsia="Arial" w:hAnsi="Arial" w:cs="Arial"/>
          <w:color w:val="000000"/>
          <w:sz w:val="18"/>
        </w:rPr>
        <w:t>This disposition is not appropriate for publication and is not precedent except as provided by Ninth Circuit Rule 36-3.</w:t>
      </w:r>
    </w:p>
  </w:footnote>
  <w:footnote w:id="277">
    <w:p w14:paraId="7DE7C40A" w14:textId="77777777" w:rsidR="002B10A6" w:rsidRDefault="00000000">
      <w:pPr>
        <w:pStyle w:val="Normal32"/>
        <w:widowControl w:val="0"/>
        <w:spacing w:before="200" w:line="240" w:lineRule="atLeast"/>
        <w:jc w:val="both"/>
      </w:pPr>
      <w:r>
        <w:rPr>
          <w:rFonts w:ascii="Arial" w:eastAsia="Arial" w:hAnsi="Arial" w:cs="Arial"/>
          <w:color w:val="000000"/>
          <w:sz w:val="18"/>
          <w:vertAlign w:val="superscript"/>
        </w:rPr>
        <w:t>1 </w:t>
      </w:r>
      <w:bookmarkStart w:id="6427" w:name="Bookmark_fnpara_1_29"/>
      <w:bookmarkStart w:id="6428" w:name="Bookmark_I5YRSMG328T4N70030000400"/>
      <w:bookmarkStart w:id="6429" w:name="Bookmark_I5YRSMG328T4N70050000400"/>
      <w:bookmarkEnd w:id="6427"/>
      <w:bookmarkEnd w:id="6428"/>
      <w:bookmarkEnd w:id="6429"/>
      <w:r>
        <w:rPr>
          <w:rFonts w:ascii="Arial" w:eastAsia="Arial" w:hAnsi="Arial" w:cs="Arial"/>
          <w:color w:val="000000"/>
          <w:sz w:val="18"/>
        </w:rPr>
        <w:t xml:space="preserve">Title II of the ADA and Section 504 of the Rehabilitation Act are interpreted consistently with each other. </w:t>
      </w:r>
      <w:bookmarkStart w:id="6430" w:name="Bookmark_I5YRSMG328T4N70020000400"/>
      <w:bookmarkEnd w:id="6430"/>
      <w:r>
        <w:rPr>
          <w:rFonts w:ascii="Arial" w:eastAsia="Arial" w:hAnsi="Arial" w:cs="Arial"/>
          <w:i/>
          <w:color w:val="000000"/>
          <w:sz w:val="18"/>
        </w:rPr>
        <w:t>Am. Council of the Blind v. Paulson</w:t>
      </w:r>
      <w:r>
        <w:rPr>
          <w:rFonts w:ascii="Arial" w:eastAsia="Arial" w:hAnsi="Arial" w:cs="Arial"/>
          <w:color w:val="000000"/>
          <w:sz w:val="18"/>
        </w:rPr>
        <w:t xml:space="preserve">, 525 F.3d 1256, 1260 n.2, 381 U.S. App. D.C. 162 (D.C. Cir. 2008). The DCHRA is also interpreted in parallel with the ADA. </w:t>
      </w:r>
      <w:bookmarkStart w:id="6431" w:name="Bookmark_I5YRSMG328T4N70040000400"/>
      <w:bookmarkEnd w:id="6431"/>
      <w:r>
        <w:rPr>
          <w:rFonts w:ascii="Arial" w:eastAsia="Arial" w:hAnsi="Arial" w:cs="Arial"/>
          <w:i/>
          <w:color w:val="000000"/>
          <w:sz w:val="18"/>
        </w:rPr>
        <w:t>Grant v. May Dep't Stores</w:t>
      </w:r>
      <w:r>
        <w:rPr>
          <w:rFonts w:ascii="Arial" w:eastAsia="Arial" w:hAnsi="Arial" w:cs="Arial"/>
          <w:color w:val="000000"/>
          <w:sz w:val="18"/>
        </w:rPr>
        <w:t>, 786 A.2d 580, 583-84 (D.C. 2001).</w:t>
      </w:r>
    </w:p>
  </w:footnote>
  <w:footnote w:id="278">
    <w:p w14:paraId="3F58A586" w14:textId="77777777" w:rsidR="002B10A6" w:rsidRDefault="00000000">
      <w:pPr>
        <w:pStyle w:val="Normal33"/>
        <w:widowControl w:val="0"/>
        <w:spacing w:before="200" w:line="240" w:lineRule="atLeast"/>
        <w:jc w:val="both"/>
      </w:pPr>
      <w:r>
        <w:rPr>
          <w:rFonts w:ascii="Arial" w:eastAsia="Arial" w:hAnsi="Arial" w:cs="Arial"/>
          <w:color w:val="000000"/>
          <w:sz w:val="18"/>
          <w:vertAlign w:val="superscript"/>
        </w:rPr>
        <w:t>1 </w:t>
      </w:r>
      <w:bookmarkStart w:id="6571" w:name="Bookmark_fnpara_1_30"/>
      <w:bookmarkEnd w:id="6571"/>
      <w:r>
        <w:rPr>
          <w:rFonts w:ascii="Arial" w:eastAsia="Arial" w:hAnsi="Arial" w:cs="Arial"/>
          <w:color w:val="000000"/>
          <w:sz w:val="18"/>
        </w:rPr>
        <w:t xml:space="preserve">Smith does not claim that either Dr. Huerta's decision to discharge Hawkins from the MHU on January 31, 2014 or Hawkins's lack of a cellmate violated the ADA. And rightly so. Smith likely could not have asserted an ADA claim based on Dr. Huerta's discharge decision, because "the ADA does not typically provide a remedy for negligent medical treatment." </w:t>
      </w:r>
      <w:bookmarkStart w:id="6572" w:name="Bookmark_I5YP2VN02N1RV60050000400"/>
      <w:bookmarkEnd w:id="6572"/>
      <w:r>
        <w:rPr>
          <w:rFonts w:ascii="Arial" w:eastAsia="Arial" w:hAnsi="Arial" w:cs="Arial"/>
          <w:i/>
          <w:color w:val="000000"/>
          <w:sz w:val="18"/>
        </w:rPr>
        <w:t>Cadena</w:t>
      </w:r>
      <w:r>
        <w:rPr>
          <w:rFonts w:ascii="Arial" w:eastAsia="Arial" w:hAnsi="Arial" w:cs="Arial"/>
          <w:color w:val="000000"/>
          <w:sz w:val="18"/>
        </w:rPr>
        <w:t>, 946 F.3d at 726. And while Hawkins might not have been able to commit suicide if he had a cellmate, providing him with a cellmate likely would not have been a reasonable accommodation, because Hawkins was considered a threat to the safety of other prisoners.</w:t>
      </w:r>
    </w:p>
  </w:footnote>
  <w:footnote w:id="279">
    <w:p w14:paraId="46D2E31D" w14:textId="77777777" w:rsidR="002B10A6" w:rsidRDefault="00000000">
      <w:pPr>
        <w:pStyle w:val="Normal33"/>
        <w:widowControl w:val="0"/>
        <w:spacing w:before="120" w:line="240" w:lineRule="atLeast"/>
        <w:jc w:val="both"/>
      </w:pPr>
      <w:r>
        <w:rPr>
          <w:rFonts w:ascii="Arial" w:eastAsia="Arial" w:hAnsi="Arial" w:cs="Arial"/>
          <w:color w:val="000000"/>
          <w:sz w:val="18"/>
          <w:vertAlign w:val="superscript"/>
        </w:rPr>
        <w:t>2 </w:t>
      </w:r>
      <w:bookmarkStart w:id="6573" w:name="Bookmark_fnpara_2_25"/>
      <w:bookmarkEnd w:id="6573"/>
      <w:r>
        <w:rPr>
          <w:rFonts w:ascii="Arial" w:eastAsia="Arial" w:hAnsi="Arial" w:cs="Arial"/>
          <w:color w:val="000000"/>
          <w:sz w:val="18"/>
        </w:rPr>
        <w:t>For the purposes of this appeal, we assume without deciding that Hawkins's mental-health issues mean that he was a qualified individual with a disability. On a similar note, Harris County conceded at oral argument that it could be held vicariously liable for the actions of its employees.</w:t>
      </w:r>
    </w:p>
  </w:footnote>
  <w:footnote w:id="280">
    <w:p w14:paraId="235FBCC8" w14:textId="77777777" w:rsidR="002B10A6" w:rsidRDefault="00000000">
      <w:pPr>
        <w:pStyle w:val="Normal33"/>
        <w:widowControl w:val="0"/>
        <w:spacing w:before="200" w:line="240" w:lineRule="atLeast"/>
        <w:jc w:val="both"/>
      </w:pPr>
      <w:r>
        <w:rPr>
          <w:rFonts w:ascii="Arial" w:eastAsia="Arial" w:hAnsi="Arial" w:cs="Arial"/>
          <w:color w:val="000000"/>
          <w:sz w:val="18"/>
          <w:vertAlign w:val="superscript"/>
        </w:rPr>
        <w:t>3 </w:t>
      </w:r>
      <w:bookmarkStart w:id="6578" w:name="Bookmark_fnpara_3_23"/>
      <w:bookmarkStart w:id="6579" w:name="Bookmark_LNHNREFclscc10_18"/>
      <w:bookmarkStart w:id="6580" w:name="Bookmark_I5YP2VN02D6N8K0050000400"/>
      <w:bookmarkEnd w:id="6578"/>
      <w:bookmarkEnd w:id="6579"/>
      <w:bookmarkEnd w:id="6580"/>
      <w:r>
        <w:rPr>
          <w:rFonts w:ascii="Arial" w:eastAsia="Arial" w:hAnsi="Arial" w:cs="Arial"/>
          <w:color w:val="000000"/>
          <w:sz w:val="18"/>
        </w:rPr>
        <w:t xml:space="preserve">Smith argues that, for various reasons, a reasonable jury would not have been required to credit Perkins's observation log showing that he observed Hawkins at 9:53 P.M. Smith must, however, do more than rebut Harris County's exculpatory evidence to survive summary judgment. </w:t>
      </w:r>
      <w:r>
        <w:rPr>
          <w:rFonts w:ascii="Arial" w:eastAsia="Arial" w:hAnsi="Arial" w:cs="Arial"/>
          <w:i/>
          <w:color w:val="000000"/>
          <w:sz w:val="18"/>
        </w:rPr>
        <w:t xml:space="preserve">See </w:t>
      </w:r>
      <w:bookmarkStart w:id="6581" w:name="Bookmark_I5YP2VN02D6N8K0040000400"/>
      <w:bookmarkEnd w:id="6581"/>
      <w:r>
        <w:rPr>
          <w:rFonts w:ascii="Arial" w:eastAsia="Arial" w:hAnsi="Arial" w:cs="Arial"/>
          <w:i/>
          <w:color w:val="000000"/>
          <w:sz w:val="18"/>
        </w:rPr>
        <w:t>Fla. Dep't of Ins. v. Chase Bank of Tex. Nat'l Ass'n</w:t>
      </w:r>
      <w:r>
        <w:rPr>
          <w:rFonts w:ascii="Arial" w:eastAsia="Arial" w:hAnsi="Arial" w:cs="Arial"/>
          <w:color w:val="000000"/>
          <w:sz w:val="18"/>
        </w:rPr>
        <w:t>, 274 F.3d 924, 928 (5th Cir. 2001) ("After a defendant properly moves for summary judgment, the non-movant plaintiff must bring forward sufficient evidence to demonstrate that a genuine issue of material fact exists on every element of a claim."). Even if questions regarding the accuracy of Perkins's observation log were sufficient to show that he failed to conduct his final set of rounds on the night of February 5, 2014, such a failure would, at most, demonstrate negligence or recklessness, not intentional discrimination.</w:t>
      </w:r>
    </w:p>
  </w:footnote>
  <w:footnote w:id="281">
    <w:p w14:paraId="2ADA180E" w14:textId="77777777" w:rsidR="002B10A6" w:rsidRDefault="00000000">
      <w:pPr>
        <w:pStyle w:val="Normal33"/>
        <w:widowControl w:val="0"/>
        <w:spacing w:before="120" w:line="240" w:lineRule="atLeast"/>
        <w:jc w:val="both"/>
      </w:pPr>
      <w:r>
        <w:rPr>
          <w:rFonts w:ascii="Arial" w:eastAsia="Arial" w:hAnsi="Arial" w:cs="Arial"/>
          <w:color w:val="000000"/>
          <w:sz w:val="18"/>
          <w:vertAlign w:val="superscript"/>
        </w:rPr>
        <w:t>4 </w:t>
      </w:r>
      <w:bookmarkStart w:id="6589" w:name="Bookmark_fnpara_4_22"/>
      <w:bookmarkEnd w:id="6589"/>
      <w:r>
        <w:rPr>
          <w:rFonts w:ascii="Arial" w:eastAsia="Arial" w:hAnsi="Arial" w:cs="Arial"/>
          <w:color w:val="000000"/>
          <w:sz w:val="18"/>
        </w:rPr>
        <w:t>Ordinarily, these indications take place after an attempt to accommodate a disability is made, but we do not consider, and therefore do not decide, whether an attempt to accommodate a disability could be so inadequate that there would be contemporaneous knowledge that further accommodations were necessary.</w:t>
      </w:r>
    </w:p>
  </w:footnote>
  <w:footnote w:id="282">
    <w:p w14:paraId="0BD98AEF" w14:textId="77777777" w:rsidR="002B10A6" w:rsidRDefault="00000000">
      <w:pPr>
        <w:pStyle w:val="Normal34"/>
        <w:widowControl w:val="0"/>
        <w:spacing w:before="200" w:line="240" w:lineRule="atLeast"/>
        <w:jc w:val="both"/>
      </w:pPr>
      <w:r>
        <w:rPr>
          <w:rFonts w:ascii="Arial" w:eastAsia="Arial" w:hAnsi="Arial" w:cs="Arial"/>
          <w:color w:val="000000"/>
          <w:sz w:val="18"/>
          <w:vertAlign w:val="superscript"/>
        </w:rPr>
        <w:t>1 </w:t>
      </w:r>
      <w:bookmarkStart w:id="6622" w:name="Bookmark_fnpara_1_31"/>
      <w:bookmarkStart w:id="6623" w:name="Bookmark_I5YMT1FF2SF8CN0020000400"/>
      <w:bookmarkEnd w:id="6622"/>
      <w:bookmarkEnd w:id="6623"/>
      <w:r>
        <w:rPr>
          <w:rFonts w:ascii="Arial" w:eastAsia="Arial" w:hAnsi="Arial" w:cs="Arial"/>
          <w:color w:val="000000"/>
          <w:sz w:val="18"/>
        </w:rPr>
        <w:t xml:space="preserve">PIIC originally argued that Goldman's complaint did not allege any "bodily injury" or "property damage" under the Policy. But PIIC abandoned that position because, under New York law, emotional distress can qualify as a bodily injury under the terms of the Policy. </w:t>
      </w:r>
      <w:r>
        <w:rPr>
          <w:rFonts w:ascii="Arial" w:eastAsia="Arial" w:hAnsi="Arial" w:cs="Arial"/>
          <w:i/>
          <w:color w:val="000000"/>
          <w:sz w:val="18"/>
        </w:rPr>
        <w:t xml:space="preserve">See </w:t>
      </w:r>
      <w:bookmarkStart w:id="6624" w:name="Bookmark_I5YMT1FF2SF8CN0010000400"/>
      <w:bookmarkEnd w:id="6624"/>
      <w:r>
        <w:rPr>
          <w:rFonts w:ascii="Arial" w:eastAsia="Arial" w:hAnsi="Arial" w:cs="Arial"/>
          <w:i/>
          <w:color w:val="000000"/>
          <w:sz w:val="18"/>
        </w:rPr>
        <w:t>Lavanant v. Gen. Acc. Ins. Co. of Am.</w:t>
      </w:r>
      <w:r>
        <w:rPr>
          <w:rFonts w:ascii="Arial" w:eastAsia="Arial" w:hAnsi="Arial" w:cs="Arial"/>
          <w:color w:val="000000"/>
          <w:sz w:val="18"/>
        </w:rPr>
        <w:t>, 79 N.Y.2d 623, 631, 595 N.E.2d 819, 584 N.Y.S.2d 744 (1992).</w:t>
      </w:r>
    </w:p>
  </w:footnote>
  <w:footnote w:id="283">
    <w:p w14:paraId="33B3AEFE" w14:textId="77777777" w:rsidR="002B10A6" w:rsidRDefault="00000000">
      <w:pPr>
        <w:pStyle w:val="Normal34"/>
        <w:widowControl w:val="0"/>
        <w:spacing w:before="200" w:line="240" w:lineRule="atLeast"/>
        <w:jc w:val="both"/>
      </w:pPr>
      <w:r>
        <w:rPr>
          <w:rFonts w:ascii="Arial" w:eastAsia="Arial" w:hAnsi="Arial" w:cs="Arial"/>
          <w:color w:val="000000"/>
          <w:sz w:val="18"/>
          <w:vertAlign w:val="superscript"/>
        </w:rPr>
        <w:t>2 </w:t>
      </w:r>
      <w:bookmarkStart w:id="6656" w:name="Bookmark_fnpara_2_26"/>
      <w:bookmarkEnd w:id="6656"/>
      <w:r>
        <w:rPr>
          <w:rFonts w:ascii="Arial" w:eastAsia="Arial" w:hAnsi="Arial" w:cs="Arial"/>
          <w:color w:val="000000"/>
          <w:sz w:val="18"/>
        </w:rPr>
        <w:t xml:space="preserve">The Policy language thus allows coverage to the extent allowed by New York public policy. </w:t>
      </w:r>
      <w:r>
        <w:rPr>
          <w:rFonts w:ascii="Arial" w:eastAsia="Arial" w:hAnsi="Arial" w:cs="Arial"/>
          <w:i/>
          <w:color w:val="000000"/>
          <w:sz w:val="18"/>
        </w:rPr>
        <w:t xml:space="preserve">See, e.g., </w:t>
      </w:r>
      <w:bookmarkStart w:id="6657" w:name="Bookmark_I5YMT1FH2SF8CX0020000400"/>
      <w:bookmarkEnd w:id="6657"/>
      <w:r>
        <w:rPr>
          <w:rFonts w:ascii="Arial" w:eastAsia="Arial" w:hAnsi="Arial" w:cs="Arial"/>
          <w:i/>
          <w:color w:val="000000"/>
          <w:sz w:val="18"/>
        </w:rPr>
        <w:t>J.P. Morgan Sec. Inc. v. Vigilant Ins. Co.</w:t>
      </w:r>
      <w:r>
        <w:rPr>
          <w:rFonts w:ascii="Arial" w:eastAsia="Arial" w:hAnsi="Arial" w:cs="Arial"/>
          <w:color w:val="000000"/>
          <w:sz w:val="18"/>
        </w:rPr>
        <w:t>, 21 N.Y.3d 324, 335, 992 N.E.2d 1076, 970 N.Y.S.2d 733 (2013) ("[A]s a matter of public policy, an insured may not seek coverage when it engages in conduct with the intent to cause injury.") (internal quotation marks omitted).</w:t>
      </w:r>
    </w:p>
  </w:footnote>
  <w:footnote w:id="284">
    <w:p w14:paraId="0F4D1AA5" w14:textId="77777777" w:rsidR="002B10A6" w:rsidRDefault="00000000">
      <w:pPr>
        <w:pStyle w:val="Normal34"/>
        <w:widowControl w:val="0"/>
        <w:spacing w:before="200" w:line="240" w:lineRule="atLeast"/>
        <w:jc w:val="both"/>
      </w:pPr>
      <w:r>
        <w:rPr>
          <w:rFonts w:ascii="Arial" w:eastAsia="Arial" w:hAnsi="Arial" w:cs="Arial"/>
          <w:color w:val="000000"/>
          <w:sz w:val="18"/>
          <w:vertAlign w:val="superscript"/>
        </w:rPr>
        <w:t>3 </w:t>
      </w:r>
      <w:bookmarkStart w:id="6692" w:name="Bookmark_fnpara_3_24"/>
      <w:bookmarkStart w:id="6693" w:name="Bookmark_I5YMT1FK28T3XN0050000400"/>
      <w:bookmarkStart w:id="6694" w:name="Bookmark_LNHNREFclscc9_20"/>
      <w:bookmarkEnd w:id="6692"/>
      <w:bookmarkEnd w:id="6693"/>
      <w:bookmarkEnd w:id="6694"/>
      <w:r>
        <w:rPr>
          <w:rFonts w:ascii="Arial" w:eastAsia="Arial" w:hAnsi="Arial" w:cs="Arial"/>
          <w:color w:val="000000"/>
          <w:sz w:val="18"/>
        </w:rPr>
        <w:t xml:space="preserve">The opinions of the Superintendent "with respect to the Insurance Law are to be accorded great weight by the courts unless contrary to the clear wording of a particular statute." </w:t>
      </w:r>
      <w:bookmarkStart w:id="6695" w:name="Bookmark_I5YMT1FK28T3XN0040000400"/>
      <w:bookmarkEnd w:id="6695"/>
      <w:r>
        <w:rPr>
          <w:rFonts w:ascii="Arial" w:eastAsia="Arial" w:hAnsi="Arial" w:cs="Arial"/>
          <w:i/>
          <w:color w:val="000000"/>
          <w:sz w:val="18"/>
        </w:rPr>
        <w:t>Am. Mgmt. Ass'n v. Atl. Mut. Ins. Co.</w:t>
      </w:r>
      <w:r>
        <w:rPr>
          <w:rFonts w:ascii="Arial" w:eastAsia="Arial" w:hAnsi="Arial" w:cs="Arial"/>
          <w:color w:val="000000"/>
          <w:sz w:val="18"/>
        </w:rPr>
        <w:t xml:space="preserve">, 168 Misc. 2d 971, 978, 641 N.Y.S.2d 802 (Sup. Ct.), </w:t>
      </w:r>
      <w:r>
        <w:rPr>
          <w:rFonts w:ascii="Arial" w:eastAsia="Arial" w:hAnsi="Arial" w:cs="Arial"/>
          <w:i/>
          <w:color w:val="000000"/>
          <w:sz w:val="18"/>
        </w:rPr>
        <w:t>aff'd</w:t>
      </w:r>
      <w:r>
        <w:rPr>
          <w:rFonts w:ascii="Arial" w:eastAsia="Arial" w:hAnsi="Arial" w:cs="Arial"/>
          <w:color w:val="000000"/>
          <w:sz w:val="18"/>
        </w:rPr>
        <w:t xml:space="preserve"> 651 N.Y.S.2d 301, 234 A.D.2d 112 (App. Div. 1996). In 2011, the duties of the Superintendent were transferred to the Superintendent of Financial Services. </w:t>
      </w:r>
      <w:r>
        <w:rPr>
          <w:rFonts w:ascii="Arial" w:eastAsia="Arial" w:hAnsi="Arial" w:cs="Arial"/>
          <w:i/>
          <w:color w:val="000000"/>
          <w:sz w:val="18"/>
        </w:rPr>
        <w:t>See</w:t>
      </w:r>
      <w:r>
        <w:rPr>
          <w:rFonts w:ascii="Arial" w:eastAsia="Arial" w:hAnsi="Arial" w:cs="Arial"/>
          <w:color w:val="000000"/>
          <w:sz w:val="18"/>
        </w:rPr>
        <w:t xml:space="preserve"> N.Y. Fin. Servs. Law §§ 102, 202.</w:t>
      </w:r>
    </w:p>
  </w:footnote>
  <w:footnote w:id="285">
    <w:p w14:paraId="1C03F3A6" w14:textId="77777777" w:rsidR="002B10A6" w:rsidRDefault="00000000">
      <w:pPr>
        <w:pStyle w:val="Normal35"/>
        <w:widowControl w:val="0"/>
        <w:spacing w:before="120" w:line="240" w:lineRule="atLeast"/>
        <w:jc w:val="both"/>
      </w:pPr>
      <w:r>
        <w:rPr>
          <w:rFonts w:ascii="Arial" w:eastAsia="Arial" w:hAnsi="Arial" w:cs="Arial"/>
          <w:color w:val="000000"/>
          <w:sz w:val="18"/>
          <w:vertAlign w:val="superscript"/>
        </w:rPr>
        <w:t>1 </w:t>
      </w:r>
      <w:bookmarkStart w:id="6756" w:name="Bookmark_fnpara_1_32"/>
      <w:bookmarkEnd w:id="6756"/>
      <w:r>
        <w:rPr>
          <w:rFonts w:ascii="Arial" w:eastAsia="Arial" w:hAnsi="Arial" w:cs="Arial"/>
          <w:color w:val="000000"/>
          <w:sz w:val="18"/>
        </w:rPr>
        <w:t>His House had previously operated a recovery residence on Latimer Lane, where it was also cited for allowing an excess number of adults to reside at the residence.</w:t>
      </w:r>
    </w:p>
  </w:footnote>
  <w:footnote w:id="286">
    <w:p w14:paraId="5EA6FAA0" w14:textId="77777777" w:rsidR="002B10A6" w:rsidRDefault="00000000">
      <w:pPr>
        <w:pStyle w:val="Normal35"/>
        <w:widowControl w:val="0"/>
        <w:spacing w:before="120" w:line="240" w:lineRule="atLeast"/>
        <w:jc w:val="both"/>
      </w:pPr>
      <w:r>
        <w:rPr>
          <w:rFonts w:ascii="Arial" w:eastAsia="Arial" w:hAnsi="Arial" w:cs="Arial"/>
          <w:color w:val="000000"/>
          <w:sz w:val="18"/>
          <w:vertAlign w:val="superscript"/>
        </w:rPr>
        <w:t>2 </w:t>
      </w:r>
      <w:bookmarkStart w:id="6772" w:name="Bookmark_fnpara_2_27"/>
      <w:bookmarkEnd w:id="6772"/>
      <w:r>
        <w:rPr>
          <w:rFonts w:ascii="Arial" w:eastAsia="Arial" w:hAnsi="Arial" w:cs="Arial"/>
          <w:color w:val="000000"/>
          <w:sz w:val="18"/>
        </w:rPr>
        <w:t>Based on His House's allegations, the district court treated their intentional discrimination claim as one for disparate treatment. We do the same.</w:t>
      </w:r>
    </w:p>
  </w:footnote>
  <w:footnote w:id="287">
    <w:p w14:paraId="46E9A55D" w14:textId="77777777" w:rsidR="002B10A6" w:rsidRDefault="00000000">
      <w:pPr>
        <w:pStyle w:val="Normal35"/>
        <w:widowControl w:val="0"/>
        <w:spacing w:before="200" w:line="240" w:lineRule="atLeast"/>
        <w:jc w:val="both"/>
      </w:pPr>
      <w:r>
        <w:rPr>
          <w:rFonts w:ascii="Arial" w:eastAsia="Arial" w:hAnsi="Arial" w:cs="Arial"/>
          <w:color w:val="000000"/>
          <w:sz w:val="18"/>
          <w:vertAlign w:val="superscript"/>
        </w:rPr>
        <w:t>3 </w:t>
      </w:r>
      <w:bookmarkStart w:id="6774" w:name="Bookmark_fnpara_3_25"/>
      <w:bookmarkStart w:id="6775" w:name="Bookmark_I5YJ7C462N1R690050000400"/>
      <w:bookmarkEnd w:id="6774"/>
      <w:bookmarkEnd w:id="6775"/>
      <w:r>
        <w:rPr>
          <w:rFonts w:ascii="Arial" w:eastAsia="Arial" w:hAnsi="Arial" w:cs="Arial"/>
          <w:color w:val="000000"/>
          <w:sz w:val="18"/>
        </w:rPr>
        <w:t xml:space="preserve">His House argues that the district court erred by failing to apply the factors considered in </w:t>
      </w:r>
      <w:bookmarkStart w:id="6776" w:name="Bookmark_I5YJ7C462N1R690040000400"/>
      <w:bookmarkEnd w:id="6776"/>
      <w:r>
        <w:rPr>
          <w:rFonts w:ascii="Arial" w:eastAsia="Arial" w:hAnsi="Arial" w:cs="Arial"/>
          <w:i/>
          <w:color w:val="000000"/>
          <w:sz w:val="18"/>
        </w:rPr>
        <w:t>Village of Arlington Heights v. Metropolitan Housing Development Corp.</w:t>
      </w:r>
      <w:r>
        <w:rPr>
          <w:rFonts w:ascii="Arial" w:eastAsia="Arial" w:hAnsi="Arial" w:cs="Arial"/>
          <w:color w:val="000000"/>
          <w:sz w:val="18"/>
        </w:rPr>
        <w:t xml:space="preserve">, 429 U.S. 252, 266-68, 97 S. Ct. 555, 50 L. Ed. 2d 450 (1977). </w:t>
      </w:r>
      <w:bookmarkStart w:id="6777" w:name="Bookmark_I703M5Y1P2700003M8K00001"/>
      <w:bookmarkStart w:id="6778" w:name="Bookmark_I5YJ7C4728T4XR0020000400"/>
      <w:bookmarkEnd w:id="6777"/>
      <w:bookmarkEnd w:id="6778"/>
      <w:r>
        <w:rPr>
          <w:rFonts w:ascii="Arial" w:eastAsia="Arial" w:hAnsi="Arial" w:cs="Arial"/>
          <w:color w:val="000000"/>
          <w:sz w:val="18"/>
        </w:rPr>
        <w:t xml:space="preserve">We are not persuaded by this argument because </w:t>
      </w:r>
      <w:r>
        <w:rPr>
          <w:rFonts w:ascii="Arial" w:eastAsia="Arial" w:hAnsi="Arial" w:cs="Arial"/>
          <w:i/>
          <w:color w:val="000000"/>
          <w:sz w:val="18"/>
        </w:rPr>
        <w:t>Arlington Heights</w:t>
      </w:r>
      <w:r>
        <w:rPr>
          <w:rFonts w:ascii="Arial" w:eastAsia="Arial" w:hAnsi="Arial" w:cs="Arial"/>
          <w:color w:val="000000"/>
          <w:sz w:val="18"/>
        </w:rPr>
        <w:t xml:space="preserve"> does not limit our inquiry to only the factors listed in that case, nor does it mandate a mechanical approach in discrimination claims. The considerations the Supreme Court offered were not intended to be exhaustive. </w:t>
      </w:r>
      <w:bookmarkStart w:id="6779" w:name="Bookmark_I5YJ7C4728T4XR0020000400_2"/>
      <w:bookmarkStart w:id="6780" w:name="Bookmark_I5YJ7C4728T4XR0010000400"/>
      <w:bookmarkEnd w:id="6779"/>
      <w:bookmarkEnd w:id="6780"/>
      <w:r>
        <w:rPr>
          <w:rFonts w:ascii="Arial" w:eastAsia="Arial" w:hAnsi="Arial" w:cs="Arial"/>
          <w:i/>
          <w:color w:val="000000"/>
          <w:sz w:val="18"/>
        </w:rPr>
        <w:t>Id.</w:t>
      </w:r>
      <w:r>
        <w:rPr>
          <w:rFonts w:ascii="Arial" w:eastAsia="Arial" w:hAnsi="Arial" w:cs="Arial"/>
          <w:color w:val="000000"/>
          <w:sz w:val="18"/>
        </w:rPr>
        <w:t xml:space="preserve"> at 268. Instead, the Court listed merely some of the "subjects of proper inquiry in determining whether racially discriminatory intent exist[s]." </w:t>
      </w:r>
      <w:r>
        <w:rPr>
          <w:rFonts w:ascii="Arial" w:eastAsia="Arial" w:hAnsi="Arial" w:cs="Arial"/>
          <w:i/>
          <w:color w:val="000000"/>
          <w:sz w:val="18"/>
        </w:rPr>
        <w:t>Id.</w:t>
      </w:r>
      <w:r>
        <w:rPr>
          <w:rFonts w:ascii="Arial" w:eastAsia="Arial" w:hAnsi="Arial" w:cs="Arial"/>
          <w:color w:val="000000"/>
          <w:sz w:val="18"/>
        </w:rPr>
        <w:t xml:space="preserve"> In any event, even if we had probed the County's actions using the </w:t>
      </w:r>
      <w:r>
        <w:rPr>
          <w:rFonts w:ascii="Arial" w:eastAsia="Arial" w:hAnsi="Arial" w:cs="Arial"/>
          <w:i/>
          <w:color w:val="000000"/>
          <w:sz w:val="18"/>
        </w:rPr>
        <w:t>Arlington Heights</w:t>
      </w:r>
      <w:r>
        <w:rPr>
          <w:rFonts w:ascii="Arial" w:eastAsia="Arial" w:hAnsi="Arial" w:cs="Arial"/>
          <w:color w:val="000000"/>
          <w:sz w:val="18"/>
        </w:rPr>
        <w:t xml:space="preserve"> factors, we would still affirm for the reasons we state below.</w:t>
      </w:r>
    </w:p>
  </w:footnote>
  <w:footnote w:id="288">
    <w:p w14:paraId="0C79C771" w14:textId="77777777" w:rsidR="002B10A6" w:rsidRDefault="00000000">
      <w:pPr>
        <w:pStyle w:val="Normal36"/>
        <w:widowControl w:val="0"/>
        <w:spacing w:before="120" w:line="240" w:lineRule="atLeast"/>
        <w:jc w:val="both"/>
      </w:pPr>
      <w:r>
        <w:rPr>
          <w:rFonts w:ascii="Arial" w:eastAsia="Arial" w:hAnsi="Arial" w:cs="Arial"/>
          <w:color w:val="000000"/>
          <w:sz w:val="18"/>
          <w:vertAlign w:val="superscript"/>
        </w:rPr>
        <w:t>1 </w:t>
      </w:r>
      <w:bookmarkStart w:id="6821" w:name="Bookmark_fnpara_1_33"/>
      <w:bookmarkEnd w:id="6821"/>
      <w:r>
        <w:rPr>
          <w:rFonts w:ascii="Arial" w:eastAsia="Arial" w:hAnsi="Arial" w:cs="Arial"/>
          <w:color w:val="000000"/>
          <w:sz w:val="18"/>
        </w:rPr>
        <w:t>Block alleges that he suffers from chronic fatigue, severe osteoarthritis, and a host of physical conditions and ailments resulting from chemotherapy and radiation treatment for Stage 4 esophageal cancer.</w:t>
      </w:r>
    </w:p>
  </w:footnote>
  <w:footnote w:id="289">
    <w:p w14:paraId="36E4E7AF"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2 </w:t>
      </w:r>
      <w:bookmarkStart w:id="6829" w:name="Bookmark_fnpara_2_28"/>
      <w:bookmarkStart w:id="6830" w:name="Bookmark_I5YDCW6T2D6ND40030000400"/>
      <w:bookmarkEnd w:id="6829"/>
      <w:bookmarkEnd w:id="6830"/>
      <w:r>
        <w:rPr>
          <w:rFonts w:ascii="Arial" w:eastAsia="Arial" w:hAnsi="Arial" w:cs="Arial"/>
          <w:i/>
          <w:color w:val="000000"/>
          <w:sz w:val="18"/>
        </w:rPr>
        <w:t>Meyers ex rel. Benzing v. Texas</w:t>
      </w:r>
      <w:r>
        <w:rPr>
          <w:rFonts w:ascii="Arial" w:eastAsia="Arial" w:hAnsi="Arial" w:cs="Arial"/>
          <w:color w:val="000000"/>
          <w:sz w:val="18"/>
        </w:rPr>
        <w:t>, 410 F.3d 236, 240 (5th Cir. 2005).</w:t>
      </w:r>
    </w:p>
  </w:footnote>
  <w:footnote w:id="290">
    <w:p w14:paraId="0698EFCE"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3 </w:t>
      </w:r>
      <w:bookmarkStart w:id="6831" w:name="Bookmark_fnpara_3_26"/>
      <w:bookmarkStart w:id="6832" w:name="Bookmark_I5YDCW6T2D6ND40050000400"/>
      <w:bookmarkEnd w:id="6831"/>
      <w:bookmarkEnd w:id="6832"/>
      <w:r>
        <w:rPr>
          <w:rFonts w:ascii="Arial" w:eastAsia="Arial" w:hAnsi="Arial" w:cs="Arial"/>
          <w:i/>
          <w:color w:val="000000"/>
          <w:sz w:val="18"/>
        </w:rPr>
        <w:t>Ramming v. United States</w:t>
      </w:r>
      <w:r>
        <w:rPr>
          <w:rFonts w:ascii="Arial" w:eastAsia="Arial" w:hAnsi="Arial" w:cs="Arial"/>
          <w:color w:val="000000"/>
          <w:sz w:val="18"/>
        </w:rPr>
        <w:t>, 281 F.3d 158, 161 (5th Cir. 2001).</w:t>
      </w:r>
    </w:p>
  </w:footnote>
  <w:footnote w:id="291">
    <w:p w14:paraId="34347366"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4 </w:t>
      </w:r>
      <w:bookmarkStart w:id="6837" w:name="Bookmark_fnpara_4_23"/>
      <w:bookmarkStart w:id="6838" w:name="Bookmark_I5YDCW6V2HM6C80020000400"/>
      <w:bookmarkEnd w:id="6837"/>
      <w:bookmarkEnd w:id="6838"/>
      <w:r>
        <w:rPr>
          <w:rFonts w:ascii="Arial" w:eastAsia="Arial" w:hAnsi="Arial" w:cs="Arial"/>
          <w:i/>
          <w:color w:val="000000"/>
          <w:sz w:val="18"/>
        </w:rPr>
        <w:t>Nev. Dep't of Human Res. v. Hibbs</w:t>
      </w:r>
      <w:r>
        <w:rPr>
          <w:rFonts w:ascii="Arial" w:eastAsia="Arial" w:hAnsi="Arial" w:cs="Arial"/>
          <w:color w:val="000000"/>
          <w:sz w:val="18"/>
        </w:rPr>
        <w:t>, 538 U.S. 721, 726, 123 S. Ct. 1972, 155 L. Ed. 2d 953 (2003).</w:t>
      </w:r>
    </w:p>
  </w:footnote>
  <w:footnote w:id="292">
    <w:p w14:paraId="5B3BE76B" w14:textId="77777777" w:rsidR="002B10A6" w:rsidRDefault="00000000">
      <w:pPr>
        <w:pStyle w:val="Normal36"/>
        <w:widowControl w:val="0"/>
        <w:spacing w:before="120" w:line="240" w:lineRule="atLeast"/>
        <w:jc w:val="both"/>
      </w:pPr>
      <w:r>
        <w:rPr>
          <w:rFonts w:ascii="Arial" w:eastAsia="Arial" w:hAnsi="Arial" w:cs="Arial"/>
          <w:color w:val="000000"/>
          <w:sz w:val="18"/>
          <w:vertAlign w:val="superscript"/>
        </w:rPr>
        <w:t>5 </w:t>
      </w:r>
      <w:bookmarkStart w:id="6839" w:name="Bookmark_fnpara_5_19"/>
      <w:bookmarkEnd w:id="6839"/>
      <w:r>
        <w:rPr>
          <w:rFonts w:ascii="Arial" w:eastAsia="Arial" w:hAnsi="Arial" w:cs="Arial"/>
          <w:color w:val="000000"/>
          <w:sz w:val="18"/>
        </w:rPr>
        <w:t>42 U.S.C. § 12202.</w:t>
      </w:r>
    </w:p>
  </w:footnote>
  <w:footnote w:id="293">
    <w:p w14:paraId="2429EC22"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6 </w:t>
      </w:r>
      <w:bookmarkStart w:id="6846" w:name="Bookmark_fnpara_6_15"/>
      <w:bookmarkStart w:id="6847" w:name="Bookmark_I5YDCW6V2HM6C80040000400"/>
      <w:bookmarkEnd w:id="6846"/>
      <w:bookmarkEnd w:id="6847"/>
      <w:r>
        <w:rPr>
          <w:rFonts w:ascii="Arial" w:eastAsia="Arial" w:hAnsi="Arial" w:cs="Arial"/>
          <w:i/>
          <w:color w:val="000000"/>
          <w:sz w:val="18"/>
        </w:rPr>
        <w:t>City of Boerne v. Flores</w:t>
      </w:r>
      <w:r>
        <w:rPr>
          <w:rFonts w:ascii="Arial" w:eastAsia="Arial" w:hAnsi="Arial" w:cs="Arial"/>
          <w:color w:val="000000"/>
          <w:sz w:val="18"/>
        </w:rPr>
        <w:t>, 521 U.S. 507, 520, 117 S. Ct. 2157, 138 L. Ed. 2d 624 (1997).</w:t>
      </w:r>
    </w:p>
  </w:footnote>
  <w:footnote w:id="294">
    <w:p w14:paraId="77549C48" w14:textId="77777777" w:rsidR="002B10A6" w:rsidRDefault="00000000">
      <w:pPr>
        <w:pStyle w:val="Normal36"/>
        <w:widowControl w:val="0"/>
        <w:spacing w:before="120" w:line="240" w:lineRule="atLeast"/>
        <w:jc w:val="both"/>
      </w:pPr>
      <w:r>
        <w:rPr>
          <w:rFonts w:ascii="Arial" w:eastAsia="Arial" w:hAnsi="Arial" w:cs="Arial"/>
          <w:color w:val="000000"/>
          <w:sz w:val="18"/>
          <w:vertAlign w:val="superscript"/>
        </w:rPr>
        <w:t>7 </w:t>
      </w:r>
      <w:bookmarkStart w:id="6848" w:name="Bookmark_fnpara_7_11"/>
      <w:bookmarkStart w:id="6849" w:name="Bookmark_I5YDCW6W2D6NDB0010000400"/>
      <w:bookmarkEnd w:id="6848"/>
      <w:bookmarkEnd w:id="6849"/>
      <w:r>
        <w:rPr>
          <w:rFonts w:ascii="Arial" w:eastAsia="Arial" w:hAnsi="Arial" w:cs="Arial"/>
          <w:color w:val="000000"/>
          <w:sz w:val="18"/>
        </w:rPr>
        <w:t>274 F.3d 974, 983 (5th Cir. 2001).</w:t>
      </w:r>
    </w:p>
  </w:footnote>
  <w:footnote w:id="295">
    <w:p w14:paraId="03FC5E63"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8 </w:t>
      </w:r>
      <w:bookmarkStart w:id="6850" w:name="Bookmark_fnpara_8_9"/>
      <w:bookmarkStart w:id="6851" w:name="Bookmark_I5YDCW6W2D6NDB0030000400"/>
      <w:bookmarkEnd w:id="6850"/>
      <w:bookmarkEnd w:id="6851"/>
      <w:r>
        <w:rPr>
          <w:rFonts w:ascii="Arial" w:eastAsia="Arial" w:hAnsi="Arial" w:cs="Arial"/>
          <w:i/>
          <w:color w:val="000000"/>
          <w:sz w:val="18"/>
        </w:rPr>
        <w:t>Tennessee v. Lane</w:t>
      </w:r>
      <w:r>
        <w:rPr>
          <w:rFonts w:ascii="Arial" w:eastAsia="Arial" w:hAnsi="Arial" w:cs="Arial"/>
          <w:color w:val="000000"/>
          <w:sz w:val="18"/>
        </w:rPr>
        <w:t>, 541 U.S. 509, 533-34, 124 S. Ct. 1978, 158 L. Ed. 2d 820 (2004).</w:t>
      </w:r>
    </w:p>
  </w:footnote>
  <w:footnote w:id="296">
    <w:p w14:paraId="03BDA28F"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9 </w:t>
      </w:r>
      <w:bookmarkStart w:id="6852" w:name="Bookmark_fnpara_9_7"/>
      <w:bookmarkEnd w:id="6852"/>
      <w:r>
        <w:rPr>
          <w:rFonts w:ascii="Arial" w:eastAsia="Arial" w:hAnsi="Arial" w:cs="Arial"/>
          <w:i/>
          <w:color w:val="000000"/>
          <w:sz w:val="18"/>
        </w:rPr>
        <w:t xml:space="preserve">See </w:t>
      </w:r>
      <w:bookmarkStart w:id="6853" w:name="Bookmark_I5YDCW6W2D6NDB0050000400"/>
      <w:bookmarkEnd w:id="6853"/>
      <w:r>
        <w:rPr>
          <w:rFonts w:ascii="Arial" w:eastAsia="Arial" w:hAnsi="Arial" w:cs="Arial"/>
          <w:i/>
          <w:color w:val="000000"/>
          <w:sz w:val="18"/>
        </w:rPr>
        <w:t>Pace v. Bogalusa City School Board</w:t>
      </w:r>
      <w:r>
        <w:rPr>
          <w:rFonts w:ascii="Arial" w:eastAsia="Arial" w:hAnsi="Arial" w:cs="Arial"/>
          <w:color w:val="000000"/>
          <w:sz w:val="18"/>
        </w:rPr>
        <w:t xml:space="preserve">, 403 F.3d 272, 277 n.14 (5th Cir. 2005) (en banc) ("The continuing validity of </w:t>
      </w:r>
      <w:r>
        <w:rPr>
          <w:rFonts w:ascii="Arial" w:eastAsia="Arial" w:hAnsi="Arial" w:cs="Arial"/>
          <w:i/>
          <w:color w:val="000000"/>
          <w:sz w:val="18"/>
        </w:rPr>
        <w:t>Reickenbacker</w:t>
      </w:r>
      <w:r>
        <w:rPr>
          <w:rFonts w:ascii="Arial" w:eastAsia="Arial" w:hAnsi="Arial" w:cs="Arial"/>
          <w:color w:val="000000"/>
          <w:sz w:val="18"/>
        </w:rPr>
        <w:t xml:space="preserve"> [after </w:t>
      </w:r>
      <w:r>
        <w:rPr>
          <w:rFonts w:ascii="Arial" w:eastAsia="Arial" w:hAnsi="Arial" w:cs="Arial"/>
          <w:i/>
          <w:color w:val="000000"/>
          <w:sz w:val="18"/>
        </w:rPr>
        <w:t>Lane</w:t>
      </w:r>
      <w:r>
        <w:rPr>
          <w:rFonts w:ascii="Arial" w:eastAsia="Arial" w:hAnsi="Arial" w:cs="Arial"/>
          <w:color w:val="000000"/>
          <w:sz w:val="18"/>
        </w:rPr>
        <w:t>] is uncertain.") (cleaned up).</w:t>
      </w:r>
    </w:p>
  </w:footnote>
  <w:footnote w:id="297">
    <w:p w14:paraId="1D11E9F8"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10 </w:t>
      </w:r>
      <w:bookmarkStart w:id="6857" w:name="Bookmark_fnpara_10_7"/>
      <w:bookmarkStart w:id="6858" w:name="Bookmark_I5YDCW6W28T4DR0020000400"/>
      <w:bookmarkEnd w:id="6857"/>
      <w:bookmarkEnd w:id="6858"/>
      <w:r>
        <w:rPr>
          <w:rFonts w:ascii="Arial" w:eastAsia="Arial" w:hAnsi="Arial" w:cs="Arial"/>
          <w:i/>
          <w:color w:val="000000"/>
          <w:sz w:val="18"/>
        </w:rPr>
        <w:t>United States v. Georgia</w:t>
      </w:r>
      <w:r>
        <w:rPr>
          <w:rFonts w:ascii="Arial" w:eastAsia="Arial" w:hAnsi="Arial" w:cs="Arial"/>
          <w:color w:val="000000"/>
          <w:sz w:val="18"/>
        </w:rPr>
        <w:t>, 546 U.S. 151, 159, 126 S. Ct. 877, 163 L. Ed. 2d 650 (2006).</w:t>
      </w:r>
    </w:p>
  </w:footnote>
  <w:footnote w:id="298">
    <w:p w14:paraId="53499467"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11 </w:t>
      </w:r>
      <w:bookmarkStart w:id="6862" w:name="Bookmark_fnpara_11_5"/>
      <w:bookmarkStart w:id="6863" w:name="Bookmark_I5YDCW6W28T4DR0040000400"/>
      <w:bookmarkEnd w:id="6862"/>
      <w:bookmarkEnd w:id="6863"/>
      <w:r>
        <w:rPr>
          <w:rFonts w:ascii="Arial" w:eastAsia="Arial" w:hAnsi="Arial" w:cs="Arial"/>
          <w:i/>
          <w:color w:val="000000"/>
          <w:sz w:val="18"/>
        </w:rPr>
        <w:t>Id.</w:t>
      </w:r>
      <w:r>
        <w:rPr>
          <w:rFonts w:ascii="Arial" w:eastAsia="Arial" w:hAnsi="Arial" w:cs="Arial"/>
          <w:color w:val="000000"/>
          <w:sz w:val="18"/>
        </w:rPr>
        <w:t xml:space="preserve"> Under </w:t>
      </w:r>
      <w:r>
        <w:rPr>
          <w:rFonts w:ascii="Arial" w:eastAsia="Arial" w:hAnsi="Arial" w:cs="Arial"/>
          <w:i/>
          <w:color w:val="000000"/>
          <w:sz w:val="18"/>
        </w:rPr>
        <w:t>Georgia</w:t>
      </w:r>
      <w:r>
        <w:rPr>
          <w:rFonts w:ascii="Arial" w:eastAsia="Arial" w:hAnsi="Arial" w:cs="Arial"/>
          <w:color w:val="000000"/>
          <w:sz w:val="18"/>
        </w:rPr>
        <w:t xml:space="preserve">, only if a plaintiff has alleged conduct that violates Title II and does not violate the Fourteenth Amendment should a court determine whether Title II is valid § 5 legislation as to that class of conduct. If a plaintiff alleges </w:t>
      </w:r>
      <w:r>
        <w:rPr>
          <w:rFonts w:ascii="Arial" w:eastAsia="Arial" w:hAnsi="Arial" w:cs="Arial"/>
          <w:i/>
          <w:color w:val="000000"/>
          <w:sz w:val="18"/>
        </w:rPr>
        <w:t>no</w:t>
      </w:r>
      <w:r>
        <w:rPr>
          <w:rFonts w:ascii="Arial" w:eastAsia="Arial" w:hAnsi="Arial" w:cs="Arial"/>
          <w:color w:val="000000"/>
          <w:sz w:val="18"/>
        </w:rPr>
        <w:t xml:space="preserve"> conduct that violates Title II, the inquiry ends.</w:t>
      </w:r>
    </w:p>
  </w:footnote>
  <w:footnote w:id="299">
    <w:p w14:paraId="48CF0DEE"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12 </w:t>
      </w:r>
      <w:bookmarkStart w:id="6865" w:name="Bookmark_fnpara_12_5"/>
      <w:bookmarkStart w:id="6866" w:name="Bookmark_I2B526DJ2VC0000P4SD00002"/>
      <w:bookmarkStart w:id="6867" w:name="Bookmark_I5YDCW6X2SF7MP0020000400"/>
      <w:bookmarkStart w:id="6868" w:name="Bookmark_I2B526DJ4RC0000P4SD00003"/>
      <w:bookmarkStart w:id="6869" w:name="Bookmark_I5YDCW6X2SF7MP0040000400"/>
      <w:bookmarkStart w:id="6870" w:name="Bookmark_LNHNREFclscc5_27"/>
      <w:bookmarkEnd w:id="6865"/>
      <w:bookmarkEnd w:id="6866"/>
      <w:bookmarkEnd w:id="6867"/>
      <w:bookmarkEnd w:id="6868"/>
      <w:bookmarkEnd w:id="6869"/>
      <w:bookmarkEnd w:id="6870"/>
      <w:r>
        <w:rPr>
          <w:rFonts w:ascii="Arial" w:eastAsia="Arial" w:hAnsi="Arial" w:cs="Arial"/>
          <w:color w:val="000000"/>
          <w:sz w:val="18"/>
        </w:rPr>
        <w:t xml:space="preserve">Our court has stated it was "unclear" whether </w:t>
      </w:r>
      <w:r>
        <w:rPr>
          <w:rFonts w:ascii="Arial" w:eastAsia="Arial" w:hAnsi="Arial" w:cs="Arial"/>
          <w:i/>
          <w:color w:val="000000"/>
          <w:sz w:val="18"/>
        </w:rPr>
        <w:t>Georgia</w:t>
      </w:r>
      <w:r>
        <w:rPr>
          <w:rFonts w:ascii="Arial" w:eastAsia="Arial" w:hAnsi="Arial" w:cs="Arial"/>
          <w:color w:val="000000"/>
          <w:sz w:val="18"/>
        </w:rPr>
        <w:t xml:space="preserve">'s first step requires a court to determine whether the plaintiff has actually stated a claim under Title II, or merely to identify the conduct she alleges in support of her Title II claim. </w:t>
      </w:r>
      <w:bookmarkStart w:id="6871" w:name="Bookmark_I2B526DJR730000P4SD00004"/>
      <w:bookmarkStart w:id="6872" w:name="Bookmark_I2B526DJVCC0000P4SD00006"/>
      <w:bookmarkStart w:id="6873" w:name="Bookmark_I2B526DJYC80000P4SD00008"/>
      <w:bookmarkStart w:id="6874" w:name="Bookmark_I2B526DK2800000P4SD0000B"/>
      <w:bookmarkStart w:id="6875" w:name="Bookmark_I2B526DK5MH0000P4SD0000D"/>
      <w:bookmarkStart w:id="6876" w:name="Bookmark_I5YDCW6X2D6NDF0010000400"/>
      <w:bookmarkStart w:id="6877" w:name="Bookmark_I5YDCW6X2SF7MP0010000400"/>
      <w:bookmarkEnd w:id="6871"/>
      <w:bookmarkEnd w:id="6872"/>
      <w:bookmarkEnd w:id="6873"/>
      <w:bookmarkEnd w:id="6874"/>
      <w:bookmarkEnd w:id="6875"/>
      <w:bookmarkEnd w:id="6876"/>
      <w:bookmarkEnd w:id="6877"/>
      <w:r>
        <w:rPr>
          <w:rFonts w:ascii="Arial" w:eastAsia="Arial" w:hAnsi="Arial" w:cs="Arial"/>
          <w:i/>
          <w:color w:val="000000"/>
          <w:sz w:val="18"/>
        </w:rPr>
        <w:t>Hale v. King</w:t>
      </w:r>
      <w:r>
        <w:rPr>
          <w:rFonts w:ascii="Arial" w:eastAsia="Arial" w:hAnsi="Arial" w:cs="Arial"/>
          <w:color w:val="000000"/>
          <w:sz w:val="18"/>
        </w:rPr>
        <w:t>, 642 F.3d 492, 498 (5th Cir. 2011) (per curiam). In practice, though, we have consistently determined whether the plaintiff stated a claim at this stage—</w:t>
      </w:r>
      <w:r>
        <w:rPr>
          <w:rFonts w:ascii="Arial" w:eastAsia="Arial" w:hAnsi="Arial" w:cs="Arial"/>
          <w:i/>
          <w:color w:val="000000"/>
          <w:sz w:val="18"/>
        </w:rPr>
        <w:t xml:space="preserve">see </w:t>
      </w:r>
      <w:bookmarkStart w:id="6878" w:name="Bookmark_I5YDCW6X2SF7MP0030000400"/>
      <w:bookmarkEnd w:id="6878"/>
      <w:r>
        <w:rPr>
          <w:rFonts w:ascii="Arial" w:eastAsia="Arial" w:hAnsi="Arial" w:cs="Arial"/>
          <w:i/>
          <w:color w:val="000000"/>
          <w:sz w:val="18"/>
        </w:rPr>
        <w:t>id.</w:t>
      </w:r>
      <w:r>
        <w:rPr>
          <w:rFonts w:ascii="Arial" w:eastAsia="Arial" w:hAnsi="Arial" w:cs="Arial"/>
          <w:color w:val="000000"/>
          <w:sz w:val="18"/>
        </w:rPr>
        <w:t xml:space="preserve"> at 503 (declining to reach </w:t>
      </w:r>
      <w:r>
        <w:rPr>
          <w:rFonts w:ascii="Arial" w:eastAsia="Arial" w:hAnsi="Arial" w:cs="Arial"/>
          <w:i/>
          <w:color w:val="000000"/>
          <w:sz w:val="18"/>
        </w:rPr>
        <w:t>Georgia</w:t>
      </w:r>
      <w:r>
        <w:rPr>
          <w:rFonts w:ascii="Arial" w:eastAsia="Arial" w:hAnsi="Arial" w:cs="Arial"/>
          <w:color w:val="000000"/>
          <w:sz w:val="18"/>
        </w:rPr>
        <w:t xml:space="preserve">'s second and third steps where plaintiff failed to state a claim)—and so have most other circuits. </w:t>
      </w:r>
      <w:bookmarkStart w:id="6879" w:name="Bookmark_I5YDCW6X2D6NDF0010000400_2"/>
      <w:bookmarkEnd w:id="6879"/>
      <w:r>
        <w:rPr>
          <w:rFonts w:ascii="Arial" w:eastAsia="Arial" w:hAnsi="Arial" w:cs="Arial"/>
          <w:i/>
          <w:color w:val="000000"/>
          <w:sz w:val="18"/>
        </w:rPr>
        <w:t xml:space="preserve">See, e.g., </w:t>
      </w:r>
      <w:bookmarkStart w:id="6880" w:name="Bookmark_I5YDCW6X2SF7MP0050000400"/>
      <w:bookmarkEnd w:id="6880"/>
      <w:r>
        <w:rPr>
          <w:rFonts w:ascii="Arial" w:eastAsia="Arial" w:hAnsi="Arial" w:cs="Arial"/>
          <w:i/>
          <w:color w:val="000000"/>
          <w:sz w:val="18"/>
        </w:rPr>
        <w:t>Toledo v. Sanchez</w:t>
      </w:r>
      <w:r>
        <w:rPr>
          <w:rFonts w:ascii="Arial" w:eastAsia="Arial" w:hAnsi="Arial" w:cs="Arial"/>
          <w:color w:val="000000"/>
          <w:sz w:val="18"/>
        </w:rPr>
        <w:t xml:space="preserve">, 454 F.3d 24, 31 (1st Cir. 2006) (under </w:t>
      </w:r>
      <w:r>
        <w:rPr>
          <w:rFonts w:ascii="Arial" w:eastAsia="Arial" w:hAnsi="Arial" w:cs="Arial"/>
          <w:i/>
          <w:color w:val="000000"/>
          <w:sz w:val="18"/>
        </w:rPr>
        <w:t>Georgia</w:t>
      </w:r>
      <w:r>
        <w:rPr>
          <w:rFonts w:ascii="Arial" w:eastAsia="Arial" w:hAnsi="Arial" w:cs="Arial"/>
          <w:color w:val="000000"/>
          <w:sz w:val="18"/>
        </w:rPr>
        <w:t xml:space="preserve">, "we must first ascertain whether any of the University's alleged conduct states a claim for a violation of Title II"); </w:t>
      </w:r>
      <w:bookmarkStart w:id="6881" w:name="Bookmark_I5YDCW6X2D6NDF0020000400"/>
      <w:bookmarkEnd w:id="6881"/>
      <w:r>
        <w:rPr>
          <w:rFonts w:ascii="Arial" w:eastAsia="Arial" w:hAnsi="Arial" w:cs="Arial"/>
          <w:i/>
          <w:color w:val="000000"/>
          <w:sz w:val="18"/>
        </w:rPr>
        <w:t>Mary Jo C. v. N.Y. State &amp; Local Ret. Sys.</w:t>
      </w:r>
      <w:r>
        <w:rPr>
          <w:rFonts w:ascii="Arial" w:eastAsia="Arial" w:hAnsi="Arial" w:cs="Arial"/>
          <w:color w:val="000000"/>
          <w:sz w:val="18"/>
        </w:rPr>
        <w:t xml:space="preserve">, 707 F.3d 144, 152 (2d Cir. 2013) (same); </w:t>
      </w:r>
      <w:bookmarkStart w:id="6882" w:name="Bookmark_I5YDCW6X2D6NDF0040000400"/>
      <w:bookmarkEnd w:id="6882"/>
      <w:r>
        <w:rPr>
          <w:rFonts w:ascii="Arial" w:eastAsia="Arial" w:hAnsi="Arial" w:cs="Arial"/>
          <w:i/>
          <w:color w:val="000000"/>
          <w:sz w:val="18"/>
        </w:rPr>
        <w:t>Bowers v. NCAA</w:t>
      </w:r>
      <w:r>
        <w:rPr>
          <w:rFonts w:ascii="Arial" w:eastAsia="Arial" w:hAnsi="Arial" w:cs="Arial"/>
          <w:color w:val="000000"/>
          <w:sz w:val="18"/>
        </w:rPr>
        <w:t xml:space="preserve">, 475 F.3d 524, 553 (3d Cir. 2007) (same); </w:t>
      </w:r>
      <w:bookmarkStart w:id="6883" w:name="Bookmark_I5YDCW6Y2D6NDK0010000400"/>
      <w:bookmarkEnd w:id="6883"/>
      <w:r>
        <w:rPr>
          <w:rFonts w:ascii="Arial" w:eastAsia="Arial" w:hAnsi="Arial" w:cs="Arial"/>
          <w:i/>
          <w:color w:val="000000"/>
          <w:sz w:val="18"/>
        </w:rPr>
        <w:t>Babcock v. Michigan</w:t>
      </w:r>
      <w:r>
        <w:rPr>
          <w:rFonts w:ascii="Arial" w:eastAsia="Arial" w:hAnsi="Arial" w:cs="Arial"/>
          <w:color w:val="000000"/>
          <w:sz w:val="18"/>
        </w:rPr>
        <w:t xml:space="preserve">, 812 F.3d 531, 535 (6th Cir. 2016) (same); </w:t>
      </w:r>
      <w:bookmarkStart w:id="6884" w:name="Bookmark_I5YDCW6Y2D6NDK0030000400"/>
      <w:bookmarkEnd w:id="6884"/>
      <w:r>
        <w:rPr>
          <w:rFonts w:ascii="Arial" w:eastAsia="Arial" w:hAnsi="Arial" w:cs="Arial"/>
          <w:i/>
          <w:color w:val="000000"/>
          <w:sz w:val="18"/>
        </w:rPr>
        <w:t>Guttman v. Khalsa</w:t>
      </w:r>
      <w:r>
        <w:rPr>
          <w:rFonts w:ascii="Arial" w:eastAsia="Arial" w:hAnsi="Arial" w:cs="Arial"/>
          <w:color w:val="000000"/>
          <w:sz w:val="18"/>
        </w:rPr>
        <w:t>, 446 F.3d 1027, 1036 (10th Cir. 2006) (same).</w:t>
      </w:r>
    </w:p>
  </w:footnote>
  <w:footnote w:id="300">
    <w:p w14:paraId="4A564D7C"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13 </w:t>
      </w:r>
      <w:bookmarkStart w:id="6891" w:name="Bookmark_fnpara_13_4"/>
      <w:bookmarkStart w:id="6892" w:name="Bookmark_I5YDCW6Y2D6NDK0050000400"/>
      <w:bookmarkEnd w:id="6891"/>
      <w:bookmarkEnd w:id="6892"/>
      <w:r>
        <w:rPr>
          <w:rFonts w:ascii="Arial" w:eastAsia="Arial" w:hAnsi="Arial" w:cs="Arial"/>
          <w:i/>
          <w:color w:val="000000"/>
          <w:sz w:val="18"/>
        </w:rPr>
        <w:t>Melton v. Dall. Area Rapid Transit</w:t>
      </w:r>
      <w:r>
        <w:rPr>
          <w:rFonts w:ascii="Arial" w:eastAsia="Arial" w:hAnsi="Arial" w:cs="Arial"/>
          <w:color w:val="000000"/>
          <w:sz w:val="18"/>
        </w:rPr>
        <w:t>, 391 F.3d 669, 671-72 (5th Cir. 2004).</w:t>
      </w:r>
    </w:p>
  </w:footnote>
  <w:footnote w:id="301">
    <w:p w14:paraId="6BE768B5"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14 </w:t>
      </w:r>
      <w:bookmarkStart w:id="6893" w:name="Bookmark_fnpara_14_4"/>
      <w:bookmarkEnd w:id="6893"/>
      <w:r>
        <w:rPr>
          <w:rFonts w:ascii="Arial" w:eastAsia="Arial" w:hAnsi="Arial" w:cs="Arial"/>
          <w:color w:val="000000"/>
          <w:sz w:val="18"/>
        </w:rPr>
        <w:t xml:space="preserve">28 C.F.R. § 35.130(b)(1)(7)(i); </w:t>
      </w:r>
      <w:bookmarkStart w:id="6894" w:name="Bookmark_I5YDCW6Y2D6NDM0020000400"/>
      <w:bookmarkEnd w:id="6894"/>
      <w:r>
        <w:rPr>
          <w:rFonts w:ascii="Arial" w:eastAsia="Arial" w:hAnsi="Arial" w:cs="Arial"/>
          <w:i/>
          <w:color w:val="000000"/>
          <w:sz w:val="18"/>
        </w:rPr>
        <w:t>Bennett-Nelson v. La. Bd. of Regents</w:t>
      </w:r>
      <w:r>
        <w:rPr>
          <w:rFonts w:ascii="Arial" w:eastAsia="Arial" w:hAnsi="Arial" w:cs="Arial"/>
          <w:color w:val="000000"/>
          <w:sz w:val="18"/>
        </w:rPr>
        <w:t>, 431 F.3d 448, 454-55 &amp; nn. 11-12 (5th Cir. 2005).</w:t>
      </w:r>
    </w:p>
  </w:footnote>
  <w:footnote w:id="302">
    <w:p w14:paraId="27A8DFB7"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15 </w:t>
      </w:r>
      <w:bookmarkStart w:id="6895" w:name="Bookmark_fnpara_15_3"/>
      <w:bookmarkEnd w:id="6895"/>
      <w:r>
        <w:rPr>
          <w:rFonts w:ascii="Arial" w:eastAsia="Arial" w:hAnsi="Arial" w:cs="Arial"/>
          <w:i/>
          <w:color w:val="000000"/>
          <w:sz w:val="18"/>
        </w:rPr>
        <w:t xml:space="preserve">See </w:t>
      </w:r>
      <w:bookmarkStart w:id="6896" w:name="Bookmark_I5YDCW6Y2D6NDM0040000400"/>
      <w:bookmarkEnd w:id="6896"/>
      <w:r>
        <w:rPr>
          <w:rFonts w:ascii="Arial" w:eastAsia="Arial" w:hAnsi="Arial" w:cs="Arial"/>
          <w:i/>
          <w:color w:val="000000"/>
          <w:sz w:val="18"/>
        </w:rPr>
        <w:t>Windham v. Harris Cty., Texas</w:t>
      </w:r>
      <w:r>
        <w:rPr>
          <w:rFonts w:ascii="Arial" w:eastAsia="Arial" w:hAnsi="Arial" w:cs="Arial"/>
          <w:color w:val="000000"/>
          <w:sz w:val="18"/>
        </w:rPr>
        <w:t>, 875 F.3d 229, 235 (5th Cir. 2017).</w:t>
      </w:r>
    </w:p>
  </w:footnote>
  <w:footnote w:id="303">
    <w:p w14:paraId="149B41FB"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16 </w:t>
      </w:r>
      <w:bookmarkStart w:id="6897" w:name="Bookmark_fnpara_16_3"/>
      <w:bookmarkStart w:id="6898" w:name="Bookmark_I5YDCW702N1PPR0010000400"/>
      <w:bookmarkEnd w:id="6897"/>
      <w:bookmarkEnd w:id="6898"/>
      <w:r>
        <w:rPr>
          <w:rFonts w:ascii="Arial" w:eastAsia="Arial" w:hAnsi="Arial" w:cs="Arial"/>
          <w:i/>
          <w:color w:val="000000"/>
          <w:sz w:val="18"/>
        </w:rPr>
        <w:t>Riel v. Elec. Data Sys. Corp.</w:t>
      </w:r>
      <w:r>
        <w:rPr>
          <w:rFonts w:ascii="Arial" w:eastAsia="Arial" w:hAnsi="Arial" w:cs="Arial"/>
          <w:color w:val="000000"/>
          <w:sz w:val="18"/>
        </w:rPr>
        <w:t xml:space="preserve">, 99 F.3d 678, 683 (5th Cir. 1996) ("Reasonable accommodation is an element of a </w:t>
      </w:r>
      <w:r>
        <w:rPr>
          <w:rFonts w:ascii="Arial" w:eastAsia="Arial" w:hAnsi="Arial" w:cs="Arial"/>
          <w:i/>
          <w:color w:val="000000"/>
          <w:sz w:val="18"/>
        </w:rPr>
        <w:t>prima facie</w:t>
      </w:r>
      <w:r>
        <w:rPr>
          <w:rFonts w:ascii="Arial" w:eastAsia="Arial" w:hAnsi="Arial" w:cs="Arial"/>
          <w:color w:val="000000"/>
          <w:sz w:val="18"/>
        </w:rPr>
        <w:t xml:space="preserve"> case of discrimination under the ADA, and [the plaintiff] bears the burden of proof of reasonableness.") (citation omitted).</w:t>
      </w:r>
    </w:p>
  </w:footnote>
  <w:footnote w:id="304">
    <w:p w14:paraId="233EED23"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17 </w:t>
      </w:r>
      <w:bookmarkStart w:id="6902" w:name="Bookmark_fnpara_17_3"/>
      <w:bookmarkStart w:id="6903" w:name="Bookmark_I5YDCW702N1PPR0030000400"/>
      <w:bookmarkEnd w:id="6902"/>
      <w:bookmarkEnd w:id="6903"/>
      <w:r>
        <w:rPr>
          <w:rFonts w:ascii="Arial" w:eastAsia="Arial" w:hAnsi="Arial" w:cs="Arial"/>
          <w:i/>
          <w:color w:val="000000"/>
          <w:sz w:val="18"/>
        </w:rPr>
        <w:t>Lane</w:t>
      </w:r>
      <w:r>
        <w:rPr>
          <w:rFonts w:ascii="Arial" w:eastAsia="Arial" w:hAnsi="Arial" w:cs="Arial"/>
          <w:color w:val="000000"/>
          <w:sz w:val="18"/>
        </w:rPr>
        <w:t>, 541 U.S. at 532 (internal quotation marks omitted).</w:t>
      </w:r>
    </w:p>
  </w:footnote>
  <w:footnote w:id="305">
    <w:p w14:paraId="401C1EF9"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18 </w:t>
      </w:r>
      <w:bookmarkStart w:id="6906" w:name="Bookmark_fnpara_18_3"/>
      <w:bookmarkStart w:id="6907" w:name="Bookmark_LNHNREFclscc8_22"/>
      <w:bookmarkEnd w:id="6906"/>
      <w:bookmarkEnd w:id="6907"/>
      <w:r>
        <w:rPr>
          <w:rFonts w:ascii="Arial" w:eastAsia="Arial" w:hAnsi="Arial" w:cs="Arial"/>
          <w:i/>
          <w:color w:val="000000"/>
          <w:sz w:val="18"/>
        </w:rPr>
        <w:t xml:space="preserve">See, e.g., </w:t>
      </w:r>
      <w:bookmarkStart w:id="6908" w:name="Bookmark_I5YDCW702N1PPR0050000400"/>
      <w:bookmarkEnd w:id="6908"/>
      <w:r>
        <w:rPr>
          <w:rFonts w:ascii="Arial" w:eastAsia="Arial" w:hAnsi="Arial" w:cs="Arial"/>
          <w:i/>
          <w:color w:val="000000"/>
          <w:sz w:val="18"/>
        </w:rPr>
        <w:t>Bates v. State Bar of Ariz.</w:t>
      </w:r>
      <w:r>
        <w:rPr>
          <w:rFonts w:ascii="Arial" w:eastAsia="Arial" w:hAnsi="Arial" w:cs="Arial"/>
          <w:color w:val="000000"/>
          <w:sz w:val="18"/>
        </w:rPr>
        <w:t xml:space="preserve">, 433 U.S. 350, 361, 97 S. Ct. 2691, 53 L. Ed. 2d 810 (1977) ("[T]he regulation of the bar is at the core of the State's power to protect the public."); </w:t>
      </w:r>
      <w:bookmarkStart w:id="6909" w:name="Bookmark_I5YDCW7028T4F40020000400"/>
      <w:bookmarkEnd w:id="6909"/>
      <w:r>
        <w:rPr>
          <w:rFonts w:ascii="Arial" w:eastAsia="Arial" w:hAnsi="Arial" w:cs="Arial"/>
          <w:i/>
          <w:color w:val="000000"/>
          <w:sz w:val="18"/>
        </w:rPr>
        <w:t>Goldfarb v. Va. State Bar</w:t>
      </w:r>
      <w:r>
        <w:rPr>
          <w:rFonts w:ascii="Arial" w:eastAsia="Arial" w:hAnsi="Arial" w:cs="Arial"/>
          <w:color w:val="000000"/>
          <w:sz w:val="18"/>
        </w:rPr>
        <w:t>, 421 U.S. 773, 792, 95 S. Ct. 2004, 44 L. Ed. 2d 572 (1975) (recognizing that states "have broad power to establish standards for licensing practitioners and regulating the practice of professions," and "[t]he interest of States in regulating lawyers is especially great").</w:t>
      </w:r>
    </w:p>
  </w:footnote>
  <w:footnote w:id="306">
    <w:p w14:paraId="11DD0655"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19 </w:t>
      </w:r>
      <w:bookmarkStart w:id="6910" w:name="Bookmark_fnpara_19_3"/>
      <w:bookmarkStart w:id="6911" w:name="Bookmark_I5YDCW7028T4F40050000400"/>
      <w:bookmarkEnd w:id="6910"/>
      <w:bookmarkEnd w:id="6911"/>
      <w:r>
        <w:rPr>
          <w:rFonts w:ascii="Arial" w:eastAsia="Arial" w:hAnsi="Arial" w:cs="Arial"/>
          <w:color w:val="000000"/>
          <w:sz w:val="18"/>
        </w:rPr>
        <w:t xml:space="preserve">Even assuming it were reasonable, Block's claim still fails under the first prong. </w:t>
      </w:r>
      <w:bookmarkStart w:id="6912" w:name="Bookmark_LNHNREFclscc9_21"/>
      <w:bookmarkEnd w:id="6912"/>
      <w:r>
        <w:rPr>
          <w:rFonts w:ascii="Arial" w:eastAsia="Arial" w:hAnsi="Arial" w:cs="Arial"/>
          <w:color w:val="000000"/>
          <w:sz w:val="18"/>
        </w:rPr>
        <w:t xml:space="preserve">A "qualified individual" is a person with a disability who, "with or without reasonable modifications . . . meets the essential eligibility requirements" for participation in the public entity's program. 42 U.S.C. § 12131; </w:t>
      </w:r>
      <w:r>
        <w:rPr>
          <w:rFonts w:ascii="Arial" w:eastAsia="Arial" w:hAnsi="Arial" w:cs="Arial"/>
          <w:i/>
          <w:color w:val="000000"/>
          <w:sz w:val="18"/>
        </w:rPr>
        <w:t xml:space="preserve">see also </w:t>
      </w:r>
      <w:bookmarkStart w:id="6913" w:name="Bookmark_I5YDCW7028T4F40040000400"/>
      <w:bookmarkEnd w:id="6913"/>
      <w:r>
        <w:rPr>
          <w:rFonts w:ascii="Arial" w:eastAsia="Arial" w:hAnsi="Arial" w:cs="Arial"/>
          <w:i/>
          <w:color w:val="000000"/>
          <w:sz w:val="18"/>
        </w:rPr>
        <w:t>Lane</w:t>
      </w:r>
      <w:r>
        <w:rPr>
          <w:rFonts w:ascii="Arial" w:eastAsia="Arial" w:hAnsi="Arial" w:cs="Arial"/>
          <w:color w:val="000000"/>
          <w:sz w:val="18"/>
        </w:rPr>
        <w:t xml:space="preserve">, 541 U.S. at 532 (Title II requires reasonable modifications only when the person seeking them "is otherwise eligible for the service"). Recall that admission without examination </w:t>
      </w:r>
      <w:r>
        <w:rPr>
          <w:rFonts w:ascii="Arial" w:eastAsia="Arial" w:hAnsi="Arial" w:cs="Arial"/>
          <w:i/>
          <w:color w:val="000000"/>
          <w:sz w:val="18"/>
        </w:rPr>
        <w:t>also</w:t>
      </w:r>
      <w:r>
        <w:rPr>
          <w:rFonts w:ascii="Arial" w:eastAsia="Arial" w:hAnsi="Arial" w:cs="Arial"/>
          <w:color w:val="000000"/>
          <w:sz w:val="18"/>
        </w:rPr>
        <w:t xml:space="preserve"> requires that an applicant have not previously failed the Texas bar exam. Block recently failed it twice. Even with his proposed modification, Block wouldn't be eligible for admission without examination.</w:t>
      </w:r>
    </w:p>
  </w:footnote>
  <w:footnote w:id="307">
    <w:p w14:paraId="6748B67B"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20 </w:t>
      </w:r>
      <w:bookmarkStart w:id="6918" w:name="Bookmark_fnpara_20_3"/>
      <w:bookmarkStart w:id="6919" w:name="Bookmark_I5YDCW712D6NDW0010000400"/>
      <w:bookmarkEnd w:id="6918"/>
      <w:bookmarkEnd w:id="6919"/>
      <w:r>
        <w:rPr>
          <w:rFonts w:ascii="Arial" w:eastAsia="Arial" w:hAnsi="Arial" w:cs="Arial"/>
          <w:i/>
          <w:color w:val="000000"/>
          <w:sz w:val="18"/>
        </w:rPr>
        <w:t>Dottin v. Texas Dep't of Criminal Justice</w:t>
      </w:r>
      <w:r>
        <w:rPr>
          <w:rFonts w:ascii="Arial" w:eastAsia="Arial" w:hAnsi="Arial" w:cs="Arial"/>
          <w:color w:val="000000"/>
          <w:sz w:val="18"/>
        </w:rPr>
        <w:t>, 627 F. App'x 397, 398 (5th Cir. 2015) (per curiam).</w:t>
      </w:r>
    </w:p>
  </w:footnote>
  <w:footnote w:id="308">
    <w:p w14:paraId="6B8D7116"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21 </w:t>
      </w:r>
      <w:bookmarkStart w:id="6924" w:name="Bookmark_fnpara_21_3"/>
      <w:bookmarkStart w:id="6925" w:name="Bookmark_I5YDCW712D6NDW0030000400"/>
      <w:bookmarkEnd w:id="6924"/>
      <w:bookmarkEnd w:id="6925"/>
      <w:r>
        <w:rPr>
          <w:rFonts w:ascii="Arial" w:eastAsia="Arial" w:hAnsi="Arial" w:cs="Arial"/>
          <w:i/>
          <w:color w:val="000000"/>
          <w:sz w:val="18"/>
        </w:rPr>
        <w:t>Miller v. Tex. Tech Univ. Health Scis. Ctr.</w:t>
      </w:r>
      <w:r>
        <w:rPr>
          <w:rFonts w:ascii="Arial" w:eastAsia="Arial" w:hAnsi="Arial" w:cs="Arial"/>
          <w:color w:val="000000"/>
          <w:sz w:val="18"/>
        </w:rPr>
        <w:t>, 421 F.3d 342, 345 (5th Cir. 2005) (en banc).</w:t>
      </w:r>
    </w:p>
  </w:footnote>
  <w:footnote w:id="309">
    <w:p w14:paraId="2C38421E"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22 </w:t>
      </w:r>
      <w:bookmarkStart w:id="6926" w:name="Bookmark_fnpara_22_3"/>
      <w:bookmarkStart w:id="6927" w:name="Bookmark_I5YDCW712D6NDW0050000400"/>
      <w:bookmarkEnd w:id="6926"/>
      <w:bookmarkEnd w:id="6927"/>
      <w:r>
        <w:rPr>
          <w:rFonts w:ascii="Arial" w:eastAsia="Arial" w:hAnsi="Arial" w:cs="Arial"/>
          <w:i/>
          <w:color w:val="000000"/>
          <w:sz w:val="18"/>
        </w:rPr>
        <w:t>Taylor v. City of Shreveport</w:t>
      </w:r>
      <w:r>
        <w:rPr>
          <w:rFonts w:ascii="Arial" w:eastAsia="Arial" w:hAnsi="Arial" w:cs="Arial"/>
          <w:color w:val="000000"/>
          <w:sz w:val="18"/>
        </w:rPr>
        <w:t xml:space="preserve">, 798 F.3d 276, 283 (5th Cir. 2015) (quoting </w:t>
      </w:r>
      <w:bookmarkStart w:id="6928" w:name="Bookmark_I5YDCW712D6NF00020000400"/>
      <w:bookmarkEnd w:id="6928"/>
      <w:r>
        <w:rPr>
          <w:rFonts w:ascii="Arial" w:eastAsia="Arial" w:hAnsi="Arial" w:cs="Arial"/>
          <w:i/>
          <w:color w:val="000000"/>
          <w:sz w:val="18"/>
        </w:rPr>
        <w:t>Lightburn v. Cnty. Of El Paso, Tex.</w:t>
      </w:r>
      <w:r>
        <w:rPr>
          <w:rFonts w:ascii="Arial" w:eastAsia="Arial" w:hAnsi="Arial" w:cs="Arial"/>
          <w:color w:val="000000"/>
          <w:sz w:val="18"/>
        </w:rPr>
        <w:t>, 118 F.3d 421, 427 (5th Cir. 1997)).</w:t>
      </w:r>
    </w:p>
  </w:footnote>
  <w:footnote w:id="310">
    <w:p w14:paraId="054D4CBF"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23 </w:t>
      </w:r>
      <w:bookmarkStart w:id="6929" w:name="Bookmark_fnpara_23_3"/>
      <w:bookmarkEnd w:id="6929"/>
      <w:r>
        <w:rPr>
          <w:rFonts w:ascii="Arial" w:eastAsia="Arial" w:hAnsi="Arial" w:cs="Arial"/>
          <w:color w:val="000000"/>
          <w:sz w:val="18"/>
        </w:rPr>
        <w:t xml:space="preserve">TBLE maintains that it is funded solely by application fees and receives no federal funds. </w:t>
      </w:r>
      <w:r>
        <w:rPr>
          <w:rFonts w:ascii="Arial" w:eastAsia="Arial" w:hAnsi="Arial" w:cs="Arial"/>
          <w:i/>
          <w:color w:val="000000"/>
          <w:sz w:val="18"/>
        </w:rPr>
        <w:t>See</w:t>
      </w:r>
      <w:r>
        <w:rPr>
          <w:rFonts w:ascii="Arial" w:eastAsia="Arial" w:hAnsi="Arial" w:cs="Arial"/>
          <w:color w:val="000000"/>
          <w:sz w:val="18"/>
        </w:rPr>
        <w:t xml:space="preserve"> </w:t>
      </w:r>
      <w:r>
        <w:rPr>
          <w:rFonts w:ascii="Arial" w:eastAsia="Arial" w:hAnsi="Arial" w:cs="Arial"/>
          <w:smallCaps/>
          <w:color w:val="000000"/>
          <w:sz w:val="18"/>
        </w:rPr>
        <w:t>Tex. Gov't Code</w:t>
      </w:r>
      <w:r>
        <w:rPr>
          <w:rFonts w:ascii="Arial" w:eastAsia="Arial" w:hAnsi="Arial" w:cs="Arial"/>
          <w:color w:val="000000"/>
          <w:sz w:val="18"/>
        </w:rPr>
        <w:t xml:space="preserve"> §§ 82.033, 82.034.</w:t>
      </w:r>
    </w:p>
  </w:footnote>
  <w:footnote w:id="311">
    <w:p w14:paraId="0185F8AF"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24 </w:t>
      </w:r>
      <w:bookmarkStart w:id="6934" w:name="Bookmark_fnpara_24_3"/>
      <w:bookmarkStart w:id="6935" w:name="Bookmark_I5YDCW712D6NF00040000400"/>
      <w:bookmarkEnd w:id="6934"/>
      <w:bookmarkEnd w:id="6935"/>
      <w:r>
        <w:rPr>
          <w:rFonts w:ascii="Arial" w:eastAsia="Arial" w:hAnsi="Arial" w:cs="Arial"/>
          <w:i/>
          <w:color w:val="000000"/>
          <w:sz w:val="18"/>
        </w:rPr>
        <w:t>Raj v. Louisiana State Univ.</w:t>
      </w:r>
      <w:r>
        <w:rPr>
          <w:rFonts w:ascii="Arial" w:eastAsia="Arial" w:hAnsi="Arial" w:cs="Arial"/>
          <w:color w:val="000000"/>
          <w:sz w:val="18"/>
        </w:rPr>
        <w:t>, 714 F.3d 322, 328 (5th Cir. 2013).</w:t>
      </w:r>
    </w:p>
  </w:footnote>
  <w:footnote w:id="312">
    <w:p w14:paraId="0BA1F505"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25 </w:t>
      </w:r>
      <w:bookmarkStart w:id="6936" w:name="Bookmark_fnpara_25_3"/>
      <w:bookmarkEnd w:id="6936"/>
      <w:r>
        <w:rPr>
          <w:rFonts w:ascii="Arial" w:eastAsia="Arial" w:hAnsi="Arial" w:cs="Arial"/>
          <w:color w:val="000000"/>
          <w:sz w:val="18"/>
        </w:rPr>
        <w:t xml:space="preserve">Block further argues that he should have been allowed to amend his complaint—but he never requested leave from the district court to do so. Instead, he argued the complaint was sufficient in response to TBLE's motion to dismiss and in his objection to the magistrate judge's report and recommendation. </w:t>
      </w:r>
      <w:bookmarkStart w:id="6937" w:name="Bookmark_LNHNREFclscc13_14"/>
      <w:bookmarkEnd w:id="6937"/>
      <w:r>
        <w:rPr>
          <w:rFonts w:ascii="Arial" w:eastAsia="Arial" w:hAnsi="Arial" w:cs="Arial"/>
          <w:color w:val="000000"/>
          <w:sz w:val="18"/>
        </w:rPr>
        <w:t xml:space="preserve">"A party who neglects to ask the district court for leave to amend cannot expect to receive such dispensation from the court of appeals." </w:t>
      </w:r>
      <w:bookmarkStart w:id="6938" w:name="Bookmark_I5YDCW722N1PR10010000400"/>
      <w:bookmarkEnd w:id="6938"/>
      <w:r>
        <w:rPr>
          <w:rFonts w:ascii="Arial" w:eastAsia="Arial" w:hAnsi="Arial" w:cs="Arial"/>
          <w:i/>
          <w:color w:val="000000"/>
          <w:sz w:val="18"/>
        </w:rPr>
        <w:t>U.S. ex rel. Willard v. Humana Health Plan of Texas, Inc.</w:t>
      </w:r>
      <w:r>
        <w:rPr>
          <w:rFonts w:ascii="Arial" w:eastAsia="Arial" w:hAnsi="Arial" w:cs="Arial"/>
          <w:color w:val="000000"/>
          <w:sz w:val="18"/>
        </w:rPr>
        <w:t>, 336 F.3d 375, 387 (5th Cir. 2003).</w:t>
      </w:r>
    </w:p>
  </w:footnote>
  <w:footnote w:id="313">
    <w:p w14:paraId="5F417112" w14:textId="77777777" w:rsidR="002B10A6" w:rsidRDefault="00000000">
      <w:pPr>
        <w:pStyle w:val="Normal36"/>
        <w:widowControl w:val="0"/>
        <w:spacing w:before="200" w:line="240" w:lineRule="atLeast"/>
        <w:jc w:val="both"/>
      </w:pPr>
      <w:r>
        <w:rPr>
          <w:rFonts w:ascii="Arial" w:eastAsia="Arial" w:hAnsi="Arial" w:cs="Arial"/>
          <w:color w:val="000000"/>
          <w:sz w:val="18"/>
          <w:vertAlign w:val="superscript"/>
        </w:rPr>
        <w:t>26 </w:t>
      </w:r>
      <w:bookmarkStart w:id="6945" w:name="Bookmark_fnpara_26_3"/>
      <w:bookmarkStart w:id="6946" w:name="Bookmark_I5YDCW722N1PR10050000400"/>
      <w:bookmarkEnd w:id="6945"/>
      <w:bookmarkEnd w:id="6946"/>
      <w:r>
        <w:rPr>
          <w:rFonts w:ascii="Arial" w:eastAsia="Arial" w:hAnsi="Arial" w:cs="Arial"/>
          <w:i/>
          <w:color w:val="000000"/>
          <w:sz w:val="18"/>
        </w:rPr>
        <w:t>United States v. $4,480,466.16 in Funds Seized from Bank of Am. Account Ending in 2653</w:t>
      </w:r>
      <w:r>
        <w:rPr>
          <w:rFonts w:ascii="Arial" w:eastAsia="Arial" w:hAnsi="Arial" w:cs="Arial"/>
          <w:color w:val="000000"/>
          <w:sz w:val="18"/>
        </w:rPr>
        <w:t>, 942 F.3d 655, 666 (5th Cir. 2019).</w:t>
      </w:r>
    </w:p>
  </w:footnote>
  <w:footnote w:id="314">
    <w:p w14:paraId="6C9BA3FA" w14:textId="77777777" w:rsidR="002B10A6" w:rsidRDefault="00000000">
      <w:pPr>
        <w:pStyle w:val="Normal37"/>
        <w:widowControl w:val="0"/>
        <w:spacing w:before="120" w:line="240" w:lineRule="atLeast"/>
        <w:jc w:val="both"/>
      </w:pPr>
      <w:r>
        <w:rPr>
          <w:rFonts w:ascii="Arial" w:eastAsia="Arial" w:hAnsi="Arial" w:cs="Arial"/>
          <w:color w:val="000000"/>
          <w:sz w:val="18"/>
          <w:vertAlign w:val="superscript"/>
        </w:rPr>
        <w:t>* </w:t>
      </w:r>
      <w:bookmarkStart w:id="6958" w:name="Bookmark_fnpara_1_34"/>
      <w:bookmarkEnd w:id="6958"/>
      <w:r>
        <w:rPr>
          <w:rFonts w:ascii="Arial" w:eastAsia="Arial" w:hAnsi="Arial" w:cs="Arial"/>
          <w:color w:val="000000"/>
          <w:sz w:val="18"/>
        </w:rPr>
        <w:t>Honorable Douglas H. Ginsburg, United States Circuit Judge for the D.C. Circuit, sitting by designation.</w:t>
      </w:r>
    </w:p>
  </w:footnote>
  <w:footnote w:id="315">
    <w:p w14:paraId="29EEADA6" w14:textId="77777777" w:rsidR="002B10A6" w:rsidRDefault="00000000">
      <w:pPr>
        <w:pStyle w:val="Normal37"/>
        <w:widowControl w:val="0"/>
        <w:spacing w:before="120" w:line="240" w:lineRule="atLeast"/>
        <w:jc w:val="both"/>
      </w:pPr>
      <w:r>
        <w:rPr>
          <w:rFonts w:ascii="Arial" w:eastAsia="Arial" w:hAnsi="Arial" w:cs="Arial"/>
          <w:color w:val="000000"/>
          <w:sz w:val="18"/>
          <w:vertAlign w:val="superscript"/>
        </w:rPr>
        <w:t>1 </w:t>
      </w:r>
      <w:bookmarkStart w:id="6969" w:name="Bookmark_fnpara_2_29"/>
      <w:bookmarkEnd w:id="6969"/>
      <w:r>
        <w:rPr>
          <w:rFonts w:ascii="Arial" w:eastAsia="Arial" w:hAnsi="Arial" w:cs="Arial"/>
          <w:color w:val="000000"/>
          <w:sz w:val="18"/>
        </w:rPr>
        <w:t>The district court's summary judgment order states that the moratorium didn't apply to assisted-living facilities, so it apparently wouldn't have prevented Jimenez from opening one.</w:t>
      </w:r>
    </w:p>
  </w:footnote>
  <w:footnote w:id="316">
    <w:p w14:paraId="44888EA6" w14:textId="77777777" w:rsidR="002B10A6" w:rsidRDefault="00000000">
      <w:pPr>
        <w:pStyle w:val="Normal37"/>
        <w:widowControl w:val="0"/>
        <w:spacing w:before="200" w:line="240" w:lineRule="atLeast"/>
        <w:jc w:val="both"/>
      </w:pPr>
      <w:r>
        <w:rPr>
          <w:rFonts w:ascii="Arial" w:eastAsia="Arial" w:hAnsi="Arial" w:cs="Arial"/>
          <w:color w:val="000000"/>
          <w:sz w:val="18"/>
          <w:vertAlign w:val="superscript"/>
        </w:rPr>
        <w:t>2 </w:t>
      </w:r>
      <w:bookmarkStart w:id="6972" w:name="Bookmark_fnpara_3_27"/>
      <w:bookmarkStart w:id="6973" w:name="Bookmark_I5YBP9G92D6NM60020000400"/>
      <w:bookmarkStart w:id="6974" w:name="Bookmark_LNHNREFclscc1_30"/>
      <w:bookmarkEnd w:id="6972"/>
      <w:bookmarkEnd w:id="6973"/>
      <w:bookmarkEnd w:id="6974"/>
      <w:r>
        <w:rPr>
          <w:rFonts w:ascii="Arial" w:eastAsia="Arial" w:hAnsi="Arial" w:cs="Arial"/>
          <w:color w:val="000000"/>
          <w:sz w:val="18"/>
        </w:rPr>
        <w:t xml:space="preserve">We review the district court's grant of summary judgment de novo and "construe all reasonable doubts about the facts in favor of" Quality of Life, as the non-movant. </w:t>
      </w:r>
      <w:bookmarkStart w:id="6975" w:name="Bookmark_I5YBP9G92D6NM60040000400"/>
      <w:bookmarkStart w:id="6976" w:name="Bookmark_I5YBP9G92D6NM60010000400"/>
      <w:bookmarkEnd w:id="6975"/>
      <w:bookmarkEnd w:id="6976"/>
      <w:r>
        <w:rPr>
          <w:rFonts w:ascii="Arial" w:eastAsia="Arial" w:hAnsi="Arial" w:cs="Arial"/>
          <w:i/>
          <w:color w:val="000000"/>
          <w:sz w:val="18"/>
        </w:rPr>
        <w:t>Michael Linet, Inc. v. Village of Wellington</w:t>
      </w:r>
      <w:r>
        <w:rPr>
          <w:rFonts w:ascii="Arial" w:eastAsia="Arial" w:hAnsi="Arial" w:cs="Arial"/>
          <w:color w:val="000000"/>
          <w:sz w:val="18"/>
        </w:rPr>
        <w:t xml:space="preserve">, 408 F.3d 757, 761 (11th Cir. 2005) (quotation omitted). </w:t>
      </w:r>
      <w:bookmarkStart w:id="6977" w:name="Bookmark_LNHNREFclscc2_30"/>
      <w:bookmarkEnd w:id="6977"/>
      <w:r>
        <w:rPr>
          <w:rFonts w:ascii="Arial" w:eastAsia="Arial" w:hAnsi="Arial" w:cs="Arial"/>
          <w:color w:val="000000"/>
          <w:sz w:val="18"/>
        </w:rPr>
        <w:t xml:space="preserve">We review a district court's denial of a motion for reconsideration for abuse of discretion. </w:t>
      </w:r>
      <w:bookmarkStart w:id="6978" w:name="Bookmark_I5YBP9G92D6NM60040000400_2"/>
      <w:bookmarkStart w:id="6979" w:name="Bookmark_I5YBP9G92D6NM60030000400"/>
      <w:bookmarkEnd w:id="6978"/>
      <w:bookmarkEnd w:id="6979"/>
      <w:r>
        <w:rPr>
          <w:rFonts w:ascii="Arial" w:eastAsia="Arial" w:hAnsi="Arial" w:cs="Arial"/>
          <w:i/>
          <w:color w:val="000000"/>
          <w:sz w:val="18"/>
        </w:rPr>
        <w:t>Rodriguez v. City of Doral</w:t>
      </w:r>
      <w:r>
        <w:rPr>
          <w:rFonts w:ascii="Arial" w:eastAsia="Arial" w:hAnsi="Arial" w:cs="Arial"/>
          <w:color w:val="000000"/>
          <w:sz w:val="18"/>
        </w:rPr>
        <w:t>, 863 F.3d 1343, 1349 (11th Cir. 2017).</w:t>
      </w:r>
    </w:p>
  </w:footnote>
  <w:footnote w:id="317">
    <w:p w14:paraId="45D54BDF" w14:textId="77777777" w:rsidR="002B10A6" w:rsidRDefault="00000000">
      <w:pPr>
        <w:pStyle w:val="Normal37"/>
        <w:widowControl w:val="0"/>
        <w:spacing w:before="200" w:line="240" w:lineRule="atLeast"/>
        <w:jc w:val="both"/>
      </w:pPr>
      <w:r>
        <w:rPr>
          <w:rFonts w:ascii="Arial" w:eastAsia="Arial" w:hAnsi="Arial" w:cs="Arial"/>
          <w:color w:val="000000"/>
          <w:sz w:val="18"/>
          <w:vertAlign w:val="superscript"/>
        </w:rPr>
        <w:t>3 </w:t>
      </w:r>
      <w:bookmarkStart w:id="6987" w:name="Bookmark_fnpara_4_24"/>
      <w:bookmarkStart w:id="6988" w:name="Bookmark_I5YBP9GB2N1PX90050000400"/>
      <w:bookmarkStart w:id="6989" w:name="Bookmark_I5YBP9GC2N1PXB0020000400"/>
      <w:bookmarkEnd w:id="6987"/>
      <w:bookmarkEnd w:id="6988"/>
      <w:bookmarkEnd w:id="6989"/>
      <w:r>
        <w:rPr>
          <w:rFonts w:ascii="Arial" w:eastAsia="Arial" w:hAnsi="Arial" w:cs="Arial"/>
          <w:color w:val="000000"/>
          <w:sz w:val="18"/>
        </w:rPr>
        <w:t xml:space="preserve">It's unclear whether the property at issue—as Quality of Life presents it, at least—constitutes a "dwelling" and therefore whether the FHA applies. We have held that "the longer the typical occupant lives in a building, the more likely it is that the building is a 'dwelling.'" </w:t>
      </w:r>
      <w:bookmarkStart w:id="6990" w:name="Bookmark_I5YBP9GB2N1PX90040000400"/>
      <w:bookmarkEnd w:id="6990"/>
      <w:r>
        <w:rPr>
          <w:rFonts w:ascii="Arial" w:eastAsia="Arial" w:hAnsi="Arial" w:cs="Arial"/>
          <w:i/>
          <w:color w:val="000000"/>
          <w:sz w:val="18"/>
        </w:rPr>
        <w:t>Schwarz</w:t>
      </w:r>
      <w:r>
        <w:rPr>
          <w:rFonts w:ascii="Arial" w:eastAsia="Arial" w:hAnsi="Arial" w:cs="Arial"/>
          <w:color w:val="000000"/>
          <w:sz w:val="18"/>
        </w:rPr>
        <w:t xml:space="preserve">, 544 F.3d at 1215. In </w:t>
      </w:r>
      <w:r>
        <w:rPr>
          <w:rFonts w:ascii="Arial" w:eastAsia="Arial" w:hAnsi="Arial" w:cs="Arial"/>
          <w:i/>
          <w:color w:val="000000"/>
          <w:sz w:val="18"/>
        </w:rPr>
        <w:t>Schwarz</w:t>
      </w:r>
      <w:r>
        <w:rPr>
          <w:rFonts w:ascii="Arial" w:eastAsia="Arial" w:hAnsi="Arial" w:cs="Arial"/>
          <w:color w:val="000000"/>
          <w:sz w:val="18"/>
        </w:rPr>
        <w:t xml:space="preserve">, we decided that halfway houses were "dwellings" in part because guests stayed "six to ten weeks." </w:t>
      </w:r>
      <w:bookmarkStart w:id="6991" w:name="Bookmark_I5YBP9GC2N1PXB0010000400"/>
      <w:bookmarkEnd w:id="6991"/>
      <w:r>
        <w:rPr>
          <w:rFonts w:ascii="Arial" w:eastAsia="Arial" w:hAnsi="Arial" w:cs="Arial"/>
          <w:i/>
          <w:color w:val="000000"/>
          <w:sz w:val="18"/>
        </w:rPr>
        <w:t>Id.</w:t>
      </w:r>
      <w:r>
        <w:rPr>
          <w:rFonts w:ascii="Arial" w:eastAsia="Arial" w:hAnsi="Arial" w:cs="Arial"/>
          <w:color w:val="000000"/>
          <w:sz w:val="18"/>
        </w:rPr>
        <w:t xml:space="preserve"> at 1215-16. Quality of Life's consultant testified that a patient's stay in the detox facility "would be short term" and "anywhere from five to 20 days." We needn't resolve the issue here because even assuming that Quality of Life's proposed detox facility could be considered a "dwelling," its FHA claims would fail for the reasons we explain in text.</w:t>
      </w:r>
    </w:p>
  </w:footnote>
  <w:footnote w:id="318">
    <w:p w14:paraId="22CC947D" w14:textId="77777777" w:rsidR="002B10A6" w:rsidRDefault="00000000">
      <w:pPr>
        <w:pStyle w:val="Normal37"/>
        <w:widowControl w:val="0"/>
        <w:spacing w:before="200" w:line="240" w:lineRule="atLeast"/>
        <w:jc w:val="both"/>
      </w:pPr>
      <w:r>
        <w:rPr>
          <w:rFonts w:ascii="Arial" w:eastAsia="Arial" w:hAnsi="Arial" w:cs="Arial"/>
          <w:color w:val="000000"/>
          <w:sz w:val="18"/>
          <w:vertAlign w:val="superscript"/>
        </w:rPr>
        <w:t>4 </w:t>
      </w:r>
      <w:bookmarkStart w:id="6996" w:name="Bookmark_fnpara_5_20"/>
      <w:bookmarkStart w:id="6997" w:name="Bookmark_I5YBP9GC2N1PXC0030000400"/>
      <w:bookmarkStart w:id="6998" w:name="Bookmark_I5YBP9GC2N1PXC0050000400"/>
      <w:bookmarkEnd w:id="6996"/>
      <w:bookmarkEnd w:id="6997"/>
      <w:bookmarkEnd w:id="6998"/>
      <w:r>
        <w:rPr>
          <w:rFonts w:ascii="Arial" w:eastAsia="Arial" w:hAnsi="Arial" w:cs="Arial"/>
          <w:color w:val="000000"/>
          <w:sz w:val="18"/>
        </w:rPr>
        <w:t xml:space="preserve">The district court analyzed Quality of Life's FHA and ADA claims together. The parties likewise don't differentiate between the FHA and ADA claims on appeal, relying on cases arising under both statutes as well as other federal anti-discrimination laws. </w:t>
      </w:r>
      <w:bookmarkStart w:id="6999" w:name="Bookmark_LNHNREFclscc5_28"/>
      <w:bookmarkEnd w:id="6999"/>
      <w:r>
        <w:rPr>
          <w:rFonts w:ascii="Arial" w:eastAsia="Arial" w:hAnsi="Arial" w:cs="Arial"/>
          <w:color w:val="000000"/>
          <w:sz w:val="18"/>
        </w:rPr>
        <w:t xml:space="preserve">While courts often analyze FHA and ADA claims in tandem, </w:t>
      </w:r>
      <w:r>
        <w:rPr>
          <w:rFonts w:ascii="Arial" w:eastAsia="Arial" w:hAnsi="Arial" w:cs="Arial"/>
          <w:i/>
          <w:color w:val="000000"/>
          <w:sz w:val="18"/>
        </w:rPr>
        <w:t xml:space="preserve">see, e.g., </w:t>
      </w:r>
      <w:bookmarkStart w:id="7000" w:name="Bookmark_I5YBP9GC2N1PXC0020000400"/>
      <w:bookmarkEnd w:id="7000"/>
      <w:r>
        <w:rPr>
          <w:rFonts w:ascii="Arial" w:eastAsia="Arial" w:hAnsi="Arial" w:cs="Arial"/>
          <w:i/>
          <w:color w:val="000000"/>
          <w:sz w:val="18"/>
        </w:rPr>
        <w:t>Cinnamon Hills Youth Crisis Ctr., Inc. v. Saint George City</w:t>
      </w:r>
      <w:r>
        <w:rPr>
          <w:rFonts w:ascii="Arial" w:eastAsia="Arial" w:hAnsi="Arial" w:cs="Arial"/>
          <w:color w:val="000000"/>
          <w:sz w:val="18"/>
        </w:rPr>
        <w:t xml:space="preserve">, 685 F.3d 917, 919 (10th Cir. 2012) (Gorsuch, J.) (analyzing FHA, ADA, and Rehabilitation Act claims together); </w:t>
      </w:r>
      <w:bookmarkStart w:id="7001" w:name="Bookmark_I5YBP9GC2N1PXC0040000400"/>
      <w:bookmarkEnd w:id="7001"/>
      <w:r>
        <w:rPr>
          <w:rFonts w:ascii="Arial" w:eastAsia="Arial" w:hAnsi="Arial" w:cs="Arial"/>
          <w:i/>
          <w:color w:val="000000"/>
          <w:sz w:val="18"/>
        </w:rPr>
        <w:t>Caron Found. of Fla., Inc. v. City of Delray Beach</w:t>
      </w:r>
      <w:r>
        <w:rPr>
          <w:rFonts w:ascii="Arial" w:eastAsia="Arial" w:hAnsi="Arial" w:cs="Arial"/>
          <w:color w:val="000000"/>
          <w:sz w:val="18"/>
        </w:rPr>
        <w:t xml:space="preserve">, 879 F. Supp. 2d 1353, 1364 (S.D. Fla. 2012) ("Due to the similarity of the ADA and the FHA's protections of individuals with disabilities in housing matters, courts often analyze the two statutes as one."), we note that the standards governing the FHA and ADA aren't the same in all respects, </w:t>
      </w:r>
      <w:r>
        <w:rPr>
          <w:rFonts w:ascii="Arial" w:eastAsia="Arial" w:hAnsi="Arial" w:cs="Arial"/>
          <w:i/>
          <w:color w:val="000000"/>
          <w:sz w:val="18"/>
        </w:rPr>
        <w:t xml:space="preserve">see, e.g., </w:t>
      </w:r>
      <w:bookmarkStart w:id="7002" w:name="Bookmark_I5YBP9GC2SF7VP0010000400"/>
      <w:bookmarkEnd w:id="7002"/>
      <w:r>
        <w:rPr>
          <w:rFonts w:ascii="Arial" w:eastAsia="Arial" w:hAnsi="Arial" w:cs="Arial"/>
          <w:i/>
          <w:color w:val="000000"/>
          <w:sz w:val="18"/>
        </w:rPr>
        <w:t>Schwarz</w:t>
      </w:r>
      <w:r>
        <w:rPr>
          <w:rFonts w:ascii="Arial" w:eastAsia="Arial" w:hAnsi="Arial" w:cs="Arial"/>
          <w:color w:val="000000"/>
          <w:sz w:val="18"/>
        </w:rPr>
        <w:t>, 544 F.3d at 1212 n.6 (stating that "there are important differences" between the FHA, the Rehabilitation Act, and the ADA, including that "coverage under the FHA is limited to statutorily defined 'dwellings'"). Fortunately for us, any differences between the two statutes have no impact on our analysis here; therefore, we'll address the FHA and ADA claims together.</w:t>
      </w:r>
    </w:p>
  </w:footnote>
  <w:footnote w:id="319">
    <w:p w14:paraId="1D693729" w14:textId="77777777" w:rsidR="002B10A6" w:rsidRDefault="00000000">
      <w:pPr>
        <w:pStyle w:val="Normal37"/>
        <w:widowControl w:val="0"/>
        <w:spacing w:before="200" w:line="240" w:lineRule="atLeast"/>
        <w:jc w:val="both"/>
      </w:pPr>
      <w:r>
        <w:rPr>
          <w:rFonts w:ascii="Arial" w:eastAsia="Arial" w:hAnsi="Arial" w:cs="Arial"/>
          <w:color w:val="000000"/>
          <w:sz w:val="18"/>
          <w:vertAlign w:val="superscript"/>
        </w:rPr>
        <w:t>5 </w:t>
      </w:r>
      <w:bookmarkStart w:id="7017" w:name="Bookmark_fnpara_6_16"/>
      <w:bookmarkStart w:id="7018" w:name="Bookmark_I5YBP9GD2D6NMJ0040000400"/>
      <w:bookmarkEnd w:id="7017"/>
      <w:bookmarkEnd w:id="7018"/>
      <w:r>
        <w:rPr>
          <w:rFonts w:ascii="Arial" w:eastAsia="Arial" w:hAnsi="Arial" w:cs="Arial"/>
          <w:color w:val="000000"/>
          <w:sz w:val="18"/>
        </w:rPr>
        <w:t xml:space="preserve">To the extent that Quality of Life argues that it was the fear and bias of private citizens that drove the City to prevent it from operating as a detox, we are unconvinced. "[E]vidence that neighbors and city officials are biased against recovering substance abusers is irrelevant absent some indication that the recoverers were treated differently than non-recoverers." </w:t>
      </w:r>
      <w:bookmarkStart w:id="7019" w:name="Bookmark_I5YBP9GD2D6NMJ0030000400"/>
      <w:bookmarkEnd w:id="7019"/>
      <w:r>
        <w:rPr>
          <w:rFonts w:ascii="Arial" w:eastAsia="Arial" w:hAnsi="Arial" w:cs="Arial"/>
          <w:i/>
          <w:color w:val="000000"/>
          <w:sz w:val="18"/>
        </w:rPr>
        <w:t>Schwarz</w:t>
      </w:r>
      <w:r>
        <w:rPr>
          <w:rFonts w:ascii="Arial" w:eastAsia="Arial" w:hAnsi="Arial" w:cs="Arial"/>
          <w:color w:val="000000"/>
          <w:sz w:val="18"/>
        </w:rPr>
        <w:t>, 544 F.3d at 1216-17. As we explain, Quality of Life has not made that showing.</w:t>
      </w:r>
    </w:p>
  </w:footnote>
  <w:footnote w:id="320">
    <w:p w14:paraId="6875D8C3" w14:textId="77777777" w:rsidR="002B10A6" w:rsidRDefault="00000000">
      <w:pPr>
        <w:pStyle w:val="Normal37"/>
        <w:widowControl w:val="0"/>
        <w:spacing w:before="120" w:line="240" w:lineRule="atLeast"/>
        <w:jc w:val="both"/>
      </w:pPr>
      <w:r>
        <w:rPr>
          <w:rFonts w:ascii="Arial" w:eastAsia="Arial" w:hAnsi="Arial" w:cs="Arial"/>
          <w:color w:val="000000"/>
          <w:sz w:val="18"/>
          <w:vertAlign w:val="superscript"/>
        </w:rPr>
        <w:t>6 </w:t>
      </w:r>
      <w:bookmarkStart w:id="7031" w:name="Bookmark_fnpara_7_12"/>
      <w:bookmarkEnd w:id="7031"/>
      <w:r>
        <w:rPr>
          <w:rFonts w:ascii="Arial" w:eastAsia="Arial" w:hAnsi="Arial" w:cs="Arial"/>
          <w:color w:val="000000"/>
          <w:sz w:val="18"/>
        </w:rPr>
        <w:t>To the extent that Quality of Life asserts that other changes to the zoning code impacted its approval to operate an assisted-living facility, the City responds that it advised Jimenez that the prior approval for an assisted-living facility would not be affected by the changes.</w:t>
      </w:r>
    </w:p>
  </w:footnote>
  <w:footnote w:id="321">
    <w:p w14:paraId="0C09ABE0" w14:textId="77777777" w:rsidR="002B10A6" w:rsidRDefault="00000000">
      <w:pPr>
        <w:pStyle w:val="Normal37"/>
        <w:widowControl w:val="0"/>
        <w:spacing w:before="120" w:line="240" w:lineRule="atLeast"/>
        <w:jc w:val="both"/>
      </w:pPr>
      <w:r>
        <w:rPr>
          <w:rFonts w:ascii="Arial" w:eastAsia="Arial" w:hAnsi="Arial" w:cs="Arial"/>
          <w:color w:val="000000"/>
          <w:sz w:val="18"/>
          <w:vertAlign w:val="superscript"/>
        </w:rPr>
        <w:t>7 </w:t>
      </w:r>
      <w:bookmarkStart w:id="7045" w:name="Bookmark_fnpara_8_10"/>
      <w:bookmarkEnd w:id="7045"/>
      <w:r>
        <w:rPr>
          <w:rFonts w:ascii="Arial" w:eastAsia="Arial" w:hAnsi="Arial" w:cs="Arial"/>
          <w:color w:val="000000"/>
          <w:sz w:val="18"/>
        </w:rPr>
        <w:t>We similarly reject Quality of Life's argument that it is its own "strongest comparator." Even if it could be a comparator with itself, Quality of Life would have had to have applied to operate a detox facility and been rejected for there to be any comparison with its approved application to operate an assisted-living facility.</w:t>
      </w:r>
    </w:p>
  </w:footnote>
  <w:footnote w:id="322">
    <w:p w14:paraId="6A136D97" w14:textId="77777777" w:rsidR="002B10A6" w:rsidRDefault="00000000">
      <w:pPr>
        <w:pStyle w:val="Normal37"/>
        <w:widowControl w:val="0"/>
        <w:spacing w:before="200" w:line="240" w:lineRule="atLeast"/>
        <w:jc w:val="both"/>
      </w:pPr>
      <w:r>
        <w:rPr>
          <w:rFonts w:ascii="Arial" w:eastAsia="Arial" w:hAnsi="Arial" w:cs="Arial"/>
          <w:color w:val="000000"/>
          <w:sz w:val="18"/>
          <w:vertAlign w:val="superscript"/>
        </w:rPr>
        <w:t>8 </w:t>
      </w:r>
      <w:bookmarkStart w:id="7056" w:name="Bookmark_fnpara_9_8"/>
      <w:bookmarkEnd w:id="7056"/>
      <w:r>
        <w:rPr>
          <w:rFonts w:ascii="Arial" w:eastAsia="Arial" w:hAnsi="Arial" w:cs="Arial"/>
          <w:color w:val="000000"/>
          <w:sz w:val="18"/>
        </w:rPr>
        <w:t xml:space="preserve">In </w:t>
      </w:r>
      <w:r>
        <w:rPr>
          <w:rFonts w:ascii="Arial" w:eastAsia="Arial" w:hAnsi="Arial" w:cs="Arial"/>
          <w:i/>
          <w:color w:val="000000"/>
          <w:sz w:val="18"/>
        </w:rPr>
        <w:t>Schwarz</w:t>
      </w:r>
      <w:r>
        <w:rPr>
          <w:rFonts w:ascii="Arial" w:eastAsia="Arial" w:hAnsi="Arial" w:cs="Arial"/>
          <w:color w:val="000000"/>
          <w:sz w:val="18"/>
        </w:rPr>
        <w:t xml:space="preserve">, we acknowledged that "[s]everal courts have held that if there is a local procedure (such as a variance process) through which the plaintiffs can obtain the accommodations they want, they must use that procedure first and come away unsatisfied prior to filing suit in federal court." </w:t>
      </w:r>
      <w:bookmarkStart w:id="7057" w:name="Bookmark_I5YBP9GG2N1PXN0050000400"/>
      <w:bookmarkEnd w:id="7057"/>
      <w:r>
        <w:rPr>
          <w:rFonts w:ascii="Arial" w:eastAsia="Arial" w:hAnsi="Arial" w:cs="Arial"/>
          <w:i/>
          <w:color w:val="000000"/>
          <w:sz w:val="18"/>
        </w:rPr>
        <w:t>Schwarz</w:t>
      </w:r>
      <w:r>
        <w:rPr>
          <w:rFonts w:ascii="Arial" w:eastAsia="Arial" w:hAnsi="Arial" w:cs="Arial"/>
          <w:color w:val="000000"/>
          <w:sz w:val="18"/>
        </w:rPr>
        <w:t xml:space="preserve">, 544 F.3d at 1219 n.11. The </w:t>
      </w:r>
      <w:r>
        <w:rPr>
          <w:rFonts w:ascii="Arial" w:eastAsia="Arial" w:hAnsi="Arial" w:cs="Arial"/>
          <w:i/>
          <w:color w:val="000000"/>
          <w:sz w:val="18"/>
        </w:rPr>
        <w:t>Schwarz</w:t>
      </w:r>
      <w:r>
        <w:rPr>
          <w:rFonts w:ascii="Arial" w:eastAsia="Arial" w:hAnsi="Arial" w:cs="Arial"/>
          <w:color w:val="000000"/>
          <w:sz w:val="18"/>
        </w:rPr>
        <w:t xml:space="preserve"> Court ultimately had "no occasion to address the matter" because "the City d[id] not argue that there were any local procedures available" to the plaintiffs in that case. </w:t>
      </w:r>
      <w:r>
        <w:rPr>
          <w:rFonts w:ascii="Arial" w:eastAsia="Arial" w:hAnsi="Arial" w:cs="Arial"/>
          <w:i/>
          <w:color w:val="000000"/>
          <w:sz w:val="18"/>
        </w:rPr>
        <w:t>Id.</w:t>
      </w:r>
      <w:r>
        <w:rPr>
          <w:rFonts w:ascii="Arial" w:eastAsia="Arial" w:hAnsi="Arial" w:cs="Arial"/>
          <w:color w:val="000000"/>
          <w:sz w:val="18"/>
        </w:rPr>
        <w:t xml:space="preserve"> Here, by contrast, the City of Margate has had reasonable-accommodation procedures in place since 2008.</w:t>
      </w:r>
    </w:p>
  </w:footnote>
  <w:footnote w:id="323">
    <w:p w14:paraId="0660230F" w14:textId="77777777" w:rsidR="002B10A6" w:rsidRDefault="00000000">
      <w:pPr>
        <w:pStyle w:val="Normal37"/>
        <w:widowControl w:val="0"/>
        <w:spacing w:before="200" w:line="240" w:lineRule="atLeast"/>
        <w:jc w:val="both"/>
      </w:pPr>
      <w:r>
        <w:rPr>
          <w:rFonts w:ascii="Arial" w:eastAsia="Arial" w:hAnsi="Arial" w:cs="Arial"/>
          <w:color w:val="000000"/>
          <w:sz w:val="18"/>
          <w:vertAlign w:val="superscript"/>
        </w:rPr>
        <w:t>9 </w:t>
      </w:r>
      <w:bookmarkStart w:id="7062" w:name="Bookmark_fnpara_10_8"/>
      <w:bookmarkEnd w:id="7062"/>
      <w:r>
        <w:rPr>
          <w:rFonts w:ascii="Arial" w:eastAsia="Arial" w:hAnsi="Arial" w:cs="Arial"/>
          <w:color w:val="000000"/>
          <w:sz w:val="18"/>
        </w:rPr>
        <w:t xml:space="preserve">Quality of Life also asserts that the 2017 amendment to the zoning code is further evidence of futility. As we have explained, </w:t>
      </w:r>
      <w:r>
        <w:rPr>
          <w:rFonts w:ascii="Arial" w:eastAsia="Arial" w:hAnsi="Arial" w:cs="Arial"/>
          <w:i/>
          <w:color w:val="000000"/>
          <w:sz w:val="18"/>
        </w:rPr>
        <w:t>see supra</w:t>
      </w:r>
      <w:r>
        <w:rPr>
          <w:rFonts w:ascii="Arial" w:eastAsia="Arial" w:hAnsi="Arial" w:cs="Arial"/>
          <w:color w:val="000000"/>
          <w:sz w:val="18"/>
        </w:rPr>
        <w:t xml:space="preserve"> at 12, this argument fails.</w:t>
      </w:r>
    </w:p>
  </w:footnote>
  <w:footnote w:id="324">
    <w:p w14:paraId="312DAAD3" w14:textId="77777777" w:rsidR="002B10A6" w:rsidRDefault="00000000">
      <w:pPr>
        <w:pStyle w:val="Normal38"/>
        <w:widowControl w:val="0"/>
        <w:spacing w:before="200" w:line="240" w:lineRule="atLeast"/>
        <w:jc w:val="both"/>
      </w:pPr>
      <w:r>
        <w:rPr>
          <w:rFonts w:ascii="Arial" w:eastAsia="Arial" w:hAnsi="Arial" w:cs="Arial"/>
          <w:color w:val="000000"/>
          <w:sz w:val="18"/>
          <w:vertAlign w:val="superscript"/>
        </w:rPr>
        <w:t>* </w:t>
      </w:r>
      <w:bookmarkStart w:id="7103" w:name="Bookmark_fnpara_1_35"/>
      <w:bookmarkStart w:id="7104" w:name="Bookmark_I5Y90GWG28T49T0020000400"/>
      <w:bookmarkStart w:id="7105" w:name="Bookmark_I5Y90GWG28T49T0040000400"/>
      <w:bookmarkEnd w:id="7103"/>
      <w:bookmarkEnd w:id="7104"/>
      <w:bookmarkEnd w:id="7105"/>
      <w:r>
        <w:rPr>
          <w:rFonts w:ascii="Arial" w:eastAsia="Arial" w:hAnsi="Arial" w:cs="Arial"/>
          <w:color w:val="000000"/>
          <w:sz w:val="18"/>
        </w:rPr>
        <w:t xml:space="preserve">Sprague has abandoned her retaliation claim brought against the other Appellees in this action. </w:t>
      </w:r>
      <w:r>
        <w:rPr>
          <w:rFonts w:ascii="Arial" w:eastAsia="Arial" w:hAnsi="Arial" w:cs="Arial"/>
          <w:i/>
          <w:color w:val="000000"/>
          <w:sz w:val="18"/>
        </w:rPr>
        <w:t xml:space="preserve">See </w:t>
      </w:r>
      <w:bookmarkStart w:id="7106" w:name="Bookmark_I5Y90GWG28T49T0010000400"/>
      <w:bookmarkEnd w:id="7106"/>
      <w:r>
        <w:rPr>
          <w:rFonts w:ascii="Arial" w:eastAsia="Arial" w:hAnsi="Arial" w:cs="Arial"/>
          <w:i/>
          <w:color w:val="000000"/>
          <w:sz w:val="18"/>
        </w:rPr>
        <w:t>Adbul-Mumit v. Alexandria Hyundai, LLC</w:t>
      </w:r>
      <w:r>
        <w:rPr>
          <w:rFonts w:ascii="Arial" w:eastAsia="Arial" w:hAnsi="Arial" w:cs="Arial"/>
          <w:color w:val="000000"/>
          <w:sz w:val="18"/>
        </w:rPr>
        <w:t xml:space="preserve">, 896 F.3d 278, 290 (4th Cir.) ("[C]ontentions not raised in the argument section of the opening brief are abandoned." (internal quotation marks omitted)), </w:t>
      </w:r>
      <w:r>
        <w:rPr>
          <w:rFonts w:ascii="Arial" w:eastAsia="Arial" w:hAnsi="Arial" w:cs="Arial"/>
          <w:i/>
          <w:color w:val="000000"/>
          <w:sz w:val="18"/>
        </w:rPr>
        <w:t>cert. denied</w:t>
      </w:r>
      <w:r>
        <w:rPr>
          <w:rFonts w:ascii="Arial" w:eastAsia="Arial" w:hAnsi="Arial" w:cs="Arial"/>
          <w:color w:val="000000"/>
          <w:sz w:val="18"/>
        </w:rPr>
        <w:t xml:space="preserve">, </w:t>
      </w:r>
      <w:bookmarkStart w:id="7107" w:name="Bookmark_I5Y90GWG28T49T0030000400"/>
      <w:bookmarkEnd w:id="7107"/>
      <w:r>
        <w:rPr>
          <w:rFonts w:ascii="Arial" w:eastAsia="Arial" w:hAnsi="Arial" w:cs="Arial"/>
          <w:color w:val="000000"/>
          <w:sz w:val="18"/>
        </w:rPr>
        <w:t>139 S. Ct. 607, 202 L. Ed. 2d 431 (2018).</w:t>
      </w:r>
    </w:p>
  </w:footnote>
  <w:footnote w:id="325">
    <w:p w14:paraId="3FFF3938" w14:textId="77777777" w:rsidR="002B10A6" w:rsidRDefault="00000000">
      <w:pPr>
        <w:pStyle w:val="Normal39"/>
        <w:widowControl w:val="0"/>
        <w:spacing w:before="120" w:line="240" w:lineRule="atLeast"/>
        <w:jc w:val="both"/>
      </w:pPr>
      <w:r>
        <w:rPr>
          <w:rFonts w:ascii="Arial" w:eastAsia="Arial" w:hAnsi="Arial" w:cs="Arial"/>
          <w:color w:val="000000"/>
          <w:sz w:val="18"/>
          <w:vertAlign w:val="superscript"/>
        </w:rPr>
        <w:t>1 </w:t>
      </w:r>
      <w:bookmarkStart w:id="7136" w:name="Bookmark_fnpara_1_36"/>
      <w:bookmarkEnd w:id="7136"/>
      <w:r>
        <w:rPr>
          <w:rFonts w:ascii="Arial" w:eastAsia="Arial" w:hAnsi="Arial" w:cs="Arial"/>
          <w:color w:val="000000"/>
          <w:sz w:val="18"/>
        </w:rPr>
        <w:t>The Honorable Beth Phillips, Chief Judge, United States District Court for the Western District of Missouri.</w:t>
      </w:r>
    </w:p>
  </w:footnote>
  <w:footnote w:id="326">
    <w:p w14:paraId="3D42E7A5"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1 </w:t>
      </w:r>
      <w:bookmarkStart w:id="7161" w:name="Bookmark_fnpara_1_37"/>
      <w:bookmarkEnd w:id="7161"/>
      <w:r>
        <w:rPr>
          <w:rFonts w:ascii="Arial" w:eastAsia="Arial" w:hAnsi="Arial" w:cs="Arial"/>
          <w:color w:val="000000"/>
          <w:sz w:val="18"/>
        </w:rPr>
        <w:t>At that time, Champion had four regions—all of which reported to one corporate office. Clark worked as the Personnel Manager for the Arlington, Texas branch in the South Central region.</w:t>
      </w:r>
    </w:p>
  </w:footnote>
  <w:footnote w:id="327">
    <w:p w14:paraId="4ABD77A9"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2 </w:t>
      </w:r>
      <w:bookmarkStart w:id="7162" w:name="Bookmark_fnpara_2_30"/>
      <w:bookmarkEnd w:id="7162"/>
      <w:r>
        <w:rPr>
          <w:rFonts w:ascii="Arial" w:eastAsia="Arial" w:hAnsi="Arial" w:cs="Arial"/>
          <w:color w:val="000000"/>
          <w:sz w:val="18"/>
        </w:rPr>
        <w:t>Champion's Corporate Human Resources Manager, Jeff Mays, determined the job functions of the regional personnel managers, like Clark.</w:t>
      </w:r>
    </w:p>
  </w:footnote>
  <w:footnote w:id="328">
    <w:p w14:paraId="61A47C9D"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3 </w:t>
      </w:r>
      <w:bookmarkStart w:id="7163" w:name="Bookmark_fnpara_3_28"/>
      <w:bookmarkEnd w:id="7163"/>
      <w:r>
        <w:rPr>
          <w:rFonts w:ascii="Arial" w:eastAsia="Arial" w:hAnsi="Arial" w:cs="Arial"/>
          <w:color w:val="000000"/>
          <w:sz w:val="18"/>
        </w:rPr>
        <w:t>According to Champion management, the termination "process typically involves taking a photograph of the employee, obtaining witness statements, and terminating their employment immediately (</w:t>
      </w:r>
      <w:r>
        <w:rPr>
          <w:rFonts w:ascii="Arial" w:eastAsia="Arial" w:hAnsi="Arial" w:cs="Arial"/>
          <w:i/>
          <w:color w:val="000000"/>
          <w:sz w:val="18"/>
        </w:rPr>
        <w:t>i.e.</w:t>
      </w:r>
      <w:r>
        <w:rPr>
          <w:rFonts w:ascii="Arial" w:eastAsia="Arial" w:hAnsi="Arial" w:cs="Arial"/>
          <w:color w:val="000000"/>
          <w:sz w:val="18"/>
        </w:rPr>
        <w:t>, certainly before they do any further work)."</w:t>
      </w:r>
    </w:p>
  </w:footnote>
  <w:footnote w:id="329">
    <w:p w14:paraId="7E4D744A"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4 </w:t>
      </w:r>
      <w:bookmarkStart w:id="7165" w:name="Bookmark_fnpara_4_25"/>
      <w:bookmarkEnd w:id="7165"/>
      <w:r>
        <w:rPr>
          <w:rFonts w:ascii="Arial" w:eastAsia="Arial" w:hAnsi="Arial" w:cs="Arial"/>
          <w:color w:val="000000"/>
          <w:sz w:val="18"/>
        </w:rPr>
        <w:t>Clark claims that he has suffered from several mental disorders, such as Post-Traumatic Stress Disorder, Major Depressive Disorder, Attention-Deficit/Hyperactivity Disorder, "depression, psychotic," and Generalized Anxiety Disorder. Clark also claims that he has suffered from physical ailments like arthritis. But there is no evidence that Clark alerted Champion about these mental or physical conditions, and he doesn't claim that they impacted his employment, so they don't affect this dispute.</w:t>
      </w:r>
    </w:p>
  </w:footnote>
  <w:footnote w:id="330">
    <w:p w14:paraId="7C73323D"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5 </w:t>
      </w:r>
      <w:bookmarkStart w:id="7167" w:name="Bookmark_fnpara_5_21"/>
      <w:bookmarkEnd w:id="7167"/>
      <w:r>
        <w:rPr>
          <w:rFonts w:ascii="Arial" w:eastAsia="Arial" w:hAnsi="Arial" w:cs="Arial"/>
          <w:color w:val="000000"/>
          <w:sz w:val="18"/>
        </w:rPr>
        <w:t xml:space="preserve">The grooming policy requires male employees "to maintain a clean shaven appearance. No beards, long sideburns (below ear), or goatees. </w:t>
      </w:r>
      <w:r>
        <w:rPr>
          <w:rFonts w:ascii="Arial" w:eastAsia="Arial" w:hAnsi="Arial" w:cs="Arial"/>
          <w:i/>
          <w:color w:val="000000"/>
          <w:sz w:val="18"/>
        </w:rPr>
        <w:t>Exceptions</w:t>
      </w:r>
      <w:r>
        <w:rPr>
          <w:rFonts w:ascii="Arial" w:eastAsia="Arial" w:hAnsi="Arial" w:cs="Arial"/>
          <w:color w:val="000000"/>
          <w:sz w:val="18"/>
        </w:rPr>
        <w:t>: . . . beard for medical need (provide proof to Human Resources)." "All officers are expected to tuck in their uniform shirt at all times."</w:t>
      </w:r>
    </w:p>
  </w:footnote>
  <w:footnote w:id="331">
    <w:p w14:paraId="6A5B5BFF"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6 </w:t>
      </w:r>
      <w:bookmarkStart w:id="7169" w:name="Bookmark_fnpara_6_17"/>
      <w:bookmarkEnd w:id="7169"/>
      <w:r>
        <w:rPr>
          <w:rFonts w:ascii="Arial" w:eastAsia="Arial" w:hAnsi="Arial" w:cs="Arial"/>
          <w:color w:val="000000"/>
          <w:sz w:val="18"/>
        </w:rPr>
        <w:t>Clark's email to Champion said, "Diabetics face a variety of potential skin problems. Those with diabetes are at an increased risk for bacterial or fungal skin infection." His email then went on to describe folliculitis and ways to manage it—including "reduc[ing] frequency of shaving (or grow a beard)." But Clark admitted in his deposition that he had never been diagnosed with folliculitis. Another email of Clark's asserts that "[t]he medical note that I provided to Matt for my facial hair exemption is for a medical issue that is a result of my diabetes. I have been an insulin-dependent diabetic for eight years."</w:t>
      </w:r>
    </w:p>
  </w:footnote>
  <w:footnote w:id="332">
    <w:p w14:paraId="4DE53FFE"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7 </w:t>
      </w:r>
      <w:bookmarkStart w:id="7171" w:name="Bookmark_fnpara_7_13"/>
      <w:bookmarkEnd w:id="7171"/>
      <w:r>
        <w:rPr>
          <w:rFonts w:ascii="Arial" w:eastAsia="Arial" w:hAnsi="Arial" w:cs="Arial"/>
          <w:color w:val="000000"/>
          <w:sz w:val="18"/>
        </w:rPr>
        <w:t>Clark subsequently submitted a note from his doctor that stated, "Clark should not be performing any activity that affects the left shoulder cuff and causes pain, including reaching behind his back."</w:t>
      </w:r>
    </w:p>
  </w:footnote>
  <w:footnote w:id="333">
    <w:p w14:paraId="6ED4E4DD"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8 </w:t>
      </w:r>
      <w:bookmarkStart w:id="7173" w:name="Bookmark_fnpara_8_11"/>
      <w:bookmarkEnd w:id="7173"/>
      <w:r>
        <w:rPr>
          <w:rFonts w:ascii="Arial" w:eastAsia="Arial" w:hAnsi="Arial" w:cs="Arial"/>
          <w:color w:val="000000"/>
          <w:sz w:val="18"/>
        </w:rPr>
        <w:t>McCoy's email to Clark stated, "I have copied in the HR manager [Mays] so that he can obtain your formal complaint and begin an investigation."</w:t>
      </w:r>
    </w:p>
  </w:footnote>
  <w:footnote w:id="334">
    <w:p w14:paraId="785CDA35"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9 </w:t>
      </w:r>
      <w:bookmarkStart w:id="7174" w:name="Bookmark_fnpara_9_9"/>
      <w:bookmarkEnd w:id="7174"/>
      <w:r>
        <w:rPr>
          <w:rFonts w:ascii="Arial" w:eastAsia="Arial" w:hAnsi="Arial" w:cs="Arial"/>
          <w:color w:val="000000"/>
          <w:sz w:val="18"/>
        </w:rPr>
        <w:t>In this complaint, Clark alleges that McCoy was harassing him by: requiring multiple notes from Clark's doctors to justify his need for accommodations under the dress and grooming policy, sending emails that were "unprofessional" and "mocking," and denying him a fifty-cent raise on the basis of disability. We think Clark mischaracterizes both the tone of the emails and McCoy's offer to pay Clark an additional fifty cents per hour (he had already received a 4% raise) to incentivize him to shave in compliance with its grooming policy.</w:t>
      </w:r>
    </w:p>
  </w:footnote>
  <w:footnote w:id="335">
    <w:p w14:paraId="1D2C2110"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10 </w:t>
      </w:r>
      <w:bookmarkStart w:id="7175" w:name="Bookmark_fnpara_10_9"/>
      <w:bookmarkEnd w:id="7175"/>
      <w:r>
        <w:rPr>
          <w:rFonts w:ascii="Arial" w:eastAsia="Arial" w:hAnsi="Arial" w:cs="Arial"/>
          <w:color w:val="000000"/>
          <w:sz w:val="18"/>
        </w:rPr>
        <w:t>At the time of the investigation, Mays reported to McCoy. So Clark argues that the investigation lacked fairness and impartiality.</w:t>
      </w:r>
    </w:p>
  </w:footnote>
  <w:footnote w:id="336">
    <w:p w14:paraId="40FD1564"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11 </w:t>
      </w:r>
      <w:bookmarkStart w:id="7177" w:name="Bookmark_fnpara_11_6"/>
      <w:bookmarkEnd w:id="7177"/>
      <w:r>
        <w:rPr>
          <w:rFonts w:ascii="Arial" w:eastAsia="Arial" w:hAnsi="Arial" w:cs="Arial"/>
          <w:color w:val="000000"/>
          <w:sz w:val="18"/>
        </w:rPr>
        <w:t>Bents circulated a "general reminder email to all office staff reiterating [Champion's] open door policy." Clark contested the policy, and Bents provided him with a copy of it.</w:t>
      </w:r>
    </w:p>
  </w:footnote>
  <w:footnote w:id="337">
    <w:p w14:paraId="482A681B"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12 </w:t>
      </w:r>
      <w:bookmarkStart w:id="7178" w:name="Bookmark_fnpara_12_6"/>
      <w:bookmarkEnd w:id="7178"/>
      <w:r>
        <w:rPr>
          <w:rFonts w:ascii="Arial" w:eastAsia="Arial" w:hAnsi="Arial" w:cs="Arial"/>
          <w:color w:val="000000"/>
          <w:sz w:val="18"/>
        </w:rPr>
        <w:t>Champion's Handbook lists terminable offenses, including "[f]ailure to maintain alertness: . . . sleeping or giving the appearance of sleeping at any time while on duty or on the client's property (including breaks) is considered a terminable offense."</w:t>
      </w:r>
    </w:p>
  </w:footnote>
  <w:footnote w:id="338">
    <w:p w14:paraId="1DE8B84A"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13 </w:t>
      </w:r>
      <w:bookmarkStart w:id="7180" w:name="Bookmark_fnpara_13_5"/>
      <w:bookmarkEnd w:id="7180"/>
      <w:r>
        <w:rPr>
          <w:rFonts w:ascii="Arial" w:eastAsia="Arial" w:hAnsi="Arial" w:cs="Arial"/>
          <w:color w:val="000000"/>
          <w:sz w:val="18"/>
        </w:rPr>
        <w:t>Specifically, Bents sent the picture to Mays (Corporate Human Resources Manager), McCoy (then-Senior Vice President), and Matt Sullivan (then-Director of Field Operations, and the individual to whom Bents reported).</w:t>
      </w:r>
    </w:p>
  </w:footnote>
  <w:footnote w:id="339">
    <w:p w14:paraId="03F2B89E"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14 </w:t>
      </w:r>
      <w:bookmarkStart w:id="7183" w:name="Bookmark_fnpara_14_5"/>
      <w:bookmarkEnd w:id="7183"/>
      <w:r>
        <w:rPr>
          <w:rFonts w:ascii="Arial" w:eastAsia="Arial" w:hAnsi="Arial" w:cs="Arial"/>
          <w:color w:val="000000"/>
          <w:sz w:val="18"/>
        </w:rPr>
        <w:t>Clark claims that he suffered temporary amnesia and lost consciousness due to complications of his Type II diabetes.</w:t>
      </w:r>
    </w:p>
  </w:footnote>
  <w:footnote w:id="340">
    <w:p w14:paraId="11A12EB0"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15 </w:t>
      </w:r>
      <w:bookmarkStart w:id="7184" w:name="Bookmark_fnpara_15_4"/>
      <w:bookmarkStart w:id="7185" w:name="Bookmark_I5YMK1PW2N1RTM0020000400"/>
      <w:bookmarkEnd w:id="7184"/>
      <w:bookmarkEnd w:id="7185"/>
      <w:r>
        <w:rPr>
          <w:rFonts w:ascii="Arial" w:eastAsia="Arial" w:hAnsi="Arial" w:cs="Arial"/>
          <w:color w:val="000000"/>
          <w:sz w:val="18"/>
        </w:rPr>
        <w:t xml:space="preserve">Congress amended the Americans with Disabilities Act in 2008, and the amended version became effective on January 1, 2009. The amendment "rejected what Congress perceived to be the Supreme Court's unduly restrictive approach to analyzing whether [an individual] suffered from a 'disability' for purposes of the ADA." </w:t>
      </w:r>
      <w:bookmarkStart w:id="7186" w:name="Bookmark_I5YMK1PW2N1RTM0010000400"/>
      <w:bookmarkEnd w:id="7186"/>
      <w:r>
        <w:rPr>
          <w:rFonts w:ascii="Arial" w:eastAsia="Arial" w:hAnsi="Arial" w:cs="Arial"/>
          <w:i/>
          <w:color w:val="000000"/>
          <w:sz w:val="18"/>
        </w:rPr>
        <w:t>Patton v. eCardio Diagnostics LLC</w:t>
      </w:r>
      <w:r>
        <w:rPr>
          <w:rFonts w:ascii="Arial" w:eastAsia="Arial" w:hAnsi="Arial" w:cs="Arial"/>
          <w:color w:val="000000"/>
          <w:sz w:val="18"/>
        </w:rPr>
        <w:t xml:space="preserve">, 793 F. Supp. 2d 964, 968 (S.D. Tex. 2011) (alteration in original) (internal quotation marks omitted). So Congress expanded the definition of "disability" and instructed courts to construe that definition "broadly." </w:t>
      </w:r>
      <w:r>
        <w:rPr>
          <w:rFonts w:ascii="Arial" w:eastAsia="Arial" w:hAnsi="Arial" w:cs="Arial"/>
          <w:i/>
          <w:color w:val="000000"/>
          <w:sz w:val="18"/>
        </w:rPr>
        <w:t>Id.; see also</w:t>
      </w:r>
      <w:r>
        <w:rPr>
          <w:rFonts w:ascii="Arial" w:eastAsia="Arial" w:hAnsi="Arial" w:cs="Arial"/>
          <w:color w:val="000000"/>
          <w:sz w:val="18"/>
        </w:rPr>
        <w:t xml:space="preserve"> 42 U.S.C. § 12102. Here, Clark has asserted that diabetes is the only disability upon which he bases his claims. And Champion does not contest that diabetes is a qualifying disability. So the amendments will not play a major role in this case. Although the amended version is known as the "ADAAA," for consistency and convenience, we use "ADA" throughout.</w:t>
      </w:r>
    </w:p>
  </w:footnote>
  <w:footnote w:id="341">
    <w:p w14:paraId="6F88CCA2"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16 </w:t>
      </w:r>
      <w:bookmarkStart w:id="7187" w:name="Bookmark_fnpara_16_4"/>
      <w:bookmarkStart w:id="7188" w:name="Bookmark_I5YMK1PW2N1RTM0040000400"/>
      <w:bookmarkEnd w:id="7187"/>
      <w:bookmarkEnd w:id="7188"/>
      <w:r>
        <w:rPr>
          <w:rFonts w:ascii="Arial" w:eastAsia="Arial" w:hAnsi="Arial" w:cs="Arial"/>
          <w:color w:val="000000"/>
          <w:sz w:val="18"/>
        </w:rPr>
        <w:t xml:space="preserve">Clark's claims under the Texas Labor Code are based on the Texas Commission on Human Rights Act (TCHRA). </w:t>
      </w:r>
      <w:bookmarkStart w:id="7189" w:name="Bookmark_I5YMK1PY28T48G0010000400"/>
      <w:bookmarkEnd w:id="7189"/>
      <w:r>
        <w:rPr>
          <w:rFonts w:ascii="Arial" w:eastAsia="Arial" w:hAnsi="Arial" w:cs="Arial"/>
          <w:color w:val="000000"/>
          <w:sz w:val="18"/>
        </w:rPr>
        <w:t xml:space="preserve">"Because TCHRA 'parallels the language of the [ADA]', Texas courts follow ADA law in evaluating TCHRA discrimination claims. </w:t>
      </w:r>
      <w:r>
        <w:rPr>
          <w:rFonts w:ascii="Arial" w:eastAsia="Arial" w:hAnsi="Arial" w:cs="Arial"/>
          <w:i/>
          <w:color w:val="000000"/>
          <w:sz w:val="18"/>
        </w:rPr>
        <w:t xml:space="preserve">E.g., </w:t>
      </w:r>
      <w:bookmarkStart w:id="7190" w:name="Bookmark_I5YMK1PW2N1RTM0030000400"/>
      <w:bookmarkEnd w:id="7190"/>
      <w:r>
        <w:rPr>
          <w:rFonts w:ascii="Arial" w:eastAsia="Arial" w:hAnsi="Arial" w:cs="Arial"/>
          <w:i/>
          <w:color w:val="000000"/>
          <w:sz w:val="18"/>
        </w:rPr>
        <w:t>Pegram v. Honeywell, Inc.</w:t>
      </w:r>
      <w:r>
        <w:rPr>
          <w:rFonts w:ascii="Arial" w:eastAsia="Arial" w:hAnsi="Arial" w:cs="Arial"/>
          <w:color w:val="000000"/>
          <w:sz w:val="18"/>
        </w:rPr>
        <w:t xml:space="preserve">, 361 F.3d 272, 285-87 (5th Cir. 2004). </w:t>
      </w:r>
      <w:bookmarkStart w:id="7191" w:name="Bookmark_I5YMK1PY28T48G0010000400_2"/>
      <w:bookmarkEnd w:id="7191"/>
      <w:r>
        <w:rPr>
          <w:rFonts w:ascii="Arial" w:eastAsia="Arial" w:hAnsi="Arial" w:cs="Arial"/>
          <w:color w:val="000000"/>
          <w:sz w:val="18"/>
        </w:rPr>
        <w:t xml:space="preserve">The following ADA analysis therefore applies equally to the TCHRA." </w:t>
      </w:r>
      <w:bookmarkStart w:id="7192" w:name="Bookmark_I5YMK1PW2N1RTM0050000400"/>
      <w:bookmarkEnd w:id="7192"/>
      <w:r>
        <w:rPr>
          <w:rFonts w:ascii="Arial" w:eastAsia="Arial" w:hAnsi="Arial" w:cs="Arial"/>
          <w:i/>
          <w:color w:val="000000"/>
          <w:sz w:val="18"/>
        </w:rPr>
        <w:t>Williams v. Tarrant Cty. Coll. Dist.</w:t>
      </w:r>
      <w:r>
        <w:rPr>
          <w:rFonts w:ascii="Arial" w:eastAsia="Arial" w:hAnsi="Arial" w:cs="Arial"/>
          <w:color w:val="000000"/>
          <w:sz w:val="18"/>
        </w:rPr>
        <w:t>, 717 F. App'x 440, 444-45 (5th Cir. 2018).</w:t>
      </w:r>
    </w:p>
  </w:footnote>
  <w:footnote w:id="342">
    <w:p w14:paraId="6E1F539E"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17 </w:t>
      </w:r>
      <w:bookmarkStart w:id="7199" w:name="Bookmark_fnpara_17_4"/>
      <w:bookmarkStart w:id="7200" w:name="Bookmark_I5YMK1PY28T48G0020000400"/>
      <w:bookmarkEnd w:id="7199"/>
      <w:bookmarkEnd w:id="7200"/>
      <w:r>
        <w:rPr>
          <w:rFonts w:ascii="Arial" w:eastAsia="Arial" w:hAnsi="Arial" w:cs="Arial"/>
          <w:i/>
          <w:color w:val="000000"/>
          <w:sz w:val="18"/>
        </w:rPr>
        <w:t>Tagore v. United States</w:t>
      </w:r>
      <w:r>
        <w:rPr>
          <w:rFonts w:ascii="Arial" w:eastAsia="Arial" w:hAnsi="Arial" w:cs="Arial"/>
          <w:color w:val="000000"/>
          <w:sz w:val="18"/>
        </w:rPr>
        <w:t>, 735 F.3d 324, 327 (5th Cir. 2013).</w:t>
      </w:r>
    </w:p>
  </w:footnote>
  <w:footnote w:id="343">
    <w:p w14:paraId="42D7BC79"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18 </w:t>
      </w:r>
      <w:bookmarkStart w:id="7201" w:name="Bookmark_fnpara_18_4"/>
      <w:bookmarkEnd w:id="7201"/>
      <w:r>
        <w:rPr>
          <w:rFonts w:ascii="Arial" w:eastAsia="Arial" w:hAnsi="Arial" w:cs="Arial"/>
          <w:smallCaps/>
          <w:color w:val="000000"/>
          <w:sz w:val="18"/>
        </w:rPr>
        <w:t>Fed. R. Civ. P.</w:t>
      </w:r>
      <w:r>
        <w:rPr>
          <w:rFonts w:ascii="Arial" w:eastAsia="Arial" w:hAnsi="Arial" w:cs="Arial"/>
          <w:color w:val="000000"/>
          <w:sz w:val="18"/>
        </w:rPr>
        <w:t xml:space="preserve"> 56.</w:t>
      </w:r>
    </w:p>
  </w:footnote>
  <w:footnote w:id="344">
    <w:p w14:paraId="69665355"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19 </w:t>
      </w:r>
      <w:bookmarkStart w:id="7202" w:name="Bookmark_fnpara_19_4"/>
      <w:bookmarkStart w:id="7203" w:name="Bookmark_I5YMK1PY28T48G0040000400"/>
      <w:bookmarkEnd w:id="7202"/>
      <w:bookmarkEnd w:id="7203"/>
      <w:r>
        <w:rPr>
          <w:rFonts w:ascii="Arial" w:eastAsia="Arial" w:hAnsi="Arial" w:cs="Arial"/>
          <w:i/>
          <w:color w:val="000000"/>
          <w:sz w:val="18"/>
        </w:rPr>
        <w:t>Tagore</w:t>
      </w:r>
      <w:r>
        <w:rPr>
          <w:rFonts w:ascii="Arial" w:eastAsia="Arial" w:hAnsi="Arial" w:cs="Arial"/>
          <w:color w:val="000000"/>
          <w:sz w:val="18"/>
        </w:rPr>
        <w:t xml:space="preserve">, 735 F.3d at 328 (quoting </w:t>
      </w:r>
      <w:bookmarkStart w:id="7204" w:name="Bookmark_I5YMK1R02N1RTW0010000400"/>
      <w:bookmarkEnd w:id="7204"/>
      <w:r>
        <w:rPr>
          <w:rFonts w:ascii="Arial" w:eastAsia="Arial" w:hAnsi="Arial" w:cs="Arial"/>
          <w:i/>
          <w:color w:val="000000"/>
          <w:sz w:val="18"/>
        </w:rPr>
        <w:t>Anderson v. Liberty Lobby, Inc.</w:t>
      </w:r>
      <w:r>
        <w:rPr>
          <w:rFonts w:ascii="Arial" w:eastAsia="Arial" w:hAnsi="Arial" w:cs="Arial"/>
          <w:color w:val="000000"/>
          <w:sz w:val="18"/>
        </w:rPr>
        <w:t>, 477 U.S. 242, 248, 106 S. Ct. 2505, 91 L. Ed. 2d 202 (1986)).</w:t>
      </w:r>
    </w:p>
  </w:footnote>
  <w:footnote w:id="345">
    <w:p w14:paraId="1597DADE"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20 </w:t>
      </w:r>
      <w:bookmarkStart w:id="7205" w:name="Bookmark_fnpara_20_4"/>
      <w:bookmarkStart w:id="7206" w:name="Bookmark_I5YMK1R02N1RTW0030000400"/>
      <w:bookmarkEnd w:id="7205"/>
      <w:bookmarkEnd w:id="7206"/>
      <w:r>
        <w:rPr>
          <w:rFonts w:ascii="Arial" w:eastAsia="Arial" w:hAnsi="Arial" w:cs="Arial"/>
          <w:i/>
          <w:color w:val="000000"/>
          <w:sz w:val="18"/>
        </w:rPr>
        <w:t>Howell v. Town of Ball</w:t>
      </w:r>
      <w:r>
        <w:rPr>
          <w:rFonts w:ascii="Arial" w:eastAsia="Arial" w:hAnsi="Arial" w:cs="Arial"/>
          <w:color w:val="000000"/>
          <w:sz w:val="18"/>
        </w:rPr>
        <w:t>, 827 F.3d 515, 522 (5th Cir. 2016).</w:t>
      </w:r>
    </w:p>
  </w:footnote>
  <w:footnote w:id="346">
    <w:p w14:paraId="7DB43B34"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21 </w:t>
      </w:r>
      <w:bookmarkStart w:id="7207" w:name="Bookmark_fnpara_21_4"/>
      <w:bookmarkStart w:id="7208" w:name="Bookmark_I5YMK1R02N1RTW0050000400"/>
      <w:bookmarkEnd w:id="7207"/>
      <w:bookmarkEnd w:id="7208"/>
      <w:r>
        <w:rPr>
          <w:rFonts w:ascii="Arial" w:eastAsia="Arial" w:hAnsi="Arial" w:cs="Arial"/>
          <w:i/>
          <w:color w:val="000000"/>
          <w:sz w:val="18"/>
        </w:rPr>
        <w:t>Moss v. BMC Software, Inc.</w:t>
      </w:r>
      <w:r>
        <w:rPr>
          <w:rFonts w:ascii="Arial" w:eastAsia="Arial" w:hAnsi="Arial" w:cs="Arial"/>
          <w:color w:val="000000"/>
          <w:sz w:val="18"/>
        </w:rPr>
        <w:t>, 610 F.3d 917, 922 (5th Cir. 2010).</w:t>
      </w:r>
    </w:p>
  </w:footnote>
  <w:footnote w:id="347">
    <w:p w14:paraId="065041D0"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22 </w:t>
      </w:r>
      <w:bookmarkStart w:id="7211" w:name="Bookmark_fnpara_22_4"/>
      <w:bookmarkEnd w:id="7211"/>
      <w:r>
        <w:rPr>
          <w:rFonts w:ascii="Arial" w:eastAsia="Arial" w:hAnsi="Arial" w:cs="Arial"/>
          <w:color w:val="000000"/>
          <w:sz w:val="18"/>
        </w:rPr>
        <w:t>42 U.S.C. § 12112(a).</w:t>
      </w:r>
    </w:p>
  </w:footnote>
  <w:footnote w:id="348">
    <w:p w14:paraId="4FF98F38"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23 </w:t>
      </w:r>
      <w:bookmarkStart w:id="7212" w:name="Bookmark_fnpara_23_4"/>
      <w:bookmarkStart w:id="7213" w:name="Bookmark_I5YMK1R02N1RV00020000400"/>
      <w:bookmarkEnd w:id="7212"/>
      <w:bookmarkEnd w:id="7213"/>
      <w:r>
        <w:rPr>
          <w:rFonts w:ascii="Arial" w:eastAsia="Arial" w:hAnsi="Arial" w:cs="Arial"/>
          <w:i/>
          <w:color w:val="000000"/>
          <w:sz w:val="18"/>
        </w:rPr>
        <w:t>E.E.O.C. v. LHC Grp., Inc.</w:t>
      </w:r>
      <w:r>
        <w:rPr>
          <w:rFonts w:ascii="Arial" w:eastAsia="Arial" w:hAnsi="Arial" w:cs="Arial"/>
          <w:color w:val="000000"/>
          <w:sz w:val="18"/>
        </w:rPr>
        <w:t xml:space="preserve">, 773 F.3d 688, 694 (5th Cir. 2014) (citing </w:t>
      </w:r>
      <w:bookmarkStart w:id="7214" w:name="Bookmark_I5YMK1R02N1RV00040000400"/>
      <w:bookmarkEnd w:id="7214"/>
      <w:r>
        <w:rPr>
          <w:rFonts w:ascii="Arial" w:eastAsia="Arial" w:hAnsi="Arial" w:cs="Arial"/>
          <w:i/>
          <w:color w:val="000000"/>
          <w:sz w:val="18"/>
        </w:rPr>
        <w:t>McDonnell Douglas Corp. v. Green</w:t>
      </w:r>
      <w:r>
        <w:rPr>
          <w:rFonts w:ascii="Arial" w:eastAsia="Arial" w:hAnsi="Arial" w:cs="Arial"/>
          <w:color w:val="000000"/>
          <w:sz w:val="18"/>
        </w:rPr>
        <w:t xml:space="preserve">, 411 U.S. 792, 93 S. Ct. 1817, 36 L. Ed. 2d 668 (1973)). See infra Part III.B for a discussion of the </w:t>
      </w:r>
      <w:r>
        <w:rPr>
          <w:rFonts w:ascii="Arial" w:eastAsia="Arial" w:hAnsi="Arial" w:cs="Arial"/>
          <w:i/>
          <w:color w:val="000000"/>
          <w:sz w:val="18"/>
        </w:rPr>
        <w:t>McDonnell Douglas</w:t>
      </w:r>
      <w:r>
        <w:rPr>
          <w:rFonts w:ascii="Arial" w:eastAsia="Arial" w:hAnsi="Arial" w:cs="Arial"/>
          <w:color w:val="000000"/>
          <w:sz w:val="18"/>
        </w:rPr>
        <w:t xml:space="preserve"> burden-shifting analysis.</w:t>
      </w:r>
    </w:p>
  </w:footnote>
  <w:footnote w:id="349">
    <w:p w14:paraId="33F83C33"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24 </w:t>
      </w:r>
      <w:bookmarkStart w:id="7220" w:name="Bookmark_fnpara_24_4"/>
      <w:bookmarkStart w:id="7221" w:name="Bookmark_I5YMK1R12SF8S90010000400"/>
      <w:bookmarkEnd w:id="7220"/>
      <w:bookmarkEnd w:id="7221"/>
      <w:r>
        <w:rPr>
          <w:rFonts w:ascii="Arial" w:eastAsia="Arial" w:hAnsi="Arial" w:cs="Arial"/>
          <w:i/>
          <w:color w:val="000000"/>
          <w:sz w:val="18"/>
        </w:rPr>
        <w:t>Portis v. First Nat'l Bank of New Albany</w:t>
      </w:r>
      <w:r>
        <w:rPr>
          <w:rFonts w:ascii="Arial" w:eastAsia="Arial" w:hAnsi="Arial" w:cs="Arial"/>
          <w:color w:val="000000"/>
          <w:sz w:val="18"/>
        </w:rPr>
        <w:t>, 34 F.3d 325, 328 (5th Cir. 1994).</w:t>
      </w:r>
    </w:p>
  </w:footnote>
  <w:footnote w:id="350">
    <w:p w14:paraId="552A36BC"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25 </w:t>
      </w:r>
      <w:bookmarkStart w:id="7222" w:name="Bookmark_fnpara_25_4"/>
      <w:bookmarkStart w:id="7223" w:name="Bookmark_I5YMK1R12SF8S90030000400"/>
      <w:bookmarkEnd w:id="7222"/>
      <w:bookmarkEnd w:id="7223"/>
      <w:r>
        <w:rPr>
          <w:rFonts w:ascii="Arial" w:eastAsia="Arial" w:hAnsi="Arial" w:cs="Arial"/>
          <w:i/>
          <w:color w:val="000000"/>
          <w:sz w:val="18"/>
        </w:rPr>
        <w:t>Brown v. E. Miss. Elec. Power Ass'n</w:t>
      </w:r>
      <w:r>
        <w:rPr>
          <w:rFonts w:ascii="Arial" w:eastAsia="Arial" w:hAnsi="Arial" w:cs="Arial"/>
          <w:color w:val="000000"/>
          <w:sz w:val="18"/>
        </w:rPr>
        <w:t>, 989 F.2d 858, 861 (5th Cir. 1993).</w:t>
      </w:r>
    </w:p>
  </w:footnote>
  <w:footnote w:id="351">
    <w:p w14:paraId="4F82ABB4"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26 </w:t>
      </w:r>
      <w:bookmarkStart w:id="7224" w:name="Bookmark_fnpara_26_4"/>
      <w:bookmarkStart w:id="7225" w:name="Bookmark_I5YMK1R12SF8S90050000400"/>
      <w:bookmarkEnd w:id="7224"/>
      <w:bookmarkEnd w:id="7225"/>
      <w:r>
        <w:rPr>
          <w:rFonts w:ascii="Arial" w:eastAsia="Arial" w:hAnsi="Arial" w:cs="Arial"/>
          <w:i/>
          <w:color w:val="000000"/>
          <w:sz w:val="18"/>
        </w:rPr>
        <w:t>Herster v. Bd. of Supervisors of La. State Univ.</w:t>
      </w:r>
      <w:r>
        <w:rPr>
          <w:rFonts w:ascii="Arial" w:eastAsia="Arial" w:hAnsi="Arial" w:cs="Arial"/>
          <w:color w:val="000000"/>
          <w:sz w:val="18"/>
        </w:rPr>
        <w:t xml:space="preserve">, 887 F.3d 177, 185 (5th Cir. 2018) (quoting </w:t>
      </w:r>
      <w:bookmarkStart w:id="7226" w:name="Bookmark_I5YMK1R228T48V0020000400"/>
      <w:bookmarkEnd w:id="7226"/>
      <w:r>
        <w:rPr>
          <w:rFonts w:ascii="Arial" w:eastAsia="Arial" w:hAnsi="Arial" w:cs="Arial"/>
          <w:i/>
          <w:color w:val="000000"/>
          <w:sz w:val="18"/>
        </w:rPr>
        <w:t>Jones v. Robinson Prop. Grp., L.P.</w:t>
      </w:r>
      <w:r>
        <w:rPr>
          <w:rFonts w:ascii="Arial" w:eastAsia="Arial" w:hAnsi="Arial" w:cs="Arial"/>
          <w:color w:val="000000"/>
          <w:sz w:val="18"/>
        </w:rPr>
        <w:t>, 427 F.3d 987, 993 (5th Cir. 2005)).</w:t>
      </w:r>
    </w:p>
  </w:footnote>
  <w:footnote w:id="352">
    <w:p w14:paraId="6301F753"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27 </w:t>
      </w:r>
      <w:bookmarkStart w:id="7230" w:name="Bookmark_fnpara_27_2"/>
      <w:bookmarkStart w:id="7231" w:name="Bookmark_I5YMK1R228T48V0040000400"/>
      <w:bookmarkEnd w:id="7230"/>
      <w:bookmarkEnd w:id="7231"/>
      <w:r>
        <w:rPr>
          <w:rFonts w:ascii="Arial" w:eastAsia="Arial" w:hAnsi="Arial" w:cs="Arial"/>
          <w:i/>
          <w:color w:val="000000"/>
          <w:sz w:val="18"/>
        </w:rPr>
        <w:t>Portis</w:t>
      </w:r>
      <w:r>
        <w:rPr>
          <w:rFonts w:ascii="Arial" w:eastAsia="Arial" w:hAnsi="Arial" w:cs="Arial"/>
          <w:color w:val="000000"/>
          <w:sz w:val="18"/>
        </w:rPr>
        <w:t>, 34 F.3d at 329.</w:t>
      </w:r>
    </w:p>
  </w:footnote>
  <w:footnote w:id="353">
    <w:p w14:paraId="5D7A0A4F"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28 </w:t>
      </w:r>
      <w:bookmarkStart w:id="7232" w:name="Bookmark_fnpara_28_2"/>
      <w:bookmarkStart w:id="7233" w:name="Bookmark_I5YMK1R22SF8SF0010000400"/>
      <w:bookmarkEnd w:id="7232"/>
      <w:bookmarkEnd w:id="7233"/>
      <w:r>
        <w:rPr>
          <w:rFonts w:ascii="Arial" w:eastAsia="Arial" w:hAnsi="Arial" w:cs="Arial"/>
          <w:i/>
          <w:color w:val="000000"/>
          <w:sz w:val="18"/>
        </w:rPr>
        <w:t>Id.</w:t>
      </w:r>
      <w:r>
        <w:rPr>
          <w:rFonts w:ascii="Arial" w:eastAsia="Arial" w:hAnsi="Arial" w:cs="Arial"/>
          <w:color w:val="000000"/>
          <w:sz w:val="18"/>
        </w:rPr>
        <w:t xml:space="preserve"> at 329-31.</w:t>
      </w:r>
    </w:p>
  </w:footnote>
  <w:footnote w:id="354">
    <w:p w14:paraId="2DEA6CC4"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29 </w:t>
      </w:r>
      <w:bookmarkStart w:id="7237" w:name="Bookmark_fnpara_29_2"/>
      <w:bookmarkStart w:id="7238" w:name="Bookmark_I5YMK1R22SF8SF0030000400"/>
      <w:bookmarkEnd w:id="7237"/>
      <w:bookmarkEnd w:id="7238"/>
      <w:r>
        <w:rPr>
          <w:rFonts w:ascii="Arial" w:eastAsia="Arial" w:hAnsi="Arial" w:cs="Arial"/>
          <w:i/>
          <w:color w:val="000000"/>
          <w:sz w:val="18"/>
        </w:rPr>
        <w:t>Etienne v. Spanish Lake Truck &amp; Casino Plaza, L.L.C.</w:t>
      </w:r>
      <w:r>
        <w:rPr>
          <w:rFonts w:ascii="Arial" w:eastAsia="Arial" w:hAnsi="Arial" w:cs="Arial"/>
          <w:color w:val="000000"/>
          <w:sz w:val="18"/>
        </w:rPr>
        <w:t>, 778 F.3d 473, 474 (5th Cir. 2015).</w:t>
      </w:r>
    </w:p>
  </w:footnote>
  <w:footnote w:id="355">
    <w:p w14:paraId="155B5C8B"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30 </w:t>
      </w:r>
      <w:bookmarkStart w:id="7239" w:name="Bookmark_fnpara_30_2"/>
      <w:bookmarkStart w:id="7240" w:name="Bookmark_I5YMK1R22SF8SF0050000400"/>
      <w:bookmarkEnd w:id="7239"/>
      <w:bookmarkEnd w:id="7240"/>
      <w:r>
        <w:rPr>
          <w:rFonts w:ascii="Arial" w:eastAsia="Arial" w:hAnsi="Arial" w:cs="Arial"/>
          <w:i/>
          <w:color w:val="000000"/>
          <w:sz w:val="18"/>
        </w:rPr>
        <w:t>Id.</w:t>
      </w:r>
      <w:r>
        <w:rPr>
          <w:rFonts w:ascii="Arial" w:eastAsia="Arial" w:hAnsi="Arial" w:cs="Arial"/>
          <w:color w:val="000000"/>
          <w:sz w:val="18"/>
        </w:rPr>
        <w:t xml:space="preserve"> at 476.</w:t>
      </w:r>
    </w:p>
  </w:footnote>
  <w:footnote w:id="356">
    <w:p w14:paraId="6CFA02F4"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31 </w:t>
      </w:r>
      <w:bookmarkStart w:id="7244" w:name="Bookmark_fnpara_31_2"/>
      <w:bookmarkStart w:id="7245" w:name="Bookmark_I5YMK1R22N1RV90020000400"/>
      <w:bookmarkEnd w:id="7244"/>
      <w:bookmarkEnd w:id="7245"/>
      <w:r>
        <w:rPr>
          <w:rFonts w:ascii="Arial" w:eastAsia="Arial" w:hAnsi="Arial" w:cs="Arial"/>
          <w:i/>
          <w:color w:val="000000"/>
          <w:sz w:val="18"/>
        </w:rPr>
        <w:t>Jones</w:t>
      </w:r>
      <w:r>
        <w:rPr>
          <w:rFonts w:ascii="Arial" w:eastAsia="Arial" w:hAnsi="Arial" w:cs="Arial"/>
          <w:color w:val="000000"/>
          <w:sz w:val="18"/>
        </w:rPr>
        <w:t>, 427 F.3d at 991.</w:t>
      </w:r>
    </w:p>
  </w:footnote>
  <w:footnote w:id="357">
    <w:p w14:paraId="4E504F43"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32 </w:t>
      </w:r>
      <w:bookmarkStart w:id="7246" w:name="Bookmark_fnpara_32_2"/>
      <w:bookmarkStart w:id="7247" w:name="Bookmark_I5YMK1R22N1RV90040000400"/>
      <w:bookmarkEnd w:id="7246"/>
      <w:bookmarkEnd w:id="7247"/>
      <w:r>
        <w:rPr>
          <w:rFonts w:ascii="Arial" w:eastAsia="Arial" w:hAnsi="Arial" w:cs="Arial"/>
          <w:i/>
          <w:color w:val="000000"/>
          <w:sz w:val="18"/>
        </w:rPr>
        <w:t>Id.</w:t>
      </w:r>
      <w:r>
        <w:rPr>
          <w:rFonts w:ascii="Arial" w:eastAsia="Arial" w:hAnsi="Arial" w:cs="Arial"/>
          <w:color w:val="000000"/>
          <w:sz w:val="18"/>
        </w:rPr>
        <w:t xml:space="preserve"> at 993.</w:t>
      </w:r>
    </w:p>
  </w:footnote>
  <w:footnote w:id="358">
    <w:p w14:paraId="79FDAAA8"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33 </w:t>
      </w:r>
      <w:bookmarkStart w:id="7248" w:name="Bookmark_fnpara_33_2"/>
      <w:bookmarkEnd w:id="7248"/>
      <w:r>
        <w:rPr>
          <w:rFonts w:ascii="Arial" w:eastAsia="Arial" w:hAnsi="Arial" w:cs="Arial"/>
          <w:i/>
          <w:color w:val="000000"/>
          <w:sz w:val="18"/>
        </w:rPr>
        <w:t>Id.</w:t>
      </w:r>
    </w:p>
  </w:footnote>
  <w:footnote w:id="359">
    <w:p w14:paraId="1388EFC3"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34 </w:t>
      </w:r>
      <w:bookmarkStart w:id="7249" w:name="Bookmark_fnpara_34_2"/>
      <w:bookmarkStart w:id="7250" w:name="Bookmark_I746KS7FRT100009YN000010"/>
      <w:bookmarkStart w:id="7251" w:name="Bookmark_I746KS7FWBD00009YN000011"/>
      <w:bookmarkStart w:id="7252" w:name="Bookmark_I746KS7G0WF00009YN000012"/>
      <w:bookmarkStart w:id="7253" w:name="Bookmark_I5YMK1R22N1RVB0020000400"/>
      <w:bookmarkEnd w:id="7249"/>
      <w:bookmarkEnd w:id="7250"/>
      <w:bookmarkEnd w:id="7251"/>
      <w:bookmarkEnd w:id="7252"/>
      <w:bookmarkEnd w:id="7253"/>
      <w:r>
        <w:rPr>
          <w:rFonts w:ascii="Arial" w:eastAsia="Arial" w:hAnsi="Arial" w:cs="Arial"/>
          <w:i/>
          <w:color w:val="000000"/>
          <w:sz w:val="18"/>
        </w:rPr>
        <w:t>Id.</w:t>
      </w:r>
      <w:r>
        <w:rPr>
          <w:rFonts w:ascii="Arial" w:eastAsia="Arial" w:hAnsi="Arial" w:cs="Arial"/>
          <w:color w:val="000000"/>
          <w:sz w:val="18"/>
        </w:rPr>
        <w:t xml:space="preserve"> Although in </w:t>
      </w:r>
      <w:bookmarkStart w:id="7254" w:name="Bookmark_I5YMK1R22N1RVB0010000400"/>
      <w:bookmarkEnd w:id="7254"/>
      <w:r>
        <w:rPr>
          <w:rFonts w:ascii="Arial" w:eastAsia="Arial" w:hAnsi="Arial" w:cs="Arial"/>
          <w:i/>
          <w:color w:val="000000"/>
          <w:sz w:val="18"/>
        </w:rPr>
        <w:t xml:space="preserve">Portis, </w:t>
      </w:r>
      <w:bookmarkStart w:id="7255" w:name="Bookmark_I5YMK1R22N1RVB0030000400"/>
      <w:bookmarkEnd w:id="7255"/>
      <w:r>
        <w:rPr>
          <w:rFonts w:ascii="Arial" w:eastAsia="Arial" w:hAnsi="Arial" w:cs="Arial"/>
          <w:i/>
          <w:color w:val="000000"/>
          <w:sz w:val="18"/>
        </w:rPr>
        <w:t>Etienne</w:t>
      </w:r>
      <w:bookmarkStart w:id="7256" w:name="Bookmark_I5YMK1R22HM67M0030000400"/>
      <w:bookmarkEnd w:id="7256"/>
      <w:r>
        <w:rPr>
          <w:rFonts w:ascii="Arial" w:eastAsia="Arial" w:hAnsi="Arial" w:cs="Arial"/>
          <w:color w:val="000000"/>
          <w:sz w:val="18"/>
        </w:rPr>
        <w:t xml:space="preserve">, and </w:t>
      </w:r>
      <w:bookmarkStart w:id="7257" w:name="Bookmark_I5YMK1R22N1RVB0050000400"/>
      <w:bookmarkEnd w:id="7257"/>
      <w:r>
        <w:rPr>
          <w:rFonts w:ascii="Arial" w:eastAsia="Arial" w:hAnsi="Arial" w:cs="Arial"/>
          <w:i/>
          <w:color w:val="000000"/>
          <w:sz w:val="18"/>
        </w:rPr>
        <w:t>Jones</w:t>
      </w:r>
      <w:r>
        <w:rPr>
          <w:rFonts w:ascii="Arial" w:eastAsia="Arial" w:hAnsi="Arial" w:cs="Arial"/>
          <w:color w:val="000000"/>
          <w:sz w:val="18"/>
        </w:rPr>
        <w:t xml:space="preserve"> we analyzed allegations of direct evidence of discrimination in the context of Title VII, the principle of what qualifies as direct evidence is persuasive in the context of the ADA—a sister antidiscrimination statute. </w:t>
      </w:r>
      <w:bookmarkStart w:id="7258" w:name="Bookmark_I5YMK1R22HM67M0030000400_2"/>
      <w:bookmarkEnd w:id="7258"/>
      <w:r>
        <w:rPr>
          <w:rFonts w:ascii="Arial" w:eastAsia="Arial" w:hAnsi="Arial" w:cs="Arial"/>
          <w:i/>
          <w:color w:val="000000"/>
          <w:sz w:val="18"/>
        </w:rPr>
        <w:t xml:space="preserve">See, e.g., </w:t>
      </w:r>
      <w:bookmarkStart w:id="7259" w:name="Bookmark_I5YMK1R22HM67M0020000400"/>
      <w:bookmarkEnd w:id="7259"/>
      <w:r>
        <w:rPr>
          <w:rFonts w:ascii="Arial" w:eastAsia="Arial" w:hAnsi="Arial" w:cs="Arial"/>
          <w:i/>
          <w:color w:val="000000"/>
          <w:sz w:val="18"/>
        </w:rPr>
        <w:t>Rodriguez v. Eli Lilly &amp; Co.</w:t>
      </w:r>
      <w:r>
        <w:rPr>
          <w:rFonts w:ascii="Arial" w:eastAsia="Arial" w:hAnsi="Arial" w:cs="Arial"/>
          <w:color w:val="000000"/>
          <w:sz w:val="18"/>
        </w:rPr>
        <w:t>, 820 F.3d 759, 765 (5th Cir. 2016) (citing discrimination cases under Title VII and the Age Discrimination in Employment Act of 1967 in its analysis of whether a former employee presented direct evidence of disability discrimination under the ADA).</w:t>
      </w:r>
    </w:p>
  </w:footnote>
  <w:footnote w:id="360">
    <w:p w14:paraId="0762C1B8"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35 </w:t>
      </w:r>
      <w:bookmarkStart w:id="7263" w:name="Bookmark_fnpara_35_2"/>
      <w:bookmarkStart w:id="7264" w:name="Bookmark_I5YMK1R22HM67M0040000400"/>
      <w:bookmarkEnd w:id="7263"/>
      <w:bookmarkEnd w:id="7264"/>
      <w:r>
        <w:rPr>
          <w:rFonts w:ascii="Arial" w:eastAsia="Arial" w:hAnsi="Arial" w:cs="Arial"/>
          <w:i/>
          <w:color w:val="000000"/>
          <w:sz w:val="18"/>
        </w:rPr>
        <w:t>Rodriguez v. ConAgra Grocery Prods. Co.</w:t>
      </w:r>
      <w:r>
        <w:rPr>
          <w:rFonts w:ascii="Arial" w:eastAsia="Arial" w:hAnsi="Arial" w:cs="Arial"/>
          <w:color w:val="000000"/>
          <w:sz w:val="18"/>
        </w:rPr>
        <w:t>, 436 F.3d 468, 480 (5th Cir. 2006).</w:t>
      </w:r>
    </w:p>
  </w:footnote>
  <w:footnote w:id="361">
    <w:p w14:paraId="72AE53F5"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36 </w:t>
      </w:r>
      <w:bookmarkStart w:id="7265" w:name="Bookmark_fnpara_36_2"/>
      <w:bookmarkStart w:id="7266" w:name="Bookmark_I5YMK1R32D6N8R0010000400"/>
      <w:bookmarkEnd w:id="7265"/>
      <w:bookmarkEnd w:id="7266"/>
      <w:r>
        <w:rPr>
          <w:rFonts w:ascii="Arial" w:eastAsia="Arial" w:hAnsi="Arial" w:cs="Arial"/>
          <w:i/>
          <w:color w:val="000000"/>
          <w:sz w:val="18"/>
        </w:rPr>
        <w:t>Id.</w:t>
      </w:r>
      <w:r>
        <w:rPr>
          <w:rFonts w:ascii="Arial" w:eastAsia="Arial" w:hAnsi="Arial" w:cs="Arial"/>
          <w:color w:val="000000"/>
          <w:sz w:val="18"/>
        </w:rPr>
        <w:t xml:space="preserve"> at 479.</w:t>
      </w:r>
    </w:p>
  </w:footnote>
  <w:footnote w:id="362">
    <w:p w14:paraId="24D7CCFA"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37 </w:t>
      </w:r>
      <w:bookmarkStart w:id="7268" w:name="Bookmark_fnpara_37_2"/>
      <w:bookmarkStart w:id="7269" w:name="Bookmark_I5YMK1R32D6N8R0040000400"/>
      <w:bookmarkEnd w:id="7268"/>
      <w:bookmarkEnd w:id="7269"/>
      <w:r>
        <w:rPr>
          <w:rFonts w:ascii="Arial" w:eastAsia="Arial" w:hAnsi="Arial" w:cs="Arial"/>
          <w:color w:val="000000"/>
          <w:sz w:val="18"/>
        </w:rPr>
        <w:t xml:space="preserve">Similarly, in </w:t>
      </w:r>
      <w:r>
        <w:rPr>
          <w:rFonts w:ascii="Arial" w:eastAsia="Arial" w:hAnsi="Arial" w:cs="Arial"/>
          <w:i/>
          <w:color w:val="000000"/>
          <w:sz w:val="18"/>
        </w:rPr>
        <w:t>Herster</w:t>
      </w:r>
      <w:r>
        <w:rPr>
          <w:rFonts w:ascii="Arial" w:eastAsia="Arial" w:hAnsi="Arial" w:cs="Arial"/>
          <w:color w:val="000000"/>
          <w:sz w:val="18"/>
        </w:rPr>
        <w:t xml:space="preserve">, we held that an instructor did not show direct evidence of sex discrimination in her pay discrimination suit against a university under Title VII where her male supervisor referred to her as a "trailing spouse" who got her job so that her husband would accept a professorship, said that he thought she was going to have children and be happy, and that she was acting like a "princess." </w:t>
      </w:r>
      <w:bookmarkStart w:id="7270" w:name="Bookmark_I5YMK1R32D6N8R0030000400"/>
      <w:bookmarkEnd w:id="7270"/>
      <w:r>
        <w:rPr>
          <w:rFonts w:ascii="Arial" w:eastAsia="Arial" w:hAnsi="Arial" w:cs="Arial"/>
          <w:color w:val="000000"/>
          <w:sz w:val="18"/>
        </w:rPr>
        <w:t xml:space="preserve">887 F.3d at 186-87. We determined that these were "stray remarks," not direct evidence of discrimination. </w:t>
      </w:r>
      <w:r>
        <w:rPr>
          <w:rFonts w:ascii="Arial" w:eastAsia="Arial" w:hAnsi="Arial" w:cs="Arial"/>
          <w:i/>
          <w:color w:val="000000"/>
          <w:sz w:val="18"/>
        </w:rPr>
        <w:t>Id.</w:t>
      </w:r>
      <w:r>
        <w:rPr>
          <w:rFonts w:ascii="Arial" w:eastAsia="Arial" w:hAnsi="Arial" w:cs="Arial"/>
          <w:color w:val="000000"/>
          <w:sz w:val="18"/>
        </w:rPr>
        <w:t xml:space="preserve"> Although the "trailing spouse" comment may have implied sex was a factor in compensation, someone could be referred to as a "trailing spouse" irrespective of sex, and the supervisor's other comments would have required an inferential leap to prove that the university paid the instructor less because of her sex. </w:t>
      </w:r>
      <w:r>
        <w:rPr>
          <w:rFonts w:ascii="Arial" w:eastAsia="Arial" w:hAnsi="Arial" w:cs="Arial"/>
          <w:i/>
          <w:color w:val="000000"/>
          <w:sz w:val="18"/>
        </w:rPr>
        <w:t>Id.</w:t>
      </w:r>
    </w:p>
  </w:footnote>
  <w:footnote w:id="363">
    <w:p w14:paraId="05DF46C0"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38 </w:t>
      </w:r>
      <w:bookmarkStart w:id="7278" w:name="Bookmark_fnpara_38_2"/>
      <w:bookmarkStart w:id="7279" w:name="Bookmark_I5YMK1R32SF8SN0040000400"/>
      <w:bookmarkEnd w:id="7278"/>
      <w:bookmarkEnd w:id="7279"/>
      <w:r>
        <w:rPr>
          <w:rFonts w:ascii="Arial" w:eastAsia="Arial" w:hAnsi="Arial" w:cs="Arial"/>
          <w:i/>
          <w:color w:val="000000"/>
          <w:sz w:val="18"/>
        </w:rPr>
        <w:t>Rodriguez</w:t>
      </w:r>
      <w:r>
        <w:rPr>
          <w:rFonts w:ascii="Arial" w:eastAsia="Arial" w:hAnsi="Arial" w:cs="Arial"/>
          <w:color w:val="000000"/>
          <w:sz w:val="18"/>
        </w:rPr>
        <w:t xml:space="preserve">, 820 F.3d at 764 (quoting </w:t>
      </w:r>
      <w:bookmarkStart w:id="7280" w:name="Bookmark_I5YMK1R32N1RVD0010000400"/>
      <w:bookmarkEnd w:id="7280"/>
      <w:r>
        <w:rPr>
          <w:rFonts w:ascii="Arial" w:eastAsia="Arial" w:hAnsi="Arial" w:cs="Arial"/>
          <w:i/>
          <w:color w:val="000000"/>
          <w:sz w:val="18"/>
        </w:rPr>
        <w:t>Reed v. Neopost USA, Inc.</w:t>
      </w:r>
      <w:r>
        <w:rPr>
          <w:rFonts w:ascii="Arial" w:eastAsia="Arial" w:hAnsi="Arial" w:cs="Arial"/>
          <w:color w:val="000000"/>
          <w:sz w:val="18"/>
        </w:rPr>
        <w:t>, 701 F.3d 434, 441 (5th Cir. 2012)).</w:t>
      </w:r>
    </w:p>
  </w:footnote>
  <w:footnote w:id="364">
    <w:p w14:paraId="61A9E281"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39 </w:t>
      </w:r>
      <w:bookmarkStart w:id="7281" w:name="Bookmark_fnpara_39_2"/>
      <w:bookmarkEnd w:id="7281"/>
      <w:r>
        <w:rPr>
          <w:rFonts w:ascii="Arial" w:eastAsia="Arial" w:hAnsi="Arial" w:cs="Arial"/>
          <w:i/>
          <w:color w:val="000000"/>
          <w:sz w:val="18"/>
        </w:rPr>
        <w:t>Id.</w:t>
      </w:r>
      <w:r>
        <w:rPr>
          <w:rFonts w:ascii="Arial" w:eastAsia="Arial" w:hAnsi="Arial" w:cs="Arial"/>
          <w:color w:val="000000"/>
          <w:sz w:val="18"/>
        </w:rPr>
        <w:t xml:space="preserve"> (quoting </w:t>
      </w:r>
      <w:bookmarkStart w:id="7282" w:name="Bookmark_I5YMK1R32N1RVD0030000400"/>
      <w:bookmarkEnd w:id="7282"/>
      <w:r>
        <w:rPr>
          <w:rFonts w:ascii="Arial" w:eastAsia="Arial" w:hAnsi="Arial" w:cs="Arial"/>
          <w:i/>
          <w:color w:val="000000"/>
          <w:sz w:val="18"/>
        </w:rPr>
        <w:t>Auguster v. Vermilion Par. Sch. Bd.</w:t>
      </w:r>
      <w:r>
        <w:rPr>
          <w:rFonts w:ascii="Arial" w:eastAsia="Arial" w:hAnsi="Arial" w:cs="Arial"/>
          <w:color w:val="000000"/>
          <w:sz w:val="18"/>
        </w:rPr>
        <w:t>, 249 F.3d 400, 405 (5th Cir. 2001) (alterations in original) (internal quotation marks omitted)).</w:t>
      </w:r>
    </w:p>
  </w:footnote>
  <w:footnote w:id="365">
    <w:p w14:paraId="4D6355E4"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40 </w:t>
      </w:r>
      <w:bookmarkStart w:id="7289" w:name="Bookmark_fnpara_40_0"/>
      <w:bookmarkEnd w:id="7289"/>
      <w:r>
        <w:rPr>
          <w:rFonts w:ascii="Arial" w:eastAsia="Arial" w:hAnsi="Arial" w:cs="Arial"/>
          <w:color w:val="000000"/>
          <w:sz w:val="18"/>
        </w:rPr>
        <w:t>McCoy stated that "[he] didn't make the termination decision." Rather, "Mays made the termination decision based on that picture." And HR Manager "Jeff Mays makes all termination decisions."</w:t>
      </w:r>
    </w:p>
  </w:footnote>
  <w:footnote w:id="366">
    <w:p w14:paraId="76E2DC4C"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41 </w:t>
      </w:r>
      <w:bookmarkStart w:id="7301" w:name="Bookmark_fnpara_41_0"/>
      <w:bookmarkEnd w:id="7301"/>
      <w:r>
        <w:rPr>
          <w:rFonts w:ascii="Arial" w:eastAsia="Arial" w:hAnsi="Arial" w:cs="Arial"/>
          <w:i/>
          <w:color w:val="000000"/>
          <w:sz w:val="18"/>
        </w:rPr>
        <w:t xml:space="preserve">See </w:t>
      </w:r>
      <w:bookmarkStart w:id="7302" w:name="Bookmark_I5YMK1R32N1RVD0050000400"/>
      <w:bookmarkEnd w:id="7302"/>
      <w:r>
        <w:rPr>
          <w:rFonts w:ascii="Arial" w:eastAsia="Arial" w:hAnsi="Arial" w:cs="Arial"/>
          <w:i/>
          <w:color w:val="000000"/>
          <w:sz w:val="18"/>
        </w:rPr>
        <w:t>Rodriguez</w:t>
      </w:r>
      <w:r>
        <w:rPr>
          <w:rFonts w:ascii="Arial" w:eastAsia="Arial" w:hAnsi="Arial" w:cs="Arial"/>
          <w:color w:val="000000"/>
          <w:sz w:val="18"/>
        </w:rPr>
        <w:t xml:space="preserve">, 820 F.3d at 764 (finding that a supervisor's remarks about a former employee with PTSD being "unstable" are not direct evidence of disability discrimination where the former employee failed to prove all elements of the four-part test and the court would have had to make an inference regarding causation); </w:t>
      </w:r>
      <w:bookmarkStart w:id="7303" w:name="Bookmark_I5YMK1R32N1RVG0020000400"/>
      <w:bookmarkEnd w:id="7303"/>
      <w:r>
        <w:rPr>
          <w:rFonts w:ascii="Arial" w:eastAsia="Arial" w:hAnsi="Arial" w:cs="Arial"/>
          <w:i/>
          <w:color w:val="000000"/>
          <w:sz w:val="18"/>
        </w:rPr>
        <w:t>Sandstad v. CB Richard Ellis, Inc.</w:t>
      </w:r>
      <w:r>
        <w:rPr>
          <w:rFonts w:ascii="Arial" w:eastAsia="Arial" w:hAnsi="Arial" w:cs="Arial"/>
          <w:color w:val="000000"/>
          <w:sz w:val="18"/>
        </w:rPr>
        <w:t>, 309 F.3d 893, 898 (5th Cir. 2002) (finding that a then-President's remark that the company had "skip[ed] a generation" in selecting his replacement is not direct evidence of age discrimination where the remark was ambiguous and the President was not responsible for the former employee's termination).</w:t>
      </w:r>
    </w:p>
  </w:footnote>
  <w:footnote w:id="367">
    <w:p w14:paraId="782A52F5"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42 </w:t>
      </w:r>
      <w:bookmarkStart w:id="7309" w:name="Bookmark_fnpara_42"/>
      <w:bookmarkStart w:id="7310" w:name="Bookmark_I5YMK1R32N1RVG0040000400"/>
      <w:bookmarkEnd w:id="7309"/>
      <w:bookmarkEnd w:id="7310"/>
      <w:r>
        <w:rPr>
          <w:rFonts w:ascii="Arial" w:eastAsia="Arial" w:hAnsi="Arial" w:cs="Arial"/>
          <w:i/>
          <w:color w:val="000000"/>
          <w:sz w:val="18"/>
        </w:rPr>
        <w:t>LHC Grp., Inc.</w:t>
      </w:r>
      <w:r>
        <w:rPr>
          <w:rFonts w:ascii="Arial" w:eastAsia="Arial" w:hAnsi="Arial" w:cs="Arial"/>
          <w:color w:val="000000"/>
          <w:sz w:val="18"/>
        </w:rPr>
        <w:t>, 773 F.3d at 694.</w:t>
      </w:r>
    </w:p>
  </w:footnote>
  <w:footnote w:id="368">
    <w:p w14:paraId="0ABD6AE2"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43 </w:t>
      </w:r>
      <w:bookmarkStart w:id="7311" w:name="Bookmark_fnpara_43"/>
      <w:bookmarkStart w:id="7312" w:name="Bookmark_I5YMK1R428T4960010000400"/>
      <w:bookmarkEnd w:id="7311"/>
      <w:bookmarkEnd w:id="7312"/>
      <w:r>
        <w:rPr>
          <w:rFonts w:ascii="Arial" w:eastAsia="Arial" w:hAnsi="Arial" w:cs="Arial"/>
          <w:i/>
          <w:color w:val="000000"/>
          <w:sz w:val="18"/>
        </w:rPr>
        <w:t>McDonnell Douglas</w:t>
      </w:r>
      <w:r>
        <w:rPr>
          <w:rFonts w:ascii="Arial" w:eastAsia="Arial" w:hAnsi="Arial" w:cs="Arial"/>
          <w:color w:val="000000"/>
          <w:sz w:val="18"/>
        </w:rPr>
        <w:t>, 411 U.S. at 802.</w:t>
      </w:r>
    </w:p>
  </w:footnote>
  <w:footnote w:id="369">
    <w:p w14:paraId="1FBA068B"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44 </w:t>
      </w:r>
      <w:bookmarkStart w:id="7313" w:name="Bookmark_fnpara_44"/>
      <w:bookmarkStart w:id="7314" w:name="Bookmark_I746KS7BBM700009YN000002"/>
      <w:bookmarkStart w:id="7315" w:name="Bookmark_I5YMK1R428T4960040000400"/>
      <w:bookmarkStart w:id="7316" w:name="Bookmark_I5YMK1R42HM67V0010000400"/>
      <w:bookmarkStart w:id="7317" w:name="Bookmark_I5YMK1R428T4960030000400"/>
      <w:bookmarkEnd w:id="7313"/>
      <w:bookmarkEnd w:id="7314"/>
      <w:bookmarkEnd w:id="7315"/>
      <w:bookmarkEnd w:id="7316"/>
      <w:bookmarkEnd w:id="7317"/>
      <w:r>
        <w:rPr>
          <w:rFonts w:ascii="Arial" w:eastAsia="Arial" w:hAnsi="Arial" w:cs="Arial"/>
          <w:i/>
          <w:color w:val="000000"/>
          <w:sz w:val="18"/>
        </w:rPr>
        <w:t>Moss v. Harris Cty. Constable Precinct One</w:t>
      </w:r>
      <w:r>
        <w:rPr>
          <w:rFonts w:ascii="Arial" w:eastAsia="Arial" w:hAnsi="Arial" w:cs="Arial"/>
          <w:color w:val="000000"/>
          <w:sz w:val="18"/>
        </w:rPr>
        <w:t xml:space="preserve">, 851 F.3d 413, 417 (5th Cir. 2017) (internal quotation marks omitted); Americans with Disabilities Act of 1990 § 102, 42 U.S.C. § 12112(a). If the plaintiff "is successful, then [the defendant] must articulate a legitimate, nondiscriminatory reason for terminating [the plaintiff]." </w:t>
      </w:r>
      <w:bookmarkStart w:id="7318" w:name="Bookmark_I5YMK1R428T4960050000400"/>
      <w:bookmarkEnd w:id="7318"/>
      <w:r>
        <w:rPr>
          <w:rFonts w:ascii="Arial" w:eastAsia="Arial" w:hAnsi="Arial" w:cs="Arial"/>
          <w:i/>
          <w:color w:val="000000"/>
          <w:sz w:val="18"/>
        </w:rPr>
        <w:t>LHC Grp., Inc.</w:t>
      </w:r>
      <w:r>
        <w:rPr>
          <w:rFonts w:ascii="Arial" w:eastAsia="Arial" w:hAnsi="Arial" w:cs="Arial"/>
          <w:color w:val="000000"/>
          <w:sz w:val="18"/>
        </w:rPr>
        <w:t xml:space="preserve">, 773 F.3d at 697. The burden then shifts back to the plaintiff to show that the defendant's "proffered reason is pretextual." </w:t>
      </w:r>
      <w:r>
        <w:rPr>
          <w:rFonts w:ascii="Arial" w:eastAsia="Arial" w:hAnsi="Arial" w:cs="Arial"/>
          <w:i/>
          <w:color w:val="000000"/>
          <w:sz w:val="18"/>
        </w:rPr>
        <w:t>Id.</w:t>
      </w:r>
      <w:r>
        <w:rPr>
          <w:rFonts w:ascii="Arial" w:eastAsia="Arial" w:hAnsi="Arial" w:cs="Arial"/>
          <w:color w:val="000000"/>
          <w:sz w:val="18"/>
        </w:rPr>
        <w:t xml:space="preserve"> But we don't reach the second or third step of the burden-shifting analysis because Clark fails to make a prima facie case for discrimination.</w:t>
      </w:r>
    </w:p>
  </w:footnote>
  <w:footnote w:id="370">
    <w:p w14:paraId="3E99BCF1"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45 </w:t>
      </w:r>
      <w:bookmarkStart w:id="7321" w:name="Bookmark_fnpara_45"/>
      <w:bookmarkEnd w:id="7321"/>
      <w:r>
        <w:rPr>
          <w:rFonts w:ascii="Arial" w:eastAsia="Arial" w:hAnsi="Arial" w:cs="Arial"/>
          <w:color w:val="000000"/>
          <w:sz w:val="18"/>
        </w:rPr>
        <w:t xml:space="preserve">The district court prefaced its analysis by finding that, "[Clark] has not met his burden of establishing a prima facie case for disability discrimination because he fails to adequately address the </w:t>
      </w:r>
      <w:r>
        <w:rPr>
          <w:rFonts w:ascii="Arial" w:eastAsia="Arial" w:hAnsi="Arial" w:cs="Arial"/>
          <w:i/>
          <w:color w:val="000000"/>
          <w:sz w:val="18"/>
        </w:rPr>
        <w:t>McDonnell Douglas</w:t>
      </w:r>
      <w:r>
        <w:rPr>
          <w:rFonts w:ascii="Arial" w:eastAsia="Arial" w:hAnsi="Arial" w:cs="Arial"/>
          <w:color w:val="000000"/>
          <w:sz w:val="18"/>
        </w:rPr>
        <w:t xml:space="preserve"> burden-shifting framework analysis in his response. The Court will assume </w:t>
      </w:r>
      <w:r>
        <w:rPr>
          <w:rFonts w:ascii="Arial" w:eastAsia="Arial" w:hAnsi="Arial" w:cs="Arial"/>
          <w:i/>
          <w:color w:val="000000"/>
          <w:sz w:val="18"/>
        </w:rPr>
        <w:t>arguendo</w:t>
      </w:r>
      <w:r>
        <w:rPr>
          <w:rFonts w:ascii="Arial" w:eastAsia="Arial" w:hAnsi="Arial" w:cs="Arial"/>
          <w:color w:val="000000"/>
          <w:sz w:val="18"/>
        </w:rPr>
        <w:t xml:space="preserve"> that [Clark] adequately responded to [Champion's] Motion and will address each requirement, in turn, needed to establish a prima facie case for disability discrimination." Our analysis makes the same assumption and then analyzes the "qualified individual" prong.</w:t>
      </w:r>
    </w:p>
  </w:footnote>
  <w:footnote w:id="371">
    <w:p w14:paraId="2AF2371A"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46 </w:t>
      </w:r>
      <w:bookmarkStart w:id="7322" w:name="Bookmark_fnpara_46"/>
      <w:bookmarkStart w:id="7323" w:name="Bookmark_I5YMK1R42HM67V0020000400"/>
      <w:bookmarkEnd w:id="7322"/>
      <w:bookmarkEnd w:id="7323"/>
      <w:r>
        <w:rPr>
          <w:rFonts w:ascii="Arial" w:eastAsia="Arial" w:hAnsi="Arial" w:cs="Arial"/>
          <w:i/>
          <w:color w:val="000000"/>
          <w:sz w:val="18"/>
        </w:rPr>
        <w:t>Moss</w:t>
      </w:r>
      <w:r>
        <w:rPr>
          <w:rFonts w:ascii="Arial" w:eastAsia="Arial" w:hAnsi="Arial" w:cs="Arial"/>
          <w:color w:val="000000"/>
          <w:sz w:val="18"/>
        </w:rPr>
        <w:t>, 851 F.3d at 417-18 (internal quotation marks omitted).</w:t>
      </w:r>
    </w:p>
  </w:footnote>
  <w:footnote w:id="372">
    <w:p w14:paraId="2938BA36"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47 </w:t>
      </w:r>
      <w:bookmarkStart w:id="7324" w:name="Bookmark_fnpara_47"/>
      <w:bookmarkStart w:id="7325" w:name="Bookmark_I5YMK1R42HM67V0050000400"/>
      <w:bookmarkStart w:id="7326" w:name="Bookmark_I5YMK1R42HM67V0040000400"/>
      <w:bookmarkEnd w:id="7324"/>
      <w:bookmarkEnd w:id="7325"/>
      <w:bookmarkEnd w:id="7326"/>
      <w:r>
        <w:rPr>
          <w:rFonts w:ascii="Arial" w:eastAsia="Arial" w:hAnsi="Arial" w:cs="Arial"/>
          <w:i/>
          <w:color w:val="000000"/>
          <w:sz w:val="18"/>
        </w:rPr>
        <w:t>Id.</w:t>
      </w:r>
      <w:r>
        <w:rPr>
          <w:rFonts w:ascii="Arial" w:eastAsia="Arial" w:hAnsi="Arial" w:cs="Arial"/>
          <w:color w:val="000000"/>
          <w:sz w:val="18"/>
        </w:rPr>
        <w:t xml:space="preserve"> at 418. </w:t>
      </w:r>
      <w:bookmarkStart w:id="7327" w:name="Bookmark_I5YMK1R42N1RVJ0020000400"/>
      <w:bookmarkEnd w:id="7327"/>
      <w:r>
        <w:rPr>
          <w:rFonts w:ascii="Arial" w:eastAsia="Arial" w:hAnsi="Arial" w:cs="Arial"/>
          <w:color w:val="000000"/>
          <w:sz w:val="18"/>
        </w:rPr>
        <w:t xml:space="preserve">Notably, we consider all relevant factors to determine whether an employee was qualified at the time of his termination. </w:t>
      </w:r>
      <w:r>
        <w:rPr>
          <w:rFonts w:ascii="Arial" w:eastAsia="Arial" w:hAnsi="Arial" w:cs="Arial"/>
          <w:i/>
          <w:color w:val="000000"/>
          <w:sz w:val="18"/>
        </w:rPr>
        <w:t>See</w:t>
      </w:r>
      <w:r>
        <w:rPr>
          <w:rFonts w:ascii="Arial" w:eastAsia="Arial" w:hAnsi="Arial" w:cs="Arial"/>
          <w:color w:val="000000"/>
          <w:sz w:val="18"/>
        </w:rPr>
        <w:t xml:space="preserve"> 42 U.S.C. § 12111(8). </w:t>
      </w:r>
      <w:bookmarkStart w:id="7328" w:name="Bookmark_I5YMK1R42N1RVJ0020000400_2"/>
      <w:bookmarkEnd w:id="7328"/>
      <w:r>
        <w:rPr>
          <w:rFonts w:ascii="Arial" w:eastAsia="Arial" w:hAnsi="Arial" w:cs="Arial"/>
          <w:color w:val="000000"/>
          <w:sz w:val="18"/>
        </w:rPr>
        <w:t xml:space="preserve">"[T]he inquiry does not stop with [the employee]; the court must also look at whether [the employer] met its accommodation obligations." </w:t>
      </w:r>
      <w:bookmarkStart w:id="7329" w:name="Bookmark_I5YMK1R42N1RVJ0010000400"/>
      <w:bookmarkEnd w:id="7329"/>
      <w:r>
        <w:rPr>
          <w:rFonts w:ascii="Arial" w:eastAsia="Arial" w:hAnsi="Arial" w:cs="Arial"/>
          <w:i/>
          <w:color w:val="000000"/>
          <w:sz w:val="18"/>
        </w:rPr>
        <w:t>Grubb v. Sw. Airlines</w:t>
      </w:r>
      <w:r>
        <w:rPr>
          <w:rFonts w:ascii="Arial" w:eastAsia="Arial" w:hAnsi="Arial" w:cs="Arial"/>
          <w:color w:val="000000"/>
          <w:sz w:val="18"/>
        </w:rPr>
        <w:t>, 296 F. App'x 383, 388 (5th Cir. 2008).</w:t>
      </w:r>
    </w:p>
  </w:footnote>
  <w:footnote w:id="373">
    <w:p w14:paraId="004C7453"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48 </w:t>
      </w:r>
      <w:bookmarkStart w:id="7332" w:name="Bookmark_fnpara_48"/>
      <w:bookmarkEnd w:id="7332"/>
      <w:r>
        <w:rPr>
          <w:rFonts w:ascii="Arial" w:eastAsia="Arial" w:hAnsi="Arial" w:cs="Arial"/>
          <w:color w:val="000000"/>
          <w:sz w:val="18"/>
        </w:rPr>
        <w:t>The Handbook's list of terminable offenses includes "[f]ailure to maintain alertness: . . . sleeping or giving the appearance of sleeping at any time while on duty or on the client's property (including breaks) is considered a terminable offense." The ADA states that "consideration shall be given to the employer's judgment as to what functions of a job are essential, and if an employer has prepared a written description . . . this description shall be considered evidence of the essential functions of the job." § 12111(8). Although not in a written description of Clark's specific position, being awake is arguably an essential function of all jobs at Champion.</w:t>
      </w:r>
    </w:p>
  </w:footnote>
  <w:footnote w:id="374">
    <w:p w14:paraId="10174B4E"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49 </w:t>
      </w:r>
      <w:bookmarkStart w:id="7333" w:name="Bookmark_fnpara_49"/>
      <w:bookmarkEnd w:id="7333"/>
      <w:r>
        <w:rPr>
          <w:rFonts w:ascii="Arial" w:eastAsia="Arial" w:hAnsi="Arial" w:cs="Arial"/>
          <w:color w:val="000000"/>
          <w:sz w:val="18"/>
        </w:rPr>
        <w:t xml:space="preserve">"[McAllister:] If you are not awake at work, you can't do your job. Right? [Clark:] "Obviously, yes." "[T]he ADA does not insulate an employee from adverse action taken by an employer because of misconduct in the workplace, even if his improper behavior is arguably attributable to an impairment." </w:t>
      </w:r>
      <w:bookmarkStart w:id="7334" w:name="Bookmark_I5YMK1R42N1RVJ0030000400"/>
      <w:bookmarkEnd w:id="7334"/>
      <w:r>
        <w:rPr>
          <w:rFonts w:ascii="Arial" w:eastAsia="Arial" w:hAnsi="Arial" w:cs="Arial"/>
          <w:i/>
          <w:color w:val="000000"/>
          <w:sz w:val="18"/>
        </w:rPr>
        <w:t>Green v. Medco Health Sols. of Tex., LLC</w:t>
      </w:r>
      <w:r>
        <w:rPr>
          <w:rFonts w:ascii="Arial" w:eastAsia="Arial" w:hAnsi="Arial" w:cs="Arial"/>
          <w:color w:val="000000"/>
          <w:sz w:val="18"/>
        </w:rPr>
        <w:t>, 947 F. Supp. 2d 712, 729 (N.D. Tex. 2013) (internal quotation marks omitted).</w:t>
      </w:r>
    </w:p>
  </w:footnote>
  <w:footnote w:id="375">
    <w:p w14:paraId="68B096D3"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50 </w:t>
      </w:r>
      <w:bookmarkStart w:id="7337" w:name="Bookmark_fnpara_50"/>
      <w:bookmarkEnd w:id="7337"/>
      <w:r>
        <w:rPr>
          <w:rFonts w:ascii="Arial" w:eastAsia="Arial" w:hAnsi="Arial" w:cs="Arial"/>
          <w:color w:val="000000"/>
          <w:sz w:val="18"/>
        </w:rPr>
        <w:t xml:space="preserve">Rather, all the cases Clark cites are from the Ninth Circuit or a California federal district court, except for one Southern District of Indiana case. These cases are nonbinding, and we did not find them persuasive because, among other things, they seem to overlook the requirement that the employee be qualified </w:t>
      </w:r>
      <w:r>
        <w:rPr>
          <w:rFonts w:ascii="Arial" w:eastAsia="Arial" w:hAnsi="Arial" w:cs="Arial"/>
          <w:i/>
          <w:color w:val="000000"/>
          <w:sz w:val="18"/>
        </w:rPr>
        <w:t>at the time of termination</w:t>
      </w:r>
      <w:r>
        <w:rPr>
          <w:rFonts w:ascii="Arial" w:eastAsia="Arial" w:hAnsi="Arial" w:cs="Arial"/>
          <w:color w:val="000000"/>
          <w:sz w:val="18"/>
        </w:rPr>
        <w:t xml:space="preserve">. The cases are also factually distinguishable. </w:t>
      </w:r>
      <w:bookmarkStart w:id="7338" w:name="Bookmark_I746KS7CTCJ00009YN00000F"/>
      <w:bookmarkStart w:id="7339" w:name="Bookmark_I5YMK1R52HM67Y0010000400"/>
      <w:bookmarkEnd w:id="7338"/>
      <w:bookmarkEnd w:id="7339"/>
      <w:r>
        <w:rPr>
          <w:rFonts w:ascii="Arial" w:eastAsia="Arial" w:hAnsi="Arial" w:cs="Arial"/>
          <w:color w:val="000000"/>
          <w:sz w:val="18"/>
        </w:rPr>
        <w:t xml:space="preserve">Take </w:t>
      </w:r>
      <w:r>
        <w:rPr>
          <w:rFonts w:ascii="Arial" w:eastAsia="Arial" w:hAnsi="Arial" w:cs="Arial"/>
          <w:i/>
          <w:color w:val="000000"/>
          <w:sz w:val="18"/>
        </w:rPr>
        <w:t>Halsey</w:t>
      </w:r>
      <w:r>
        <w:rPr>
          <w:rFonts w:ascii="Arial" w:eastAsia="Arial" w:hAnsi="Arial" w:cs="Arial"/>
          <w:color w:val="000000"/>
          <w:sz w:val="18"/>
        </w:rPr>
        <w:t xml:space="preserve">, for example. </w:t>
      </w:r>
      <w:bookmarkStart w:id="7340" w:name="Bookmark_I746KS7BGP500009YN000003"/>
      <w:bookmarkStart w:id="7341" w:name="Bookmark_I5YMK1R52HM67Y0030000400"/>
      <w:bookmarkEnd w:id="7340"/>
      <w:bookmarkEnd w:id="7341"/>
      <w:r>
        <w:rPr>
          <w:rFonts w:ascii="Arial" w:eastAsia="Arial" w:hAnsi="Arial" w:cs="Arial"/>
          <w:color w:val="000000"/>
          <w:sz w:val="18"/>
        </w:rPr>
        <w:t xml:space="preserve">In that case, unlike this one, the employer did not have a companywide policy that required alertness and made sleeping on the job a terminable offense, and the terminated employee was a training attendee—not a personnel manager like Clark who was responsible for training other employees and served as an example of the policies he enforced. </w:t>
      </w:r>
      <w:r>
        <w:rPr>
          <w:rFonts w:ascii="Arial" w:eastAsia="Arial" w:hAnsi="Arial" w:cs="Arial"/>
          <w:i/>
          <w:color w:val="000000"/>
          <w:sz w:val="18"/>
        </w:rPr>
        <w:t xml:space="preserve">See generally </w:t>
      </w:r>
      <w:bookmarkStart w:id="7342" w:name="Bookmark_I5YMK1R42N1RVJ0050000400"/>
      <w:bookmarkEnd w:id="7342"/>
      <w:r>
        <w:rPr>
          <w:rFonts w:ascii="Arial" w:eastAsia="Arial" w:hAnsi="Arial" w:cs="Arial"/>
          <w:i/>
          <w:color w:val="000000"/>
          <w:sz w:val="18"/>
        </w:rPr>
        <w:t>Halsey v. JP Morgan Chase Bank</w:t>
      </w:r>
      <w:r>
        <w:rPr>
          <w:rFonts w:ascii="Arial" w:eastAsia="Arial" w:hAnsi="Arial" w:cs="Arial"/>
          <w:color w:val="000000"/>
          <w:sz w:val="18"/>
        </w:rPr>
        <w:t xml:space="preserve">, No. 08-01335, 2009 U.S. Dist. LEXIS 96538, 2009 WL 3353459 (N.D. Cal. Oct. 16, 2009). </w:t>
      </w:r>
      <w:bookmarkStart w:id="7343" w:name="Bookmark_I5YMK1R52HM67Y0030000400_2"/>
      <w:bookmarkStart w:id="7344" w:name="Bookmark_I746KS7BRV500009YN000005"/>
      <w:bookmarkStart w:id="7345" w:name="Bookmark_I5YMK1R52HM67Y0050000400"/>
      <w:bookmarkEnd w:id="7343"/>
      <w:bookmarkEnd w:id="7344"/>
      <w:bookmarkEnd w:id="7345"/>
      <w:r>
        <w:rPr>
          <w:rFonts w:ascii="Arial" w:eastAsia="Arial" w:hAnsi="Arial" w:cs="Arial"/>
          <w:color w:val="000000"/>
          <w:sz w:val="18"/>
        </w:rPr>
        <w:t xml:space="preserve">In </w:t>
      </w:r>
      <w:r>
        <w:rPr>
          <w:rFonts w:ascii="Arial" w:eastAsia="Arial" w:hAnsi="Arial" w:cs="Arial"/>
          <w:i/>
          <w:color w:val="000000"/>
          <w:sz w:val="18"/>
        </w:rPr>
        <w:t>Rednour</w:t>
      </w:r>
      <w:r>
        <w:rPr>
          <w:rFonts w:ascii="Arial" w:eastAsia="Arial" w:hAnsi="Arial" w:cs="Arial"/>
          <w:color w:val="000000"/>
          <w:sz w:val="18"/>
        </w:rPr>
        <w:t xml:space="preserve">, the court concluded that because there is "a triable issue of fact whether [the proposed accommodation] would have rendered [the former employee] able to perform the essential functions of her job had it been implemented, we cannot at this stage conclude that [the former employee] was not a 'qualified individual'—with this accommodation in place—as a matter of law." </w:t>
      </w:r>
      <w:bookmarkStart w:id="7346" w:name="Bookmark_I5YMK1R52HM67Y0020000400"/>
      <w:bookmarkEnd w:id="7346"/>
      <w:r>
        <w:rPr>
          <w:rFonts w:ascii="Arial" w:eastAsia="Arial" w:hAnsi="Arial" w:cs="Arial"/>
          <w:i/>
          <w:color w:val="000000"/>
          <w:sz w:val="18"/>
        </w:rPr>
        <w:t>Rednour v. Wayne</w:t>
      </w:r>
      <w:r>
        <w:rPr>
          <w:rFonts w:ascii="Arial" w:eastAsia="Arial" w:hAnsi="Arial" w:cs="Arial"/>
          <w:color w:val="000000"/>
          <w:sz w:val="18"/>
        </w:rPr>
        <w:t xml:space="preserve">, 51 F. Supp. 3d 799, 818 (S.D. Ind. 2014). </w:t>
      </w:r>
      <w:bookmarkStart w:id="7347" w:name="Bookmark_I5YMK1R52HM67Y0050000400_2"/>
      <w:bookmarkStart w:id="7348" w:name="Bookmark_I746KS7C12D00009YN000007"/>
      <w:bookmarkStart w:id="7349" w:name="Bookmark_I5YMK1R52D6N910020000400"/>
      <w:bookmarkEnd w:id="7347"/>
      <w:bookmarkEnd w:id="7348"/>
      <w:bookmarkEnd w:id="7349"/>
      <w:r>
        <w:rPr>
          <w:rFonts w:ascii="Arial" w:eastAsia="Arial" w:hAnsi="Arial" w:cs="Arial"/>
          <w:color w:val="000000"/>
          <w:sz w:val="18"/>
        </w:rPr>
        <w:t xml:space="preserve">Similarly, in </w:t>
      </w:r>
      <w:r>
        <w:rPr>
          <w:rFonts w:ascii="Arial" w:eastAsia="Arial" w:hAnsi="Arial" w:cs="Arial"/>
          <w:i/>
          <w:color w:val="000000"/>
          <w:sz w:val="18"/>
        </w:rPr>
        <w:t>Dark</w:t>
      </w:r>
      <w:r>
        <w:rPr>
          <w:rFonts w:ascii="Arial" w:eastAsia="Arial" w:hAnsi="Arial" w:cs="Arial"/>
          <w:color w:val="000000"/>
          <w:sz w:val="18"/>
        </w:rPr>
        <w:t xml:space="preserve">, the court concluded that there was "a genuine issue of material fact as to whether Dark was qualified with [his proposed] reasonable accommodation," where his employer failed to even consider the proposed accommodation. </w:t>
      </w:r>
      <w:bookmarkStart w:id="7350" w:name="Bookmark_I746KS7C8DW00009YN000009"/>
      <w:bookmarkStart w:id="7351" w:name="Bookmark_I5YMK1R52D6N910040000400"/>
      <w:bookmarkStart w:id="7352" w:name="Bookmark_I5YMK1R52HM67Y0040000400"/>
      <w:bookmarkEnd w:id="7350"/>
      <w:bookmarkEnd w:id="7351"/>
      <w:bookmarkEnd w:id="7352"/>
      <w:r>
        <w:rPr>
          <w:rFonts w:ascii="Arial" w:eastAsia="Arial" w:hAnsi="Arial" w:cs="Arial"/>
          <w:i/>
          <w:color w:val="000000"/>
          <w:sz w:val="18"/>
        </w:rPr>
        <w:t>Dark v. Curry County</w:t>
      </w:r>
      <w:r>
        <w:rPr>
          <w:rFonts w:ascii="Arial" w:eastAsia="Arial" w:hAnsi="Arial" w:cs="Arial"/>
          <w:color w:val="000000"/>
          <w:sz w:val="18"/>
        </w:rPr>
        <w:t xml:space="preserve">, 451 F.3d 1078, 1091 (9th Cir. 2006). </w:t>
      </w:r>
      <w:bookmarkStart w:id="7353" w:name="Bookmark_I5YMK1R52D6N910040000400_2"/>
      <w:bookmarkStart w:id="7354" w:name="Bookmark_I5YMK1R52D6N910020000400_2"/>
      <w:bookmarkEnd w:id="7353"/>
      <w:bookmarkEnd w:id="7354"/>
      <w:r>
        <w:rPr>
          <w:rFonts w:ascii="Arial" w:eastAsia="Arial" w:hAnsi="Arial" w:cs="Arial"/>
          <w:color w:val="000000"/>
          <w:sz w:val="18"/>
        </w:rPr>
        <w:t xml:space="preserve">Unlike the former employees in </w:t>
      </w:r>
      <w:r>
        <w:rPr>
          <w:rFonts w:ascii="Arial" w:eastAsia="Arial" w:hAnsi="Arial" w:cs="Arial"/>
          <w:i/>
          <w:color w:val="000000"/>
          <w:sz w:val="18"/>
        </w:rPr>
        <w:t>Rednour</w:t>
      </w:r>
      <w:r>
        <w:rPr>
          <w:rFonts w:ascii="Arial" w:eastAsia="Arial" w:hAnsi="Arial" w:cs="Arial"/>
          <w:color w:val="000000"/>
          <w:sz w:val="18"/>
        </w:rPr>
        <w:t xml:space="preserve"> and </w:t>
      </w:r>
      <w:r>
        <w:rPr>
          <w:rFonts w:ascii="Arial" w:eastAsia="Arial" w:hAnsi="Arial" w:cs="Arial"/>
          <w:i/>
          <w:color w:val="000000"/>
          <w:sz w:val="18"/>
        </w:rPr>
        <w:t>Dark</w:t>
      </w:r>
      <w:r>
        <w:rPr>
          <w:rFonts w:ascii="Arial" w:eastAsia="Arial" w:hAnsi="Arial" w:cs="Arial"/>
          <w:color w:val="000000"/>
          <w:sz w:val="18"/>
        </w:rPr>
        <w:t xml:space="preserve">, Clark has never proposed an accommodation for diabetes-induced unconsciousness and amnesia that would enable him to do the essential functions of his job. Clark's citation to </w:t>
      </w:r>
      <w:r>
        <w:rPr>
          <w:rFonts w:ascii="Arial" w:eastAsia="Arial" w:hAnsi="Arial" w:cs="Arial"/>
          <w:i/>
          <w:color w:val="000000"/>
          <w:sz w:val="18"/>
        </w:rPr>
        <w:t>Gambini</w:t>
      </w:r>
      <w:r>
        <w:rPr>
          <w:rFonts w:ascii="Arial" w:eastAsia="Arial" w:hAnsi="Arial" w:cs="Arial"/>
          <w:color w:val="000000"/>
          <w:sz w:val="18"/>
        </w:rPr>
        <w:t xml:space="preserve"> is also unpersuasive; at best, the parenthetical he offers is tangentially related to the "qualified individual" issue, and the </w:t>
      </w:r>
      <w:r>
        <w:rPr>
          <w:rFonts w:ascii="Arial" w:eastAsia="Arial" w:hAnsi="Arial" w:cs="Arial"/>
          <w:i/>
          <w:color w:val="000000"/>
          <w:sz w:val="18"/>
        </w:rPr>
        <w:t>Gambini</w:t>
      </w:r>
      <w:r>
        <w:rPr>
          <w:rFonts w:ascii="Arial" w:eastAsia="Arial" w:hAnsi="Arial" w:cs="Arial"/>
          <w:color w:val="000000"/>
          <w:sz w:val="18"/>
        </w:rPr>
        <w:t xml:space="preserve"> court applied Washington Supreme Court precedent to Washington state law. </w:t>
      </w:r>
      <w:r>
        <w:rPr>
          <w:rFonts w:ascii="Arial" w:eastAsia="Arial" w:hAnsi="Arial" w:cs="Arial"/>
          <w:i/>
          <w:color w:val="000000"/>
          <w:sz w:val="18"/>
        </w:rPr>
        <w:t xml:space="preserve">See generally </w:t>
      </w:r>
      <w:bookmarkStart w:id="7355" w:name="Bookmark_I5YMK1R52D6N910010000400"/>
      <w:bookmarkEnd w:id="7355"/>
      <w:r>
        <w:rPr>
          <w:rFonts w:ascii="Arial" w:eastAsia="Arial" w:hAnsi="Arial" w:cs="Arial"/>
          <w:i/>
          <w:color w:val="000000"/>
          <w:sz w:val="18"/>
        </w:rPr>
        <w:t>Gambini v. Total Renal Care, Inc.</w:t>
      </w:r>
      <w:r>
        <w:rPr>
          <w:rFonts w:ascii="Arial" w:eastAsia="Arial" w:hAnsi="Arial" w:cs="Arial"/>
          <w:color w:val="000000"/>
          <w:sz w:val="18"/>
        </w:rPr>
        <w:t xml:space="preserve">, 486 F.3d 1087 (9th Cir. 2007). Clark's citation to </w:t>
      </w:r>
      <w:r>
        <w:rPr>
          <w:rFonts w:ascii="Arial" w:eastAsia="Arial" w:hAnsi="Arial" w:cs="Arial"/>
          <w:i/>
          <w:color w:val="000000"/>
          <w:sz w:val="18"/>
        </w:rPr>
        <w:t>Walgreen</w:t>
      </w:r>
      <w:r>
        <w:rPr>
          <w:rFonts w:ascii="Arial" w:eastAsia="Arial" w:hAnsi="Arial" w:cs="Arial"/>
          <w:color w:val="000000"/>
          <w:sz w:val="18"/>
        </w:rPr>
        <w:t xml:space="preserve"> is also unpersuasive; the discussion of the prima facie case "focuses solely on the third prong" and does not address the second prong—whether the former employee was a "qualified individual." </w:t>
      </w:r>
      <w:bookmarkStart w:id="7356" w:name="Bookmark_I5YMK1R52D6N910030000400"/>
      <w:bookmarkEnd w:id="7356"/>
      <w:r>
        <w:rPr>
          <w:rFonts w:ascii="Arial" w:eastAsia="Arial" w:hAnsi="Arial" w:cs="Arial"/>
          <w:i/>
          <w:color w:val="000000"/>
          <w:sz w:val="18"/>
        </w:rPr>
        <w:t>E.E.O.C. v. Walgreen Co.</w:t>
      </w:r>
      <w:r>
        <w:rPr>
          <w:rFonts w:ascii="Arial" w:eastAsia="Arial" w:hAnsi="Arial" w:cs="Arial"/>
          <w:color w:val="000000"/>
          <w:sz w:val="18"/>
        </w:rPr>
        <w:t>, 34 F. Supp. 3d 1049, 1058-59 (N.D. Cal. 2014).</w:t>
      </w:r>
    </w:p>
  </w:footnote>
  <w:footnote w:id="376">
    <w:p w14:paraId="5996FA4B"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51 </w:t>
      </w:r>
      <w:bookmarkStart w:id="7357" w:name="Bookmark_fnpara_51"/>
      <w:bookmarkStart w:id="7358" w:name="Bookmark_I5YMK1R52D6N910050000400"/>
      <w:bookmarkEnd w:id="7357"/>
      <w:bookmarkEnd w:id="7358"/>
      <w:r>
        <w:rPr>
          <w:rFonts w:ascii="Arial" w:eastAsia="Arial" w:hAnsi="Arial" w:cs="Arial"/>
          <w:i/>
          <w:color w:val="000000"/>
          <w:sz w:val="18"/>
        </w:rPr>
        <w:t>Grubb</w:t>
      </w:r>
      <w:r>
        <w:rPr>
          <w:rFonts w:ascii="Arial" w:eastAsia="Arial" w:hAnsi="Arial" w:cs="Arial"/>
          <w:color w:val="000000"/>
          <w:sz w:val="18"/>
        </w:rPr>
        <w:t>, 296 F. App'x at 388.</w:t>
      </w:r>
    </w:p>
  </w:footnote>
  <w:footnote w:id="377">
    <w:p w14:paraId="100CF2E7"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52 </w:t>
      </w:r>
      <w:bookmarkStart w:id="7361" w:name="Bookmark_fnpara_52"/>
      <w:bookmarkEnd w:id="7361"/>
      <w:r>
        <w:rPr>
          <w:rFonts w:ascii="Arial" w:eastAsia="Arial" w:hAnsi="Arial" w:cs="Arial"/>
          <w:i/>
          <w:color w:val="000000"/>
          <w:sz w:val="18"/>
        </w:rPr>
        <w:t>Id.</w:t>
      </w:r>
    </w:p>
  </w:footnote>
  <w:footnote w:id="378">
    <w:p w14:paraId="5BCF51B9"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53 </w:t>
      </w:r>
      <w:bookmarkStart w:id="7362" w:name="Bookmark_fnpara_53"/>
      <w:bookmarkStart w:id="7363" w:name="Bookmark_I5YMK1R62HM6820020000400"/>
      <w:bookmarkEnd w:id="7362"/>
      <w:bookmarkEnd w:id="7363"/>
      <w:r>
        <w:rPr>
          <w:rFonts w:ascii="Arial" w:eastAsia="Arial" w:hAnsi="Arial" w:cs="Arial"/>
          <w:i/>
          <w:color w:val="000000"/>
          <w:sz w:val="18"/>
        </w:rPr>
        <w:t>Id.</w:t>
      </w:r>
      <w:r>
        <w:rPr>
          <w:rFonts w:ascii="Arial" w:eastAsia="Arial" w:hAnsi="Arial" w:cs="Arial"/>
          <w:color w:val="000000"/>
          <w:sz w:val="18"/>
        </w:rPr>
        <w:t xml:space="preserve"> at 384.</w:t>
      </w:r>
    </w:p>
  </w:footnote>
  <w:footnote w:id="379">
    <w:p w14:paraId="3B7EFCD3"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54 </w:t>
      </w:r>
      <w:bookmarkStart w:id="7364" w:name="Bookmark_fnpara_54"/>
      <w:bookmarkStart w:id="7365" w:name="Bookmark_I5YMK1R62HM6820050000400"/>
      <w:bookmarkStart w:id="7366" w:name="Bookmark_I5YMK1R62N1RVS0020000400"/>
      <w:bookmarkStart w:id="7367" w:name="Bookmark_I5YMK1R62HM6820040000400"/>
      <w:bookmarkEnd w:id="7364"/>
      <w:bookmarkEnd w:id="7365"/>
      <w:bookmarkEnd w:id="7366"/>
      <w:bookmarkEnd w:id="7367"/>
      <w:r>
        <w:rPr>
          <w:rFonts w:ascii="Arial" w:eastAsia="Arial" w:hAnsi="Arial" w:cs="Arial"/>
          <w:i/>
          <w:color w:val="000000"/>
          <w:sz w:val="18"/>
        </w:rPr>
        <w:t>Id.</w:t>
      </w:r>
      <w:r>
        <w:rPr>
          <w:rFonts w:ascii="Arial" w:eastAsia="Arial" w:hAnsi="Arial" w:cs="Arial"/>
          <w:color w:val="000000"/>
          <w:sz w:val="18"/>
        </w:rPr>
        <w:t xml:space="preserve"> at 388 ("Grubb's alleged disability involved a basic element of the performance of his job as a flight instructor, namely being conscious and alert. . . . [C]ourts have repeatedly approved of ADA-challenged discharges for falling asleep at work, particularly in safety-sensitive positions. </w:t>
      </w:r>
      <w:bookmarkStart w:id="7368" w:name="Bookmark_I5YMK1R62N1RVT0010000400"/>
      <w:bookmarkEnd w:id="7368"/>
      <w:r>
        <w:rPr>
          <w:rFonts w:ascii="Arial" w:eastAsia="Arial" w:hAnsi="Arial" w:cs="Arial"/>
          <w:i/>
          <w:color w:val="000000"/>
          <w:sz w:val="18"/>
        </w:rPr>
        <w:t xml:space="preserve">See, e.g., </w:t>
      </w:r>
      <w:bookmarkStart w:id="7369" w:name="Bookmark_I5YMK1R62N1RVS0010000400"/>
      <w:bookmarkEnd w:id="7369"/>
      <w:r>
        <w:rPr>
          <w:rFonts w:ascii="Arial" w:eastAsia="Arial" w:hAnsi="Arial" w:cs="Arial"/>
          <w:i/>
          <w:color w:val="000000"/>
          <w:sz w:val="18"/>
        </w:rPr>
        <w:t>Leonberger v. Martin Marietta Materials, Inc.</w:t>
      </w:r>
      <w:r>
        <w:rPr>
          <w:rFonts w:ascii="Arial" w:eastAsia="Arial" w:hAnsi="Arial" w:cs="Arial"/>
          <w:color w:val="000000"/>
          <w:sz w:val="18"/>
        </w:rPr>
        <w:t xml:space="preserve">, 231 F.3d 396, 399 (7th Cir. 2000); </w:t>
      </w:r>
      <w:bookmarkStart w:id="7370" w:name="Bookmark_I5YMK1R62N1RVS0030000400"/>
      <w:bookmarkEnd w:id="7370"/>
      <w:r>
        <w:rPr>
          <w:rFonts w:ascii="Arial" w:eastAsia="Arial" w:hAnsi="Arial" w:cs="Arial"/>
          <w:i/>
          <w:color w:val="000000"/>
          <w:sz w:val="18"/>
        </w:rPr>
        <w:t>Cannon v. Monsanto Co.</w:t>
      </w:r>
      <w:r>
        <w:rPr>
          <w:rFonts w:ascii="Arial" w:eastAsia="Arial" w:hAnsi="Arial" w:cs="Arial"/>
          <w:color w:val="000000"/>
          <w:sz w:val="18"/>
        </w:rPr>
        <w:t xml:space="preserve">, No. 05-5558, 2008 U.S. Dist. LEXIS 6107, 2008 WL 236922, at *4 (E.D. La. Jan. 28, 2008)."). </w:t>
      </w:r>
      <w:bookmarkStart w:id="7371" w:name="Bookmark_I5YMK1R62N1RVT0010000400_2"/>
      <w:bookmarkStart w:id="7372" w:name="Bookmark_I5YMK1R72SF8T30040000400"/>
      <w:bookmarkEnd w:id="7371"/>
      <w:bookmarkEnd w:id="7372"/>
      <w:r>
        <w:rPr>
          <w:rFonts w:ascii="Arial" w:eastAsia="Arial" w:hAnsi="Arial" w:cs="Arial"/>
          <w:color w:val="000000"/>
          <w:sz w:val="18"/>
        </w:rPr>
        <w:t xml:space="preserve">Although </w:t>
      </w:r>
      <w:r>
        <w:rPr>
          <w:rFonts w:ascii="Arial" w:eastAsia="Arial" w:hAnsi="Arial" w:cs="Arial"/>
          <w:i/>
          <w:color w:val="000000"/>
          <w:sz w:val="18"/>
        </w:rPr>
        <w:t>Grubb</w:t>
      </w:r>
      <w:r>
        <w:rPr>
          <w:rFonts w:ascii="Arial" w:eastAsia="Arial" w:hAnsi="Arial" w:cs="Arial"/>
          <w:color w:val="000000"/>
          <w:sz w:val="18"/>
        </w:rPr>
        <w:t xml:space="preserve"> is unpublished, this circuit, like many of its sister circuits, has a history of published cases establishing that lack of physical presence is a commonly accepted disqualification for ADA protection. </w:t>
      </w:r>
      <w:r>
        <w:rPr>
          <w:rFonts w:ascii="Arial" w:eastAsia="Arial" w:hAnsi="Arial" w:cs="Arial"/>
          <w:i/>
          <w:color w:val="000000"/>
          <w:sz w:val="18"/>
        </w:rPr>
        <w:t xml:space="preserve">See, e.g., </w:t>
      </w:r>
      <w:bookmarkStart w:id="7373" w:name="Bookmark_I5YMK1R62N1RVS0050000400"/>
      <w:bookmarkEnd w:id="7373"/>
      <w:r>
        <w:rPr>
          <w:rFonts w:ascii="Arial" w:eastAsia="Arial" w:hAnsi="Arial" w:cs="Arial"/>
          <w:i/>
          <w:color w:val="000000"/>
          <w:sz w:val="18"/>
        </w:rPr>
        <w:t>Rogers v. Int'l Marine Terminals, Inc.</w:t>
      </w:r>
      <w:r>
        <w:rPr>
          <w:rFonts w:ascii="Arial" w:eastAsia="Arial" w:hAnsi="Arial" w:cs="Arial"/>
          <w:color w:val="000000"/>
          <w:sz w:val="18"/>
        </w:rPr>
        <w:t xml:space="preserve">, 87 F.3d 755, 759 (5th Cir. 1996); </w:t>
      </w:r>
      <w:bookmarkStart w:id="7374" w:name="Bookmark_I5YMK1R62N1RVT0020000400"/>
      <w:bookmarkEnd w:id="7374"/>
      <w:r>
        <w:rPr>
          <w:rFonts w:ascii="Arial" w:eastAsia="Arial" w:hAnsi="Arial" w:cs="Arial"/>
          <w:i/>
          <w:color w:val="000000"/>
          <w:sz w:val="18"/>
        </w:rPr>
        <w:t>Jackson v. Veterans Admin.</w:t>
      </w:r>
      <w:r>
        <w:rPr>
          <w:rFonts w:ascii="Arial" w:eastAsia="Arial" w:hAnsi="Arial" w:cs="Arial"/>
          <w:color w:val="000000"/>
          <w:sz w:val="18"/>
        </w:rPr>
        <w:t xml:space="preserve">, 22 F.3d 277, 279 (11th Cir. 1994); </w:t>
      </w:r>
      <w:bookmarkStart w:id="7375" w:name="Bookmark_I5YMK1R62N1RVT0040000400"/>
      <w:bookmarkEnd w:id="7375"/>
      <w:r>
        <w:rPr>
          <w:rFonts w:ascii="Arial" w:eastAsia="Arial" w:hAnsi="Arial" w:cs="Arial"/>
          <w:i/>
          <w:color w:val="000000"/>
          <w:sz w:val="18"/>
        </w:rPr>
        <w:t>Tyndall v. Nat'l Educ. Ctrs., Inc. of Cal.</w:t>
      </w:r>
      <w:r>
        <w:rPr>
          <w:rFonts w:ascii="Arial" w:eastAsia="Arial" w:hAnsi="Arial" w:cs="Arial"/>
          <w:color w:val="000000"/>
          <w:sz w:val="18"/>
        </w:rPr>
        <w:t xml:space="preserve">, 31 F.3d 209, 213 (4th Cir. 1994); </w:t>
      </w:r>
      <w:bookmarkStart w:id="7376" w:name="Bookmark_I5YMK1R72SF8T30010000400"/>
      <w:bookmarkEnd w:id="7376"/>
      <w:r>
        <w:rPr>
          <w:rFonts w:ascii="Arial" w:eastAsia="Arial" w:hAnsi="Arial" w:cs="Arial"/>
          <w:i/>
          <w:color w:val="000000"/>
          <w:sz w:val="18"/>
        </w:rPr>
        <w:t>Carr v. Reno</w:t>
      </w:r>
      <w:r>
        <w:rPr>
          <w:rFonts w:ascii="Arial" w:eastAsia="Arial" w:hAnsi="Arial" w:cs="Arial"/>
          <w:color w:val="000000"/>
          <w:sz w:val="18"/>
        </w:rPr>
        <w:t xml:space="preserve">, 23 F.3d 525, 530, 306 U.S. App. D.C. 217 (D.C. Cir. 1994). </w:t>
      </w:r>
      <w:bookmarkStart w:id="7377" w:name="Bookmark_I5YMK1R72SF8T30040000400_2"/>
      <w:bookmarkEnd w:id="7377"/>
      <w:r>
        <w:rPr>
          <w:rFonts w:ascii="Arial" w:eastAsia="Arial" w:hAnsi="Arial" w:cs="Arial"/>
          <w:color w:val="000000"/>
          <w:sz w:val="18"/>
        </w:rPr>
        <w:t xml:space="preserve">"An employee who does not come to work cannot perform any of his job functions, essential or otherwise." </w:t>
      </w:r>
      <w:bookmarkStart w:id="7378" w:name="Bookmark_I5YMK1R72SF8T30030000400"/>
      <w:bookmarkEnd w:id="7378"/>
      <w:r>
        <w:rPr>
          <w:rFonts w:ascii="Arial" w:eastAsia="Arial" w:hAnsi="Arial" w:cs="Arial"/>
          <w:i/>
          <w:color w:val="000000"/>
          <w:sz w:val="18"/>
        </w:rPr>
        <w:t>Rogers</w:t>
      </w:r>
      <w:r>
        <w:rPr>
          <w:rFonts w:ascii="Arial" w:eastAsia="Arial" w:hAnsi="Arial" w:cs="Arial"/>
          <w:color w:val="000000"/>
          <w:sz w:val="18"/>
        </w:rPr>
        <w:t xml:space="preserve">, 87 F.3d at 759 (quoting </w:t>
      </w:r>
      <w:bookmarkStart w:id="7379" w:name="Bookmark_I5YMK1R72SF8T30050000400"/>
      <w:bookmarkEnd w:id="7379"/>
      <w:r>
        <w:rPr>
          <w:rFonts w:ascii="Arial" w:eastAsia="Arial" w:hAnsi="Arial" w:cs="Arial"/>
          <w:i/>
          <w:color w:val="000000"/>
          <w:sz w:val="18"/>
        </w:rPr>
        <w:t>Tyndall</w:t>
      </w:r>
      <w:r>
        <w:rPr>
          <w:rFonts w:ascii="Arial" w:eastAsia="Arial" w:hAnsi="Arial" w:cs="Arial"/>
          <w:color w:val="000000"/>
          <w:sz w:val="18"/>
        </w:rPr>
        <w:t>, 31 F.3d at 213) (internal quotation marks omitted). Similarly, an employee who is sleeping or unconscious at work cannot perform any of the functions of his job, essential or otherwise, during that time.</w:t>
      </w:r>
    </w:p>
  </w:footnote>
  <w:footnote w:id="380">
    <w:p w14:paraId="11B60398"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55 </w:t>
      </w:r>
      <w:bookmarkStart w:id="7382" w:name="Bookmark_fnpara_55"/>
      <w:bookmarkEnd w:id="7382"/>
      <w:r>
        <w:rPr>
          <w:rFonts w:ascii="Arial" w:eastAsia="Arial" w:hAnsi="Arial" w:cs="Arial"/>
          <w:color w:val="000000"/>
          <w:sz w:val="18"/>
        </w:rPr>
        <w:t xml:space="preserve">"It is the plaintiff's burden to request reasonable accommodations." </w:t>
      </w:r>
      <w:bookmarkStart w:id="7383" w:name="Bookmark_I5YMK1R72N1RVX0020000400"/>
      <w:bookmarkEnd w:id="7383"/>
      <w:r>
        <w:rPr>
          <w:rFonts w:ascii="Arial" w:eastAsia="Arial" w:hAnsi="Arial" w:cs="Arial"/>
          <w:i/>
          <w:color w:val="000000"/>
          <w:sz w:val="18"/>
        </w:rPr>
        <w:t>Jenkins v. Cleco Power, LLC</w:t>
      </w:r>
      <w:r>
        <w:rPr>
          <w:rFonts w:ascii="Arial" w:eastAsia="Arial" w:hAnsi="Arial" w:cs="Arial"/>
          <w:color w:val="000000"/>
          <w:sz w:val="18"/>
        </w:rPr>
        <w:t>, 487 F.3d 309, 315 (5th Cir. 2007).</w:t>
      </w:r>
    </w:p>
  </w:footnote>
  <w:footnote w:id="381">
    <w:p w14:paraId="0EB4A900"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56 </w:t>
      </w:r>
      <w:bookmarkStart w:id="7387" w:name="Bookmark_fnpara_56"/>
      <w:bookmarkStart w:id="7388" w:name="Bookmark_I5YMK1R72N1RVX0040000400"/>
      <w:bookmarkEnd w:id="7387"/>
      <w:bookmarkEnd w:id="7388"/>
      <w:r>
        <w:rPr>
          <w:rFonts w:ascii="Arial" w:eastAsia="Arial" w:hAnsi="Arial" w:cs="Arial"/>
          <w:i/>
          <w:color w:val="000000"/>
          <w:sz w:val="18"/>
        </w:rPr>
        <w:t>Flowers v. S. Reg'l Physician Servs. Inc.</w:t>
      </w:r>
      <w:r>
        <w:rPr>
          <w:rFonts w:ascii="Arial" w:eastAsia="Arial" w:hAnsi="Arial" w:cs="Arial"/>
          <w:color w:val="000000"/>
          <w:sz w:val="18"/>
        </w:rPr>
        <w:t>, 247 F.3d 229, 235-36 (5th Cir. 2001).</w:t>
      </w:r>
    </w:p>
  </w:footnote>
  <w:footnote w:id="382">
    <w:p w14:paraId="43C4231E"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57 </w:t>
      </w:r>
      <w:bookmarkStart w:id="7392" w:name="Bookmark_fnpara_57"/>
      <w:bookmarkStart w:id="7393" w:name="Bookmark_I5YMK1R82D6N980010000400"/>
      <w:bookmarkEnd w:id="7392"/>
      <w:bookmarkEnd w:id="7393"/>
      <w:r>
        <w:rPr>
          <w:rFonts w:ascii="Arial" w:eastAsia="Arial" w:hAnsi="Arial" w:cs="Arial"/>
          <w:i/>
          <w:color w:val="000000"/>
          <w:sz w:val="18"/>
        </w:rPr>
        <w:t>Credeur v. Louisiana Through Office of Att'y Gen.</w:t>
      </w:r>
      <w:r>
        <w:rPr>
          <w:rFonts w:ascii="Arial" w:eastAsia="Arial" w:hAnsi="Arial" w:cs="Arial"/>
          <w:color w:val="000000"/>
          <w:sz w:val="18"/>
        </w:rPr>
        <w:t xml:space="preserve">, 860 F.3d 785, 796 (5th Cir. 2017) (quoting </w:t>
      </w:r>
      <w:bookmarkStart w:id="7394" w:name="Bookmark_I5YMK1R82D6N980030000400"/>
      <w:bookmarkEnd w:id="7394"/>
      <w:r>
        <w:rPr>
          <w:rFonts w:ascii="Arial" w:eastAsia="Arial" w:hAnsi="Arial" w:cs="Arial"/>
          <w:i/>
          <w:color w:val="000000"/>
          <w:sz w:val="18"/>
        </w:rPr>
        <w:t>Flowers</w:t>
      </w:r>
      <w:r>
        <w:rPr>
          <w:rFonts w:ascii="Arial" w:eastAsia="Arial" w:hAnsi="Arial" w:cs="Arial"/>
          <w:color w:val="000000"/>
          <w:sz w:val="18"/>
        </w:rPr>
        <w:t>, 247 F.3d at 236).</w:t>
      </w:r>
    </w:p>
  </w:footnote>
  <w:footnote w:id="383">
    <w:p w14:paraId="5683FFA0"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58 </w:t>
      </w:r>
      <w:bookmarkStart w:id="7395" w:name="Bookmark_fnpara_58"/>
      <w:bookmarkEnd w:id="7395"/>
      <w:r>
        <w:rPr>
          <w:rFonts w:ascii="Arial" w:eastAsia="Arial" w:hAnsi="Arial" w:cs="Arial"/>
          <w:i/>
          <w:color w:val="000000"/>
          <w:sz w:val="18"/>
        </w:rPr>
        <w:t>Id.</w:t>
      </w:r>
      <w:r>
        <w:rPr>
          <w:rFonts w:ascii="Arial" w:eastAsia="Arial" w:hAnsi="Arial" w:cs="Arial"/>
          <w:color w:val="000000"/>
          <w:sz w:val="18"/>
        </w:rPr>
        <w:t xml:space="preserve"> (quoting </w:t>
      </w:r>
      <w:bookmarkStart w:id="7396" w:name="Bookmark_I5YMK1R82D6N980050000400"/>
      <w:bookmarkEnd w:id="7396"/>
      <w:r>
        <w:rPr>
          <w:rFonts w:ascii="Arial" w:eastAsia="Arial" w:hAnsi="Arial" w:cs="Arial"/>
          <w:i/>
          <w:color w:val="000000"/>
          <w:sz w:val="18"/>
        </w:rPr>
        <w:t>Flowers</w:t>
      </w:r>
      <w:r>
        <w:rPr>
          <w:rFonts w:ascii="Arial" w:eastAsia="Arial" w:hAnsi="Arial" w:cs="Arial"/>
          <w:color w:val="000000"/>
          <w:sz w:val="18"/>
        </w:rPr>
        <w:t>, 247 F.3d at 236).</w:t>
      </w:r>
    </w:p>
  </w:footnote>
  <w:footnote w:id="384">
    <w:p w14:paraId="20F29324"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59 </w:t>
      </w:r>
      <w:bookmarkStart w:id="7406" w:name="Bookmark_fnpara_59"/>
      <w:bookmarkEnd w:id="7406"/>
      <w:r>
        <w:rPr>
          <w:rFonts w:ascii="Arial" w:eastAsia="Arial" w:hAnsi="Arial" w:cs="Arial"/>
          <w:color w:val="000000"/>
          <w:sz w:val="18"/>
        </w:rPr>
        <w:t>For example, Clark requested an accommodation post-shoulder surgery exempting him from the requirement to tuck in his shirt. But the doctor's note he provided simply prohibited "manipulation of the left arm until released by the surgeon"; it did not state whether that limitation would prevent Clark from tucking in his shirt. Champion wanted more clarity, so Clark submitted additional medical documentation. Also, when Champion agreed to exempt Clark from the shaving requirement for medical reasons, it offered him an additional fifty cents per hour if he would become compliant with the clean-shaven policy. Clark asserted that this was harassment and that he was denied a raise.</w:t>
      </w:r>
    </w:p>
  </w:footnote>
  <w:footnote w:id="385">
    <w:p w14:paraId="150382C7"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60 </w:t>
      </w:r>
      <w:bookmarkStart w:id="7407" w:name="Bookmark_fnpara_60"/>
      <w:bookmarkStart w:id="7408" w:name="Bookmark_I5YMK1R82HM6880040000400"/>
      <w:bookmarkEnd w:id="7407"/>
      <w:bookmarkEnd w:id="7408"/>
      <w:r>
        <w:rPr>
          <w:rFonts w:ascii="Arial" w:eastAsia="Arial" w:hAnsi="Arial" w:cs="Arial"/>
          <w:i/>
          <w:color w:val="000000"/>
          <w:sz w:val="18"/>
        </w:rPr>
        <w:t>Credeur</w:t>
      </w:r>
      <w:r>
        <w:rPr>
          <w:rFonts w:ascii="Arial" w:eastAsia="Arial" w:hAnsi="Arial" w:cs="Arial"/>
          <w:color w:val="000000"/>
          <w:sz w:val="18"/>
        </w:rPr>
        <w:t>, 860 F.3d at 797 (affirming summary judgment for the employer on former employee's harassment claims and finding that disputes with her supervisors concerning job performance, workplace rules, and reasonable accommodations were not "harassment" and did not create a hostile work environment).</w:t>
      </w:r>
    </w:p>
  </w:footnote>
  <w:footnote w:id="386">
    <w:p w14:paraId="42BCD6B2"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61 </w:t>
      </w:r>
      <w:bookmarkStart w:id="7409" w:name="Bookmark_fnpara_61"/>
      <w:bookmarkStart w:id="7410" w:name="Bookmark_I5YMK1R82SF8T60010000400"/>
      <w:bookmarkEnd w:id="7409"/>
      <w:bookmarkEnd w:id="7410"/>
      <w:r>
        <w:rPr>
          <w:rFonts w:ascii="Arial" w:eastAsia="Arial" w:hAnsi="Arial" w:cs="Arial"/>
          <w:i/>
          <w:color w:val="000000"/>
          <w:sz w:val="18"/>
        </w:rPr>
        <w:t>Id.</w:t>
      </w:r>
      <w:r>
        <w:rPr>
          <w:rFonts w:ascii="Arial" w:eastAsia="Arial" w:hAnsi="Arial" w:cs="Arial"/>
          <w:color w:val="000000"/>
          <w:sz w:val="18"/>
        </w:rPr>
        <w:t xml:space="preserve"> at 796 (discussing </w:t>
      </w:r>
      <w:bookmarkStart w:id="7411" w:name="Bookmark_I5YMK1R82SF8T60030000400"/>
      <w:bookmarkEnd w:id="7411"/>
      <w:r>
        <w:rPr>
          <w:rFonts w:ascii="Arial" w:eastAsia="Arial" w:hAnsi="Arial" w:cs="Arial"/>
          <w:i/>
          <w:color w:val="000000"/>
          <w:sz w:val="18"/>
        </w:rPr>
        <w:t>Flowers</w:t>
      </w:r>
      <w:r>
        <w:rPr>
          <w:rFonts w:ascii="Arial" w:eastAsia="Arial" w:hAnsi="Arial" w:cs="Arial"/>
          <w:color w:val="000000"/>
          <w:sz w:val="18"/>
        </w:rPr>
        <w:t xml:space="preserve">, 247 F.3d at 237). In </w:t>
      </w:r>
      <w:r>
        <w:rPr>
          <w:rFonts w:ascii="Arial" w:eastAsia="Arial" w:hAnsi="Arial" w:cs="Arial"/>
          <w:i/>
          <w:color w:val="000000"/>
          <w:sz w:val="18"/>
        </w:rPr>
        <w:t>Flowers</w:t>
      </w:r>
      <w:r>
        <w:rPr>
          <w:rFonts w:ascii="Arial" w:eastAsia="Arial" w:hAnsi="Arial" w:cs="Arial"/>
          <w:color w:val="000000"/>
          <w:sz w:val="18"/>
        </w:rPr>
        <w:t xml:space="preserve">, we held that there was sufficient evidence that the employer harassed an HIV-positive employee where, once her HIV-positive status became known, her supervisors suddenly avoided her, intercepted or eavesdropped on her calls, refused to shake hands or socialize with her, gave her negative performance appraisals for the first time, lured her into adversarial meetings on false pretenses, "randomly" drug-tested her four times in one week, called her a "bitch," and ultimately fired her. </w:t>
      </w:r>
      <w:bookmarkStart w:id="7412" w:name="Bookmark_I5YMK1R82SF8T60050000400"/>
      <w:bookmarkEnd w:id="7412"/>
      <w:r>
        <w:rPr>
          <w:rFonts w:ascii="Arial" w:eastAsia="Arial" w:hAnsi="Arial" w:cs="Arial"/>
          <w:i/>
          <w:color w:val="000000"/>
          <w:sz w:val="18"/>
        </w:rPr>
        <w:t>Flowers</w:t>
      </w:r>
      <w:r>
        <w:rPr>
          <w:rFonts w:ascii="Arial" w:eastAsia="Arial" w:hAnsi="Arial" w:cs="Arial"/>
          <w:color w:val="000000"/>
          <w:sz w:val="18"/>
        </w:rPr>
        <w:t>, 247 F.3d at 236-37.</w:t>
      </w:r>
    </w:p>
  </w:footnote>
  <w:footnote w:id="387">
    <w:p w14:paraId="618552AA"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62 </w:t>
      </w:r>
      <w:bookmarkStart w:id="7418" w:name="Bookmark_fnpara_62"/>
      <w:bookmarkEnd w:id="7418"/>
      <w:r>
        <w:rPr>
          <w:rFonts w:ascii="Arial" w:eastAsia="Arial" w:hAnsi="Arial" w:cs="Arial"/>
          <w:color w:val="000000"/>
          <w:sz w:val="18"/>
        </w:rPr>
        <w:t xml:space="preserve">Although the district court did not address whether the alleged harassment was severe or pervasive, we may affirm a grant of summary judgment on any ground the record supports. </w:t>
      </w:r>
      <w:bookmarkStart w:id="7419" w:name="Bookmark_I5YMK1R82D6N990020000400"/>
      <w:bookmarkEnd w:id="7419"/>
      <w:r>
        <w:rPr>
          <w:rFonts w:ascii="Arial" w:eastAsia="Arial" w:hAnsi="Arial" w:cs="Arial"/>
          <w:i/>
          <w:color w:val="000000"/>
          <w:sz w:val="18"/>
        </w:rPr>
        <w:t>Windham v. Harris County</w:t>
      </w:r>
      <w:r>
        <w:rPr>
          <w:rFonts w:ascii="Arial" w:eastAsia="Arial" w:hAnsi="Arial" w:cs="Arial"/>
          <w:color w:val="000000"/>
          <w:sz w:val="18"/>
        </w:rPr>
        <w:t xml:space="preserve">, 875 F.3d 229, 234 (5th Cir. 2017) (citing </w:t>
      </w:r>
      <w:bookmarkStart w:id="7420" w:name="Bookmark_I5YMK1R82D6N990040000400"/>
      <w:bookmarkEnd w:id="7420"/>
      <w:r>
        <w:rPr>
          <w:rFonts w:ascii="Arial" w:eastAsia="Arial" w:hAnsi="Arial" w:cs="Arial"/>
          <w:i/>
          <w:color w:val="000000"/>
          <w:sz w:val="18"/>
        </w:rPr>
        <w:t>United States ex rel. King v. Solvay Pharms., Inc.</w:t>
      </w:r>
      <w:r>
        <w:rPr>
          <w:rFonts w:ascii="Arial" w:eastAsia="Arial" w:hAnsi="Arial" w:cs="Arial"/>
          <w:color w:val="000000"/>
          <w:sz w:val="18"/>
        </w:rPr>
        <w:t xml:space="preserve">, 871 F.3d 318, 323 (5th Cir. 2017)); </w:t>
      </w:r>
      <w:bookmarkStart w:id="7421" w:name="Bookmark_I5YMK1R92N1RW20010000400"/>
      <w:bookmarkEnd w:id="7421"/>
      <w:r>
        <w:rPr>
          <w:rFonts w:ascii="Arial" w:eastAsia="Arial" w:hAnsi="Arial" w:cs="Arial"/>
          <w:i/>
          <w:color w:val="000000"/>
          <w:sz w:val="18"/>
        </w:rPr>
        <w:t>Griffin v. United Parcel Serv., Inc.</w:t>
      </w:r>
      <w:r>
        <w:rPr>
          <w:rFonts w:ascii="Arial" w:eastAsia="Arial" w:hAnsi="Arial" w:cs="Arial"/>
          <w:color w:val="000000"/>
          <w:sz w:val="18"/>
        </w:rPr>
        <w:t xml:space="preserve">, 661 F.3d 216, 221 (5th Cir. 2011) ("Even if we do not agree with the reasons given by the district court to support summary judgment, we may affirm the district court's ruling on any grounds supported by the record.") (quoting </w:t>
      </w:r>
      <w:bookmarkStart w:id="7422" w:name="Bookmark_I5YMK1R92N1RW20030000400"/>
      <w:bookmarkEnd w:id="7422"/>
      <w:r>
        <w:rPr>
          <w:rFonts w:ascii="Arial" w:eastAsia="Arial" w:hAnsi="Arial" w:cs="Arial"/>
          <w:i/>
          <w:color w:val="000000"/>
          <w:sz w:val="18"/>
        </w:rPr>
        <w:t>Lifecare Hosps., Inc. v. Health Plus of La., Inc.</w:t>
      </w:r>
      <w:r>
        <w:rPr>
          <w:rFonts w:ascii="Arial" w:eastAsia="Arial" w:hAnsi="Arial" w:cs="Arial"/>
          <w:color w:val="000000"/>
          <w:sz w:val="18"/>
        </w:rPr>
        <w:t>, 418 F.3d 436, 439 (5th Cir. 2005)).</w:t>
      </w:r>
    </w:p>
  </w:footnote>
  <w:footnote w:id="388">
    <w:p w14:paraId="52C12217"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63 </w:t>
      </w:r>
      <w:bookmarkStart w:id="7423" w:name="Bookmark_fnpara_63"/>
      <w:bookmarkEnd w:id="7423"/>
      <w:r>
        <w:rPr>
          <w:rFonts w:ascii="Arial" w:eastAsia="Arial" w:hAnsi="Arial" w:cs="Arial"/>
          <w:color w:val="000000"/>
          <w:sz w:val="18"/>
        </w:rPr>
        <w:t>The letter states, "[p]lease excuse [Clark] from the shaving requirement as he has eczema and dry skin."</w:t>
      </w:r>
    </w:p>
  </w:footnote>
  <w:footnote w:id="389">
    <w:p w14:paraId="5645C07E"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64 </w:t>
      </w:r>
      <w:bookmarkStart w:id="7424" w:name="Bookmark_fnpara_64"/>
      <w:bookmarkStart w:id="7425" w:name="Bookmark_I5YMK1R92N1RW20050000400"/>
      <w:bookmarkEnd w:id="7424"/>
      <w:bookmarkEnd w:id="7425"/>
      <w:r>
        <w:rPr>
          <w:rFonts w:ascii="Arial" w:eastAsia="Arial" w:hAnsi="Arial" w:cs="Arial"/>
          <w:i/>
          <w:color w:val="000000"/>
          <w:sz w:val="18"/>
        </w:rPr>
        <w:t>Credeur</w:t>
      </w:r>
      <w:r>
        <w:rPr>
          <w:rFonts w:ascii="Arial" w:eastAsia="Arial" w:hAnsi="Arial" w:cs="Arial"/>
          <w:color w:val="000000"/>
          <w:sz w:val="18"/>
        </w:rPr>
        <w:t xml:space="preserve">, 860 F.3d at 793 ("'[A]n employee's unsupported testimony that she could perform her job functions from home' does not create a genuine dispute of fact to preclude summary judgment.") (quoting </w:t>
      </w:r>
      <w:bookmarkStart w:id="7426" w:name="Bookmark_I5YMK1R92D6N9D0020000400"/>
      <w:bookmarkEnd w:id="7426"/>
      <w:r>
        <w:rPr>
          <w:rFonts w:ascii="Arial" w:eastAsia="Arial" w:hAnsi="Arial" w:cs="Arial"/>
          <w:i/>
          <w:color w:val="000000"/>
          <w:sz w:val="18"/>
        </w:rPr>
        <w:t>E.E.O.C. v. Ford Motor Co.</w:t>
      </w:r>
      <w:r>
        <w:rPr>
          <w:rFonts w:ascii="Arial" w:eastAsia="Arial" w:hAnsi="Arial" w:cs="Arial"/>
          <w:color w:val="000000"/>
          <w:sz w:val="18"/>
        </w:rPr>
        <w:t xml:space="preserve">, 782 F.3d 753, 763-64 (6th Cir. 2015) (en banc)); </w:t>
      </w:r>
      <w:bookmarkStart w:id="7427" w:name="Bookmark_I5YMK1R92D6N9D0040000400"/>
      <w:bookmarkEnd w:id="7427"/>
      <w:r>
        <w:rPr>
          <w:rFonts w:ascii="Arial" w:eastAsia="Arial" w:hAnsi="Arial" w:cs="Arial"/>
          <w:i/>
          <w:color w:val="000000"/>
          <w:sz w:val="18"/>
        </w:rPr>
        <w:t>Taylor v. Principal Fin. Grp., Inc.</w:t>
      </w:r>
      <w:r>
        <w:rPr>
          <w:rFonts w:ascii="Arial" w:eastAsia="Arial" w:hAnsi="Arial" w:cs="Arial"/>
          <w:color w:val="000000"/>
          <w:sz w:val="18"/>
        </w:rPr>
        <w:t xml:space="preserve">, 93 F.3d 155, 165 n.10 (5th Cir. 1996) ("[C]onclusory allegations, speculation, and unsubstantiated assertions [regarding an alleged disability] are inadequate to satisfy the [former employee]'s burden.") (quoting </w:t>
      </w:r>
      <w:bookmarkStart w:id="7428" w:name="Bookmark_I5YMK1RB2N1RW40010000400"/>
      <w:bookmarkEnd w:id="7428"/>
      <w:r>
        <w:rPr>
          <w:rFonts w:ascii="Arial" w:eastAsia="Arial" w:hAnsi="Arial" w:cs="Arial"/>
          <w:i/>
          <w:color w:val="000000"/>
          <w:sz w:val="18"/>
        </w:rPr>
        <w:t>Forsyth v. Barr</w:t>
      </w:r>
      <w:r>
        <w:rPr>
          <w:rFonts w:ascii="Arial" w:eastAsia="Arial" w:hAnsi="Arial" w:cs="Arial"/>
          <w:color w:val="000000"/>
          <w:sz w:val="18"/>
        </w:rPr>
        <w:t>, 19 F.3d 1527, 1533 (5th Cir. 1994)).</w:t>
      </w:r>
    </w:p>
  </w:footnote>
  <w:footnote w:id="390">
    <w:p w14:paraId="4CF69071"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65 </w:t>
      </w:r>
      <w:bookmarkStart w:id="7430" w:name="Bookmark_fnpara_65"/>
      <w:bookmarkStart w:id="7431" w:name="Bookmark_I5YMK1RB2N1RW40040000400"/>
      <w:bookmarkEnd w:id="7430"/>
      <w:bookmarkEnd w:id="7431"/>
      <w:r>
        <w:rPr>
          <w:rFonts w:ascii="Arial" w:eastAsia="Arial" w:hAnsi="Arial" w:cs="Arial"/>
          <w:color w:val="000000"/>
          <w:sz w:val="18"/>
        </w:rPr>
        <w:t xml:space="preserve">Clark also asserted disability-based harassment claims under the Texas Labor Code, pursuant to which a charge "must be filed not later than the 180th day after the date the alleged unlawful employment practice occurred." TEX. LABOR CODE § 21.202(a). As the district court explained, "[a] charge filed with the EEOC, more than 180 days after the occurrence of an alleged unlawful employment practice under the [TCHRA], is subject to dismissal as time-barred. </w:t>
      </w:r>
      <w:r>
        <w:rPr>
          <w:rFonts w:ascii="Arial" w:eastAsia="Arial" w:hAnsi="Arial" w:cs="Arial"/>
          <w:i/>
          <w:color w:val="000000"/>
          <w:sz w:val="18"/>
        </w:rPr>
        <w:t xml:space="preserve">See </w:t>
      </w:r>
      <w:bookmarkStart w:id="7432" w:name="Bookmark_I5YMK1RB2N1RW40030000400"/>
      <w:bookmarkEnd w:id="7432"/>
      <w:r>
        <w:rPr>
          <w:rFonts w:ascii="Arial" w:eastAsia="Arial" w:hAnsi="Arial" w:cs="Arial"/>
          <w:i/>
          <w:color w:val="000000"/>
          <w:sz w:val="18"/>
        </w:rPr>
        <w:t>Adams v. DaimlerChrysler Servs. NA LLC</w:t>
      </w:r>
      <w:r>
        <w:rPr>
          <w:rFonts w:ascii="Arial" w:eastAsia="Arial" w:hAnsi="Arial" w:cs="Arial"/>
          <w:color w:val="000000"/>
          <w:sz w:val="18"/>
        </w:rPr>
        <w:t xml:space="preserve">, 252 F. App'x 681, 683 (5th Cir. 2007)." Clark filed his EEOC charge on January 10, 2017. Applying the limitation imposed by the TCHRA, the district court concluded that "all state law claims arising before July 14, 2016[] must be dismissed as time-barred." We agree with the district court's analysis. Here, the alleged disability-based harassment occurred in the spring of 2016, so Clark's harassment claim would be time barred. To the extent he alleges that the harassment continued on or after July 14, 2016, the analysis regarding Clark's harassment claim under the ADA would apply to the TCHRA as well. </w:t>
      </w:r>
      <w:r>
        <w:rPr>
          <w:rFonts w:ascii="Arial" w:eastAsia="Arial" w:hAnsi="Arial" w:cs="Arial"/>
          <w:i/>
          <w:color w:val="000000"/>
          <w:sz w:val="18"/>
        </w:rPr>
        <w:t>See supra</w:t>
      </w:r>
      <w:r>
        <w:rPr>
          <w:rFonts w:ascii="Arial" w:eastAsia="Arial" w:hAnsi="Arial" w:cs="Arial"/>
          <w:color w:val="000000"/>
          <w:sz w:val="18"/>
        </w:rPr>
        <w:t xml:space="preserve"> note 16.</w:t>
      </w:r>
    </w:p>
  </w:footnote>
  <w:footnote w:id="391">
    <w:p w14:paraId="2A1023C2"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66 </w:t>
      </w:r>
      <w:bookmarkStart w:id="7437" w:name="Bookmark_fnpara_66"/>
      <w:bookmarkStart w:id="7438" w:name="Bookmark_I5YMK1RB2N1RW40050000400"/>
      <w:bookmarkEnd w:id="7437"/>
      <w:bookmarkEnd w:id="7438"/>
      <w:r>
        <w:rPr>
          <w:rFonts w:ascii="Arial" w:eastAsia="Arial" w:hAnsi="Arial" w:cs="Arial"/>
          <w:i/>
          <w:color w:val="000000"/>
          <w:sz w:val="18"/>
        </w:rPr>
        <w:t>Credeur</w:t>
      </w:r>
      <w:r>
        <w:rPr>
          <w:rFonts w:ascii="Arial" w:eastAsia="Arial" w:hAnsi="Arial" w:cs="Arial"/>
          <w:color w:val="000000"/>
          <w:sz w:val="18"/>
        </w:rPr>
        <w:t xml:space="preserve">, 860 F.3d at 792 (quoting </w:t>
      </w:r>
      <w:bookmarkStart w:id="7439" w:name="Bookmark_I5YMK1RB2HM68G0020000400"/>
      <w:bookmarkEnd w:id="7439"/>
      <w:r>
        <w:rPr>
          <w:rFonts w:ascii="Arial" w:eastAsia="Arial" w:hAnsi="Arial" w:cs="Arial"/>
          <w:i/>
          <w:color w:val="000000"/>
          <w:sz w:val="18"/>
        </w:rPr>
        <w:t>Griffin</w:t>
      </w:r>
      <w:r>
        <w:rPr>
          <w:rFonts w:ascii="Arial" w:eastAsia="Arial" w:hAnsi="Arial" w:cs="Arial"/>
          <w:color w:val="000000"/>
          <w:sz w:val="18"/>
        </w:rPr>
        <w:t>, 661 F.3d at 224).</w:t>
      </w:r>
    </w:p>
  </w:footnote>
  <w:footnote w:id="392">
    <w:p w14:paraId="483881BF"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67 </w:t>
      </w:r>
      <w:bookmarkStart w:id="7440" w:name="Bookmark_fnpara_67"/>
      <w:bookmarkStart w:id="7441" w:name="Bookmark_I5YMK1RB2HM68G0040000400"/>
      <w:bookmarkEnd w:id="7440"/>
      <w:bookmarkEnd w:id="7441"/>
      <w:r>
        <w:rPr>
          <w:rFonts w:ascii="Arial" w:eastAsia="Arial" w:hAnsi="Arial" w:cs="Arial"/>
          <w:i/>
          <w:color w:val="000000"/>
          <w:sz w:val="18"/>
        </w:rPr>
        <w:t>Feist v. Louisiana, Dep't of Justice, Office of the Att'y Gen.</w:t>
      </w:r>
      <w:r>
        <w:rPr>
          <w:rFonts w:ascii="Arial" w:eastAsia="Arial" w:hAnsi="Arial" w:cs="Arial"/>
          <w:color w:val="000000"/>
          <w:sz w:val="18"/>
        </w:rPr>
        <w:t>, 730 F.3d 450, 452 (5th Cir. 2013) (internal quotation marks omitted).</w:t>
      </w:r>
    </w:p>
  </w:footnote>
  <w:footnote w:id="393">
    <w:p w14:paraId="3AD66609"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68 </w:t>
      </w:r>
      <w:bookmarkStart w:id="7442" w:name="Bookmark_fnpara_68"/>
      <w:bookmarkEnd w:id="7442"/>
      <w:r>
        <w:rPr>
          <w:rFonts w:ascii="Arial" w:eastAsia="Arial" w:hAnsi="Arial" w:cs="Arial"/>
          <w:i/>
          <w:color w:val="000000"/>
          <w:sz w:val="18"/>
        </w:rPr>
        <w:t xml:space="preserve">See </w:t>
      </w:r>
      <w:bookmarkStart w:id="7443" w:name="Bookmark_I5YMK1RB28T49X0010000400"/>
      <w:bookmarkEnd w:id="7443"/>
      <w:r>
        <w:rPr>
          <w:rFonts w:ascii="Arial" w:eastAsia="Arial" w:hAnsi="Arial" w:cs="Arial"/>
          <w:i/>
          <w:color w:val="000000"/>
          <w:sz w:val="18"/>
        </w:rPr>
        <w:t>Credeur</w:t>
      </w:r>
      <w:r>
        <w:rPr>
          <w:rFonts w:ascii="Arial" w:eastAsia="Arial" w:hAnsi="Arial" w:cs="Arial"/>
          <w:color w:val="000000"/>
          <w:sz w:val="18"/>
        </w:rPr>
        <w:t>, 860 F.3d at 792 (analyzing Credeur's failure-to-accommodate claim and noting, "[a]t issue is whether Credeur is a 'qualified' individual within the meaning of the ADA. If she is not, our inquiry ends.").</w:t>
      </w:r>
    </w:p>
  </w:footnote>
  <w:footnote w:id="394">
    <w:p w14:paraId="4E154574"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69 </w:t>
      </w:r>
      <w:bookmarkStart w:id="7447" w:name="Bookmark_fnpara_69"/>
      <w:bookmarkEnd w:id="7447"/>
      <w:r>
        <w:rPr>
          <w:rFonts w:ascii="Arial" w:eastAsia="Arial" w:hAnsi="Arial" w:cs="Arial"/>
          <w:color w:val="000000"/>
          <w:sz w:val="18"/>
        </w:rPr>
        <w:t>Contrary to Rule 28, this section also lacks a single citation to the record or case law. FED. R. APP. P. 28(a)(8) (The appellant's brief "must contain: (A) appellant's contentions and the reasons for them, with citations to the authorities and parts of the record on which appellant relies . . . .").</w:t>
      </w:r>
    </w:p>
  </w:footnote>
  <w:footnote w:id="395">
    <w:p w14:paraId="21165958"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70 </w:t>
      </w:r>
      <w:bookmarkStart w:id="7448" w:name="Bookmark_fnpara_70"/>
      <w:bookmarkEnd w:id="7448"/>
      <w:r>
        <w:rPr>
          <w:rFonts w:ascii="Arial" w:eastAsia="Arial" w:hAnsi="Arial" w:cs="Arial"/>
          <w:color w:val="000000"/>
          <w:sz w:val="18"/>
        </w:rPr>
        <w:t>Clark knew about his diabetes before he started work at Champion. And he claims unconsciousness is a potential effect of his condition. Clark worked at Champion for over a year, but he never requested an accommodation to address diabetes-induced unconsciousness or amnesia. Yet he managed to make multiple other diabetes-related accommodation requests during that time. And, as discussed, Champion granted those requests.</w:t>
      </w:r>
    </w:p>
  </w:footnote>
  <w:footnote w:id="396">
    <w:p w14:paraId="716E5584"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71 </w:t>
      </w:r>
      <w:bookmarkStart w:id="7449" w:name="Bookmark_fnpara_71"/>
      <w:bookmarkStart w:id="7450" w:name="Bookmark_I5YMK1RB28T49X0030000400"/>
      <w:bookmarkEnd w:id="7449"/>
      <w:bookmarkEnd w:id="7450"/>
      <w:r>
        <w:rPr>
          <w:rFonts w:ascii="Arial" w:eastAsia="Arial" w:hAnsi="Arial" w:cs="Arial"/>
          <w:i/>
          <w:color w:val="000000"/>
          <w:sz w:val="18"/>
        </w:rPr>
        <w:t>Jenkins</w:t>
      </w:r>
      <w:r>
        <w:rPr>
          <w:rFonts w:ascii="Arial" w:eastAsia="Arial" w:hAnsi="Arial" w:cs="Arial"/>
          <w:color w:val="000000"/>
          <w:sz w:val="18"/>
        </w:rPr>
        <w:t xml:space="preserve">, 487 F.3d at 315 ("'In general . . . it is the responsibility of the individual with the disability to inform the employer that an accommodation is needed.' . . . If the employee fails to request an accommodation, the employer cannot be held liable for failing to provide one."); </w:t>
      </w:r>
      <w:r>
        <w:rPr>
          <w:rFonts w:ascii="Arial" w:eastAsia="Arial" w:hAnsi="Arial" w:cs="Arial"/>
          <w:i/>
          <w:color w:val="000000"/>
          <w:sz w:val="18"/>
        </w:rPr>
        <w:t xml:space="preserve">see </w:t>
      </w:r>
      <w:bookmarkStart w:id="7451" w:name="Bookmark_I5YMK1RB28T49X0050000400"/>
      <w:bookmarkEnd w:id="7451"/>
      <w:r>
        <w:rPr>
          <w:rFonts w:ascii="Arial" w:eastAsia="Arial" w:hAnsi="Arial" w:cs="Arial"/>
          <w:i/>
          <w:color w:val="000000"/>
          <w:sz w:val="18"/>
        </w:rPr>
        <w:t>Taylor</w:t>
      </w:r>
      <w:r>
        <w:rPr>
          <w:rFonts w:ascii="Arial" w:eastAsia="Arial" w:hAnsi="Arial" w:cs="Arial"/>
          <w:color w:val="000000"/>
          <w:sz w:val="18"/>
        </w:rPr>
        <w:t>, 93 F.3d at 165 (citing 29 C.F.R. § 1630.9, App. (1995)).</w:t>
      </w:r>
    </w:p>
  </w:footnote>
  <w:footnote w:id="397">
    <w:p w14:paraId="30D38CE9"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72 </w:t>
      </w:r>
      <w:bookmarkStart w:id="7452" w:name="Bookmark_fnpara_72"/>
      <w:bookmarkStart w:id="7453" w:name="Bookmark_I5YMK1RB2N1RW70030000400"/>
      <w:bookmarkStart w:id="7454" w:name="Bookmark_I5YMK1RC2D6N9M0040000400"/>
      <w:bookmarkStart w:id="7455" w:name="Bookmark_I5YMK1RB2N1RW70020000400"/>
      <w:bookmarkEnd w:id="7452"/>
      <w:bookmarkEnd w:id="7453"/>
      <w:bookmarkEnd w:id="7454"/>
      <w:bookmarkEnd w:id="7455"/>
      <w:r>
        <w:rPr>
          <w:rFonts w:ascii="Arial" w:eastAsia="Arial" w:hAnsi="Arial" w:cs="Arial"/>
          <w:i/>
          <w:color w:val="000000"/>
          <w:sz w:val="18"/>
        </w:rPr>
        <w:t>Moss</w:t>
      </w:r>
      <w:r>
        <w:rPr>
          <w:rFonts w:ascii="Arial" w:eastAsia="Arial" w:hAnsi="Arial" w:cs="Arial"/>
          <w:color w:val="000000"/>
          <w:sz w:val="18"/>
        </w:rPr>
        <w:t xml:space="preserve">, 851 F.3d at 418 n.2 ("Moss also argues that 'continued employment in his own Deputy Constable position' would be a reasonable accommodation, but we fail to see how this is an accommodation at all, let alone a reasonable accommodation."); </w:t>
      </w:r>
      <w:bookmarkStart w:id="7456" w:name="Bookmark_I5YMK1RB2N1RW70040000400"/>
      <w:bookmarkEnd w:id="7456"/>
      <w:r>
        <w:rPr>
          <w:rFonts w:ascii="Arial" w:eastAsia="Arial" w:hAnsi="Arial" w:cs="Arial"/>
          <w:i/>
          <w:color w:val="000000"/>
          <w:sz w:val="18"/>
        </w:rPr>
        <w:t>Burch v. Coca-Cola Co.</w:t>
      </w:r>
      <w:r>
        <w:rPr>
          <w:rFonts w:ascii="Arial" w:eastAsia="Arial" w:hAnsi="Arial" w:cs="Arial"/>
          <w:color w:val="000000"/>
          <w:sz w:val="18"/>
        </w:rPr>
        <w:t xml:space="preserve">, 119 F.3d 305, 319 (5th Cir. 1997) (finding that a qualified individual with a disability who asks </w:t>
      </w:r>
      <w:r>
        <w:rPr>
          <w:rFonts w:ascii="Arial" w:eastAsia="Arial" w:hAnsi="Arial" w:cs="Arial"/>
          <w:i/>
          <w:color w:val="000000"/>
          <w:sz w:val="18"/>
        </w:rPr>
        <w:t>only</w:t>
      </w:r>
      <w:r>
        <w:rPr>
          <w:rFonts w:ascii="Arial" w:eastAsia="Arial" w:hAnsi="Arial" w:cs="Arial"/>
          <w:color w:val="000000"/>
          <w:sz w:val="18"/>
        </w:rPr>
        <w:t xml:space="preserve"> to return to work—but who is instead fired by his employer—has not advanced a failure to accommodate claim under § 12112(b)(5)); </w:t>
      </w:r>
      <w:r>
        <w:rPr>
          <w:rFonts w:ascii="Arial" w:eastAsia="Arial" w:hAnsi="Arial" w:cs="Arial"/>
          <w:i/>
          <w:color w:val="000000"/>
          <w:sz w:val="18"/>
        </w:rPr>
        <w:t xml:space="preserve">see also </w:t>
      </w:r>
      <w:bookmarkStart w:id="7457" w:name="Bookmark_I5YMK1RC2D6N9M0010000400"/>
      <w:bookmarkEnd w:id="7457"/>
      <w:r>
        <w:rPr>
          <w:rFonts w:ascii="Arial" w:eastAsia="Arial" w:hAnsi="Arial" w:cs="Arial"/>
          <w:i/>
          <w:color w:val="000000"/>
          <w:sz w:val="18"/>
        </w:rPr>
        <w:t>Siefken v. Vill. of Arlington Heights</w:t>
      </w:r>
      <w:r>
        <w:rPr>
          <w:rFonts w:ascii="Arial" w:eastAsia="Arial" w:hAnsi="Arial" w:cs="Arial"/>
          <w:color w:val="000000"/>
          <w:sz w:val="18"/>
        </w:rPr>
        <w:t xml:space="preserve">, 65 F.3d 664, 666 (7th Cir. 1995) (granting summary judgment in ADA case in which the plaintiff-employee conceded he was terminated for failing to monitor and control his diabetes because "Siefken is not asking for an accommodation; he is not asking the Village to change anything. He is asking for another chance . . . . But the ADA does not require this"), cited with approval in </w:t>
      </w:r>
      <w:bookmarkStart w:id="7458" w:name="Bookmark_I5YMK1RC2D6N9M0030000400"/>
      <w:bookmarkEnd w:id="7458"/>
      <w:r>
        <w:rPr>
          <w:rFonts w:ascii="Arial" w:eastAsia="Arial" w:hAnsi="Arial" w:cs="Arial"/>
          <w:i/>
          <w:color w:val="000000"/>
          <w:sz w:val="18"/>
        </w:rPr>
        <w:t>Burch</w:t>
      </w:r>
      <w:r>
        <w:rPr>
          <w:rFonts w:ascii="Arial" w:eastAsia="Arial" w:hAnsi="Arial" w:cs="Arial"/>
          <w:color w:val="000000"/>
          <w:sz w:val="18"/>
        </w:rPr>
        <w:t>, 119 F.3d at 319 n.14.</w:t>
      </w:r>
    </w:p>
  </w:footnote>
  <w:footnote w:id="398">
    <w:p w14:paraId="3ED1861C"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73 </w:t>
      </w:r>
      <w:bookmarkStart w:id="7461" w:name="Bookmark_fnpara_73"/>
      <w:bookmarkEnd w:id="7461"/>
      <w:r>
        <w:rPr>
          <w:rFonts w:ascii="Arial" w:eastAsia="Arial" w:hAnsi="Arial" w:cs="Arial"/>
          <w:color w:val="000000"/>
          <w:sz w:val="18"/>
        </w:rPr>
        <w:t xml:space="preserve">"[O]nce the employee presents a request for an accommodation, the employer is required to engage in the interactive process so that </w:t>
      </w:r>
      <w:r>
        <w:rPr>
          <w:rFonts w:ascii="Arial" w:eastAsia="Arial" w:hAnsi="Arial" w:cs="Arial"/>
          <w:i/>
          <w:color w:val="000000"/>
          <w:sz w:val="18"/>
        </w:rPr>
        <w:t>together</w:t>
      </w:r>
      <w:r>
        <w:rPr>
          <w:rFonts w:ascii="Arial" w:eastAsia="Arial" w:hAnsi="Arial" w:cs="Arial"/>
          <w:color w:val="000000"/>
          <w:sz w:val="18"/>
        </w:rPr>
        <w:t xml:space="preserve"> they can determine what reasonable accommodations might be available." </w:t>
      </w:r>
      <w:bookmarkStart w:id="7462" w:name="Bookmark_I5YMK1RC2D6N9M0050000400"/>
      <w:bookmarkEnd w:id="7462"/>
      <w:r>
        <w:rPr>
          <w:rFonts w:ascii="Arial" w:eastAsia="Arial" w:hAnsi="Arial" w:cs="Arial"/>
          <w:i/>
          <w:color w:val="000000"/>
          <w:sz w:val="18"/>
        </w:rPr>
        <w:t>E.E.O.C. v. Chevron Phillips Chem. Co., LP</w:t>
      </w:r>
      <w:r>
        <w:rPr>
          <w:rFonts w:ascii="Arial" w:eastAsia="Arial" w:hAnsi="Arial" w:cs="Arial"/>
          <w:color w:val="000000"/>
          <w:sz w:val="18"/>
        </w:rPr>
        <w:t xml:space="preserve">, 570 F.3d 606, 622 (5th Cir. 2009); </w:t>
      </w:r>
      <w:r>
        <w:rPr>
          <w:rFonts w:ascii="Arial" w:eastAsia="Arial" w:hAnsi="Arial" w:cs="Arial"/>
          <w:i/>
          <w:color w:val="000000"/>
          <w:sz w:val="18"/>
        </w:rPr>
        <w:t xml:space="preserve">see </w:t>
      </w:r>
      <w:bookmarkStart w:id="7463" w:name="Bookmark_I5YMK1RC2SF8TJ0020000400"/>
      <w:bookmarkEnd w:id="7463"/>
      <w:r>
        <w:rPr>
          <w:rFonts w:ascii="Arial" w:eastAsia="Arial" w:hAnsi="Arial" w:cs="Arial"/>
          <w:i/>
          <w:color w:val="000000"/>
          <w:sz w:val="18"/>
        </w:rPr>
        <w:t>Taylor</w:t>
      </w:r>
      <w:r>
        <w:rPr>
          <w:rFonts w:ascii="Arial" w:eastAsia="Arial" w:hAnsi="Arial" w:cs="Arial"/>
          <w:color w:val="000000"/>
          <w:sz w:val="18"/>
        </w:rPr>
        <w:t>, 93 F.3d at 165 ("[I]t is the employee's initial request for an accommodation which triggers the employer's obligation to participate in the interactive process of determining one. If the employee fails to request an accommodation, the employer cannot be held liable for failing to provide one.") (internal citation omitted).</w:t>
      </w:r>
    </w:p>
  </w:footnote>
  <w:footnote w:id="399">
    <w:p w14:paraId="0712B43F"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74 </w:t>
      </w:r>
      <w:bookmarkStart w:id="7470" w:name="Bookmark_fnpara_74"/>
      <w:bookmarkEnd w:id="7470"/>
      <w:r>
        <w:rPr>
          <w:rFonts w:ascii="Arial" w:eastAsia="Arial" w:hAnsi="Arial" w:cs="Arial"/>
          <w:color w:val="000000"/>
          <w:sz w:val="18"/>
        </w:rPr>
        <w:t>The ADA states that "[n]o person shall discriminate against any individual because such individual has opposed any act or practice made unlawful by this chapter or because such individual made a charge, testified, assisted, or participated in any manner in an investigation, proceeding, or hearing under this chapter." 42 U.S.C. § 12203(a).</w:t>
      </w:r>
    </w:p>
  </w:footnote>
  <w:footnote w:id="400">
    <w:p w14:paraId="739980B8"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75 </w:t>
      </w:r>
      <w:bookmarkStart w:id="7471" w:name="Bookmark_fnpara_75"/>
      <w:bookmarkStart w:id="7472" w:name="Bookmark_I5YMK1RC2SF8TJ0040000400"/>
      <w:bookmarkEnd w:id="7471"/>
      <w:bookmarkEnd w:id="7472"/>
      <w:r>
        <w:rPr>
          <w:rFonts w:ascii="Arial" w:eastAsia="Arial" w:hAnsi="Arial" w:cs="Arial"/>
          <w:i/>
          <w:color w:val="000000"/>
          <w:sz w:val="18"/>
        </w:rPr>
        <w:t>Sherrod v. Am. Airlines, Inc.</w:t>
      </w:r>
      <w:r>
        <w:rPr>
          <w:rFonts w:ascii="Arial" w:eastAsia="Arial" w:hAnsi="Arial" w:cs="Arial"/>
          <w:color w:val="000000"/>
          <w:sz w:val="18"/>
        </w:rPr>
        <w:t>, 132 F.3d 1112, 1112 (5th Cir. 1998).</w:t>
      </w:r>
    </w:p>
  </w:footnote>
  <w:footnote w:id="401">
    <w:p w14:paraId="62EBF6A5"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76 </w:t>
      </w:r>
      <w:bookmarkStart w:id="7473" w:name="Bookmark_fnpara_76"/>
      <w:bookmarkStart w:id="7474" w:name="Bookmark_I5YMK1RC2SF8TM0010000400"/>
      <w:bookmarkEnd w:id="7473"/>
      <w:bookmarkEnd w:id="7474"/>
      <w:r>
        <w:rPr>
          <w:rFonts w:ascii="Arial" w:eastAsia="Arial" w:hAnsi="Arial" w:cs="Arial"/>
          <w:i/>
          <w:color w:val="000000"/>
          <w:sz w:val="18"/>
        </w:rPr>
        <w:t>Nall v. BNSF Ry. Co.</w:t>
      </w:r>
      <w:r>
        <w:rPr>
          <w:rFonts w:ascii="Arial" w:eastAsia="Arial" w:hAnsi="Arial" w:cs="Arial"/>
          <w:color w:val="000000"/>
          <w:sz w:val="18"/>
        </w:rPr>
        <w:t xml:space="preserve">, 917 F.3d 335, 348-49 (5th Cir. 2019) (quoting </w:t>
      </w:r>
      <w:bookmarkStart w:id="7475" w:name="Bookmark_I5YMK1RC2SF8TM0030000400"/>
      <w:bookmarkEnd w:id="7475"/>
      <w:r>
        <w:rPr>
          <w:rFonts w:ascii="Arial" w:eastAsia="Arial" w:hAnsi="Arial" w:cs="Arial"/>
          <w:i/>
          <w:color w:val="000000"/>
          <w:sz w:val="18"/>
        </w:rPr>
        <w:t>Seaman v. CSPH, Inc.</w:t>
      </w:r>
      <w:r>
        <w:rPr>
          <w:rFonts w:ascii="Arial" w:eastAsia="Arial" w:hAnsi="Arial" w:cs="Arial"/>
          <w:color w:val="000000"/>
          <w:sz w:val="18"/>
        </w:rPr>
        <w:t xml:space="preserve">, 179 F.3d 297, 301 (5th Cir. 1999)); </w:t>
      </w:r>
      <w:r>
        <w:rPr>
          <w:rFonts w:ascii="Arial" w:eastAsia="Arial" w:hAnsi="Arial" w:cs="Arial"/>
          <w:i/>
          <w:color w:val="000000"/>
          <w:sz w:val="18"/>
        </w:rPr>
        <w:t xml:space="preserve">see also </w:t>
      </w:r>
      <w:bookmarkStart w:id="7476" w:name="Bookmark_I5YMK1RC2SF8TM0050000400"/>
      <w:bookmarkEnd w:id="7476"/>
      <w:r>
        <w:rPr>
          <w:rFonts w:ascii="Arial" w:eastAsia="Arial" w:hAnsi="Arial" w:cs="Arial"/>
          <w:i/>
          <w:color w:val="000000"/>
          <w:sz w:val="18"/>
        </w:rPr>
        <w:t>Credeur</w:t>
      </w:r>
      <w:r>
        <w:rPr>
          <w:rFonts w:ascii="Arial" w:eastAsia="Arial" w:hAnsi="Arial" w:cs="Arial"/>
          <w:color w:val="000000"/>
          <w:sz w:val="18"/>
        </w:rPr>
        <w:t>, 860 F.3d at 797 (same).</w:t>
      </w:r>
    </w:p>
  </w:footnote>
  <w:footnote w:id="402">
    <w:p w14:paraId="1162160D"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77 </w:t>
      </w:r>
      <w:bookmarkStart w:id="7477" w:name="Bookmark_fnpara_77"/>
      <w:bookmarkStart w:id="7478" w:name="Bookmark_I5YMK1RD2HM68S0020000400"/>
      <w:bookmarkEnd w:id="7477"/>
      <w:bookmarkEnd w:id="7478"/>
      <w:r>
        <w:rPr>
          <w:rFonts w:ascii="Arial" w:eastAsia="Arial" w:hAnsi="Arial" w:cs="Arial"/>
          <w:i/>
          <w:color w:val="000000"/>
          <w:sz w:val="18"/>
        </w:rPr>
        <w:t>Nall</w:t>
      </w:r>
      <w:r>
        <w:rPr>
          <w:rFonts w:ascii="Arial" w:eastAsia="Arial" w:hAnsi="Arial" w:cs="Arial"/>
          <w:color w:val="000000"/>
          <w:sz w:val="18"/>
        </w:rPr>
        <w:t xml:space="preserve">, 917 F.3d 335, 349 (5th Cir. 2019) (quoting </w:t>
      </w:r>
      <w:bookmarkStart w:id="7479" w:name="Bookmark_I5YMK1RD2HM68S0040000400"/>
      <w:bookmarkEnd w:id="7479"/>
      <w:r>
        <w:rPr>
          <w:rFonts w:ascii="Arial" w:eastAsia="Arial" w:hAnsi="Arial" w:cs="Arial"/>
          <w:i/>
          <w:color w:val="000000"/>
          <w:sz w:val="18"/>
        </w:rPr>
        <w:t>Seaman</w:t>
      </w:r>
      <w:r>
        <w:rPr>
          <w:rFonts w:ascii="Arial" w:eastAsia="Arial" w:hAnsi="Arial" w:cs="Arial"/>
          <w:color w:val="000000"/>
          <w:sz w:val="18"/>
        </w:rPr>
        <w:t>, 179 F.3d at 301).</w:t>
      </w:r>
    </w:p>
  </w:footnote>
  <w:footnote w:id="403">
    <w:p w14:paraId="7AF498BB"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78 </w:t>
      </w:r>
      <w:bookmarkStart w:id="7480" w:name="Bookmark_fnpara_78"/>
      <w:bookmarkEnd w:id="7480"/>
      <w:r>
        <w:rPr>
          <w:rFonts w:ascii="Arial" w:eastAsia="Arial" w:hAnsi="Arial" w:cs="Arial"/>
          <w:i/>
          <w:color w:val="000000"/>
          <w:sz w:val="18"/>
        </w:rPr>
        <w:t>Id.</w:t>
      </w:r>
    </w:p>
  </w:footnote>
  <w:footnote w:id="404">
    <w:p w14:paraId="14943DFD"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79 </w:t>
      </w:r>
      <w:bookmarkStart w:id="7483" w:name="Bookmark_fnpara_79"/>
      <w:bookmarkStart w:id="7484" w:name="Bookmark_I5YMK1RD2N1RWG0010000400"/>
      <w:bookmarkEnd w:id="7483"/>
      <w:bookmarkEnd w:id="7484"/>
      <w:r>
        <w:rPr>
          <w:rFonts w:ascii="Arial" w:eastAsia="Arial" w:hAnsi="Arial" w:cs="Arial"/>
          <w:i/>
          <w:color w:val="000000"/>
          <w:sz w:val="18"/>
        </w:rPr>
        <w:t>Sherrod</w:t>
      </w:r>
      <w:r>
        <w:rPr>
          <w:rFonts w:ascii="Arial" w:eastAsia="Arial" w:hAnsi="Arial" w:cs="Arial"/>
          <w:color w:val="000000"/>
          <w:sz w:val="18"/>
        </w:rPr>
        <w:t>, 132 F.3d at 1122.</w:t>
      </w:r>
    </w:p>
  </w:footnote>
  <w:footnote w:id="405">
    <w:p w14:paraId="161AD6B9" w14:textId="77777777" w:rsidR="002B10A6" w:rsidRDefault="00000000">
      <w:pPr>
        <w:pStyle w:val="Normal40"/>
        <w:widowControl w:val="0"/>
        <w:spacing w:before="120" w:line="240" w:lineRule="atLeast"/>
        <w:jc w:val="both"/>
      </w:pPr>
      <w:r>
        <w:rPr>
          <w:rFonts w:ascii="Arial" w:eastAsia="Arial" w:hAnsi="Arial" w:cs="Arial"/>
          <w:color w:val="000000"/>
          <w:sz w:val="18"/>
          <w:vertAlign w:val="superscript"/>
        </w:rPr>
        <w:t>80 </w:t>
      </w:r>
      <w:bookmarkStart w:id="7486" w:name="Bookmark_fnpara_80"/>
      <w:bookmarkEnd w:id="7486"/>
      <w:r>
        <w:rPr>
          <w:rFonts w:ascii="Arial" w:eastAsia="Arial" w:hAnsi="Arial" w:cs="Arial"/>
          <w:color w:val="000000"/>
          <w:sz w:val="18"/>
        </w:rPr>
        <w:t>For example, there are multiple emails between management saying variations of "hopefully [Clark] resigns soon." Another email—which Clark's immediate supervisor sent about seven months after Clark filed his complaint—stated that he wanted to "start applying more pressure for him to leave." When asked about this email during his deposition, however, Clark's supervisor referenced Clark's "bad attitude" and "excessive absences" as reasons for wanting him to leave. And Clark does not present any contradictory evidence.</w:t>
      </w:r>
    </w:p>
    <w:p w14:paraId="1EAC3972" w14:textId="77777777" w:rsidR="002B10A6" w:rsidRDefault="00000000">
      <w:pPr>
        <w:pStyle w:val="Normal40"/>
        <w:widowControl w:val="0"/>
        <w:spacing w:before="120" w:line="240" w:lineRule="atLeast"/>
        <w:jc w:val="both"/>
      </w:pPr>
      <w:bookmarkStart w:id="7487" w:name="Bookmark_fnpara_81"/>
      <w:bookmarkEnd w:id="7487"/>
      <w:r>
        <w:rPr>
          <w:rFonts w:ascii="Arial" w:eastAsia="Arial" w:hAnsi="Arial" w:cs="Arial"/>
          <w:color w:val="000000"/>
          <w:sz w:val="18"/>
        </w:rPr>
        <w:t>Clark also relied on the timing of these emails as circumstantial evidence of causation. He emphasizes that these emails were all sent after he filed his complaint in April 2016. But the timing may hurt more than it helps him. The vast majority of Clark's employment at Champion occurred after he filed the internal complaint; Champion did not terminate him until eight months later. Plus, managers exchanged these emails over many months, and they did not originate immediately—or even shortly—after Clark filed the internal complaint. Rather, it seems as though independent events (like Clark's absences or receiving reports of him sleeping in his office) prompted these emails. Also, in July 2016, Clark told Mays that he would "continue to do [his] job for the next few months until [he] graduates from EMT school[] and find[s] a position in the medical field." So it seems like Clark's departure announcement—not his internal complaint—prompted an email chain asking whether Clark had given notice, and a response hoping that he would soon.</w:t>
      </w:r>
    </w:p>
  </w:footnote>
  <w:footnote w:id="406">
    <w:p w14:paraId="502493C5"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81 </w:t>
      </w:r>
      <w:bookmarkStart w:id="7490" w:name="Bookmark_fnpara_82"/>
      <w:bookmarkEnd w:id="7490"/>
      <w:r>
        <w:rPr>
          <w:rFonts w:ascii="Arial" w:eastAsia="Arial" w:hAnsi="Arial" w:cs="Arial"/>
          <w:i/>
          <w:color w:val="000000"/>
          <w:sz w:val="18"/>
        </w:rPr>
        <w:t xml:space="preserve">See </w:t>
      </w:r>
      <w:bookmarkStart w:id="7491" w:name="Bookmark_I5YMK1RD2N1RWG0030000400"/>
      <w:bookmarkEnd w:id="7491"/>
      <w:r>
        <w:rPr>
          <w:rFonts w:ascii="Arial" w:eastAsia="Arial" w:hAnsi="Arial" w:cs="Arial"/>
          <w:i/>
          <w:color w:val="000000"/>
          <w:sz w:val="18"/>
        </w:rPr>
        <w:t>Reed</w:t>
      </w:r>
      <w:r>
        <w:rPr>
          <w:rFonts w:ascii="Arial" w:eastAsia="Arial" w:hAnsi="Arial" w:cs="Arial"/>
          <w:color w:val="000000"/>
          <w:sz w:val="18"/>
        </w:rPr>
        <w:t xml:space="preserve">, 701 F.3d at 440 n.4 ("In addition, to the extent that Reed complains that the real reason for his termination was his coworkers' 'setup job' so that they could oust him out of a competition for a free cruise, his claim is not cognizable. The [state civil rights law] does not protect an employee against unfair business decisions, only discriminatory ones.") (citing </w:t>
      </w:r>
      <w:bookmarkStart w:id="7492" w:name="Bookmark_I5YMK1RD2N1RWG0050000400"/>
      <w:bookmarkEnd w:id="7492"/>
      <w:r>
        <w:rPr>
          <w:rFonts w:ascii="Arial" w:eastAsia="Arial" w:hAnsi="Arial" w:cs="Arial"/>
          <w:i/>
          <w:color w:val="000000"/>
          <w:sz w:val="18"/>
        </w:rPr>
        <w:t>Nieto v. L &amp; H Packing Co.</w:t>
      </w:r>
      <w:r>
        <w:rPr>
          <w:rFonts w:ascii="Arial" w:eastAsia="Arial" w:hAnsi="Arial" w:cs="Arial"/>
          <w:color w:val="000000"/>
          <w:sz w:val="18"/>
        </w:rPr>
        <w:t>, 108 F.3d 621, 624 (5th Cir. 1997)).</w:t>
      </w:r>
    </w:p>
  </w:footnote>
  <w:footnote w:id="407">
    <w:p w14:paraId="2645BFBD"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82 </w:t>
      </w:r>
      <w:bookmarkStart w:id="7493" w:name="Bookmark_fnpara_83"/>
      <w:bookmarkStart w:id="7494" w:name="Bookmark_I5YMK1RD2N1RWJ0030000400"/>
      <w:bookmarkEnd w:id="7493"/>
      <w:bookmarkEnd w:id="7494"/>
      <w:r>
        <w:rPr>
          <w:rFonts w:ascii="Arial" w:eastAsia="Arial" w:hAnsi="Arial" w:cs="Arial"/>
          <w:color w:val="000000"/>
          <w:sz w:val="18"/>
        </w:rPr>
        <w:t xml:space="preserve">Even if Clark established a prima facie case of unlawful retaliation, his claim would remain unavailing. Clark failed to show that Champion's proffered legitimate, non-discriminatory reason for Clark's termination—his sleeping at work in violation of Champion's alertness policy—was pretextual. "A plaintiff may show pretext either through evidence of disparate treatment or by showing that the employer's proffered explanation is false or unworthy of credence." </w:t>
      </w:r>
      <w:bookmarkStart w:id="7495" w:name="Bookmark_I5YMK1RD2N1RWJ0020000400"/>
      <w:bookmarkEnd w:id="7495"/>
      <w:r>
        <w:rPr>
          <w:rFonts w:ascii="Arial" w:eastAsia="Arial" w:hAnsi="Arial" w:cs="Arial"/>
          <w:i/>
          <w:color w:val="000000"/>
          <w:sz w:val="18"/>
        </w:rPr>
        <w:t>Caldwell v. KHOU-TV</w:t>
      </w:r>
      <w:r>
        <w:rPr>
          <w:rFonts w:ascii="Arial" w:eastAsia="Arial" w:hAnsi="Arial" w:cs="Arial"/>
          <w:color w:val="000000"/>
          <w:sz w:val="18"/>
        </w:rPr>
        <w:t xml:space="preserve">, 850 F.3d 237, 242 (5th Cir. 2017) (quoting </w:t>
      </w:r>
      <w:bookmarkStart w:id="7496" w:name="Bookmark_I5YMK1RD2N1RWJ0040000400"/>
      <w:bookmarkEnd w:id="7496"/>
      <w:r>
        <w:rPr>
          <w:rFonts w:ascii="Arial" w:eastAsia="Arial" w:hAnsi="Arial" w:cs="Arial"/>
          <w:i/>
          <w:color w:val="000000"/>
          <w:sz w:val="18"/>
        </w:rPr>
        <w:t>Jackson v. Cal-W. Packaging Corp.</w:t>
      </w:r>
      <w:r>
        <w:rPr>
          <w:rFonts w:ascii="Arial" w:eastAsia="Arial" w:hAnsi="Arial" w:cs="Arial"/>
          <w:color w:val="000000"/>
          <w:sz w:val="18"/>
        </w:rPr>
        <w:t xml:space="preserve">, 602 F.3d 374, 378-79 (5th Cir. 2010)). Clark doesn't argue that Champion treated other employees found sleeping or unconscious at work any differently. In fact, the evidence shows that Champion previously terminated employees for sleeping on the job in violation of the alertness policy. </w:t>
      </w:r>
      <w:bookmarkStart w:id="7497" w:name="Bookmark_I5YMK1RF2HM68Y0020000400"/>
      <w:bookmarkEnd w:id="7497"/>
      <w:r>
        <w:rPr>
          <w:rFonts w:ascii="Arial" w:eastAsia="Arial" w:hAnsi="Arial" w:cs="Arial"/>
          <w:color w:val="000000"/>
          <w:sz w:val="18"/>
        </w:rPr>
        <w:t xml:space="preserve">And Clark was involved in at least one of those terminations. So he cannot use disparate treatment to show pretext. </w:t>
      </w:r>
      <w:r>
        <w:rPr>
          <w:rFonts w:ascii="Arial" w:eastAsia="Arial" w:hAnsi="Arial" w:cs="Arial"/>
          <w:i/>
          <w:color w:val="000000"/>
          <w:sz w:val="18"/>
        </w:rPr>
        <w:t xml:space="preserve">See </w:t>
      </w:r>
      <w:bookmarkStart w:id="7498" w:name="Bookmark_I5YMK1RF2HM68Y0010000400"/>
      <w:bookmarkEnd w:id="7498"/>
      <w:r>
        <w:rPr>
          <w:rFonts w:ascii="Arial" w:eastAsia="Arial" w:hAnsi="Arial" w:cs="Arial"/>
          <w:i/>
          <w:color w:val="000000"/>
          <w:sz w:val="18"/>
        </w:rPr>
        <w:t>Wright v. Chevron Phillips Chem. Co., L.P.</w:t>
      </w:r>
      <w:r>
        <w:rPr>
          <w:rFonts w:ascii="Arial" w:eastAsia="Arial" w:hAnsi="Arial" w:cs="Arial"/>
          <w:color w:val="000000"/>
          <w:sz w:val="18"/>
        </w:rPr>
        <w:t>, 734 F. App'x 931, 934 (5th Cir. 2018) (affirming summary judgment in discrimination case because plaintiff failed to show evidence that other employees caught sleeping on the job received more favorable treatment).</w:t>
      </w:r>
    </w:p>
    <w:p w14:paraId="5CD980F6" w14:textId="77777777" w:rsidR="002B10A6" w:rsidRDefault="00000000">
      <w:pPr>
        <w:pStyle w:val="Normal40"/>
        <w:widowControl w:val="0"/>
        <w:spacing w:before="200" w:line="240" w:lineRule="atLeast"/>
        <w:jc w:val="both"/>
      </w:pPr>
      <w:bookmarkStart w:id="7499" w:name="Bookmark_fnpara_84"/>
      <w:bookmarkStart w:id="7500" w:name="Bookmark_I5YMK1RF2HM68Y0040000400"/>
      <w:bookmarkStart w:id="7501" w:name="Bookmark_I5YMK1RF2SF8TX0030000400"/>
      <w:bookmarkEnd w:id="7499"/>
      <w:bookmarkEnd w:id="7500"/>
      <w:bookmarkEnd w:id="7501"/>
      <w:r>
        <w:rPr>
          <w:rFonts w:ascii="Arial" w:eastAsia="Arial" w:hAnsi="Arial" w:cs="Arial"/>
          <w:color w:val="000000"/>
          <w:sz w:val="18"/>
        </w:rPr>
        <w:t xml:space="preserve">But Clark can't show that Champion's reason for termination was false either. "An explanation is false or unworthy of credence if it is not the real reason for the adverse employment action." </w:t>
      </w:r>
      <w:bookmarkStart w:id="7502" w:name="Bookmark_I5YMK1RF2HM68Y0030000400"/>
      <w:bookmarkEnd w:id="7502"/>
      <w:r>
        <w:rPr>
          <w:rFonts w:ascii="Arial" w:eastAsia="Arial" w:hAnsi="Arial" w:cs="Arial"/>
          <w:i/>
          <w:color w:val="000000"/>
          <w:sz w:val="18"/>
        </w:rPr>
        <w:t>Caldwell</w:t>
      </w:r>
      <w:r>
        <w:rPr>
          <w:rFonts w:ascii="Arial" w:eastAsia="Arial" w:hAnsi="Arial" w:cs="Arial"/>
          <w:color w:val="000000"/>
          <w:sz w:val="18"/>
        </w:rPr>
        <w:t xml:space="preserve">, 850 F.3d at 242 (quoting </w:t>
      </w:r>
      <w:bookmarkStart w:id="7503" w:name="Bookmark_I5YMK1RF2HM68Y0050000400"/>
      <w:bookmarkEnd w:id="7503"/>
      <w:r>
        <w:rPr>
          <w:rFonts w:ascii="Arial" w:eastAsia="Arial" w:hAnsi="Arial" w:cs="Arial"/>
          <w:i/>
          <w:color w:val="000000"/>
          <w:sz w:val="18"/>
        </w:rPr>
        <w:t>Laxton v. Gap Inc.</w:t>
      </w:r>
      <w:r>
        <w:rPr>
          <w:rFonts w:ascii="Arial" w:eastAsia="Arial" w:hAnsi="Arial" w:cs="Arial"/>
          <w:color w:val="000000"/>
          <w:sz w:val="18"/>
        </w:rPr>
        <w:t xml:space="preserve">, 333 F.3d 572, 578 (5th Cir. 2003)). </w:t>
      </w:r>
      <w:bookmarkStart w:id="7504" w:name="Bookmark_I5YMK1RF2SF8TX0030000400_2"/>
      <w:bookmarkEnd w:id="7504"/>
      <w:r>
        <w:rPr>
          <w:rFonts w:ascii="Arial" w:eastAsia="Arial" w:hAnsi="Arial" w:cs="Arial"/>
          <w:color w:val="000000"/>
          <w:sz w:val="18"/>
        </w:rPr>
        <w:t xml:space="preserve">It's not the ultimate accuracy of Champion's reason that matters, but only whether it believed—in good faith—that Clark violated company policy by failing to be awake and alert at work. </w:t>
      </w:r>
      <w:r>
        <w:rPr>
          <w:rFonts w:ascii="Arial" w:eastAsia="Arial" w:hAnsi="Arial" w:cs="Arial"/>
          <w:i/>
          <w:color w:val="000000"/>
          <w:sz w:val="18"/>
        </w:rPr>
        <w:t xml:space="preserve">See, e.g., </w:t>
      </w:r>
      <w:bookmarkStart w:id="7505" w:name="Bookmark_I5YMK1RF2SF8TX0020000400"/>
      <w:bookmarkEnd w:id="7505"/>
      <w:r>
        <w:rPr>
          <w:rFonts w:ascii="Arial" w:eastAsia="Arial" w:hAnsi="Arial" w:cs="Arial"/>
          <w:i/>
          <w:color w:val="000000"/>
          <w:sz w:val="18"/>
        </w:rPr>
        <w:t>Jackson</w:t>
      </w:r>
      <w:r>
        <w:rPr>
          <w:rFonts w:ascii="Arial" w:eastAsia="Arial" w:hAnsi="Arial" w:cs="Arial"/>
          <w:color w:val="000000"/>
          <w:sz w:val="18"/>
        </w:rPr>
        <w:t xml:space="preserve">, 602 F.3d at 379 (explaining that a former employee's claim of innocence relating to the proffered basis for termination—violation of the company's written sexual harassment policy—does not create a factual issue regarding the falsity of that reason because the issue is not whether the former employee violated the policy; rather, it is whether the employer believed the former employee violated the policy and acted upon that belief in good faith); </w:t>
      </w:r>
      <w:bookmarkStart w:id="7506" w:name="Bookmark_I5YMK1RF2SF8TX0040000400"/>
      <w:bookmarkEnd w:id="7506"/>
      <w:r>
        <w:rPr>
          <w:rFonts w:ascii="Arial" w:eastAsia="Arial" w:hAnsi="Arial" w:cs="Arial"/>
          <w:i/>
          <w:color w:val="000000"/>
          <w:sz w:val="18"/>
        </w:rPr>
        <w:t>Miller v. Metro Ford Auto. Sales, Inc.</w:t>
      </w:r>
      <w:r>
        <w:rPr>
          <w:rFonts w:ascii="Arial" w:eastAsia="Arial" w:hAnsi="Arial" w:cs="Arial"/>
          <w:color w:val="000000"/>
          <w:sz w:val="18"/>
        </w:rPr>
        <w:t>, 519 F. App'x 850, 853 (5th Cir. 2013) ("Importantly, even if Metro Ford mistakenly assumed that Miller intentionally violated company policy by violating the consignment agreement, that mistake is insufficient to demonstrate that Metro Ford's stated rationale for terminating him was mere pretext for retaliation."). The evidence shows that Champion had received multiple reports from multiple employees about Clark sleeping in his office during the workday. So he had a history making it believable that he would be sleeping in his office. And on the day Champion terminated Clark, multiple employees reported seeing Clark sleeping in his office and in no apparent distress. In fact, Clark admitted that he was not awake and unable to do work that morning. But then Clark awakened on his own—without medication or intervention—and walked about the office talking normally. Sleeping (or appearing to sleep) at one's desk during the workday is an immediately terminable offense at Champion. And Champion management actively enforced this policy. Clark never provided any medical evidence that a diabetic emergency caused him to lose consciousness the morning of his termination. Based on these facts, it seems like Champion believed in good faith that Clark had violated its alertness policy. So Clark's argument that the reason was pretextual is unpersuasive.</w:t>
      </w:r>
    </w:p>
  </w:footnote>
  <w:footnote w:id="408">
    <w:p w14:paraId="1F354C43" w14:textId="77777777" w:rsidR="002B10A6" w:rsidRDefault="00000000">
      <w:pPr>
        <w:pStyle w:val="Normal40"/>
        <w:widowControl w:val="0"/>
        <w:spacing w:before="200" w:line="240" w:lineRule="atLeast"/>
        <w:jc w:val="both"/>
      </w:pPr>
      <w:r>
        <w:rPr>
          <w:rFonts w:ascii="Arial" w:eastAsia="Arial" w:hAnsi="Arial" w:cs="Arial"/>
          <w:color w:val="000000"/>
          <w:sz w:val="18"/>
          <w:vertAlign w:val="superscript"/>
        </w:rPr>
        <w:t>83 </w:t>
      </w:r>
      <w:bookmarkStart w:id="7509" w:name="Bookmark_fnpara_85"/>
      <w:bookmarkEnd w:id="7509"/>
      <w:r>
        <w:rPr>
          <w:rFonts w:ascii="Arial" w:eastAsia="Arial" w:hAnsi="Arial" w:cs="Arial"/>
          <w:i/>
          <w:color w:val="000000"/>
          <w:sz w:val="18"/>
        </w:rPr>
        <w:t xml:space="preserve">See </w:t>
      </w:r>
      <w:bookmarkStart w:id="7510" w:name="Bookmark_I5YMK1RG2N1RWR0010000400"/>
      <w:bookmarkEnd w:id="7510"/>
      <w:r>
        <w:rPr>
          <w:rFonts w:ascii="Arial" w:eastAsia="Arial" w:hAnsi="Arial" w:cs="Arial"/>
          <w:i/>
          <w:color w:val="000000"/>
          <w:sz w:val="18"/>
        </w:rPr>
        <w:t>Sherrod</w:t>
      </w:r>
      <w:r>
        <w:rPr>
          <w:rFonts w:ascii="Arial" w:eastAsia="Arial" w:hAnsi="Arial" w:cs="Arial"/>
          <w:color w:val="000000"/>
          <w:sz w:val="18"/>
        </w:rPr>
        <w:t>, 132 F.3d at 1122.</w:t>
      </w:r>
    </w:p>
  </w:footnote>
  <w:footnote w:id="409">
    <w:p w14:paraId="5ABB7995" w14:textId="77777777" w:rsidR="002B10A6" w:rsidRDefault="00000000">
      <w:pPr>
        <w:pStyle w:val="Normal41"/>
        <w:widowControl w:val="0"/>
        <w:spacing w:before="200" w:line="240" w:lineRule="atLeast"/>
        <w:jc w:val="both"/>
      </w:pPr>
      <w:r>
        <w:rPr>
          <w:rFonts w:ascii="Arial" w:eastAsia="Arial" w:hAnsi="Arial" w:cs="Arial"/>
          <w:color w:val="000000"/>
          <w:sz w:val="18"/>
          <w:vertAlign w:val="superscript"/>
        </w:rPr>
        <w:t>1 </w:t>
      </w:r>
      <w:bookmarkStart w:id="7553" w:name="Bookmark_fnpara_1_38"/>
      <w:bookmarkStart w:id="7554" w:name="Bookmark_I5XXHYGN2HM5SN0040000400"/>
      <w:bookmarkEnd w:id="7553"/>
      <w:bookmarkEnd w:id="7554"/>
      <w:r>
        <w:rPr>
          <w:rFonts w:ascii="Arial" w:eastAsia="Arial" w:hAnsi="Arial" w:cs="Arial"/>
          <w:color w:val="000000"/>
          <w:sz w:val="18"/>
        </w:rPr>
        <w:t xml:space="preserve">The Acts do have different causation requirements. Under the Rehabilitation Act, the exclusion must be "solely by reason of her or his disability," 29 U.S.C. § 794(a), where under Title II of the ADA, "discrimination need not be the sole reason" for the exclusion. </w:t>
      </w:r>
      <w:bookmarkStart w:id="7555" w:name="Bookmark_I5XXHYGN2HM5SN0030000400"/>
      <w:bookmarkEnd w:id="7555"/>
      <w:r>
        <w:rPr>
          <w:rFonts w:ascii="Arial" w:eastAsia="Arial" w:hAnsi="Arial" w:cs="Arial"/>
          <w:i/>
          <w:color w:val="000000"/>
          <w:sz w:val="18"/>
        </w:rPr>
        <w:t>Bennett-Nelson v. La. Bd. of Regents</w:t>
      </w:r>
      <w:r>
        <w:rPr>
          <w:rFonts w:ascii="Arial" w:eastAsia="Arial" w:hAnsi="Arial" w:cs="Arial"/>
          <w:color w:val="000000"/>
          <w:sz w:val="18"/>
        </w:rPr>
        <w:t xml:space="preserve">, 431 F.3d 448, 454 (5th Cir. 2005) (quoting </w:t>
      </w:r>
      <w:bookmarkStart w:id="7556" w:name="Bookmark_I5XXHYGN2HM5SN0050000400"/>
      <w:bookmarkEnd w:id="7556"/>
      <w:r>
        <w:rPr>
          <w:rFonts w:ascii="Arial" w:eastAsia="Arial" w:hAnsi="Arial" w:cs="Arial"/>
          <w:i/>
          <w:color w:val="000000"/>
          <w:sz w:val="18"/>
        </w:rPr>
        <w:t>Soledad v. U.S. Dep't of Treasury</w:t>
      </w:r>
      <w:r>
        <w:rPr>
          <w:rFonts w:ascii="Arial" w:eastAsia="Arial" w:hAnsi="Arial" w:cs="Arial"/>
          <w:color w:val="000000"/>
          <w:sz w:val="18"/>
        </w:rPr>
        <w:t>, 304 F.3d 500, 503-04 (5th Cir. 2002)).</w:t>
      </w:r>
    </w:p>
  </w:footnote>
  <w:footnote w:id="410">
    <w:p w14:paraId="653441C3" w14:textId="77777777" w:rsidR="002B10A6" w:rsidRDefault="00000000">
      <w:pPr>
        <w:pStyle w:val="Normal41"/>
        <w:widowControl w:val="0"/>
        <w:spacing w:before="200" w:line="240" w:lineRule="atLeast"/>
        <w:jc w:val="both"/>
      </w:pPr>
      <w:r>
        <w:rPr>
          <w:rFonts w:ascii="Arial" w:eastAsia="Arial" w:hAnsi="Arial" w:cs="Arial"/>
          <w:color w:val="000000"/>
          <w:sz w:val="18"/>
          <w:vertAlign w:val="superscript"/>
        </w:rPr>
        <w:t>2 </w:t>
      </w:r>
      <w:bookmarkStart w:id="7576" w:name="Bookmark_fnpara_2_31"/>
      <w:bookmarkEnd w:id="7576"/>
      <w:r>
        <w:rPr>
          <w:rFonts w:ascii="Arial" w:eastAsia="Arial" w:hAnsi="Arial" w:cs="Arial"/>
          <w:color w:val="000000"/>
          <w:sz w:val="18"/>
        </w:rPr>
        <w:t xml:space="preserve">The ADA creates a private right of action against public entities for both monetary and equitable relief. </w:t>
      </w:r>
      <w:r>
        <w:rPr>
          <w:rFonts w:ascii="Arial" w:eastAsia="Arial" w:hAnsi="Arial" w:cs="Arial"/>
          <w:i/>
          <w:color w:val="000000"/>
          <w:sz w:val="18"/>
        </w:rPr>
        <w:t>See</w:t>
      </w:r>
      <w:r>
        <w:rPr>
          <w:rFonts w:ascii="Arial" w:eastAsia="Arial" w:hAnsi="Arial" w:cs="Arial"/>
          <w:color w:val="000000"/>
          <w:sz w:val="18"/>
        </w:rPr>
        <w:t xml:space="preserve"> 42 U.S.C. § 12133.</w:t>
      </w:r>
    </w:p>
  </w:footnote>
  <w:footnote w:id="411">
    <w:p w14:paraId="20CBC09D" w14:textId="77777777" w:rsidR="002B10A6" w:rsidRDefault="00000000">
      <w:pPr>
        <w:pStyle w:val="Normal43"/>
        <w:widowControl w:val="0"/>
        <w:spacing w:before="200" w:line="240" w:lineRule="atLeast"/>
        <w:jc w:val="both"/>
      </w:pPr>
      <w:r>
        <w:rPr>
          <w:rFonts w:ascii="Arial" w:eastAsia="Arial" w:hAnsi="Arial" w:cs="Arial"/>
          <w:color w:val="000000"/>
          <w:sz w:val="18"/>
          <w:vertAlign w:val="superscript"/>
        </w:rPr>
        <w:t>* </w:t>
      </w:r>
      <w:bookmarkStart w:id="7840" w:name="Bookmark_fnpara_1_39"/>
      <w:bookmarkEnd w:id="7840"/>
      <w:r>
        <w:rPr>
          <w:rFonts w:ascii="Arial" w:eastAsia="Arial" w:hAnsi="Arial" w:cs="Arial"/>
          <w:color w:val="000000"/>
          <w:sz w:val="18"/>
        </w:rPr>
        <w:t xml:space="preserve">After examining the briefs and appellate record, this panel has determined unanimously that oral argument would not materially assist in the determination of this appeal. </w:t>
      </w:r>
      <w:r>
        <w:rPr>
          <w:rFonts w:ascii="Arial" w:eastAsia="Arial" w:hAnsi="Arial" w:cs="Arial"/>
          <w:i/>
          <w:color w:val="000000"/>
          <w:sz w:val="18"/>
        </w:rPr>
        <w:t>See</w:t>
      </w:r>
      <w:r>
        <w:rPr>
          <w:rFonts w:ascii="Arial" w:eastAsia="Arial" w:hAnsi="Arial" w:cs="Arial"/>
          <w:color w:val="000000"/>
          <w:sz w:val="18"/>
        </w:rPr>
        <w:t xml:space="preserve"> Fed. R. App. P. 34(a)(2); 10th Cir. R. 34.1(G). The case is therefore ordered submitted without oral argument. This order and judgment is not binding precedent, except under the doctrines of law of the case, res judicata, and collateral estoppel. It may be cited, however, for its persuasive value consistent with Fed. R. App. P. 32.1 and 10th Cir. R. 32.1.</w:t>
      </w:r>
    </w:p>
  </w:footnote>
  <w:footnote w:id="412">
    <w:p w14:paraId="43A91AA8" w14:textId="77777777" w:rsidR="002B10A6" w:rsidRDefault="00000000">
      <w:pPr>
        <w:pStyle w:val="Normal43"/>
        <w:widowControl w:val="0"/>
        <w:spacing w:before="200" w:line="240" w:lineRule="atLeast"/>
        <w:jc w:val="both"/>
      </w:pPr>
      <w:r>
        <w:rPr>
          <w:rFonts w:ascii="Arial" w:eastAsia="Arial" w:hAnsi="Arial" w:cs="Arial"/>
          <w:color w:val="000000"/>
          <w:sz w:val="18"/>
          <w:vertAlign w:val="superscript"/>
        </w:rPr>
        <w:t>1 </w:t>
      </w:r>
      <w:bookmarkStart w:id="7860" w:name="Bookmark_fnpara_2_32"/>
      <w:bookmarkEnd w:id="7860"/>
      <w:r>
        <w:rPr>
          <w:rFonts w:ascii="Arial" w:eastAsia="Arial" w:hAnsi="Arial" w:cs="Arial"/>
          <w:color w:val="000000"/>
          <w:sz w:val="18"/>
        </w:rPr>
        <w:t xml:space="preserve">In the "Conclusion" section of his opening brief, Mr. Kelley asserts that the district court erred by "not allowing the motion to amend the complaint" to add the later-discovered ADA violations. </w:t>
      </w:r>
      <w:bookmarkStart w:id="7861" w:name="Bookmark_I5XN8YMH2HM5TW0020000400"/>
      <w:bookmarkEnd w:id="7861"/>
      <w:r>
        <w:rPr>
          <w:rFonts w:ascii="Arial" w:eastAsia="Arial" w:hAnsi="Arial" w:cs="Arial"/>
          <w:color w:val="000000"/>
          <w:sz w:val="18"/>
        </w:rPr>
        <w:t xml:space="preserve">Aplt. Opening Br. at 41-42. This is insufficient to warrant appellate review. </w:t>
      </w:r>
      <w:r>
        <w:rPr>
          <w:rFonts w:ascii="Arial" w:eastAsia="Arial" w:hAnsi="Arial" w:cs="Arial"/>
          <w:i/>
          <w:color w:val="000000"/>
          <w:sz w:val="18"/>
        </w:rPr>
        <w:t xml:space="preserve">See </w:t>
      </w:r>
      <w:bookmarkStart w:id="7862" w:name="Bookmark_I5XN8YMH2HM5TW0010000400"/>
      <w:bookmarkEnd w:id="7862"/>
      <w:r>
        <w:rPr>
          <w:rFonts w:ascii="Arial" w:eastAsia="Arial" w:hAnsi="Arial" w:cs="Arial"/>
          <w:i/>
          <w:color w:val="000000"/>
          <w:sz w:val="18"/>
        </w:rPr>
        <w:t>Kerber v. Qwest Pension Plan</w:t>
      </w:r>
      <w:r>
        <w:rPr>
          <w:rFonts w:ascii="Arial" w:eastAsia="Arial" w:hAnsi="Arial" w:cs="Arial"/>
          <w:color w:val="000000"/>
          <w:sz w:val="18"/>
        </w:rPr>
        <w:t>, 572 F.3d 1135, 1146 (10th Cir. 2009) (rejecting appellate claim as inadequately briefed because the claim was addressed in only conclusory fashion).</w:t>
      </w:r>
    </w:p>
  </w:footnote>
  <w:footnote w:id="413">
    <w:p w14:paraId="49706DC8" w14:textId="77777777" w:rsidR="002B10A6" w:rsidRDefault="00000000">
      <w:pPr>
        <w:pStyle w:val="Normal43"/>
        <w:widowControl w:val="0"/>
        <w:spacing w:before="200" w:line="240" w:lineRule="atLeast"/>
        <w:jc w:val="both"/>
      </w:pPr>
      <w:r>
        <w:rPr>
          <w:rFonts w:ascii="Arial" w:eastAsia="Arial" w:hAnsi="Arial" w:cs="Arial"/>
          <w:color w:val="000000"/>
          <w:sz w:val="18"/>
          <w:vertAlign w:val="superscript"/>
        </w:rPr>
        <w:t>2 </w:t>
      </w:r>
      <w:bookmarkStart w:id="7872" w:name="Bookmark_fnpara_3_29"/>
      <w:bookmarkEnd w:id="7872"/>
      <w:r>
        <w:rPr>
          <w:rFonts w:ascii="Arial" w:eastAsia="Arial" w:hAnsi="Arial" w:cs="Arial"/>
          <w:color w:val="000000"/>
          <w:sz w:val="18"/>
        </w:rPr>
        <w:t xml:space="preserve">Mr. Kelley erroneously asserts that the </w:t>
      </w:r>
      <w:r>
        <w:rPr>
          <w:rFonts w:ascii="Arial" w:eastAsia="Arial" w:hAnsi="Arial" w:cs="Arial"/>
          <w:i/>
          <w:color w:val="000000"/>
          <w:sz w:val="18"/>
        </w:rPr>
        <w:t>Doran</w:t>
      </w:r>
      <w:r>
        <w:rPr>
          <w:rFonts w:ascii="Arial" w:eastAsia="Arial" w:hAnsi="Arial" w:cs="Arial"/>
          <w:color w:val="000000"/>
          <w:sz w:val="18"/>
        </w:rPr>
        <w:t xml:space="preserve"> district court converted the proceedings from a Fed. R. Civ. P. 12(b)(1) motion based on mootness to a Fed. R. Civ. P. 56(a) summary-judgment motion with limited discovery. </w:t>
      </w:r>
      <w:r>
        <w:rPr>
          <w:rFonts w:ascii="Arial" w:eastAsia="Arial" w:hAnsi="Arial" w:cs="Arial"/>
          <w:i/>
          <w:color w:val="000000"/>
          <w:sz w:val="18"/>
        </w:rPr>
        <w:t>See</w:t>
      </w:r>
      <w:r>
        <w:rPr>
          <w:rFonts w:ascii="Arial" w:eastAsia="Arial" w:hAnsi="Arial" w:cs="Arial"/>
          <w:color w:val="000000"/>
          <w:sz w:val="18"/>
        </w:rPr>
        <w:t xml:space="preserve"> Aplt. Opening Br. at 3 n.1. But there apparently was no claim of mootness in that case.</w:t>
      </w:r>
    </w:p>
  </w:footnote>
  <w:footnote w:id="414">
    <w:p w14:paraId="793067D2" w14:textId="77777777" w:rsidR="002B10A6" w:rsidRDefault="00000000">
      <w:pPr>
        <w:pStyle w:val="Normal43"/>
        <w:widowControl w:val="0"/>
        <w:spacing w:before="120" w:line="240" w:lineRule="atLeast"/>
        <w:jc w:val="both"/>
      </w:pPr>
      <w:r>
        <w:rPr>
          <w:rFonts w:ascii="Arial" w:eastAsia="Arial" w:hAnsi="Arial" w:cs="Arial"/>
          <w:color w:val="000000"/>
          <w:sz w:val="18"/>
          <w:vertAlign w:val="superscript"/>
        </w:rPr>
        <w:t>3 </w:t>
      </w:r>
      <w:bookmarkStart w:id="7894" w:name="Bookmark_fnpara_4_26"/>
      <w:bookmarkEnd w:id="7894"/>
      <w:r>
        <w:rPr>
          <w:rFonts w:ascii="Arial" w:eastAsia="Arial" w:hAnsi="Arial" w:cs="Arial"/>
          <w:color w:val="000000"/>
          <w:sz w:val="18"/>
        </w:rPr>
        <w:t>The ADA defines one type of discrimination as "a failure to make reasonable modifications in policies, practices, or procedures, when such modifications are necessary to afford such goods, services, facilities, privileges, advantages, or accommodations to individuals with disabilities, unless the entity can demonstrate that making such modifications would fundamentally alter the nature of such goods, services, facilities, privileges, advantages, or accommodations." 42 U.S.C. § 12182(b)(2)(A)(ii). Mr. Kelley did not allege this type of discrimination.</w:t>
      </w:r>
    </w:p>
  </w:footnote>
  <w:footnote w:id="415">
    <w:p w14:paraId="510BDF25"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 </w:t>
      </w:r>
      <w:bookmarkStart w:id="7938" w:name="Bookmark_fnpara_1_40"/>
      <w:bookmarkEnd w:id="7938"/>
      <w:r>
        <w:rPr>
          <w:rFonts w:ascii="Arial" w:eastAsia="Arial" w:hAnsi="Arial" w:cs="Arial"/>
          <w:color w:val="000000"/>
          <w:sz w:val="18"/>
        </w:rPr>
        <w:t xml:space="preserve">This order and judgment is not binding precedent, except under the doctrines of law of the case, res judicata, and collateral estoppel. But it may be cited for its persuasive value. </w:t>
      </w:r>
      <w:r>
        <w:rPr>
          <w:rFonts w:ascii="Arial" w:eastAsia="Arial" w:hAnsi="Arial" w:cs="Arial"/>
          <w:i/>
          <w:color w:val="000000"/>
          <w:sz w:val="18"/>
        </w:rPr>
        <w:t>See</w:t>
      </w:r>
      <w:r>
        <w:rPr>
          <w:rFonts w:ascii="Arial" w:eastAsia="Arial" w:hAnsi="Arial" w:cs="Arial"/>
          <w:color w:val="000000"/>
          <w:sz w:val="18"/>
        </w:rPr>
        <w:t xml:space="preserve"> Fed. R. App. P. 32.1; 10th Cir. R. 32.1.</w:t>
      </w:r>
    </w:p>
  </w:footnote>
  <w:footnote w:id="416">
    <w:p w14:paraId="4F7C7205"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1 </w:t>
      </w:r>
      <w:bookmarkStart w:id="7940" w:name="Bookmark_fnpara_2_33"/>
      <w:bookmarkStart w:id="7941" w:name="Bookmark_I5XJ3CCS2N1R4M0020000400"/>
      <w:bookmarkEnd w:id="7940"/>
      <w:bookmarkEnd w:id="7941"/>
      <w:r>
        <w:rPr>
          <w:rFonts w:ascii="Arial" w:eastAsia="Arial" w:hAnsi="Arial" w:cs="Arial"/>
          <w:color w:val="000000"/>
          <w:sz w:val="18"/>
        </w:rPr>
        <w:t xml:space="preserve">We derive most of these historical facts from the district court's order granting the County's motion for summary judgment. We view these facts in the light most favorable to the Cropps as the nonmoving parties. </w:t>
      </w:r>
      <w:r>
        <w:rPr>
          <w:rFonts w:ascii="Arial" w:eastAsia="Arial" w:hAnsi="Arial" w:cs="Arial"/>
          <w:i/>
          <w:color w:val="000000"/>
          <w:sz w:val="18"/>
        </w:rPr>
        <w:t xml:space="preserve">See </w:t>
      </w:r>
      <w:bookmarkStart w:id="7942" w:name="Bookmark_I5XJ3CCS2N1R4M0010000400"/>
      <w:bookmarkEnd w:id="7942"/>
      <w:r>
        <w:rPr>
          <w:rFonts w:ascii="Arial" w:eastAsia="Arial" w:hAnsi="Arial" w:cs="Arial"/>
          <w:i/>
          <w:color w:val="000000"/>
          <w:sz w:val="18"/>
        </w:rPr>
        <w:t>Knopf v. Williams</w:t>
      </w:r>
      <w:r>
        <w:rPr>
          <w:rFonts w:ascii="Arial" w:eastAsia="Arial" w:hAnsi="Arial" w:cs="Arial"/>
          <w:color w:val="000000"/>
          <w:sz w:val="18"/>
        </w:rPr>
        <w:t xml:space="preserve">, 884 F.3d 939, 946 (10th Cir. 2018). We also resolve all factual disputes and draw all reasonable inferences in their favor. </w:t>
      </w:r>
      <w:r>
        <w:rPr>
          <w:rFonts w:ascii="Arial" w:eastAsia="Arial" w:hAnsi="Arial" w:cs="Arial"/>
          <w:i/>
          <w:color w:val="000000"/>
          <w:sz w:val="18"/>
        </w:rPr>
        <w:t>See id.</w:t>
      </w:r>
    </w:p>
  </w:footnote>
  <w:footnote w:id="417">
    <w:p w14:paraId="742F1303"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2 </w:t>
      </w:r>
      <w:bookmarkStart w:id="7944" w:name="Bookmark_fnpara_3_30"/>
      <w:bookmarkEnd w:id="7944"/>
      <w:r>
        <w:rPr>
          <w:rFonts w:ascii="Arial" w:eastAsia="Arial" w:hAnsi="Arial" w:cs="Arial"/>
          <w:color w:val="000000"/>
          <w:sz w:val="18"/>
        </w:rPr>
        <w:t xml:space="preserve">The Cropps assert that the arrest violated Mr. Cropp's constitutional rights. But they also concede they have since settled their constitutional claims against the City of Fort Collins, which is not a party to this appeal. Further, the Cropps do not suggest that the circumstances of Mr. Cropp's arrest have any bearing on their Title II or § 504 claims. Accordingly, although the dissent discusses the arrest at some length, </w:t>
      </w:r>
      <w:r>
        <w:rPr>
          <w:rFonts w:ascii="Arial" w:eastAsia="Arial" w:hAnsi="Arial" w:cs="Arial"/>
          <w:i/>
          <w:color w:val="000000"/>
          <w:sz w:val="18"/>
        </w:rPr>
        <w:t>see</w:t>
      </w:r>
      <w:r>
        <w:rPr>
          <w:rFonts w:ascii="Arial" w:eastAsia="Arial" w:hAnsi="Arial" w:cs="Arial"/>
          <w:color w:val="000000"/>
          <w:sz w:val="18"/>
        </w:rPr>
        <w:t xml:space="preserve"> Dissent 3-4, we offer no further comment on the arrest or its constitutionality.</w:t>
      </w:r>
    </w:p>
  </w:footnote>
  <w:footnote w:id="418">
    <w:p w14:paraId="4CF95B31"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3 </w:t>
      </w:r>
      <w:bookmarkStart w:id="7947" w:name="Bookmark_fnpara_4_27"/>
      <w:bookmarkEnd w:id="7947"/>
      <w:r>
        <w:rPr>
          <w:rFonts w:ascii="Arial" w:eastAsia="Arial" w:hAnsi="Arial" w:cs="Arial"/>
          <w:color w:val="000000"/>
          <w:sz w:val="18"/>
        </w:rPr>
        <w:t xml:space="preserve">Based on concerns about "the safety and security of people and . . . the security of the building," the Jail generally prohibits detainees from having physical contact with </w:t>
      </w:r>
      <w:r>
        <w:rPr>
          <w:rFonts w:ascii="Arial" w:eastAsia="Arial" w:hAnsi="Arial" w:cs="Arial"/>
          <w:i/>
          <w:color w:val="000000"/>
          <w:sz w:val="18"/>
        </w:rPr>
        <w:t>any</w:t>
      </w:r>
      <w:r>
        <w:rPr>
          <w:rFonts w:ascii="Arial" w:eastAsia="Arial" w:hAnsi="Arial" w:cs="Arial"/>
          <w:color w:val="000000"/>
          <w:sz w:val="18"/>
        </w:rPr>
        <w:t xml:space="preserve"> civilians—not just their family members. App. vol. 3, 606. But the Jail does allow attorneys to "sit with their client[s]." </w:t>
      </w:r>
      <w:r>
        <w:rPr>
          <w:rFonts w:ascii="Arial" w:eastAsia="Arial" w:hAnsi="Arial" w:cs="Arial"/>
          <w:i/>
          <w:color w:val="000000"/>
          <w:sz w:val="18"/>
        </w:rPr>
        <w:t>Id.</w:t>
      </w:r>
      <w:r>
        <w:rPr>
          <w:rFonts w:ascii="Arial" w:eastAsia="Arial" w:hAnsi="Arial" w:cs="Arial"/>
          <w:color w:val="000000"/>
          <w:sz w:val="18"/>
        </w:rPr>
        <w:t xml:space="preserve"> at 696.</w:t>
      </w:r>
    </w:p>
  </w:footnote>
  <w:footnote w:id="419">
    <w:p w14:paraId="152C3F72" w14:textId="77777777" w:rsidR="002B10A6" w:rsidRDefault="00000000">
      <w:pPr>
        <w:pStyle w:val="Normal44"/>
        <w:widowControl w:val="0"/>
        <w:spacing w:before="120" w:line="240" w:lineRule="atLeast"/>
        <w:jc w:val="both"/>
      </w:pPr>
      <w:r>
        <w:rPr>
          <w:rFonts w:ascii="Arial" w:eastAsia="Arial" w:hAnsi="Arial" w:cs="Arial"/>
          <w:color w:val="000000"/>
          <w:sz w:val="18"/>
          <w:vertAlign w:val="superscript"/>
        </w:rPr>
        <w:t>4 </w:t>
      </w:r>
      <w:bookmarkStart w:id="7951" w:name="Bookmark_fnpara_5_22"/>
      <w:bookmarkEnd w:id="7951"/>
      <w:r>
        <w:rPr>
          <w:rFonts w:ascii="Arial" w:eastAsia="Arial" w:hAnsi="Arial" w:cs="Arial"/>
          <w:color w:val="000000"/>
          <w:sz w:val="18"/>
        </w:rPr>
        <w:t>In addition to their Title II and § 504 claims, the Cropps brought various other claims, alleging that the County violated their rights under the First and Fourteenth Amendments. The district court granted summary judgment to the County on those claims as well, and the Cropps do not challenge those aspects of the district court's order. Accordingly, we need not and do not address the merits of those claims.</w:t>
      </w:r>
    </w:p>
  </w:footnote>
  <w:footnote w:id="420">
    <w:p w14:paraId="5D8AA751"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5 </w:t>
      </w:r>
      <w:bookmarkStart w:id="7985" w:name="Bookmark_fnpara_6_18"/>
      <w:bookmarkEnd w:id="7985"/>
      <w:r>
        <w:rPr>
          <w:rFonts w:ascii="Arial" w:eastAsia="Arial" w:hAnsi="Arial" w:cs="Arial"/>
          <w:color w:val="000000"/>
          <w:sz w:val="18"/>
        </w:rPr>
        <w:t xml:space="preserve">Because Title II's nondiscrimination language is nearly identical to § 504's nondiscrimination language, and because Mr. Cropp's Title II and § 504 claims do not differ in any material respect, we address these claims together. </w:t>
      </w:r>
      <w:r>
        <w:rPr>
          <w:rFonts w:ascii="Arial" w:eastAsia="Arial" w:hAnsi="Arial" w:cs="Arial"/>
          <w:i/>
          <w:color w:val="000000"/>
          <w:sz w:val="18"/>
        </w:rPr>
        <w:t xml:space="preserve">Cf. </w:t>
      </w:r>
      <w:bookmarkStart w:id="7986" w:name="Bookmark_I5XJ3CCV2D6N600050000400"/>
      <w:bookmarkEnd w:id="7986"/>
      <w:r>
        <w:rPr>
          <w:rFonts w:ascii="Arial" w:eastAsia="Arial" w:hAnsi="Arial" w:cs="Arial"/>
          <w:i/>
          <w:color w:val="000000"/>
          <w:sz w:val="18"/>
        </w:rPr>
        <w:t>Cohon ex rel. Bass v. N.M. Dep't. of Health</w:t>
      </w:r>
      <w:r>
        <w:rPr>
          <w:rFonts w:ascii="Arial" w:eastAsia="Arial" w:hAnsi="Arial" w:cs="Arial"/>
          <w:color w:val="000000"/>
          <w:sz w:val="18"/>
        </w:rPr>
        <w:t>, 646 F.3d 717, 725-26 (10th Cir. 2011).</w:t>
      </w:r>
    </w:p>
  </w:footnote>
  <w:footnote w:id="421">
    <w:p w14:paraId="2B41C364"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6 </w:t>
      </w:r>
      <w:bookmarkStart w:id="7988" w:name="Bookmark_fnpara_7_14"/>
      <w:bookmarkEnd w:id="7988"/>
      <w:r>
        <w:rPr>
          <w:rFonts w:ascii="Arial" w:eastAsia="Arial" w:hAnsi="Arial" w:cs="Arial"/>
          <w:color w:val="000000"/>
          <w:sz w:val="18"/>
        </w:rPr>
        <w:t xml:space="preserve">We use the terms "reasonable modifications" and "reasonable accommodation[s]" interchangeably. </w:t>
      </w:r>
      <w:r>
        <w:rPr>
          <w:rFonts w:ascii="Arial" w:eastAsia="Arial" w:hAnsi="Arial" w:cs="Arial"/>
          <w:i/>
          <w:color w:val="000000"/>
          <w:sz w:val="18"/>
        </w:rPr>
        <w:t xml:space="preserve">Cf. </w:t>
      </w:r>
      <w:bookmarkStart w:id="7989" w:name="Bookmark_I5XJ3CCW28T4HJ0020000400"/>
      <w:bookmarkEnd w:id="7989"/>
      <w:r>
        <w:rPr>
          <w:rFonts w:ascii="Arial" w:eastAsia="Arial" w:hAnsi="Arial" w:cs="Arial"/>
          <w:i/>
          <w:color w:val="000000"/>
          <w:sz w:val="18"/>
        </w:rPr>
        <w:t>Robertson</w:t>
      </w:r>
      <w:r>
        <w:rPr>
          <w:rFonts w:ascii="Arial" w:eastAsia="Arial" w:hAnsi="Arial" w:cs="Arial"/>
          <w:color w:val="000000"/>
          <w:sz w:val="18"/>
        </w:rPr>
        <w:t>, 500 F.3d at 1195 n.8.</w:t>
      </w:r>
    </w:p>
  </w:footnote>
  <w:footnote w:id="422">
    <w:p w14:paraId="14F19B90"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7 </w:t>
      </w:r>
      <w:bookmarkStart w:id="7990" w:name="Bookmark_fnpara_8_12"/>
      <w:bookmarkStart w:id="7991" w:name="Bookmark_I5XJ3CCW28T4HJ0050000400"/>
      <w:bookmarkEnd w:id="7990"/>
      <w:bookmarkEnd w:id="7991"/>
      <w:r>
        <w:rPr>
          <w:rFonts w:ascii="Arial" w:eastAsia="Arial" w:hAnsi="Arial" w:cs="Arial"/>
          <w:color w:val="000000"/>
          <w:sz w:val="18"/>
        </w:rPr>
        <w:t xml:space="preserve">We have previously "recognized two types of [Title II] claims: (1) exclusion from or denial of benefits and (2) discrimination." </w:t>
      </w:r>
      <w:bookmarkStart w:id="7992" w:name="Bookmark_I5XJ3CCW28T4HJ0040000400"/>
      <w:bookmarkEnd w:id="7992"/>
      <w:r>
        <w:rPr>
          <w:rFonts w:ascii="Arial" w:eastAsia="Arial" w:hAnsi="Arial" w:cs="Arial"/>
          <w:i/>
          <w:color w:val="000000"/>
          <w:sz w:val="18"/>
        </w:rPr>
        <w:t>J.V.</w:t>
      </w:r>
      <w:r>
        <w:rPr>
          <w:rFonts w:ascii="Arial" w:eastAsia="Arial" w:hAnsi="Arial" w:cs="Arial"/>
          <w:color w:val="000000"/>
          <w:sz w:val="18"/>
        </w:rPr>
        <w:t xml:space="preserve">, 813 F.3d at 1295. And we have further explained that there are "three ways to establish a discrimination claim: (1) intentional discrimination (disparate treatment); (2) disparate impact; and (3) failure to make a reasonable accommodation." </w:t>
      </w:r>
      <w:r>
        <w:rPr>
          <w:rFonts w:ascii="Arial" w:eastAsia="Arial" w:hAnsi="Arial" w:cs="Arial"/>
          <w:i/>
          <w:color w:val="000000"/>
          <w:sz w:val="18"/>
        </w:rPr>
        <w:t>Id.</w:t>
      </w:r>
      <w:r>
        <w:rPr>
          <w:rFonts w:ascii="Arial" w:eastAsia="Arial" w:hAnsi="Arial" w:cs="Arial"/>
          <w:color w:val="000000"/>
          <w:sz w:val="18"/>
        </w:rPr>
        <w:t xml:space="preserve"> Here, the district court analyzed Mr. Cropp's Title II and § 504 claims under both the first and third discrimination theories we recognized in </w:t>
      </w:r>
      <w:r>
        <w:rPr>
          <w:rFonts w:ascii="Arial" w:eastAsia="Arial" w:hAnsi="Arial" w:cs="Arial"/>
          <w:i/>
          <w:color w:val="000000"/>
          <w:sz w:val="18"/>
        </w:rPr>
        <w:t>J.V.</w:t>
      </w:r>
      <w:r>
        <w:rPr>
          <w:rFonts w:ascii="Arial" w:eastAsia="Arial" w:hAnsi="Arial" w:cs="Arial"/>
          <w:color w:val="000000"/>
          <w:sz w:val="18"/>
        </w:rPr>
        <w:t xml:space="preserve"> But Mr. Cropp has since clarified that he is "proceeding" solely "under the third theory." Aplt. Br. 38 n.14. Thus, for purposes of this portion of our discussion, we limit our analysis to whether the district court erred in granting summary judgment to the County on Mr. Cropp's failure-to-accommodate claims.</w:t>
      </w:r>
    </w:p>
  </w:footnote>
  <w:footnote w:id="423">
    <w:p w14:paraId="13E99AB0"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8 </w:t>
      </w:r>
      <w:bookmarkStart w:id="8009" w:name="Bookmark_fnpara_9_10"/>
      <w:bookmarkEnd w:id="8009"/>
      <w:r>
        <w:rPr>
          <w:rFonts w:ascii="Arial" w:eastAsia="Arial" w:hAnsi="Arial" w:cs="Arial"/>
          <w:color w:val="000000"/>
          <w:sz w:val="18"/>
        </w:rPr>
        <w:t xml:space="preserve">The dissent focuses on the feasibility of providing the Cropps with a physical-contact visit, emphasizing that (1) "inmates are permitted to meet face-to-face with attorneys in the booking lobby"; (2) "[t]here was no staffing shortage at the Jail that night"; (3) no one alleged the Cropps "were dangerous"; and (4) Wulfert could not identify "any burden that an in-person visit would have imposed." Dissent 5-6; </w:t>
      </w:r>
      <w:r>
        <w:rPr>
          <w:rFonts w:ascii="Arial" w:eastAsia="Arial" w:hAnsi="Arial" w:cs="Arial"/>
          <w:i/>
          <w:color w:val="000000"/>
          <w:sz w:val="18"/>
        </w:rPr>
        <w:t>see also id.</w:t>
      </w:r>
      <w:r>
        <w:rPr>
          <w:rFonts w:ascii="Arial" w:eastAsia="Arial" w:hAnsi="Arial" w:cs="Arial"/>
          <w:color w:val="000000"/>
          <w:sz w:val="18"/>
        </w:rPr>
        <w:t xml:space="preserve"> at 10 &amp; n.4. But neither the Cropps nor the dissent identify any authority that might indicate this evidence is relevant to the </w:t>
      </w:r>
      <w:r>
        <w:rPr>
          <w:rFonts w:ascii="Arial" w:eastAsia="Arial" w:hAnsi="Arial" w:cs="Arial"/>
          <w:i/>
          <w:color w:val="000000"/>
          <w:sz w:val="18"/>
        </w:rPr>
        <w:t>threshold</w:t>
      </w:r>
      <w:r>
        <w:rPr>
          <w:rFonts w:ascii="Arial" w:eastAsia="Arial" w:hAnsi="Arial" w:cs="Arial"/>
          <w:color w:val="000000"/>
          <w:sz w:val="18"/>
        </w:rPr>
        <w:t xml:space="preserve"> question of whether a physical-contact visit was necessary to render the County's communications with Mr. Cropp as effective as the County's communications with other inmates, </w:t>
      </w:r>
      <w:r>
        <w:rPr>
          <w:rFonts w:ascii="Arial" w:eastAsia="Arial" w:hAnsi="Arial" w:cs="Arial"/>
          <w:i/>
          <w:color w:val="000000"/>
          <w:sz w:val="18"/>
        </w:rPr>
        <w:t>see</w:t>
      </w:r>
      <w:r>
        <w:rPr>
          <w:rFonts w:ascii="Arial" w:eastAsia="Arial" w:hAnsi="Arial" w:cs="Arial"/>
          <w:color w:val="000000"/>
          <w:sz w:val="18"/>
        </w:rPr>
        <w:t xml:space="preserve"> § 35.160(a)(1), (b)(1), as opposed to the </w:t>
      </w:r>
      <w:r>
        <w:rPr>
          <w:rFonts w:ascii="Arial" w:eastAsia="Arial" w:hAnsi="Arial" w:cs="Arial"/>
          <w:i/>
          <w:color w:val="000000"/>
          <w:sz w:val="18"/>
        </w:rPr>
        <w:t>secondary</w:t>
      </w:r>
      <w:r>
        <w:rPr>
          <w:rFonts w:ascii="Arial" w:eastAsia="Arial" w:hAnsi="Arial" w:cs="Arial"/>
          <w:color w:val="000000"/>
          <w:sz w:val="18"/>
        </w:rPr>
        <w:t xml:space="preserve"> question of whether—even assuming such a visit was necessary under § 35.160—the County nevertheless was not required to provide the Cropps with such a visit because doing so would fundamentally alter the nature of the Jail's services or result in undue administrative and financial burdens, </w:t>
      </w:r>
      <w:r>
        <w:rPr>
          <w:rFonts w:ascii="Arial" w:eastAsia="Arial" w:hAnsi="Arial" w:cs="Arial"/>
          <w:i/>
          <w:color w:val="000000"/>
          <w:sz w:val="18"/>
        </w:rPr>
        <w:t>see</w:t>
      </w:r>
      <w:r>
        <w:rPr>
          <w:rFonts w:ascii="Arial" w:eastAsia="Arial" w:hAnsi="Arial" w:cs="Arial"/>
          <w:color w:val="000000"/>
          <w:sz w:val="18"/>
        </w:rPr>
        <w:t xml:space="preserve"> § 35.164. And for the reasons discussed in the text, we need not and do not reach this secondary question. Accordingly, we offer no further discussion of the evidence the dissent would rely on in doing so.</w:t>
      </w:r>
    </w:p>
  </w:footnote>
  <w:footnote w:id="424">
    <w:p w14:paraId="03E00E55"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9 </w:t>
      </w:r>
      <w:bookmarkStart w:id="8014" w:name="Bookmark_fnpara_10_10"/>
      <w:bookmarkEnd w:id="8014"/>
      <w:r>
        <w:rPr>
          <w:rFonts w:ascii="Arial" w:eastAsia="Arial" w:hAnsi="Arial" w:cs="Arial"/>
          <w:color w:val="000000"/>
          <w:sz w:val="18"/>
        </w:rPr>
        <w:t xml:space="preserve">We have expressly held that "[t]o recover compensatory damages under § 504, a plaintiff must establish that the [relevant] discrimination was intentional." </w:t>
      </w:r>
      <w:bookmarkStart w:id="8015" w:name="Bookmark_I5XJ3CCX2N1R5K0010000400"/>
      <w:bookmarkEnd w:id="8015"/>
      <w:r>
        <w:rPr>
          <w:rFonts w:ascii="Arial" w:eastAsia="Arial" w:hAnsi="Arial" w:cs="Arial"/>
          <w:i/>
          <w:color w:val="000000"/>
          <w:sz w:val="18"/>
        </w:rPr>
        <w:t>Barber ex rel. Barber v. Colo. Dep't of Revenue</w:t>
      </w:r>
      <w:r>
        <w:rPr>
          <w:rFonts w:ascii="Arial" w:eastAsia="Arial" w:hAnsi="Arial" w:cs="Arial"/>
          <w:color w:val="000000"/>
          <w:sz w:val="18"/>
        </w:rPr>
        <w:t xml:space="preserve">, 562 F.3d 1222, 1228 (10th Cir. 2009). But we have not resolved whether the same is true of Title II. </w:t>
      </w:r>
      <w:r>
        <w:rPr>
          <w:rFonts w:ascii="Arial" w:eastAsia="Arial" w:hAnsi="Arial" w:cs="Arial"/>
          <w:i/>
          <w:color w:val="000000"/>
          <w:sz w:val="18"/>
        </w:rPr>
        <w:t xml:space="preserve">See </w:t>
      </w:r>
      <w:bookmarkStart w:id="8016" w:name="Bookmark_I5XJ3CCX2N1R5K0030000400"/>
      <w:bookmarkEnd w:id="8016"/>
      <w:r>
        <w:rPr>
          <w:rFonts w:ascii="Arial" w:eastAsia="Arial" w:hAnsi="Arial" w:cs="Arial"/>
          <w:i/>
          <w:color w:val="000000"/>
          <w:sz w:val="18"/>
        </w:rPr>
        <w:t>Hamer v. City of Trinidad</w:t>
      </w:r>
      <w:r>
        <w:rPr>
          <w:rFonts w:ascii="Arial" w:eastAsia="Arial" w:hAnsi="Arial" w:cs="Arial"/>
          <w:color w:val="000000"/>
          <w:sz w:val="18"/>
        </w:rPr>
        <w:t>, 924 F.3d 1093, 1108-09 (10th Cir. 2019) (noting that question remains open in this circuit).</w:t>
      </w:r>
    </w:p>
  </w:footnote>
  <w:footnote w:id="425">
    <w:p w14:paraId="459295CA"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10 </w:t>
      </w:r>
      <w:bookmarkStart w:id="8030" w:name="Bookmark_fnpara_11_7"/>
      <w:bookmarkStart w:id="8031" w:name="Bookmark_I5XJ3CD02N1R5T0010000400"/>
      <w:bookmarkEnd w:id="8030"/>
      <w:bookmarkEnd w:id="8031"/>
      <w:r>
        <w:rPr>
          <w:rFonts w:ascii="Arial" w:eastAsia="Arial" w:hAnsi="Arial" w:cs="Arial"/>
          <w:color w:val="000000"/>
          <w:sz w:val="18"/>
        </w:rPr>
        <w:t xml:space="preserve">The dissent posits that the County was deliberately indifferent because the Jail denied Mr. Cropp's request for a physical-contact visit "without investigation." Dissent 15 (quoting </w:t>
      </w:r>
      <w:bookmarkStart w:id="8032" w:name="Bookmark_I5XJ3CCY2D6N6N0050000400"/>
      <w:bookmarkEnd w:id="8032"/>
      <w:r>
        <w:rPr>
          <w:rFonts w:ascii="Arial" w:eastAsia="Arial" w:hAnsi="Arial" w:cs="Arial"/>
          <w:i/>
          <w:color w:val="000000"/>
          <w:sz w:val="18"/>
        </w:rPr>
        <w:t>Updike v. Multnomah Cty.</w:t>
      </w:r>
      <w:r>
        <w:rPr>
          <w:rFonts w:ascii="Arial" w:eastAsia="Arial" w:hAnsi="Arial" w:cs="Arial"/>
          <w:color w:val="000000"/>
          <w:sz w:val="18"/>
        </w:rPr>
        <w:t xml:space="preserve">, 870 F.3d 939, 954 (9th Cir. 2017), </w:t>
      </w:r>
      <w:r>
        <w:rPr>
          <w:rFonts w:ascii="Arial" w:eastAsia="Arial" w:hAnsi="Arial" w:cs="Arial"/>
          <w:i/>
          <w:color w:val="000000"/>
          <w:sz w:val="18"/>
        </w:rPr>
        <w:t xml:space="preserve">cert. denied sub nom. </w:t>
      </w:r>
      <w:bookmarkStart w:id="8033" w:name="Bookmark_I5XJ3CD02N1R5T0020000400"/>
      <w:bookmarkEnd w:id="8033"/>
      <w:r>
        <w:rPr>
          <w:rFonts w:ascii="Arial" w:eastAsia="Arial" w:hAnsi="Arial" w:cs="Arial"/>
          <w:i/>
          <w:color w:val="000000"/>
          <w:sz w:val="18"/>
        </w:rPr>
        <w:t>Multnomah Cty. v. Updike</w:t>
      </w:r>
      <w:r>
        <w:rPr>
          <w:rFonts w:ascii="Arial" w:eastAsia="Arial" w:hAnsi="Arial" w:cs="Arial"/>
          <w:color w:val="000000"/>
          <w:sz w:val="18"/>
        </w:rPr>
        <w:t xml:space="preserve">, 139 S. Ct. 55, 202 L. Ed. 2d 19 (2018)); </w:t>
      </w:r>
      <w:r>
        <w:rPr>
          <w:rFonts w:ascii="Arial" w:eastAsia="Arial" w:hAnsi="Arial" w:cs="Arial"/>
          <w:i/>
          <w:color w:val="000000"/>
          <w:sz w:val="18"/>
        </w:rPr>
        <w:t xml:space="preserve">see also </w:t>
      </w:r>
      <w:bookmarkStart w:id="8034" w:name="Bookmark_I5XJ3CD02N1R5T0040000400"/>
      <w:bookmarkEnd w:id="8034"/>
      <w:r>
        <w:rPr>
          <w:rFonts w:ascii="Arial" w:eastAsia="Arial" w:hAnsi="Arial" w:cs="Arial"/>
          <w:i/>
          <w:color w:val="000000"/>
          <w:sz w:val="18"/>
        </w:rPr>
        <w:t>Updike</w:t>
      </w:r>
      <w:r>
        <w:rPr>
          <w:rFonts w:ascii="Arial" w:eastAsia="Arial" w:hAnsi="Arial" w:cs="Arial"/>
          <w:color w:val="000000"/>
          <w:sz w:val="18"/>
        </w:rPr>
        <w:t xml:space="preserve">, 870 F.3d at 954 ("A denial of a request without investigation is sufficient to survive summary judgment on the question of deliberate indifference."). </w:t>
      </w:r>
      <w:bookmarkStart w:id="8035" w:name="Bookmark_I5XJ3CD02D6N6W0020000400"/>
      <w:bookmarkEnd w:id="8035"/>
      <w:r>
        <w:rPr>
          <w:rFonts w:ascii="Arial" w:eastAsia="Arial" w:hAnsi="Arial" w:cs="Arial"/>
          <w:color w:val="000000"/>
          <w:sz w:val="18"/>
        </w:rPr>
        <w:t xml:space="preserve">But we see no indication the Cropps advanced such a failure-to-investigate argument below. Nor do they advance one on appeal—let alone argue for plain error in doing so. Accordingly, we decline to address this waived theory. </w:t>
      </w:r>
      <w:bookmarkStart w:id="8036" w:name="Bookmark_I5XJ3CD02D6N6W0020000400_2"/>
      <w:bookmarkEnd w:id="8036"/>
      <w:r>
        <w:rPr>
          <w:rFonts w:ascii="Arial" w:eastAsia="Arial" w:hAnsi="Arial" w:cs="Arial"/>
          <w:i/>
          <w:color w:val="000000"/>
          <w:sz w:val="18"/>
        </w:rPr>
        <w:t xml:space="preserve">See </w:t>
      </w:r>
      <w:bookmarkStart w:id="8037" w:name="Bookmark_I5XJ3CD02D6N6W0010000400"/>
      <w:bookmarkEnd w:id="8037"/>
      <w:r>
        <w:rPr>
          <w:rFonts w:ascii="Arial" w:eastAsia="Arial" w:hAnsi="Arial" w:cs="Arial"/>
          <w:i/>
          <w:color w:val="000000"/>
          <w:sz w:val="18"/>
        </w:rPr>
        <w:t>Richison v. Ernest Grp., Inc.</w:t>
      </w:r>
      <w:r>
        <w:rPr>
          <w:rFonts w:ascii="Arial" w:eastAsia="Arial" w:hAnsi="Arial" w:cs="Arial"/>
          <w:color w:val="000000"/>
          <w:sz w:val="18"/>
        </w:rPr>
        <w:t>, 634 F.3d 1123, 1131 (10th Cir. 2011) (explaining that "failure to argue for plain error and its application on appeal . . . marks the end of the road for an argument for reversal not first presented to the district court").</w:t>
      </w:r>
    </w:p>
  </w:footnote>
  <w:footnote w:id="426">
    <w:p w14:paraId="23894817"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11 </w:t>
      </w:r>
      <w:bookmarkStart w:id="8063" w:name="Bookmark_fnpara_12_7"/>
      <w:bookmarkEnd w:id="8063"/>
      <w:r>
        <w:rPr>
          <w:rFonts w:ascii="Arial" w:eastAsia="Arial" w:hAnsi="Arial" w:cs="Arial"/>
          <w:color w:val="000000"/>
          <w:sz w:val="18"/>
        </w:rPr>
        <w:t>Indeed, to hold otherwise would run counter to the plain language of § 35.104, which expressly lists "closed captioning" and "large[-]print materials" as auxiliary aids. § 35.104(1), (2). Notably, if a public entity opts to communicate with the public via a video displayed on a single monitor in its lobby and uses closed captioning as it does so, the closed captioning is available to the general public—not just to those individuals with hearing-related disabilities. Likewise, if a public entity opts to communicate with its clients by providing them with written materials and uses large print in doing so, the entity's large-print materials are available to the general public—not just to those individuals with vision-related disabilities. Yet according to the dissent's logic, neither the closed captioning nor the large-print materials would qualify as auxiliary aids—or, by extension, accommodations—</w:t>
      </w:r>
      <w:r>
        <w:rPr>
          <w:rFonts w:ascii="Arial" w:eastAsia="Arial" w:hAnsi="Arial" w:cs="Arial"/>
          <w:i/>
          <w:color w:val="000000"/>
          <w:sz w:val="18"/>
        </w:rPr>
        <w:t>even if</w:t>
      </w:r>
      <w:r>
        <w:rPr>
          <w:rFonts w:ascii="Arial" w:eastAsia="Arial" w:hAnsi="Arial" w:cs="Arial"/>
          <w:color w:val="000000"/>
          <w:sz w:val="18"/>
        </w:rPr>
        <w:t xml:space="preserve"> those services rendered the public entity's "communications with" individuals who have hearing-and vision-related disabilities "as effective as [the entity's] communications with others." § 35.160(a)(1).</w:t>
      </w:r>
    </w:p>
  </w:footnote>
  <w:footnote w:id="427">
    <w:p w14:paraId="649F6ECC"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12 </w:t>
      </w:r>
      <w:bookmarkStart w:id="8067" w:name="Bookmark_fnpara_13_6"/>
      <w:bookmarkEnd w:id="8067"/>
      <w:r>
        <w:rPr>
          <w:rFonts w:ascii="Arial" w:eastAsia="Arial" w:hAnsi="Arial" w:cs="Arial"/>
          <w:color w:val="000000"/>
          <w:sz w:val="18"/>
        </w:rPr>
        <w:t xml:space="preserve">In declining to resolve whether the County discriminated against Mr. Cropp, we likewise decline to resolve whether—as Mr. Cropp implicitly suggests—the County was required to provide him with an auxiliary aid that would have enabled him to </w:t>
      </w:r>
      <w:r>
        <w:rPr>
          <w:rFonts w:ascii="Arial" w:eastAsia="Arial" w:hAnsi="Arial" w:cs="Arial"/>
          <w:i/>
          <w:color w:val="000000"/>
          <w:sz w:val="18"/>
        </w:rPr>
        <w:t>internalize and understand</w:t>
      </w:r>
      <w:r>
        <w:rPr>
          <w:rFonts w:ascii="Arial" w:eastAsia="Arial" w:hAnsi="Arial" w:cs="Arial"/>
          <w:color w:val="000000"/>
          <w:sz w:val="18"/>
        </w:rPr>
        <w:t xml:space="preserve"> the contents of the appearance-bond form as well as the Jail's other inmates, as opposed to an auxiliary aid that merely would have made the contents of the form equally "available" to him. 28 C.F.R. § 35.104(1) (defining auxiliary aids to include "methods of making aurally delivered information </w:t>
      </w:r>
      <w:r>
        <w:rPr>
          <w:rFonts w:ascii="Arial" w:eastAsia="Arial" w:hAnsi="Arial" w:cs="Arial"/>
          <w:i/>
          <w:color w:val="000000"/>
          <w:sz w:val="18"/>
        </w:rPr>
        <w:t>available</w:t>
      </w:r>
      <w:r>
        <w:rPr>
          <w:rFonts w:ascii="Arial" w:eastAsia="Arial" w:hAnsi="Arial" w:cs="Arial"/>
          <w:color w:val="000000"/>
          <w:sz w:val="18"/>
        </w:rPr>
        <w:t xml:space="preserve"> to individuals who are deaf or hard of hearing," such as "open and closed captioning" (emphasis added)); § 35.104(2) (defining auxiliary aids to include "methods of making visually delivered materials </w:t>
      </w:r>
      <w:r>
        <w:rPr>
          <w:rFonts w:ascii="Arial" w:eastAsia="Arial" w:hAnsi="Arial" w:cs="Arial"/>
          <w:i/>
          <w:color w:val="000000"/>
          <w:sz w:val="18"/>
        </w:rPr>
        <w:t>available</w:t>
      </w:r>
      <w:r>
        <w:rPr>
          <w:rFonts w:ascii="Arial" w:eastAsia="Arial" w:hAnsi="Arial" w:cs="Arial"/>
          <w:color w:val="000000"/>
          <w:sz w:val="18"/>
        </w:rPr>
        <w:t xml:space="preserve"> to individuals who are blind or have low vision," such as "Brailled materials" (emphasis added)). But we note in passing that Mr. Cropp does not even expressly acknowledge this distinction, let alone cite any authority to support his unspoken assumption that even if the County successfully ensured the relevant information was available to Mr. Cropp, it nevertheless discriminated against him by failing to ensure that he internalized and understood that information.</w:t>
      </w:r>
    </w:p>
  </w:footnote>
  <w:footnote w:id="428">
    <w:p w14:paraId="536A7D26"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13 </w:t>
      </w:r>
      <w:bookmarkStart w:id="8073" w:name="Bookmark_fnpara_14_6"/>
      <w:bookmarkEnd w:id="8073"/>
      <w:r>
        <w:rPr>
          <w:rFonts w:ascii="Arial" w:eastAsia="Arial" w:hAnsi="Arial" w:cs="Arial"/>
          <w:color w:val="000000"/>
          <w:sz w:val="18"/>
        </w:rPr>
        <w:t xml:space="preserve">The dissent alleges that "the thick glass wall physically separating the Cropps prevented Mrs. Cropp from sitting next to her husband and assisting him with the form." Dissent 10. To the extent the dissent means to suggest the glass prevented Mrs. Cropp (who was on one side) from physically touching the copy of the form that was in the possession of Mr. Cropp (who was on the other side), this much is obvious. </w:t>
      </w:r>
      <w:bookmarkStart w:id="8074" w:name="Bookmark_I5XJ3CD22N1R6C0010000400"/>
      <w:bookmarkEnd w:id="8074"/>
      <w:r>
        <w:rPr>
          <w:rFonts w:ascii="Arial" w:eastAsia="Arial" w:hAnsi="Arial" w:cs="Arial"/>
          <w:color w:val="000000"/>
          <w:sz w:val="18"/>
        </w:rPr>
        <w:t xml:space="preserve">But neither the dissent nor the Cropps identify any evidence indicating that (1) the Jail refused to provide Mrs. Cropp with </w:t>
      </w:r>
      <w:r>
        <w:rPr>
          <w:rFonts w:ascii="Arial" w:eastAsia="Arial" w:hAnsi="Arial" w:cs="Arial"/>
          <w:i/>
          <w:color w:val="000000"/>
          <w:sz w:val="18"/>
        </w:rPr>
        <w:t>her own</w:t>
      </w:r>
      <w:r>
        <w:rPr>
          <w:rFonts w:ascii="Arial" w:eastAsia="Arial" w:hAnsi="Arial" w:cs="Arial"/>
          <w:color w:val="000000"/>
          <w:sz w:val="18"/>
        </w:rPr>
        <w:t xml:space="preserve"> copy of the form; (2) the glass somehow prevented Mrs. Cropp from touching or pointing to parts of that form as she discussed the form with Mr. Cropp; or (3) the glass somehow prevented Mr. Cropp from seeing those parts of the form as she did so. To be clear, we do not question Mrs. Cropp's statement that the glass prevented her from communicating the contents of the form to Mr. Cropp "</w:t>
      </w:r>
      <w:r>
        <w:rPr>
          <w:rFonts w:ascii="Arial" w:eastAsia="Arial" w:hAnsi="Arial" w:cs="Arial"/>
          <w:i/>
          <w:color w:val="000000"/>
          <w:sz w:val="18"/>
        </w:rPr>
        <w:t>as well</w:t>
      </w:r>
      <w:r>
        <w:rPr>
          <w:rFonts w:ascii="Arial" w:eastAsia="Arial" w:hAnsi="Arial" w:cs="Arial"/>
          <w:color w:val="000000"/>
          <w:sz w:val="18"/>
        </w:rPr>
        <w:t xml:space="preserve">" as she could have communicated them via the requested physical-contact visit. App. vol. 1, 256 (emphasis added). But as discussed below, the relevant comparison is not between the efficacy of the accommodation an individual with disabilities requests and the efficacy of the accommodation a public entity ultimately provides; instead, the comparison is between the efficacy of the public entity's communications with individuals who have disabilities and the efficacy of its communications with individuals who do not. </w:t>
      </w:r>
      <w:r>
        <w:rPr>
          <w:rFonts w:ascii="Arial" w:eastAsia="Arial" w:hAnsi="Arial" w:cs="Arial"/>
          <w:i/>
          <w:color w:val="000000"/>
          <w:sz w:val="18"/>
        </w:rPr>
        <w:t xml:space="preserve">See </w:t>
      </w:r>
      <w:bookmarkStart w:id="8075" w:name="Bookmark_I5XJ3CD22SF8H20050000400"/>
      <w:bookmarkEnd w:id="8075"/>
      <w:r>
        <w:rPr>
          <w:rFonts w:ascii="Arial" w:eastAsia="Arial" w:hAnsi="Arial" w:cs="Arial"/>
          <w:i/>
          <w:color w:val="000000"/>
          <w:sz w:val="18"/>
        </w:rPr>
        <w:t>Silva v. Baptist Health S. Fla., Inc.</w:t>
      </w:r>
      <w:r>
        <w:rPr>
          <w:rFonts w:ascii="Arial" w:eastAsia="Arial" w:hAnsi="Arial" w:cs="Arial"/>
          <w:color w:val="000000"/>
          <w:sz w:val="18"/>
        </w:rPr>
        <w:t>, 856 F.3d 824, 834, 835 n.7 (11th Cir. 2017) (noting that ADA does not require "perfect communication"; explaining that defendant was only required to provide plaintiff with auxiliary aid that was "sufficient to ensure a level of communication . . . substantially equal to that afforded to non-disabled" individuals (emphasis omitted)).</w:t>
      </w:r>
    </w:p>
  </w:footnote>
  <w:footnote w:id="429">
    <w:p w14:paraId="374FEA01" w14:textId="77777777" w:rsidR="002B10A6" w:rsidRDefault="00000000">
      <w:pPr>
        <w:pStyle w:val="Normal44"/>
        <w:widowControl w:val="0"/>
        <w:spacing w:before="120" w:line="240" w:lineRule="atLeast"/>
        <w:jc w:val="both"/>
      </w:pPr>
      <w:r>
        <w:rPr>
          <w:rFonts w:ascii="Arial" w:eastAsia="Arial" w:hAnsi="Arial" w:cs="Arial"/>
          <w:color w:val="000000"/>
          <w:sz w:val="18"/>
          <w:vertAlign w:val="superscript"/>
        </w:rPr>
        <w:t>14 </w:t>
      </w:r>
      <w:bookmarkStart w:id="8077" w:name="Bookmark_fnpara_15_5"/>
      <w:bookmarkEnd w:id="8077"/>
      <w:r>
        <w:rPr>
          <w:rFonts w:ascii="Arial" w:eastAsia="Arial" w:hAnsi="Arial" w:cs="Arial"/>
          <w:color w:val="000000"/>
          <w:sz w:val="18"/>
        </w:rPr>
        <w:t>We do not mean to suggest, of course, that individuals with disabilities must attempt to utilize every auxiliary aid offered before they can establish that denying them access to a requested auxiliary aid amounts to deliberate indifference. But when an individual with a disability requests a particular auxiliary aid; a public entity reasonably responds by offering the individual an auxiliary aid that is materially similar to the aid requested; and the individual refuses to even attempt to utilize the auxiliary aid the public entity offers, that refusal may become relevant to the deliberate-indifference inquiry, as we conclude it is here. The dissent suggests that engaging in such an analysis is tantamount to allowing the County to impermissibly "[c]oerce or attempt to persuade" Mrs. Cropp "to provide effective communication for" Mr. Cropp. Dissent 11 (quoting 28 C.F.R. pt. 35, app. A, § 35.160). But the Cropps' own briefing demonstrates otherwise: they expressly concede that "Mr. Cropp requested the communication facilitation of his adult wife" and that "Mrs. Cropp not only agreed to facilitate communication with her longtime husband, she insisted upon it." Aplt. Br. 34. Under these circumstances, the Jail's efforts to accede to Mr. Cropp's request (and Mrs. Cropp's demand) can hardly be characterized as improper coercion.</w:t>
      </w:r>
    </w:p>
  </w:footnote>
  <w:footnote w:id="430">
    <w:p w14:paraId="0FD101FB" w14:textId="77777777" w:rsidR="002B10A6" w:rsidRDefault="00000000">
      <w:pPr>
        <w:pStyle w:val="Normal44"/>
        <w:widowControl w:val="0"/>
        <w:spacing w:before="120" w:line="240" w:lineRule="atLeast"/>
        <w:jc w:val="both"/>
      </w:pPr>
      <w:r>
        <w:rPr>
          <w:rFonts w:ascii="Arial" w:eastAsia="Arial" w:hAnsi="Arial" w:cs="Arial"/>
          <w:color w:val="000000"/>
          <w:sz w:val="18"/>
          <w:vertAlign w:val="superscript"/>
        </w:rPr>
        <w:t>15 </w:t>
      </w:r>
      <w:bookmarkStart w:id="8085" w:name="Bookmark_fnpara_16_5"/>
      <w:bookmarkEnd w:id="8085"/>
      <w:r>
        <w:rPr>
          <w:rFonts w:ascii="Arial" w:eastAsia="Arial" w:hAnsi="Arial" w:cs="Arial"/>
          <w:color w:val="000000"/>
          <w:sz w:val="18"/>
        </w:rPr>
        <w:t>We note that Mr. Cropp does not direct our attention to any information in the record that might indicate the Jail's other inmates fully and perfectly comprehended the contents of the appearance-bond form before signing it.</w:t>
      </w:r>
    </w:p>
  </w:footnote>
  <w:footnote w:id="431">
    <w:p w14:paraId="6045B6F3"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16 </w:t>
      </w:r>
      <w:bookmarkStart w:id="8097" w:name="Bookmark_fnpara_17_5"/>
      <w:bookmarkEnd w:id="8097"/>
      <w:r>
        <w:rPr>
          <w:rFonts w:ascii="Arial" w:eastAsia="Arial" w:hAnsi="Arial" w:cs="Arial"/>
          <w:color w:val="000000"/>
          <w:sz w:val="18"/>
        </w:rPr>
        <w:t xml:space="preserve">The County asserts the investigation began in 2016—years after the events here transpired (and therefore too late to provide it with notice for purposes of Mr. Cropp's failure-to-train theory). But the County does not provide a record cite to support this assertion. Accordingly, we take no position on when the investigation commenced and hold only that Mr. Cropp fails to satisfy his burden, as the appellant, to provide us with the factual predicate necessary to support his notice argument. </w:t>
      </w:r>
      <w:r>
        <w:rPr>
          <w:rFonts w:ascii="Arial" w:eastAsia="Arial" w:hAnsi="Arial" w:cs="Arial"/>
          <w:i/>
          <w:color w:val="000000"/>
          <w:sz w:val="18"/>
        </w:rPr>
        <w:t>See</w:t>
      </w:r>
      <w:r>
        <w:rPr>
          <w:rFonts w:ascii="Arial" w:eastAsia="Arial" w:hAnsi="Arial" w:cs="Arial"/>
          <w:color w:val="000000"/>
          <w:sz w:val="18"/>
        </w:rPr>
        <w:t xml:space="preserve"> Fed. R. App. P. 28(a)(8)(A).</w:t>
      </w:r>
    </w:p>
  </w:footnote>
  <w:footnote w:id="432">
    <w:p w14:paraId="6D886E07"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17 </w:t>
      </w:r>
      <w:bookmarkStart w:id="8105" w:name="Bookmark_fnpara_18_5"/>
      <w:bookmarkEnd w:id="8105"/>
      <w:r>
        <w:rPr>
          <w:rFonts w:ascii="Arial" w:eastAsia="Arial" w:hAnsi="Arial" w:cs="Arial"/>
          <w:color w:val="000000"/>
          <w:sz w:val="18"/>
        </w:rPr>
        <w:t xml:space="preserve">In doing so, we need not address whether—as the County suggests—Mrs. </w:t>
      </w:r>
      <w:bookmarkStart w:id="8106" w:name="Bookmark_I5XJ3CD32N1R6H0020000400"/>
      <w:bookmarkEnd w:id="8106"/>
      <w:r>
        <w:rPr>
          <w:rFonts w:ascii="Arial" w:eastAsia="Arial" w:hAnsi="Arial" w:cs="Arial"/>
          <w:color w:val="000000"/>
          <w:sz w:val="18"/>
        </w:rPr>
        <w:t xml:space="preserve">Cropp lacked Article III standing to pursue her claims. Courts must generally resolve such jurisdictional questions before proceeding to the merits. But this general rule does not apply where, as here, "the merits have already been decided in the court's resolution of a claim over which it did have jurisdiction." </w:t>
      </w:r>
      <w:bookmarkStart w:id="8107" w:name="Bookmark_I5XJ3CD32N1R6H0010000400"/>
      <w:bookmarkEnd w:id="8107"/>
      <w:r>
        <w:rPr>
          <w:rFonts w:ascii="Arial" w:eastAsia="Arial" w:hAnsi="Arial" w:cs="Arial"/>
          <w:i/>
          <w:color w:val="000000"/>
          <w:sz w:val="18"/>
        </w:rPr>
        <w:t>Starkey ex rel. A.B. v. Boulder Cty. Soc. Servs.</w:t>
      </w:r>
      <w:r>
        <w:rPr>
          <w:rFonts w:ascii="Arial" w:eastAsia="Arial" w:hAnsi="Arial" w:cs="Arial"/>
          <w:color w:val="000000"/>
          <w:sz w:val="18"/>
        </w:rPr>
        <w:t>, 569 F.3d 1244, 1260 (10th Cir. 2009).</w:t>
      </w:r>
    </w:p>
  </w:footnote>
  <w:footnote w:id="433">
    <w:p w14:paraId="25F1F602"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1 </w:t>
      </w:r>
      <w:bookmarkStart w:id="8122" w:name="Bookmark_fnpara_19_5"/>
      <w:bookmarkEnd w:id="8122"/>
      <w:r>
        <w:rPr>
          <w:rFonts w:ascii="Arial" w:eastAsia="Arial" w:hAnsi="Arial" w:cs="Arial"/>
          <w:color w:val="000000"/>
          <w:sz w:val="18"/>
        </w:rPr>
        <w:t xml:space="preserve">My colleagues' nonprecedential order and judgment is </w:t>
      </w:r>
      <w:bookmarkStart w:id="8123" w:name="Bookmark_I5XJ3CD32N1R6H0030000400"/>
      <w:bookmarkEnd w:id="8123"/>
      <w:r>
        <w:rPr>
          <w:rFonts w:ascii="Arial" w:eastAsia="Arial" w:hAnsi="Arial" w:cs="Arial"/>
          <w:color w:val="000000"/>
          <w:sz w:val="18"/>
          <w:u w:val="single"/>
        </w:rPr>
        <w:t>Cropp v. Larimer County</w:t>
      </w:r>
      <w:r>
        <w:rPr>
          <w:rFonts w:ascii="Arial" w:eastAsia="Arial" w:hAnsi="Arial" w:cs="Arial"/>
          <w:color w:val="000000"/>
          <w:sz w:val="18"/>
        </w:rPr>
        <w:t>, 941 F.3d 1237, 793 Fed. Appx. 771, 2019 U.S. App. LEXIS 33814 (10th Cir. 2019) (unpublished).</w:t>
      </w:r>
    </w:p>
  </w:footnote>
  <w:footnote w:id="434">
    <w:p w14:paraId="4E77811E" w14:textId="77777777" w:rsidR="002B10A6" w:rsidRDefault="00000000">
      <w:pPr>
        <w:pStyle w:val="Normal44"/>
        <w:widowControl w:val="0"/>
        <w:spacing w:before="120" w:line="240" w:lineRule="atLeast"/>
        <w:jc w:val="both"/>
      </w:pPr>
      <w:r>
        <w:rPr>
          <w:rFonts w:ascii="Arial" w:eastAsia="Arial" w:hAnsi="Arial" w:cs="Arial"/>
          <w:color w:val="000000"/>
          <w:sz w:val="18"/>
          <w:vertAlign w:val="superscript"/>
        </w:rPr>
        <w:t>2 </w:t>
      </w:r>
      <w:bookmarkStart w:id="8131" w:name="Bookmark_fnpara_20_5"/>
      <w:bookmarkEnd w:id="8131"/>
      <w:r>
        <w:rPr>
          <w:rFonts w:ascii="Arial" w:eastAsia="Arial" w:hAnsi="Arial" w:cs="Arial"/>
          <w:color w:val="000000"/>
          <w:sz w:val="18"/>
        </w:rPr>
        <w:t>Wulfert and a County representative offered conflicting testimony in their depositions regarding whether attorney visits are allowed overnight. The County's representative stated that attorney visits were not allowed from 10:00 p.m. to 5:30 a.m. Wulfert said that policies regarding contact visits were the same during the day and night shifts, and that attorney visits happening overnight would occur in the corner of the lobby. She acknowledged that she had not seen this done.</w:t>
      </w:r>
    </w:p>
  </w:footnote>
  <w:footnote w:id="435">
    <w:p w14:paraId="59A1464C"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3 </w:t>
      </w:r>
      <w:bookmarkStart w:id="8141" w:name="Bookmark_fnpara_21_5"/>
      <w:bookmarkEnd w:id="8141"/>
      <w:r>
        <w:rPr>
          <w:rFonts w:ascii="Arial" w:eastAsia="Arial" w:hAnsi="Arial" w:cs="Arial"/>
          <w:color w:val="000000"/>
          <w:sz w:val="18"/>
        </w:rPr>
        <w:t xml:space="preserve">Section 35.164 "does not require a public entity to take any action that it can demonstrate would result in a fundamental alteration in the nature of a service, program, or activity or in undue financial and administrative burdens." </w:t>
      </w:r>
      <w:r>
        <w:rPr>
          <w:rFonts w:ascii="Arial" w:eastAsia="Arial" w:hAnsi="Arial" w:cs="Arial"/>
          <w:color w:val="000000"/>
          <w:sz w:val="18"/>
          <w:u w:val="single"/>
        </w:rPr>
        <w:t>Id.</w:t>
      </w:r>
    </w:p>
  </w:footnote>
  <w:footnote w:id="436">
    <w:p w14:paraId="1B12A8C1" w14:textId="77777777" w:rsidR="002B10A6" w:rsidRDefault="00000000">
      <w:pPr>
        <w:pStyle w:val="Normal44"/>
        <w:widowControl w:val="0"/>
        <w:spacing w:before="200" w:line="240" w:lineRule="atLeast"/>
        <w:jc w:val="both"/>
      </w:pPr>
      <w:r>
        <w:rPr>
          <w:rFonts w:ascii="Arial" w:eastAsia="Arial" w:hAnsi="Arial" w:cs="Arial"/>
          <w:color w:val="000000"/>
          <w:sz w:val="18"/>
          <w:vertAlign w:val="superscript"/>
        </w:rPr>
        <w:t>4 </w:t>
      </w:r>
      <w:bookmarkStart w:id="8148" w:name="Bookmark_fnpara_22_5"/>
      <w:bookmarkStart w:id="8149" w:name="Bookmark_I3V5RXRYV5D0000BWW600003"/>
      <w:bookmarkStart w:id="8150" w:name="Bookmark_I5XJ3CD628T4K70050000400"/>
      <w:bookmarkEnd w:id="8148"/>
      <w:bookmarkEnd w:id="8149"/>
      <w:bookmarkEnd w:id="8150"/>
      <w:r>
        <w:rPr>
          <w:rFonts w:ascii="Arial" w:eastAsia="Arial" w:hAnsi="Arial" w:cs="Arial"/>
          <w:color w:val="000000"/>
          <w:sz w:val="18"/>
        </w:rPr>
        <w:t xml:space="preserve">As noted above, two County witnesses gave inconsistent testimony as to whether attorneys were allowed to meet with clients during the night shift. Because this case was decided on summary judgment, we view the facts in the light most favorable to the Cropps as the nonmoving parties. </w:t>
      </w:r>
      <w:bookmarkStart w:id="8151" w:name="Bookmark_I5XJ3CD628T4K70040000400"/>
      <w:bookmarkEnd w:id="8151"/>
      <w:r>
        <w:rPr>
          <w:rFonts w:ascii="Arial" w:eastAsia="Arial" w:hAnsi="Arial" w:cs="Arial"/>
          <w:color w:val="000000"/>
          <w:sz w:val="18"/>
          <w:u w:val="single"/>
        </w:rPr>
        <w:t>Knopf v. Williams</w:t>
      </w:r>
      <w:r>
        <w:rPr>
          <w:rFonts w:ascii="Arial" w:eastAsia="Arial" w:hAnsi="Arial" w:cs="Arial"/>
          <w:color w:val="000000"/>
          <w:sz w:val="18"/>
        </w:rPr>
        <w:t>, 884 F.3d 939, 946 (10th Cir. 2018). Therefore, I construe the evidence to show that attorney visits could be permitted in the booking lobby overnight.</w:t>
      </w:r>
    </w:p>
  </w:footnote>
  <w:footnote w:id="437">
    <w:p w14:paraId="35E0B11B" w14:textId="77777777" w:rsidR="002B10A6" w:rsidRDefault="00000000">
      <w:pPr>
        <w:pStyle w:val="Normal44"/>
        <w:widowControl w:val="0"/>
        <w:spacing w:before="120" w:line="240" w:lineRule="atLeast"/>
        <w:jc w:val="both"/>
      </w:pPr>
      <w:r>
        <w:rPr>
          <w:rFonts w:ascii="Arial" w:eastAsia="Arial" w:hAnsi="Arial" w:cs="Arial"/>
          <w:color w:val="000000"/>
          <w:sz w:val="18"/>
          <w:vertAlign w:val="superscript"/>
        </w:rPr>
        <w:t>5 </w:t>
      </w:r>
      <w:bookmarkStart w:id="8174" w:name="Bookmark_fnpara_23_5"/>
      <w:bookmarkEnd w:id="8174"/>
      <w:r>
        <w:rPr>
          <w:rFonts w:ascii="Arial" w:eastAsia="Arial" w:hAnsi="Arial" w:cs="Arial"/>
          <w:color w:val="000000"/>
          <w:sz w:val="18"/>
        </w:rPr>
        <w:t>The majority states that the Cropps did not argue the County was deliberately indifferent in refusing an in-person visit without investigating whether the County could provide such a visit to Mr. Cropp. (Majority Order &amp; J. 15 n.10.) To the contrary, the Cropps have repeatedly argued that the County intentionally and summarily denied their request without the required "primary consideration," § 35.160(b)(2), standing instead on its absolute policy that the provided visitation booth had to be utilized.</w:t>
      </w:r>
    </w:p>
  </w:footnote>
  <w:footnote w:id="438">
    <w:p w14:paraId="07F72D1B" w14:textId="77777777" w:rsidR="002B10A6" w:rsidRDefault="00000000">
      <w:pPr>
        <w:pStyle w:val="Normal44"/>
        <w:widowControl w:val="0"/>
        <w:spacing w:before="120" w:line="240" w:lineRule="atLeast"/>
        <w:jc w:val="both"/>
      </w:pPr>
      <w:r>
        <w:rPr>
          <w:rFonts w:ascii="Arial" w:eastAsia="Arial" w:hAnsi="Arial" w:cs="Arial"/>
          <w:color w:val="000000"/>
          <w:sz w:val="18"/>
          <w:vertAlign w:val="superscript"/>
        </w:rPr>
        <w:t>6 </w:t>
      </w:r>
      <w:bookmarkStart w:id="8175" w:name="Bookmark_fnpara_24_5"/>
      <w:bookmarkEnd w:id="8175"/>
      <w:r>
        <w:rPr>
          <w:rFonts w:ascii="Arial" w:eastAsia="Arial" w:hAnsi="Arial" w:cs="Arial"/>
          <w:color w:val="000000"/>
          <w:sz w:val="18"/>
        </w:rPr>
        <w:t>Both the district court and the majority reject Mrs. Cropp's associational claims as dependent upon Mr. Cropp's claims. (Majority Order &amp; J. 26-27.) Because I would reverse the district court's grant of summary judgment on Mr. Cropp's failure-to-accommodate claim, I would remand Mrs. Cropp's associational claims for further consideration by the district court in the first instance.</w:t>
      </w:r>
    </w:p>
  </w:footnote>
  <w:footnote w:id="439">
    <w:p w14:paraId="308A258C" w14:textId="77777777" w:rsidR="002B10A6" w:rsidRDefault="00000000">
      <w:pPr>
        <w:pStyle w:val="Normal45"/>
        <w:widowControl w:val="0"/>
        <w:spacing w:before="120" w:line="240" w:lineRule="atLeast"/>
        <w:jc w:val="both"/>
      </w:pPr>
      <w:r>
        <w:rPr>
          <w:rFonts w:ascii="Arial" w:eastAsia="Arial" w:hAnsi="Arial" w:cs="Arial"/>
          <w:color w:val="000000"/>
          <w:sz w:val="18"/>
          <w:vertAlign w:val="superscript"/>
        </w:rPr>
        <w:t>1 </w:t>
      </w:r>
      <w:bookmarkStart w:id="8194" w:name="Bookmark_fnpara_1_41"/>
      <w:bookmarkEnd w:id="8194"/>
      <w:r>
        <w:rPr>
          <w:rFonts w:ascii="Arial" w:eastAsia="Arial" w:hAnsi="Arial" w:cs="Arial"/>
          <w:color w:val="000000"/>
          <w:sz w:val="18"/>
        </w:rPr>
        <w:t>According to his amended complaint, Mosley "is an individual with numerous disabilities, but in no way limited to, permanent paralysis, degenerative discs and scoliosis caused by his being infected with the West Nile Virus in 2003. These conditions cause plaintiff to suffer from sudden onsets of severe pain, experience seizures and require plaintiff to use a mobility device, all of which substantially limits plaintiff's major life activities." R. 7 (Am. Compl. at 2, ¶ 7) (Page ID #42).</w:t>
      </w:r>
    </w:p>
  </w:footnote>
  <w:footnote w:id="440">
    <w:p w14:paraId="3ECF434D" w14:textId="77777777" w:rsidR="002B10A6" w:rsidRDefault="00000000">
      <w:pPr>
        <w:pStyle w:val="Normal45"/>
        <w:widowControl w:val="0"/>
        <w:spacing w:before="120" w:line="240" w:lineRule="atLeast"/>
        <w:jc w:val="both"/>
      </w:pPr>
      <w:r>
        <w:rPr>
          <w:rFonts w:ascii="Arial" w:eastAsia="Arial" w:hAnsi="Arial" w:cs="Arial"/>
          <w:color w:val="000000"/>
          <w:sz w:val="18"/>
          <w:vertAlign w:val="superscript"/>
        </w:rPr>
        <w:t>2 </w:t>
      </w:r>
      <w:bookmarkStart w:id="8196" w:name="Bookmark_fnpara_2_34"/>
      <w:bookmarkEnd w:id="8196"/>
      <w:r>
        <w:rPr>
          <w:rFonts w:ascii="Arial" w:eastAsia="Arial" w:hAnsi="Arial" w:cs="Arial"/>
          <w:color w:val="000000"/>
          <w:sz w:val="18"/>
        </w:rPr>
        <w:t>Mosley alleges "Kohl's is a place of public accommodation covered by Title III of the ADA because it is operated by a private entity, its operations affect commerce, and it is a sales establishment." R. 7 (Am. Compl. at 4, ¶ 18) (Page ID #44) (citing 42 U.S.C. §§ 12181(7), 12182(a); 28 C.F.R. § 36.104). Kohl's locations therefore qualify as "facilities" governed by Title III. R. 7 (Am. Compl. at 2, ¶ 5) (Page ID #42) (citing 28 C.F.R. § 36.104).</w:t>
      </w:r>
    </w:p>
  </w:footnote>
  <w:footnote w:id="441">
    <w:p w14:paraId="3055B9D7" w14:textId="77777777" w:rsidR="002B10A6" w:rsidRDefault="00000000">
      <w:pPr>
        <w:pStyle w:val="Normal45"/>
        <w:widowControl w:val="0"/>
        <w:spacing w:before="120" w:line="240" w:lineRule="atLeast"/>
        <w:jc w:val="both"/>
      </w:pPr>
      <w:r>
        <w:rPr>
          <w:rFonts w:ascii="Arial" w:eastAsia="Arial" w:hAnsi="Arial" w:cs="Arial"/>
          <w:color w:val="000000"/>
          <w:sz w:val="18"/>
          <w:vertAlign w:val="superscript"/>
        </w:rPr>
        <w:t>3 </w:t>
      </w:r>
      <w:bookmarkStart w:id="8224" w:name="Bookmark_fnpara_3_31"/>
      <w:bookmarkEnd w:id="8224"/>
      <w:r>
        <w:rPr>
          <w:rFonts w:ascii="Arial" w:eastAsia="Arial" w:hAnsi="Arial" w:cs="Arial"/>
          <w:color w:val="000000"/>
          <w:sz w:val="18"/>
        </w:rPr>
        <w:t>Because Kohl's has not removed the architectural barriers, Kohl's does not dispute that Mosley will be injured if he returns to the stores. Additionally, Kohl's does not contest causation or redressability.</w:t>
      </w:r>
    </w:p>
  </w:footnote>
  <w:footnote w:id="442">
    <w:p w14:paraId="63C730EA" w14:textId="77777777" w:rsidR="002B10A6" w:rsidRDefault="00000000">
      <w:pPr>
        <w:pStyle w:val="Normal45"/>
        <w:widowControl w:val="0"/>
        <w:spacing w:before="200" w:line="240" w:lineRule="atLeast"/>
        <w:jc w:val="both"/>
      </w:pPr>
      <w:r>
        <w:rPr>
          <w:rFonts w:ascii="Arial" w:eastAsia="Arial" w:hAnsi="Arial" w:cs="Arial"/>
          <w:color w:val="000000"/>
          <w:sz w:val="18"/>
          <w:vertAlign w:val="superscript"/>
        </w:rPr>
        <w:t>4 </w:t>
      </w:r>
      <w:bookmarkStart w:id="8345" w:name="Bookmark_fnpara_4_28"/>
      <w:bookmarkStart w:id="8346" w:name="Bookmark_I11TTCNMTH70000739200025"/>
      <w:bookmarkStart w:id="8347" w:name="Bookmark_I5XGKM0B2HM6FF0040000400"/>
      <w:bookmarkStart w:id="8348" w:name="Bookmark_I11TTCNMVW50000739200026"/>
      <w:bookmarkStart w:id="8349" w:name="Bookmark_I5XGKM0C2HM6FG0010000400"/>
      <w:bookmarkEnd w:id="8345"/>
      <w:bookmarkEnd w:id="8346"/>
      <w:bookmarkEnd w:id="8347"/>
      <w:bookmarkEnd w:id="8348"/>
      <w:bookmarkEnd w:id="8349"/>
      <w:r>
        <w:rPr>
          <w:rFonts w:ascii="Arial" w:eastAsia="Arial" w:hAnsi="Arial" w:cs="Arial"/>
          <w:color w:val="000000"/>
          <w:sz w:val="18"/>
        </w:rPr>
        <w:t xml:space="preserve">Kohl's cites two unpublished Eleventh Circuit cases and several district court cases that apply a more rigorous test. In </w:t>
      </w:r>
      <w:r>
        <w:rPr>
          <w:rFonts w:ascii="Arial" w:eastAsia="Arial" w:hAnsi="Arial" w:cs="Arial"/>
          <w:i/>
          <w:color w:val="000000"/>
          <w:sz w:val="18"/>
        </w:rPr>
        <w:t>Kennedy v. Solano</w:t>
      </w:r>
      <w:r>
        <w:rPr>
          <w:rFonts w:ascii="Arial" w:eastAsia="Arial" w:hAnsi="Arial" w:cs="Arial"/>
          <w:color w:val="000000"/>
          <w:sz w:val="18"/>
        </w:rPr>
        <w:t xml:space="preserve">, the Eleventh Circuit determined that the plaintiff failed to allege a plausible imminent future injury because she visited the accommodation only once and did not provide a definitive time she would return to the accommodation. </w:t>
      </w:r>
      <w:bookmarkStart w:id="8350" w:name="Bookmark_I5XGKM0B2HM6FF0030000400"/>
      <w:bookmarkEnd w:id="8350"/>
      <w:r>
        <w:rPr>
          <w:rFonts w:ascii="Arial" w:eastAsia="Arial" w:hAnsi="Arial" w:cs="Arial"/>
          <w:color w:val="000000"/>
          <w:sz w:val="18"/>
        </w:rPr>
        <w:t xml:space="preserve">735 F. App'x 653, 655 (11th Cir. 2018) (per curiam). </w:t>
      </w:r>
      <w:bookmarkStart w:id="8351" w:name="Bookmark_I5XGKM0C2HM6FG0030000400"/>
      <w:bookmarkEnd w:id="8351"/>
      <w:r>
        <w:rPr>
          <w:rFonts w:ascii="Arial" w:eastAsia="Arial" w:hAnsi="Arial" w:cs="Arial"/>
          <w:color w:val="000000"/>
          <w:sz w:val="18"/>
        </w:rPr>
        <w:t xml:space="preserve">In </w:t>
      </w:r>
      <w:r>
        <w:rPr>
          <w:rFonts w:ascii="Arial" w:eastAsia="Arial" w:hAnsi="Arial" w:cs="Arial"/>
          <w:i/>
          <w:color w:val="000000"/>
          <w:sz w:val="18"/>
        </w:rPr>
        <w:t>Kennedy v. Beachside Commercial Properties, LLC</w:t>
      </w:r>
      <w:r>
        <w:rPr>
          <w:rFonts w:ascii="Arial" w:eastAsia="Arial" w:hAnsi="Arial" w:cs="Arial"/>
          <w:color w:val="000000"/>
          <w:sz w:val="18"/>
        </w:rPr>
        <w:t xml:space="preserve">, another unpublished decision, the Eleventh Circuit again found lack of standing where plaintiff had visited the accommodation only once and had no definitive plans to return to the accommodation. </w:t>
      </w:r>
      <w:bookmarkStart w:id="8352" w:name="Bookmark_I5XGKM0B2HM6FF0050000400"/>
      <w:bookmarkEnd w:id="8352"/>
      <w:r>
        <w:rPr>
          <w:rFonts w:ascii="Arial" w:eastAsia="Arial" w:hAnsi="Arial" w:cs="Arial"/>
          <w:color w:val="000000"/>
          <w:sz w:val="18"/>
        </w:rPr>
        <w:t xml:space="preserve">731 Fed. Appx. 817, 821-22 (11th Cir. 2018) (per curiam). </w:t>
      </w:r>
      <w:bookmarkStart w:id="8353" w:name="Bookmark_I5XGKM0C2HM6FG0050000400"/>
      <w:bookmarkEnd w:id="8353"/>
      <w:r>
        <w:rPr>
          <w:rFonts w:ascii="Arial" w:eastAsia="Arial" w:hAnsi="Arial" w:cs="Arial"/>
          <w:color w:val="000000"/>
          <w:sz w:val="18"/>
        </w:rPr>
        <w:t xml:space="preserve">However, in that case, the store had permanently closed, so it would have been impossible to return. </w:t>
      </w:r>
      <w:bookmarkStart w:id="8354" w:name="Bookmark_I5XGKM0C2HM6FG0050000400_2"/>
      <w:bookmarkStart w:id="8355" w:name="Bookmark_I5XGKM0C2HM6FG0030000400_2"/>
      <w:bookmarkStart w:id="8356" w:name="Bookmark_I5XGKM0C2HM6FG0020000400"/>
      <w:bookmarkEnd w:id="8354"/>
      <w:bookmarkEnd w:id="8355"/>
      <w:bookmarkEnd w:id="8356"/>
      <w:r>
        <w:rPr>
          <w:rFonts w:ascii="Arial" w:eastAsia="Arial" w:hAnsi="Arial" w:cs="Arial"/>
          <w:i/>
          <w:color w:val="000000"/>
          <w:sz w:val="18"/>
        </w:rPr>
        <w:t>Id.</w:t>
      </w:r>
      <w:r>
        <w:rPr>
          <w:rFonts w:ascii="Arial" w:eastAsia="Arial" w:hAnsi="Arial" w:cs="Arial"/>
          <w:color w:val="000000"/>
          <w:sz w:val="18"/>
        </w:rPr>
        <w:t xml:space="preserve"> at 822. We note that the Eleventh Circuit suggested in </w:t>
      </w:r>
      <w:r>
        <w:rPr>
          <w:rFonts w:ascii="Arial" w:eastAsia="Arial" w:hAnsi="Arial" w:cs="Arial"/>
          <w:i/>
          <w:color w:val="000000"/>
          <w:sz w:val="18"/>
        </w:rPr>
        <w:t>Houston</w:t>
      </w:r>
      <w:r>
        <w:rPr>
          <w:rFonts w:ascii="Arial" w:eastAsia="Arial" w:hAnsi="Arial" w:cs="Arial"/>
          <w:color w:val="000000"/>
          <w:sz w:val="18"/>
        </w:rPr>
        <w:t xml:space="preserve"> that one visit is sufficient as long as it is coupled with an intent to return to the accommodation. </w:t>
      </w:r>
      <w:bookmarkStart w:id="8357" w:name="Bookmark_I5XGKM0C2HM6FG0040000400"/>
      <w:bookmarkEnd w:id="8357"/>
      <w:r>
        <w:rPr>
          <w:rFonts w:ascii="Arial" w:eastAsia="Arial" w:hAnsi="Arial" w:cs="Arial"/>
          <w:color w:val="000000"/>
          <w:sz w:val="18"/>
        </w:rPr>
        <w:t xml:space="preserve">733 F.3d at 1337 ("Houston </w:t>
      </w:r>
      <w:r>
        <w:rPr>
          <w:rFonts w:ascii="Arial" w:eastAsia="Arial" w:hAnsi="Arial" w:cs="Arial"/>
          <w:i/>
          <w:color w:val="000000"/>
          <w:sz w:val="18"/>
        </w:rPr>
        <w:t>has been to the store in the past</w:t>
      </w:r>
      <w:r>
        <w:rPr>
          <w:rFonts w:ascii="Arial" w:eastAsia="Arial" w:hAnsi="Arial" w:cs="Arial"/>
          <w:color w:val="000000"/>
          <w:sz w:val="18"/>
        </w:rPr>
        <w:t>, he wants to return, and his frequent trips directly past the store render it likely that he would do so were it not for the alleged ADA violations.") (emphasis added).</w:t>
      </w:r>
    </w:p>
  </w:footnote>
  <w:footnote w:id="443">
    <w:p w14:paraId="6BAC699B" w14:textId="77777777" w:rsidR="002B10A6" w:rsidRDefault="00000000">
      <w:pPr>
        <w:pStyle w:val="Normal45"/>
        <w:widowControl w:val="0"/>
        <w:spacing w:before="200" w:line="240" w:lineRule="atLeast"/>
        <w:jc w:val="both"/>
      </w:pPr>
      <w:r>
        <w:rPr>
          <w:rFonts w:ascii="Arial" w:eastAsia="Arial" w:hAnsi="Arial" w:cs="Arial"/>
          <w:color w:val="000000"/>
          <w:sz w:val="18"/>
          <w:vertAlign w:val="superscript"/>
        </w:rPr>
        <w:t>5 </w:t>
      </w:r>
      <w:bookmarkStart w:id="8359" w:name="Bookmark_fnpara_5_23"/>
      <w:bookmarkStart w:id="8360" w:name="Bookmark_I5XGKM0C2HM6FJ0020000400"/>
      <w:bookmarkEnd w:id="8359"/>
      <w:bookmarkEnd w:id="8360"/>
      <w:r>
        <w:rPr>
          <w:rFonts w:ascii="Arial" w:eastAsia="Arial" w:hAnsi="Arial" w:cs="Arial"/>
          <w:color w:val="000000"/>
          <w:sz w:val="18"/>
        </w:rPr>
        <w:t xml:space="preserve">Reference to Google Maps suggests that Northville and Novi are each close to 15 miles away from the northwestern edge of Detroit. A distance of close to 15 miles does not raise an inference of implausibility. </w:t>
      </w:r>
      <w:r>
        <w:rPr>
          <w:rFonts w:ascii="Arial" w:eastAsia="Arial" w:hAnsi="Arial" w:cs="Arial"/>
          <w:i/>
          <w:color w:val="000000"/>
          <w:sz w:val="18"/>
        </w:rPr>
        <w:t xml:space="preserve">See </w:t>
      </w:r>
      <w:bookmarkStart w:id="8361" w:name="Bookmark_I5XGKM0C2HM6FJ0010000400"/>
      <w:bookmarkEnd w:id="8361"/>
      <w:r>
        <w:rPr>
          <w:rFonts w:ascii="Arial" w:eastAsia="Arial" w:hAnsi="Arial" w:cs="Arial"/>
          <w:i/>
          <w:color w:val="000000"/>
          <w:sz w:val="18"/>
        </w:rPr>
        <w:t>Gaylor</w:t>
      </w:r>
      <w:r>
        <w:rPr>
          <w:rFonts w:ascii="Arial" w:eastAsia="Arial" w:hAnsi="Arial" w:cs="Arial"/>
          <w:color w:val="000000"/>
          <w:sz w:val="18"/>
        </w:rPr>
        <w:t xml:space="preserve">, 582 F. App'x at 578 (finding plausible intent to return to a shopping center that appears to be close to 12 miles away from where plaintiff regularly visits family); </w:t>
      </w:r>
      <w:bookmarkStart w:id="8362" w:name="Bookmark_I5XGKM0C2HM6FJ0030000400"/>
      <w:bookmarkEnd w:id="8362"/>
      <w:r>
        <w:rPr>
          <w:rFonts w:ascii="Arial" w:eastAsia="Arial" w:hAnsi="Arial" w:cs="Arial"/>
          <w:i/>
          <w:color w:val="000000"/>
          <w:sz w:val="18"/>
        </w:rPr>
        <w:t>Houston</w:t>
      </w:r>
      <w:r>
        <w:rPr>
          <w:rFonts w:ascii="Arial" w:eastAsia="Arial" w:hAnsi="Arial" w:cs="Arial"/>
          <w:color w:val="000000"/>
          <w:sz w:val="18"/>
        </w:rPr>
        <w:t xml:space="preserve">, 733 F.3d at 1336 (finding plausible intent to return to a supermarket 30 miles away because plaintiff regularly travels to that area); </w:t>
      </w:r>
      <w:bookmarkStart w:id="8363" w:name="Bookmark_I5XGKM0C2HM6FJ0050000400"/>
      <w:bookmarkEnd w:id="8363"/>
      <w:r>
        <w:rPr>
          <w:rFonts w:ascii="Arial" w:eastAsia="Arial" w:hAnsi="Arial" w:cs="Arial"/>
          <w:i/>
          <w:color w:val="000000"/>
          <w:sz w:val="18"/>
        </w:rPr>
        <w:t>Daniels</w:t>
      </w:r>
      <w:r>
        <w:rPr>
          <w:rFonts w:ascii="Arial" w:eastAsia="Arial" w:hAnsi="Arial" w:cs="Arial"/>
          <w:color w:val="000000"/>
          <w:sz w:val="18"/>
        </w:rPr>
        <w:t>, 477 F. App'x at 127 (finding plausible intent to return to a market 20 miles from residence).</w:t>
      </w:r>
    </w:p>
  </w:footnote>
  <w:footnote w:id="444">
    <w:p w14:paraId="505C4F07" w14:textId="77777777" w:rsidR="002B10A6" w:rsidRDefault="00000000">
      <w:pPr>
        <w:pStyle w:val="Normal45"/>
        <w:widowControl w:val="0"/>
        <w:spacing w:before="200" w:line="240" w:lineRule="atLeast"/>
        <w:jc w:val="both"/>
      </w:pPr>
      <w:r>
        <w:rPr>
          <w:rFonts w:ascii="Arial" w:eastAsia="Arial" w:hAnsi="Arial" w:cs="Arial"/>
          <w:color w:val="000000"/>
          <w:sz w:val="18"/>
          <w:vertAlign w:val="superscript"/>
        </w:rPr>
        <w:t>1 </w:t>
      </w:r>
      <w:bookmarkStart w:id="8438" w:name="Bookmark_fnpara_6_19"/>
      <w:bookmarkStart w:id="8439" w:name="Bookmark_I5XGKM0H2SF8KR0010000400"/>
      <w:bookmarkEnd w:id="8438"/>
      <w:bookmarkEnd w:id="8439"/>
      <w:r>
        <w:rPr>
          <w:rFonts w:ascii="Arial" w:eastAsia="Arial" w:hAnsi="Arial" w:cs="Arial"/>
          <w:i/>
          <w:color w:val="000000"/>
          <w:sz w:val="18"/>
        </w:rPr>
        <w:t>Kennedy v. Solano</w:t>
      </w:r>
      <w:r>
        <w:rPr>
          <w:rFonts w:ascii="Arial" w:eastAsia="Arial" w:hAnsi="Arial" w:cs="Arial"/>
          <w:color w:val="000000"/>
          <w:sz w:val="18"/>
        </w:rPr>
        <w:t xml:space="preserve">, 735 F. App'x 653, 655 (11th Cir. 2018) (plaintiff living nearly two hundred miles away from the accommodation did not have standing); </w:t>
      </w:r>
      <w:bookmarkStart w:id="8440" w:name="Bookmark_I5XGKM0H2SF8KR0030000400"/>
      <w:bookmarkEnd w:id="8440"/>
      <w:r>
        <w:rPr>
          <w:rFonts w:ascii="Arial" w:eastAsia="Arial" w:hAnsi="Arial" w:cs="Arial"/>
          <w:i/>
          <w:color w:val="000000"/>
          <w:sz w:val="18"/>
        </w:rPr>
        <w:t>Nanni v. Aberdeen Marketplace, Inc.</w:t>
      </w:r>
      <w:r>
        <w:rPr>
          <w:rFonts w:ascii="Arial" w:eastAsia="Arial" w:hAnsi="Arial" w:cs="Arial"/>
          <w:color w:val="000000"/>
          <w:sz w:val="18"/>
        </w:rPr>
        <w:t xml:space="preserve">, 878 F.3d 447, 456-57 (4th Cir. 2017) (plaintiff had standing despite living forty miles from the accommodation); </w:t>
      </w:r>
      <w:bookmarkStart w:id="8441" w:name="Bookmark_I5XGKM0H2SF8KR0050000400"/>
      <w:bookmarkEnd w:id="8441"/>
      <w:r>
        <w:rPr>
          <w:rFonts w:ascii="Arial" w:eastAsia="Arial" w:hAnsi="Arial" w:cs="Arial"/>
          <w:i/>
          <w:color w:val="000000"/>
          <w:sz w:val="18"/>
        </w:rPr>
        <w:t>Houston v. Marod Supermarkets, Inc.</w:t>
      </w:r>
      <w:r>
        <w:rPr>
          <w:rFonts w:ascii="Arial" w:eastAsia="Arial" w:hAnsi="Arial" w:cs="Arial"/>
          <w:color w:val="000000"/>
          <w:sz w:val="18"/>
        </w:rPr>
        <w:t xml:space="preserve">, 733 F.3d 1323, 1340 (11th Cir. 2013) (plaintiff living about thirty miles away from the accommodation had standing); </w:t>
      </w:r>
      <w:bookmarkStart w:id="8442" w:name="Bookmark_I5XGKM0J28T4HS0020000400"/>
      <w:bookmarkEnd w:id="8442"/>
      <w:r>
        <w:rPr>
          <w:rFonts w:ascii="Arial" w:eastAsia="Arial" w:hAnsi="Arial" w:cs="Arial"/>
          <w:i/>
          <w:color w:val="000000"/>
          <w:sz w:val="18"/>
        </w:rPr>
        <w:t>Daniels v. Arcade, L.P.</w:t>
      </w:r>
      <w:r>
        <w:rPr>
          <w:rFonts w:ascii="Arial" w:eastAsia="Arial" w:hAnsi="Arial" w:cs="Arial"/>
          <w:color w:val="000000"/>
          <w:sz w:val="18"/>
        </w:rPr>
        <w:t>, 477 F. App'x 125, 130 (4th Cir. 2012) (plaintiff had standing as he "resides in relatively close proximity to the [accommodation]").</w:t>
      </w:r>
    </w:p>
  </w:footnote>
  <w:footnote w:id="445">
    <w:p w14:paraId="005092CB" w14:textId="77777777" w:rsidR="002B10A6" w:rsidRDefault="00000000">
      <w:pPr>
        <w:pStyle w:val="Normal45"/>
        <w:widowControl w:val="0"/>
        <w:spacing w:before="200" w:line="240" w:lineRule="atLeast"/>
        <w:jc w:val="both"/>
      </w:pPr>
      <w:r>
        <w:rPr>
          <w:rFonts w:ascii="Arial" w:eastAsia="Arial" w:hAnsi="Arial" w:cs="Arial"/>
          <w:color w:val="000000"/>
          <w:sz w:val="18"/>
          <w:vertAlign w:val="superscript"/>
        </w:rPr>
        <w:t>2 </w:t>
      </w:r>
      <w:bookmarkStart w:id="8443" w:name="Bookmark_fnpara_7_15"/>
      <w:bookmarkStart w:id="8444" w:name="Bookmark_I5XGKM0J28T4HS0040000400"/>
      <w:bookmarkEnd w:id="8443"/>
      <w:bookmarkEnd w:id="8444"/>
      <w:r>
        <w:rPr>
          <w:rFonts w:ascii="Arial" w:eastAsia="Arial" w:hAnsi="Arial" w:cs="Arial"/>
          <w:i/>
          <w:color w:val="000000"/>
          <w:sz w:val="18"/>
        </w:rPr>
        <w:t>Kennedy</w:t>
      </w:r>
      <w:r>
        <w:rPr>
          <w:rFonts w:ascii="Arial" w:eastAsia="Arial" w:hAnsi="Arial" w:cs="Arial"/>
          <w:color w:val="000000"/>
          <w:sz w:val="18"/>
        </w:rPr>
        <w:t xml:space="preserve">, 735 F. App'x at 655 (plaintiff "had only patronized the café once" and did not have standing); </w:t>
      </w:r>
      <w:bookmarkStart w:id="8445" w:name="Bookmark_I5XGKM0J2N1R5J0010000400"/>
      <w:bookmarkEnd w:id="8445"/>
      <w:r>
        <w:rPr>
          <w:rFonts w:ascii="Arial" w:eastAsia="Arial" w:hAnsi="Arial" w:cs="Arial"/>
          <w:i/>
          <w:color w:val="000000"/>
          <w:sz w:val="18"/>
        </w:rPr>
        <w:t>D'Lil v. Best Western Encina Lodge &amp; Suites</w:t>
      </w:r>
      <w:r>
        <w:rPr>
          <w:rFonts w:ascii="Arial" w:eastAsia="Arial" w:hAnsi="Arial" w:cs="Arial"/>
          <w:color w:val="000000"/>
          <w:sz w:val="18"/>
        </w:rPr>
        <w:t>, 538 F.3d 1031, 1037-38 (9th Cir. 2008) (plaintiff who testified to "the regularity with which she visited the city before, during and after her stay at the Best Western Encina" had standing).</w:t>
      </w:r>
    </w:p>
  </w:footnote>
  <w:footnote w:id="446">
    <w:p w14:paraId="2E1C21A8" w14:textId="77777777" w:rsidR="002B10A6" w:rsidRDefault="00000000">
      <w:pPr>
        <w:pStyle w:val="Normal45"/>
        <w:widowControl w:val="0"/>
        <w:spacing w:before="200" w:line="240" w:lineRule="atLeast"/>
        <w:jc w:val="both"/>
      </w:pPr>
      <w:r>
        <w:rPr>
          <w:rFonts w:ascii="Arial" w:eastAsia="Arial" w:hAnsi="Arial" w:cs="Arial"/>
          <w:color w:val="000000"/>
          <w:sz w:val="18"/>
          <w:vertAlign w:val="superscript"/>
        </w:rPr>
        <w:t>3 </w:t>
      </w:r>
      <w:bookmarkStart w:id="8446" w:name="Bookmark_fnpara_8_13"/>
      <w:bookmarkStart w:id="8447" w:name="Bookmark_I5XGKM0J2N1R5J0030000400"/>
      <w:bookmarkEnd w:id="8446"/>
      <w:bookmarkEnd w:id="8447"/>
      <w:r>
        <w:rPr>
          <w:rFonts w:ascii="Arial" w:eastAsia="Arial" w:hAnsi="Arial" w:cs="Arial"/>
          <w:i/>
          <w:color w:val="000000"/>
          <w:sz w:val="18"/>
        </w:rPr>
        <w:t>Houston</w:t>
      </w:r>
      <w:r>
        <w:rPr>
          <w:rFonts w:ascii="Arial" w:eastAsia="Arial" w:hAnsi="Arial" w:cs="Arial"/>
          <w:color w:val="000000"/>
          <w:sz w:val="18"/>
        </w:rPr>
        <w:t xml:space="preserve">, 733 F.3d at 1340 (plaintiff had standing because, in addition to living near the defendant store, he "visits his lawyer's offices near the [store] on a frequent basis and . . . wants to visit the store."); </w:t>
      </w:r>
      <w:bookmarkStart w:id="8448" w:name="Bookmark_I5XGKM0J2N1R5J0050000400"/>
      <w:bookmarkEnd w:id="8448"/>
      <w:r>
        <w:rPr>
          <w:rFonts w:ascii="Arial" w:eastAsia="Arial" w:hAnsi="Arial" w:cs="Arial"/>
          <w:i/>
          <w:color w:val="000000"/>
          <w:sz w:val="18"/>
        </w:rPr>
        <w:t>Scherr v. Marriott Int'l, Inc.</w:t>
      </w:r>
      <w:r>
        <w:rPr>
          <w:rFonts w:ascii="Arial" w:eastAsia="Arial" w:hAnsi="Arial" w:cs="Arial"/>
          <w:color w:val="000000"/>
          <w:sz w:val="18"/>
        </w:rPr>
        <w:t xml:space="preserve">, 703 F.3d 1069, 1074-75 (7th Cir. 2013) (plaintiff had standing where her relatives lived near the defendant hotel, and she would have stayed at the hotel for a relative's upcoming wedding); </w:t>
      </w:r>
      <w:bookmarkStart w:id="8449" w:name="Bookmark_I5XGKM0J28T4HW0020000400"/>
      <w:bookmarkEnd w:id="8449"/>
      <w:r>
        <w:rPr>
          <w:rFonts w:ascii="Arial" w:eastAsia="Arial" w:hAnsi="Arial" w:cs="Arial"/>
          <w:i/>
          <w:color w:val="000000"/>
          <w:sz w:val="18"/>
        </w:rPr>
        <w:t>D'Lil</w:t>
      </w:r>
      <w:r>
        <w:rPr>
          <w:rFonts w:ascii="Arial" w:eastAsia="Arial" w:hAnsi="Arial" w:cs="Arial"/>
          <w:color w:val="000000"/>
          <w:sz w:val="18"/>
        </w:rPr>
        <w:t>, 538 F.3d at 1039 (plaintiff had standing as she "gave detailed reasons as to why she would prefer to stay at the Best Western Encina during her regular visits . . . if it were made accessible including the hotel's style, price, and location").</w:t>
      </w:r>
    </w:p>
  </w:footnote>
  <w:footnote w:id="447">
    <w:p w14:paraId="0843EE72" w14:textId="77777777" w:rsidR="002B10A6" w:rsidRDefault="00000000">
      <w:pPr>
        <w:pStyle w:val="Normal46"/>
        <w:widowControl w:val="0"/>
        <w:spacing w:before="200" w:line="240" w:lineRule="atLeast"/>
        <w:jc w:val="both"/>
      </w:pPr>
      <w:r>
        <w:rPr>
          <w:rFonts w:ascii="Arial" w:eastAsia="Arial" w:hAnsi="Arial" w:cs="Arial"/>
          <w:color w:val="000000"/>
          <w:sz w:val="18"/>
          <w:vertAlign w:val="superscript"/>
        </w:rPr>
        <w:t>1 </w:t>
      </w:r>
      <w:bookmarkStart w:id="8631" w:name="Bookmark_fnpara_1_42"/>
      <w:bookmarkStart w:id="8632" w:name="Bookmark_I5X7JD832HM5XP0020000400"/>
      <w:bookmarkStart w:id="8633" w:name="Bookmark_LNHNREFclscc6_32"/>
      <w:bookmarkEnd w:id="8631"/>
      <w:bookmarkEnd w:id="8632"/>
      <w:bookmarkEnd w:id="8633"/>
      <w:r>
        <w:rPr>
          <w:rFonts w:ascii="Arial" w:eastAsia="Arial" w:hAnsi="Arial" w:cs="Arial"/>
          <w:color w:val="000000"/>
          <w:sz w:val="18"/>
        </w:rPr>
        <w:t xml:space="preserve">The FHAA refers to an individual's "handicap" rather than his "disability" (the term favored by the ADA). There is no substantive difference between the two terms. </w:t>
      </w:r>
      <w:r>
        <w:rPr>
          <w:rFonts w:ascii="Arial" w:eastAsia="Arial" w:hAnsi="Arial" w:cs="Arial"/>
          <w:color w:val="000000"/>
          <w:sz w:val="18"/>
          <w:u w:val="single"/>
        </w:rPr>
        <w:t xml:space="preserve">See </w:t>
      </w:r>
      <w:bookmarkStart w:id="8634" w:name="Bookmark_I5X7JD832HM5XP0010000400"/>
      <w:bookmarkEnd w:id="8634"/>
      <w:r>
        <w:rPr>
          <w:rFonts w:ascii="Arial" w:eastAsia="Arial" w:hAnsi="Arial" w:cs="Arial"/>
          <w:color w:val="000000"/>
          <w:sz w:val="18"/>
          <w:u w:val="single"/>
        </w:rPr>
        <w:t>Oconomowoc Residential Programs, Inc. v. City of Milwaukee</w:t>
      </w:r>
      <w:r>
        <w:rPr>
          <w:rFonts w:ascii="Arial" w:eastAsia="Arial" w:hAnsi="Arial" w:cs="Arial"/>
          <w:color w:val="000000"/>
          <w:sz w:val="18"/>
        </w:rPr>
        <w:t>, 300 F.3d 775, 782 (7th Cir. 2002). In deference to the rubric of the FHAA, we use the term "handicap" throughout this opinion.</w:t>
      </w:r>
    </w:p>
  </w:footnote>
  <w:footnote w:id="448">
    <w:p w14:paraId="311F470F" w14:textId="77777777" w:rsidR="002B10A6" w:rsidRDefault="00000000">
      <w:pPr>
        <w:pStyle w:val="Normal46"/>
        <w:widowControl w:val="0"/>
        <w:spacing w:before="120" w:line="240" w:lineRule="atLeast"/>
        <w:jc w:val="both"/>
      </w:pPr>
      <w:r>
        <w:rPr>
          <w:rFonts w:ascii="Arial" w:eastAsia="Arial" w:hAnsi="Arial" w:cs="Arial"/>
          <w:color w:val="000000"/>
          <w:sz w:val="18"/>
          <w:vertAlign w:val="superscript"/>
        </w:rPr>
        <w:t>2 </w:t>
      </w:r>
      <w:bookmarkStart w:id="8664" w:name="Bookmark_fnpara_2_35"/>
      <w:bookmarkEnd w:id="8664"/>
      <w:r>
        <w:rPr>
          <w:rFonts w:ascii="Arial" w:eastAsia="Arial" w:hAnsi="Arial" w:cs="Arial"/>
          <w:color w:val="000000"/>
          <w:sz w:val="18"/>
        </w:rPr>
        <w:t>Because the plaintiffs' request for an exemption from the Sprinkler Law fails the reasonableness requirement, we need not address the district court's additional conclusion that the requested accommodation was also unnecessary.</w:t>
      </w:r>
    </w:p>
  </w:footnote>
  <w:footnote w:id="449">
    <w:p w14:paraId="17F5D468" w14:textId="77777777" w:rsidR="002B10A6" w:rsidRDefault="00000000">
      <w:pPr>
        <w:pStyle w:val="Normal46"/>
        <w:widowControl w:val="0"/>
        <w:spacing w:before="120" w:line="240" w:lineRule="atLeast"/>
        <w:jc w:val="both"/>
      </w:pPr>
      <w:r>
        <w:rPr>
          <w:rFonts w:ascii="Arial" w:eastAsia="Arial" w:hAnsi="Arial" w:cs="Arial"/>
          <w:color w:val="000000"/>
          <w:sz w:val="18"/>
          <w:vertAlign w:val="superscript"/>
        </w:rPr>
        <w:t>3 </w:t>
      </w:r>
      <w:bookmarkStart w:id="8673" w:name="Bookmark_fnpara_3_32"/>
      <w:bookmarkEnd w:id="8673"/>
      <w:r>
        <w:rPr>
          <w:rFonts w:ascii="Arial" w:eastAsia="Arial" w:hAnsi="Arial" w:cs="Arial"/>
          <w:color w:val="000000"/>
          <w:sz w:val="18"/>
        </w:rPr>
        <w:t>The plaintiffs contend that the district court misinterpreted the record in concluding that they withdrew their reduction-of-occupancy proposal. Given the plaintiffs' failure to contest the defendants' statement of undisputed material facts, we reject this contention.</w:t>
      </w:r>
    </w:p>
  </w:footnote>
  <w:footnote w:id="450">
    <w:p w14:paraId="4CE257F9" w14:textId="77777777" w:rsidR="002B10A6" w:rsidRDefault="00000000">
      <w:pPr>
        <w:pStyle w:val="Normal46"/>
        <w:widowControl w:val="0"/>
        <w:spacing w:before="120" w:line="240" w:lineRule="atLeast"/>
        <w:jc w:val="both"/>
      </w:pPr>
      <w:r>
        <w:rPr>
          <w:rFonts w:ascii="Arial" w:eastAsia="Arial" w:hAnsi="Arial" w:cs="Arial"/>
          <w:color w:val="000000"/>
          <w:sz w:val="18"/>
          <w:vertAlign w:val="superscript"/>
        </w:rPr>
        <w:t>4 </w:t>
      </w:r>
      <w:bookmarkStart w:id="8675" w:name="Bookmark_fnpara_4_29"/>
      <w:bookmarkEnd w:id="8675"/>
      <w:r>
        <w:rPr>
          <w:rFonts w:ascii="Arial" w:eastAsia="Arial" w:hAnsi="Arial" w:cs="Arial"/>
          <w:color w:val="000000"/>
          <w:sz w:val="18"/>
        </w:rPr>
        <w:t>In their appellate briefing, the plaintiffs conflate the distinct disputes that arose over the zoning ordinance and the Sprinkler Law. The two disputes began at different times, and the parties resolved the dispute over the zoning ordinance before the City sent notice threatening to impose fines if the plaintiffs did not install sprinklers. The City's decision to grant a reasonable accommodation with respect to the zoning ordinance did not give the plaintiffs carte blanche to ignore other zoning and building-code provisions.</w:t>
      </w:r>
    </w:p>
  </w:footnote>
  <w:footnote w:id="451">
    <w:p w14:paraId="2255BC28" w14:textId="77777777" w:rsidR="002B10A6" w:rsidRDefault="00000000">
      <w:pPr>
        <w:pStyle w:val="Normal49"/>
        <w:widowControl w:val="0"/>
        <w:spacing w:before="120" w:line="240" w:lineRule="atLeast"/>
        <w:jc w:val="both"/>
      </w:pPr>
      <w:r>
        <w:rPr>
          <w:rFonts w:ascii="Arial" w:eastAsia="Arial" w:hAnsi="Arial" w:cs="Arial"/>
          <w:color w:val="000000"/>
          <w:sz w:val="18"/>
          <w:vertAlign w:val="superscript"/>
        </w:rPr>
        <w:t>1 </w:t>
      </w:r>
      <w:bookmarkStart w:id="8806" w:name="Bookmark_fnpara_1_43"/>
      <w:bookmarkEnd w:id="8806"/>
      <w:r>
        <w:rPr>
          <w:rFonts w:ascii="Arial" w:eastAsia="Arial" w:hAnsi="Arial" w:cs="Arial"/>
          <w:color w:val="000000"/>
          <w:sz w:val="18"/>
        </w:rPr>
        <w:t>The parties agree the two anxiety medications rule is not relevant to this appeal.</w:t>
      </w:r>
    </w:p>
  </w:footnote>
  <w:footnote w:id="452">
    <w:p w14:paraId="4E20160F" w14:textId="77777777" w:rsidR="002B10A6" w:rsidRDefault="00000000">
      <w:pPr>
        <w:pStyle w:val="Normal49"/>
        <w:widowControl w:val="0"/>
        <w:spacing w:before="200" w:line="240" w:lineRule="atLeast"/>
        <w:jc w:val="both"/>
      </w:pPr>
      <w:r>
        <w:rPr>
          <w:rFonts w:ascii="Arial" w:eastAsia="Arial" w:hAnsi="Arial" w:cs="Arial"/>
          <w:color w:val="000000"/>
          <w:sz w:val="18"/>
          <w:vertAlign w:val="superscript"/>
        </w:rPr>
        <w:t>2 </w:t>
      </w:r>
      <w:bookmarkStart w:id="8899" w:name="Bookmark_fnpara_2_36"/>
      <w:bookmarkEnd w:id="8899"/>
      <w:r>
        <w:rPr>
          <w:rFonts w:ascii="Arial" w:eastAsia="Arial" w:hAnsi="Arial" w:cs="Arial"/>
          <w:color w:val="000000"/>
          <w:sz w:val="18"/>
        </w:rPr>
        <w:t xml:space="preserve">Though </w:t>
      </w:r>
      <w:r>
        <w:rPr>
          <w:rFonts w:ascii="Arial" w:eastAsia="Arial" w:hAnsi="Arial" w:cs="Arial"/>
          <w:i/>
          <w:color w:val="000000"/>
          <w:sz w:val="18"/>
        </w:rPr>
        <w:t>Berardelli</w:t>
      </w:r>
      <w:r>
        <w:rPr>
          <w:rFonts w:ascii="Arial" w:eastAsia="Arial" w:hAnsi="Arial" w:cs="Arial"/>
          <w:color w:val="000000"/>
          <w:sz w:val="18"/>
        </w:rPr>
        <w:t xml:space="preserve"> involved the reasonableness of service animals under the Title II regulations (Part 35), the approach here is identical, as those animal service regulations use "materially identical language" as the regulations under the Title III regulations (Part 36). </w:t>
      </w:r>
      <w:bookmarkStart w:id="8900" w:name="Bookmark_I5X03C4528T5050040000400"/>
      <w:bookmarkEnd w:id="8900"/>
      <w:r>
        <w:rPr>
          <w:rFonts w:ascii="Arial" w:eastAsia="Arial" w:hAnsi="Arial" w:cs="Arial"/>
          <w:i/>
          <w:color w:val="000000"/>
          <w:sz w:val="18"/>
        </w:rPr>
        <w:t>Id.</w:t>
      </w:r>
      <w:r>
        <w:rPr>
          <w:rFonts w:ascii="Arial" w:eastAsia="Arial" w:hAnsi="Arial" w:cs="Arial"/>
          <w:color w:val="000000"/>
          <w:sz w:val="18"/>
        </w:rPr>
        <w:t xml:space="preserve"> at 118-19.</w:t>
      </w:r>
    </w:p>
  </w:footnote>
  <w:footnote w:id="453">
    <w:p w14:paraId="3FFB1AE3" w14:textId="77777777" w:rsidR="002B10A6" w:rsidRDefault="00000000">
      <w:pPr>
        <w:pStyle w:val="Normal49"/>
        <w:widowControl w:val="0"/>
        <w:spacing w:before="120" w:line="240" w:lineRule="atLeast"/>
        <w:jc w:val="both"/>
      </w:pPr>
      <w:r>
        <w:rPr>
          <w:rFonts w:ascii="Arial" w:eastAsia="Arial" w:hAnsi="Arial" w:cs="Arial"/>
          <w:color w:val="000000"/>
          <w:sz w:val="18"/>
          <w:vertAlign w:val="superscript"/>
        </w:rPr>
        <w:t>3 </w:t>
      </w:r>
      <w:bookmarkStart w:id="8945" w:name="Bookmark_fnpara_3_33"/>
      <w:bookmarkEnd w:id="8945"/>
      <w:r>
        <w:rPr>
          <w:rFonts w:ascii="Arial" w:eastAsia="Arial" w:hAnsi="Arial" w:cs="Arial"/>
          <w:color w:val="000000"/>
          <w:sz w:val="18"/>
        </w:rPr>
        <w:t>To the extent CSL has attempted to justify Matheis's deferral by pointing to his post-deferral panic attack that he experienced while leaving the donation facility, we do not see how an event that occurred after deferral could now be cited as a basis for 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9F83D" w14:textId="77777777" w:rsidR="002B10A6" w:rsidRDefault="002B10A6">
    <w:pPr>
      <w:pStyle w:val="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1930DAF7" w14:textId="77777777">
      <w:trPr>
        <w:jc w:val="center"/>
      </w:trPr>
      <w:tc>
        <w:tcPr>
          <w:tcW w:w="10080" w:type="dxa"/>
          <w:vAlign w:val="center"/>
        </w:tcPr>
        <w:p w14:paraId="22831106" w14:textId="77777777" w:rsidR="002B10A6" w:rsidRDefault="002B10A6">
          <w:pPr>
            <w:pStyle w:val="Normal0"/>
          </w:pPr>
        </w:p>
      </w:tc>
    </w:tr>
    <w:tr w:rsidR="002B10A6" w14:paraId="5BACA726" w14:textId="77777777">
      <w:trPr>
        <w:jc w:val="center"/>
      </w:trPr>
      <w:tc>
        <w:tcPr>
          <w:tcW w:w="10080" w:type="dxa"/>
        </w:tcPr>
        <w:p w14:paraId="024CE9A9" w14:textId="77777777" w:rsidR="002B10A6" w:rsidRDefault="00000000">
          <w:pPr>
            <w:pStyle w:val="Normal0"/>
            <w:spacing w:before="60" w:after="200"/>
            <w:jc w:val="center"/>
          </w:pPr>
          <w:r>
            <w:rPr>
              <w:rFonts w:ascii="Arial" w:eastAsia="Arial" w:hAnsi="Arial" w:cs="Arial"/>
              <w:sz w:val="20"/>
            </w:rPr>
            <w:t>Hamilton v. Westchester Cty., 3 F.4th 86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4B602" w14:textId="77777777" w:rsidR="002B10A6" w:rsidRDefault="002B10A6">
    <w:pPr>
      <w:pStyle w:val="Norm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0DF2F" w14:textId="77777777" w:rsidR="002B10A6" w:rsidRDefault="002B10A6">
    <w:pPr>
      <w:pStyle w:val="Normal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3BDCA4C5" w14:textId="77777777">
      <w:trPr>
        <w:jc w:val="center"/>
      </w:trPr>
      <w:tc>
        <w:tcPr>
          <w:tcW w:w="10080" w:type="dxa"/>
          <w:vAlign w:val="center"/>
        </w:tcPr>
        <w:p w14:paraId="27FD4F6C" w14:textId="77777777" w:rsidR="002B10A6" w:rsidRDefault="002B10A6">
          <w:pPr>
            <w:pStyle w:val="Normal1"/>
          </w:pPr>
        </w:p>
      </w:tc>
    </w:tr>
    <w:tr w:rsidR="002B10A6" w14:paraId="06A09ACD" w14:textId="77777777">
      <w:trPr>
        <w:jc w:val="center"/>
      </w:trPr>
      <w:tc>
        <w:tcPr>
          <w:tcW w:w="10080" w:type="dxa"/>
        </w:tcPr>
        <w:p w14:paraId="1AA9FECC" w14:textId="77777777" w:rsidR="002B10A6" w:rsidRDefault="00000000">
          <w:pPr>
            <w:pStyle w:val="Normal1"/>
            <w:spacing w:before="60" w:after="200"/>
            <w:jc w:val="center"/>
          </w:pPr>
          <w:r>
            <w:rPr>
              <w:rFonts w:ascii="Arial" w:eastAsia="Arial" w:hAnsi="Arial" w:cs="Arial"/>
              <w:sz w:val="20"/>
            </w:rPr>
            <w:t>Keller v. Chippewa Cty., 860 Fed. Appx. 381</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0B16D" w14:textId="77777777" w:rsidR="002B10A6" w:rsidRDefault="002B10A6">
    <w:pPr>
      <w:pStyle w:val="Norm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7C7C8" w14:textId="77777777" w:rsidR="002B10A6" w:rsidRDefault="002B10A6">
    <w:pPr>
      <w:pStyle w:val="Normal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27CCF9EB" w14:textId="77777777">
      <w:trPr>
        <w:jc w:val="center"/>
      </w:trPr>
      <w:tc>
        <w:tcPr>
          <w:tcW w:w="10080" w:type="dxa"/>
          <w:vAlign w:val="center"/>
        </w:tcPr>
        <w:p w14:paraId="1E68713D" w14:textId="77777777" w:rsidR="002B10A6" w:rsidRDefault="002B10A6">
          <w:pPr>
            <w:pStyle w:val="Normal2"/>
          </w:pPr>
        </w:p>
      </w:tc>
    </w:tr>
    <w:tr w:rsidR="002B10A6" w14:paraId="753AE0CD" w14:textId="77777777">
      <w:trPr>
        <w:jc w:val="center"/>
      </w:trPr>
      <w:tc>
        <w:tcPr>
          <w:tcW w:w="10080" w:type="dxa"/>
        </w:tcPr>
        <w:p w14:paraId="7D9C6E28" w14:textId="77777777" w:rsidR="002B10A6" w:rsidRDefault="00000000">
          <w:pPr>
            <w:pStyle w:val="Normal2"/>
            <w:spacing w:before="60" w:after="200"/>
            <w:jc w:val="center"/>
          </w:pPr>
          <w:r>
            <w:rPr>
              <w:rFonts w:ascii="Arial" w:eastAsia="Arial" w:hAnsi="Arial" w:cs="Arial"/>
              <w:sz w:val="20"/>
            </w:rPr>
            <w:t>Perdue v. Sanofi-Aventis U.S., LLC, 999 F.3d 954</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CC942" w14:textId="77777777" w:rsidR="002B10A6" w:rsidRDefault="002B10A6">
    <w:pPr>
      <w:pStyle w:val="Normal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C4A65" w14:textId="77777777" w:rsidR="002B10A6" w:rsidRDefault="002B10A6">
    <w:pPr>
      <w:pStyle w:val="Normal3"/>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706FFDE5" w14:textId="77777777">
      <w:trPr>
        <w:jc w:val="center"/>
      </w:trPr>
      <w:tc>
        <w:tcPr>
          <w:tcW w:w="10080" w:type="dxa"/>
          <w:vAlign w:val="center"/>
        </w:tcPr>
        <w:p w14:paraId="0EE7DF58" w14:textId="77777777" w:rsidR="002B10A6" w:rsidRDefault="002B10A6">
          <w:pPr>
            <w:pStyle w:val="Normal3"/>
          </w:pPr>
        </w:p>
      </w:tc>
    </w:tr>
    <w:tr w:rsidR="002B10A6" w14:paraId="37F81E3C" w14:textId="77777777">
      <w:trPr>
        <w:jc w:val="center"/>
      </w:trPr>
      <w:tc>
        <w:tcPr>
          <w:tcW w:w="10080" w:type="dxa"/>
        </w:tcPr>
        <w:p w14:paraId="136C2C9C" w14:textId="77777777" w:rsidR="002B10A6" w:rsidRDefault="00000000">
          <w:pPr>
            <w:pStyle w:val="Normal3"/>
            <w:spacing w:before="60" w:after="200"/>
            <w:jc w:val="center"/>
          </w:pPr>
          <w:r>
            <w:rPr>
              <w:rFonts w:ascii="Arial" w:eastAsia="Arial" w:hAnsi="Arial" w:cs="Arial"/>
              <w:sz w:val="20"/>
            </w:rPr>
            <w:t>Castelino v. Rose-Hulman Inst. of Tech., 999 F.3d 1031</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0F09B" w14:textId="77777777" w:rsidR="002B10A6" w:rsidRDefault="002B10A6">
    <w:pPr>
      <w:pStyle w:val="Normal3"/>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6DA55" w14:textId="77777777" w:rsidR="002B10A6" w:rsidRDefault="002B10A6">
    <w:pPr>
      <w:pStyle w:val="Normal4"/>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1EA83C22" w14:textId="77777777">
      <w:trPr>
        <w:jc w:val="center"/>
      </w:trPr>
      <w:tc>
        <w:tcPr>
          <w:tcW w:w="10080" w:type="dxa"/>
          <w:vAlign w:val="center"/>
        </w:tcPr>
        <w:p w14:paraId="1018B36E" w14:textId="77777777" w:rsidR="002B10A6" w:rsidRDefault="002B10A6">
          <w:pPr>
            <w:pStyle w:val="Normal4"/>
          </w:pPr>
        </w:p>
      </w:tc>
    </w:tr>
    <w:tr w:rsidR="002B10A6" w14:paraId="228F6A81" w14:textId="77777777">
      <w:trPr>
        <w:jc w:val="center"/>
      </w:trPr>
      <w:tc>
        <w:tcPr>
          <w:tcW w:w="10080" w:type="dxa"/>
        </w:tcPr>
        <w:p w14:paraId="3717AE88" w14:textId="77777777" w:rsidR="002B10A6" w:rsidRDefault="00000000">
          <w:pPr>
            <w:pStyle w:val="Normal4"/>
            <w:spacing w:before="60" w:after="200"/>
            <w:jc w:val="center"/>
          </w:pPr>
          <w:r>
            <w:rPr>
              <w:rFonts w:ascii="Arial" w:eastAsia="Arial" w:hAnsi="Arial" w:cs="Arial"/>
              <w:sz w:val="20"/>
            </w:rPr>
            <w:t>Kennedy v. Floridian Hotel, Inc., 998 F.3d 1221</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9E5CD" w14:textId="77777777" w:rsidR="002B10A6" w:rsidRDefault="002B10A6">
    <w:pPr>
      <w:pStyle w:val="Normal4"/>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9ED0E" w14:textId="77777777" w:rsidR="002B10A6" w:rsidRDefault="002B10A6">
    <w:pPr>
      <w:pStyle w:val="Normal5"/>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35B358AA" w14:textId="77777777">
      <w:trPr>
        <w:jc w:val="center"/>
      </w:trPr>
      <w:tc>
        <w:tcPr>
          <w:tcW w:w="10080" w:type="dxa"/>
          <w:vAlign w:val="center"/>
        </w:tcPr>
        <w:p w14:paraId="6ABED30C" w14:textId="77777777" w:rsidR="002B10A6" w:rsidRDefault="002B10A6">
          <w:pPr>
            <w:pStyle w:val="Normal5"/>
          </w:pPr>
        </w:p>
      </w:tc>
    </w:tr>
    <w:tr w:rsidR="002B10A6" w14:paraId="5FBD1A30" w14:textId="77777777">
      <w:trPr>
        <w:jc w:val="center"/>
      </w:trPr>
      <w:tc>
        <w:tcPr>
          <w:tcW w:w="10080" w:type="dxa"/>
        </w:tcPr>
        <w:p w14:paraId="3C5D3B6A" w14:textId="77777777" w:rsidR="002B10A6" w:rsidRDefault="00000000">
          <w:pPr>
            <w:pStyle w:val="Normal5"/>
            <w:spacing w:before="60" w:after="200"/>
            <w:jc w:val="center"/>
          </w:pPr>
          <w:r>
            <w:rPr>
              <w:rFonts w:ascii="Arial" w:eastAsia="Arial" w:hAnsi="Arial" w:cs="Arial"/>
              <w:sz w:val="20"/>
            </w:rPr>
            <w:t>Reyes v. Jensen, 857 Fed. Appx. 436</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01D00" w14:textId="77777777" w:rsidR="002B10A6" w:rsidRDefault="002B10A6">
    <w:pPr>
      <w:pStyle w:val="Normal5"/>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40242" w14:textId="77777777" w:rsidR="002B10A6" w:rsidRDefault="002B10A6">
    <w:pPr>
      <w:pStyle w:val="Normal6"/>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695083E5" w14:textId="77777777">
      <w:trPr>
        <w:jc w:val="center"/>
      </w:trPr>
      <w:tc>
        <w:tcPr>
          <w:tcW w:w="10080" w:type="dxa"/>
          <w:vAlign w:val="center"/>
        </w:tcPr>
        <w:p w14:paraId="0B58D0D7" w14:textId="77777777" w:rsidR="002B10A6" w:rsidRDefault="002B10A6">
          <w:pPr>
            <w:pStyle w:val="Normal6"/>
          </w:pPr>
        </w:p>
      </w:tc>
    </w:tr>
    <w:tr w:rsidR="002B10A6" w14:paraId="5EF57FB9" w14:textId="77777777">
      <w:trPr>
        <w:jc w:val="center"/>
      </w:trPr>
      <w:tc>
        <w:tcPr>
          <w:tcW w:w="10080" w:type="dxa"/>
        </w:tcPr>
        <w:p w14:paraId="50E0E672" w14:textId="77777777" w:rsidR="002B10A6" w:rsidRDefault="00000000">
          <w:pPr>
            <w:pStyle w:val="Normal6"/>
            <w:spacing w:before="60" w:after="200"/>
            <w:jc w:val="center"/>
          </w:pPr>
          <w:r>
            <w:rPr>
              <w:rFonts w:ascii="Arial" w:eastAsia="Arial" w:hAnsi="Arial" w:cs="Arial"/>
              <w:sz w:val="20"/>
            </w:rPr>
            <w:t>Schalamar Creek Mobile Homeowner's Ass'n v. Adler, 855 Fed. Appx. 546</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B711A" w14:textId="77777777" w:rsidR="002B10A6" w:rsidRDefault="002B10A6">
    <w:pPr>
      <w:pStyle w:val="Normal6"/>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ACD37" w14:textId="77777777" w:rsidR="002B10A6" w:rsidRDefault="002B10A6">
    <w:pPr>
      <w:pStyle w:val="Normal7"/>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6D1A0D8" w14:textId="77777777">
      <w:trPr>
        <w:jc w:val="center"/>
      </w:trPr>
      <w:tc>
        <w:tcPr>
          <w:tcW w:w="10080" w:type="dxa"/>
          <w:vAlign w:val="center"/>
        </w:tcPr>
        <w:p w14:paraId="2C190495" w14:textId="77777777" w:rsidR="002B10A6" w:rsidRDefault="002B10A6">
          <w:pPr>
            <w:pStyle w:val="Normal7"/>
          </w:pPr>
        </w:p>
      </w:tc>
    </w:tr>
    <w:tr w:rsidR="002B10A6" w14:paraId="7EE89C3B" w14:textId="77777777">
      <w:trPr>
        <w:jc w:val="center"/>
      </w:trPr>
      <w:tc>
        <w:tcPr>
          <w:tcW w:w="10080" w:type="dxa"/>
        </w:tcPr>
        <w:p w14:paraId="43145AB5" w14:textId="77777777" w:rsidR="002B10A6" w:rsidRDefault="00000000">
          <w:pPr>
            <w:pStyle w:val="Normal7"/>
            <w:spacing w:before="60" w:after="200"/>
            <w:jc w:val="center"/>
          </w:pPr>
          <w:r>
            <w:rPr>
              <w:rFonts w:ascii="Arial" w:eastAsia="Arial" w:hAnsi="Arial" w:cs="Arial"/>
              <w:sz w:val="20"/>
            </w:rPr>
            <w:t>Laufer v. Mann Hospitality, L.L.C., 996 F.3d 269</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FF67A" w14:textId="77777777" w:rsidR="002B10A6" w:rsidRDefault="002B10A6">
    <w:pPr>
      <w:pStyle w:val="Normal7"/>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6004F" w14:textId="77777777" w:rsidR="002B10A6" w:rsidRDefault="002B10A6">
    <w:pPr>
      <w:pStyle w:val="Normal8"/>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24D4148A" w14:textId="77777777">
      <w:trPr>
        <w:jc w:val="center"/>
      </w:trPr>
      <w:tc>
        <w:tcPr>
          <w:tcW w:w="10080" w:type="dxa"/>
          <w:vAlign w:val="center"/>
        </w:tcPr>
        <w:p w14:paraId="6A4CF15B" w14:textId="77777777" w:rsidR="002B10A6" w:rsidRDefault="002B10A6">
          <w:pPr>
            <w:pStyle w:val="Normal8"/>
          </w:pPr>
        </w:p>
      </w:tc>
    </w:tr>
    <w:tr w:rsidR="002B10A6" w14:paraId="5747DCEF" w14:textId="77777777">
      <w:trPr>
        <w:jc w:val="center"/>
      </w:trPr>
      <w:tc>
        <w:tcPr>
          <w:tcW w:w="10080" w:type="dxa"/>
        </w:tcPr>
        <w:p w14:paraId="7724BBDC" w14:textId="77777777" w:rsidR="002B10A6" w:rsidRDefault="00000000">
          <w:pPr>
            <w:pStyle w:val="Normal8"/>
            <w:spacing w:before="60" w:after="200"/>
            <w:jc w:val="center"/>
          </w:pPr>
          <w:r>
            <w:rPr>
              <w:rFonts w:ascii="Arial" w:eastAsia="Arial" w:hAnsi="Arial" w:cs="Arial"/>
              <w:sz w:val="20"/>
            </w:rPr>
            <w:t>Webb v. United States Veterans Initiative (US Vets), 993 F.3d 970</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D37A9" w14:textId="77777777" w:rsidR="002B10A6" w:rsidRDefault="002B10A6">
    <w:pPr>
      <w:pStyle w:val="Normal8"/>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7CFA6" w14:textId="77777777" w:rsidR="002B10A6" w:rsidRDefault="002B10A6">
    <w:pPr>
      <w:pStyle w:val="Normal9"/>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7688E16A" w14:textId="77777777">
      <w:trPr>
        <w:jc w:val="center"/>
      </w:trPr>
      <w:tc>
        <w:tcPr>
          <w:tcW w:w="10080" w:type="dxa"/>
          <w:vAlign w:val="center"/>
        </w:tcPr>
        <w:p w14:paraId="387B8ACE" w14:textId="77777777" w:rsidR="002B10A6" w:rsidRDefault="002B10A6">
          <w:pPr>
            <w:pStyle w:val="Normal9"/>
          </w:pPr>
        </w:p>
      </w:tc>
    </w:tr>
    <w:tr w:rsidR="002B10A6" w14:paraId="3D8E31DE" w14:textId="77777777">
      <w:trPr>
        <w:jc w:val="center"/>
      </w:trPr>
      <w:tc>
        <w:tcPr>
          <w:tcW w:w="10080" w:type="dxa"/>
        </w:tcPr>
        <w:p w14:paraId="7C3CA4E0" w14:textId="77777777" w:rsidR="002B10A6" w:rsidRDefault="00000000">
          <w:pPr>
            <w:pStyle w:val="Normal9"/>
            <w:spacing w:before="60" w:after="200"/>
            <w:jc w:val="center"/>
          </w:pPr>
          <w:r>
            <w:rPr>
              <w:rFonts w:ascii="Arial" w:eastAsia="Arial" w:hAnsi="Arial" w:cs="Arial"/>
              <w:sz w:val="20"/>
            </w:rPr>
            <w:t>Gil v. Winn-Dixie Stores, Inc., 993 F.3d 1266</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E71B4" w14:textId="77777777" w:rsidR="002B10A6" w:rsidRDefault="002B10A6">
    <w:pPr>
      <w:pStyle w:val="Normal9"/>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0BA4B" w14:textId="77777777" w:rsidR="002B10A6" w:rsidRDefault="002B10A6">
    <w:pPr>
      <w:pStyle w:val="Normal1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39A566CE" w14:textId="77777777">
      <w:trPr>
        <w:jc w:val="center"/>
      </w:trPr>
      <w:tc>
        <w:tcPr>
          <w:tcW w:w="10080" w:type="dxa"/>
          <w:vAlign w:val="center"/>
        </w:tcPr>
        <w:p w14:paraId="76ABD8B4" w14:textId="77777777" w:rsidR="002B10A6" w:rsidRDefault="002B10A6">
          <w:pPr>
            <w:pStyle w:val="Normal10"/>
          </w:pPr>
        </w:p>
      </w:tc>
    </w:tr>
    <w:tr w:rsidR="002B10A6" w14:paraId="6E6744D5" w14:textId="77777777">
      <w:trPr>
        <w:jc w:val="center"/>
      </w:trPr>
      <w:tc>
        <w:tcPr>
          <w:tcW w:w="10080" w:type="dxa"/>
        </w:tcPr>
        <w:p w14:paraId="1965B897" w14:textId="77777777" w:rsidR="002B10A6" w:rsidRDefault="00000000">
          <w:pPr>
            <w:pStyle w:val="Normal10"/>
            <w:spacing w:before="60" w:after="200"/>
            <w:jc w:val="center"/>
          </w:pPr>
          <w:r>
            <w:rPr>
              <w:rFonts w:ascii="Arial" w:eastAsia="Arial" w:hAnsi="Arial" w:cs="Arial"/>
              <w:sz w:val="20"/>
            </w:rPr>
            <w:t>Boyd v. City of Phila., 841 Fed. Appx. 437</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A4E91" w14:textId="77777777" w:rsidR="002B10A6" w:rsidRDefault="002B10A6">
    <w:pPr>
      <w:pStyle w:val="Normal1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D1BCA" w14:textId="77777777" w:rsidR="002B10A6" w:rsidRDefault="002B10A6">
    <w:pPr>
      <w:pStyle w:val="Normal11"/>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77D6567A" w14:textId="77777777">
      <w:trPr>
        <w:jc w:val="center"/>
      </w:trPr>
      <w:tc>
        <w:tcPr>
          <w:tcW w:w="10080" w:type="dxa"/>
          <w:vAlign w:val="center"/>
        </w:tcPr>
        <w:p w14:paraId="7E3FFCE8" w14:textId="77777777" w:rsidR="002B10A6" w:rsidRDefault="002B10A6">
          <w:pPr>
            <w:pStyle w:val="Normal11"/>
          </w:pPr>
        </w:p>
      </w:tc>
    </w:tr>
    <w:tr w:rsidR="002B10A6" w14:paraId="150D416F" w14:textId="77777777">
      <w:trPr>
        <w:jc w:val="center"/>
      </w:trPr>
      <w:tc>
        <w:tcPr>
          <w:tcW w:w="10080" w:type="dxa"/>
        </w:tcPr>
        <w:p w14:paraId="74C06C72" w14:textId="77777777" w:rsidR="002B10A6" w:rsidRDefault="00000000">
          <w:pPr>
            <w:pStyle w:val="Normal11"/>
            <w:spacing w:before="60" w:after="200"/>
            <w:jc w:val="center"/>
          </w:pPr>
          <w:r>
            <w:rPr>
              <w:rFonts w:ascii="Arial" w:eastAsia="Arial" w:hAnsi="Arial" w:cs="Arial"/>
              <w:sz w:val="20"/>
            </w:rPr>
            <w:t>Vega-Ruiz v. Northwell Health, 992 F.3d 61</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75DF0" w14:textId="77777777" w:rsidR="002B10A6" w:rsidRDefault="002B10A6">
    <w:pPr>
      <w:pStyle w:val="Normal1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D78DA" w14:textId="77777777" w:rsidR="002B10A6" w:rsidRDefault="002B10A6">
    <w:pPr>
      <w:pStyle w:val="Normal12"/>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2C5D19E1" w14:textId="77777777">
      <w:trPr>
        <w:jc w:val="center"/>
      </w:trPr>
      <w:tc>
        <w:tcPr>
          <w:tcW w:w="10080" w:type="dxa"/>
          <w:vAlign w:val="center"/>
        </w:tcPr>
        <w:p w14:paraId="54D93899" w14:textId="77777777" w:rsidR="002B10A6" w:rsidRDefault="002B10A6">
          <w:pPr>
            <w:pStyle w:val="Normal12"/>
          </w:pPr>
        </w:p>
      </w:tc>
    </w:tr>
    <w:tr w:rsidR="002B10A6" w14:paraId="185E58C4" w14:textId="77777777">
      <w:trPr>
        <w:jc w:val="center"/>
      </w:trPr>
      <w:tc>
        <w:tcPr>
          <w:tcW w:w="10080" w:type="dxa"/>
        </w:tcPr>
        <w:p w14:paraId="0AB68D7B" w14:textId="77777777" w:rsidR="002B10A6" w:rsidRDefault="00000000">
          <w:pPr>
            <w:pStyle w:val="Normal12"/>
            <w:spacing w:before="60" w:after="200"/>
            <w:jc w:val="center"/>
          </w:pPr>
          <w:r>
            <w:rPr>
              <w:rFonts w:ascii="Arial" w:eastAsia="Arial" w:hAnsi="Arial" w:cs="Arial"/>
              <w:sz w:val="20"/>
            </w:rPr>
            <w:t>O'Hanlon v. Uber Techs., 990 F.3d 757</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21ABA" w14:textId="77777777" w:rsidR="002B10A6" w:rsidRDefault="002B10A6">
    <w:pPr>
      <w:pStyle w:val="Normal12"/>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78A20" w14:textId="77777777" w:rsidR="002B10A6" w:rsidRDefault="002B10A6">
    <w:pPr>
      <w:pStyle w:val="Normal13"/>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618F9CB4" w14:textId="77777777">
      <w:trPr>
        <w:jc w:val="center"/>
      </w:trPr>
      <w:tc>
        <w:tcPr>
          <w:tcW w:w="10080" w:type="dxa"/>
          <w:vAlign w:val="center"/>
        </w:tcPr>
        <w:p w14:paraId="3611BD15" w14:textId="77777777" w:rsidR="002B10A6" w:rsidRDefault="002B10A6">
          <w:pPr>
            <w:pStyle w:val="Normal13"/>
          </w:pPr>
        </w:p>
      </w:tc>
    </w:tr>
    <w:tr w:rsidR="002B10A6" w14:paraId="67597A42" w14:textId="77777777">
      <w:trPr>
        <w:jc w:val="center"/>
      </w:trPr>
      <w:tc>
        <w:tcPr>
          <w:tcW w:w="10080" w:type="dxa"/>
        </w:tcPr>
        <w:p w14:paraId="5D7B8991" w14:textId="77777777" w:rsidR="002B10A6" w:rsidRDefault="00000000">
          <w:pPr>
            <w:pStyle w:val="Normal13"/>
            <w:spacing w:before="60" w:after="200"/>
            <w:jc w:val="center"/>
          </w:pPr>
          <w:r>
            <w:rPr>
              <w:rFonts w:ascii="Arial" w:eastAsia="Arial" w:hAnsi="Arial" w:cs="Arial"/>
              <w:sz w:val="20"/>
            </w:rPr>
            <w:t>Thomas v. City of Annapolis, 851 Fed. Appx. 341</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EF658" w14:textId="77777777" w:rsidR="002B10A6" w:rsidRDefault="002B10A6">
    <w:pPr>
      <w:pStyle w:val="Normal13"/>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5BDD6" w14:textId="77777777" w:rsidR="002B10A6" w:rsidRDefault="002B10A6">
    <w:pPr>
      <w:pStyle w:val="Normal14"/>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177B7954" w14:textId="77777777">
      <w:trPr>
        <w:jc w:val="center"/>
      </w:trPr>
      <w:tc>
        <w:tcPr>
          <w:tcW w:w="10080" w:type="dxa"/>
          <w:vAlign w:val="center"/>
        </w:tcPr>
        <w:p w14:paraId="4F4B5151" w14:textId="77777777" w:rsidR="002B10A6" w:rsidRDefault="002B10A6">
          <w:pPr>
            <w:pStyle w:val="Normal14"/>
          </w:pPr>
        </w:p>
      </w:tc>
    </w:tr>
    <w:tr w:rsidR="002B10A6" w14:paraId="1534544A" w14:textId="77777777">
      <w:trPr>
        <w:jc w:val="center"/>
      </w:trPr>
      <w:tc>
        <w:tcPr>
          <w:tcW w:w="10080" w:type="dxa"/>
        </w:tcPr>
        <w:p w14:paraId="76EA4A61" w14:textId="77777777" w:rsidR="002B10A6" w:rsidRDefault="00000000">
          <w:pPr>
            <w:pStyle w:val="Normal14"/>
            <w:spacing w:before="60" w:after="200"/>
            <w:jc w:val="center"/>
          </w:pPr>
          <w:r>
            <w:rPr>
              <w:rFonts w:ascii="Arial" w:eastAsia="Arial" w:hAnsi="Arial" w:cs="Arial"/>
              <w:sz w:val="20"/>
            </w:rPr>
            <w:t>Suárez-Torres v. Panaderia y Resposteria España, Inc., 988 F.3d 542</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FF9D2" w14:textId="77777777" w:rsidR="002B10A6" w:rsidRDefault="002B10A6">
    <w:pPr>
      <w:pStyle w:val="Normal14"/>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2853C" w14:textId="77777777" w:rsidR="002B10A6" w:rsidRDefault="002B10A6">
    <w:pPr>
      <w:pStyle w:val="Normal15"/>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4A451533" w14:textId="77777777">
      <w:trPr>
        <w:jc w:val="center"/>
      </w:trPr>
      <w:tc>
        <w:tcPr>
          <w:tcW w:w="10080" w:type="dxa"/>
          <w:vAlign w:val="center"/>
        </w:tcPr>
        <w:p w14:paraId="71119319" w14:textId="77777777" w:rsidR="002B10A6" w:rsidRDefault="002B10A6">
          <w:pPr>
            <w:pStyle w:val="Normal15"/>
          </w:pPr>
        </w:p>
      </w:tc>
    </w:tr>
    <w:tr w:rsidR="002B10A6" w14:paraId="7A2711FD" w14:textId="77777777">
      <w:trPr>
        <w:jc w:val="center"/>
      </w:trPr>
      <w:tc>
        <w:tcPr>
          <w:tcW w:w="10080" w:type="dxa"/>
        </w:tcPr>
        <w:p w14:paraId="574B2DC0" w14:textId="77777777" w:rsidR="002B10A6" w:rsidRDefault="00000000">
          <w:pPr>
            <w:pStyle w:val="Normal15"/>
            <w:spacing w:before="60" w:after="200"/>
            <w:jc w:val="center"/>
          </w:pPr>
          <w:r>
            <w:rPr>
              <w:rFonts w:ascii="Arial" w:eastAsia="Arial" w:hAnsi="Arial" w:cs="Arial"/>
              <w:sz w:val="20"/>
            </w:rPr>
            <w:t>Burnett v. Ocean Props., 987 F.3d 57</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FFEBD" w14:textId="77777777" w:rsidR="002B10A6" w:rsidRDefault="002B10A6">
    <w:pPr>
      <w:pStyle w:val="Normal15"/>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82036" w14:textId="77777777" w:rsidR="002B10A6" w:rsidRDefault="002B10A6">
    <w:pPr>
      <w:pStyle w:val="Normal16"/>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2E3429B6" w14:textId="77777777">
      <w:trPr>
        <w:jc w:val="center"/>
      </w:trPr>
      <w:tc>
        <w:tcPr>
          <w:tcW w:w="10080" w:type="dxa"/>
          <w:vAlign w:val="center"/>
        </w:tcPr>
        <w:p w14:paraId="36D5413A" w14:textId="77777777" w:rsidR="002B10A6" w:rsidRDefault="002B10A6">
          <w:pPr>
            <w:pStyle w:val="Normal16"/>
          </w:pPr>
        </w:p>
      </w:tc>
    </w:tr>
    <w:tr w:rsidR="002B10A6" w14:paraId="48AFD531" w14:textId="77777777">
      <w:trPr>
        <w:jc w:val="center"/>
      </w:trPr>
      <w:tc>
        <w:tcPr>
          <w:tcW w:w="10080" w:type="dxa"/>
        </w:tcPr>
        <w:p w14:paraId="2230E437" w14:textId="77777777" w:rsidR="002B10A6" w:rsidRDefault="00000000">
          <w:pPr>
            <w:pStyle w:val="Normal16"/>
            <w:spacing w:before="60" w:after="200"/>
            <w:jc w:val="center"/>
          </w:pPr>
          <w:r>
            <w:rPr>
              <w:rFonts w:ascii="Arial" w:eastAsia="Arial" w:hAnsi="Arial" w:cs="Arial"/>
              <w:sz w:val="20"/>
            </w:rPr>
            <w:t>Whitaker v. Pan. Joes Inv’rs LLC, 840 Fed. Appx. 961</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B00EC" w14:textId="77777777" w:rsidR="002B10A6" w:rsidRDefault="002B10A6">
    <w:pPr>
      <w:pStyle w:val="Normal16"/>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4E640" w14:textId="77777777" w:rsidR="002B10A6" w:rsidRDefault="002B10A6">
    <w:pPr>
      <w:pStyle w:val="Normal17"/>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7C412F54" w14:textId="77777777">
      <w:trPr>
        <w:jc w:val="center"/>
      </w:trPr>
      <w:tc>
        <w:tcPr>
          <w:tcW w:w="10080" w:type="dxa"/>
          <w:vAlign w:val="center"/>
        </w:tcPr>
        <w:p w14:paraId="52E6D333" w14:textId="77777777" w:rsidR="002B10A6" w:rsidRDefault="002B10A6">
          <w:pPr>
            <w:pStyle w:val="Normal17"/>
          </w:pPr>
        </w:p>
      </w:tc>
    </w:tr>
    <w:tr w:rsidR="002B10A6" w14:paraId="7F484D35" w14:textId="77777777">
      <w:trPr>
        <w:jc w:val="center"/>
      </w:trPr>
      <w:tc>
        <w:tcPr>
          <w:tcW w:w="10080" w:type="dxa"/>
        </w:tcPr>
        <w:p w14:paraId="6BC1A79E" w14:textId="77777777" w:rsidR="002B10A6" w:rsidRDefault="00000000">
          <w:pPr>
            <w:pStyle w:val="Normal17"/>
            <w:spacing w:before="60" w:after="200"/>
            <w:jc w:val="center"/>
          </w:pPr>
          <w:r>
            <w:rPr>
              <w:rFonts w:ascii="Arial" w:eastAsia="Arial" w:hAnsi="Arial" w:cs="Arial"/>
              <w:sz w:val="20"/>
            </w:rPr>
            <w:t>Charles v. Wal-Mart La., L.L.C., 831 Fed. Appx. 140</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63254" w14:textId="77777777" w:rsidR="002B10A6" w:rsidRDefault="002B10A6">
    <w:pPr>
      <w:pStyle w:val="Normal17"/>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669D3" w14:textId="77777777" w:rsidR="002B10A6" w:rsidRDefault="002B10A6">
    <w:pPr>
      <w:pStyle w:val="Normal18"/>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31BC6CEE" w14:textId="77777777">
      <w:trPr>
        <w:jc w:val="center"/>
      </w:trPr>
      <w:tc>
        <w:tcPr>
          <w:tcW w:w="10080" w:type="dxa"/>
          <w:vAlign w:val="center"/>
        </w:tcPr>
        <w:p w14:paraId="7495CBE8" w14:textId="77777777" w:rsidR="002B10A6" w:rsidRDefault="002B10A6">
          <w:pPr>
            <w:pStyle w:val="Normal18"/>
          </w:pPr>
        </w:p>
      </w:tc>
    </w:tr>
    <w:tr w:rsidR="002B10A6" w14:paraId="6CA993E2" w14:textId="77777777">
      <w:trPr>
        <w:jc w:val="center"/>
      </w:trPr>
      <w:tc>
        <w:tcPr>
          <w:tcW w:w="10080" w:type="dxa"/>
        </w:tcPr>
        <w:p w14:paraId="24ABC4CC" w14:textId="77777777" w:rsidR="002B10A6" w:rsidRDefault="00000000">
          <w:pPr>
            <w:pStyle w:val="Normal18"/>
            <w:spacing w:before="60" w:after="200"/>
            <w:jc w:val="center"/>
          </w:pPr>
          <w:r>
            <w:rPr>
              <w:rFonts w:ascii="Arial" w:eastAsia="Arial" w:hAnsi="Arial" w:cs="Arial"/>
              <w:sz w:val="20"/>
            </w:rPr>
            <w:t>Williams v. United Airlines, Inc., 830 Fed. Appx. 242</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8147A" w14:textId="77777777" w:rsidR="002B10A6" w:rsidRDefault="002B10A6">
    <w:pPr>
      <w:pStyle w:val="Normal18"/>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84743" w14:textId="77777777" w:rsidR="002B10A6" w:rsidRDefault="002B10A6">
    <w:pPr>
      <w:pStyle w:val="Normal19"/>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78103CEE" w14:textId="77777777">
      <w:trPr>
        <w:jc w:val="center"/>
      </w:trPr>
      <w:tc>
        <w:tcPr>
          <w:tcW w:w="10080" w:type="dxa"/>
          <w:vAlign w:val="center"/>
        </w:tcPr>
        <w:p w14:paraId="6056ABF8" w14:textId="77777777" w:rsidR="002B10A6" w:rsidRDefault="002B10A6">
          <w:pPr>
            <w:pStyle w:val="Normal19"/>
          </w:pPr>
        </w:p>
      </w:tc>
    </w:tr>
    <w:tr w:rsidR="002B10A6" w14:paraId="390CF5A9" w14:textId="77777777">
      <w:trPr>
        <w:jc w:val="center"/>
      </w:trPr>
      <w:tc>
        <w:tcPr>
          <w:tcW w:w="10080" w:type="dxa"/>
        </w:tcPr>
        <w:p w14:paraId="21FE6F9F" w14:textId="77777777" w:rsidR="002B10A6" w:rsidRDefault="00000000">
          <w:pPr>
            <w:pStyle w:val="Normal19"/>
            <w:spacing w:before="60" w:after="200"/>
            <w:jc w:val="center"/>
          </w:pPr>
          <w:r>
            <w:rPr>
              <w:rFonts w:ascii="Arial" w:eastAsia="Arial" w:hAnsi="Arial" w:cs="Arial"/>
              <w:sz w:val="20"/>
            </w:rPr>
            <w:t>Elledge v. Lowe's Home Ctrs., LLC, 979 F.3d 1004</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A03ED" w14:textId="77777777" w:rsidR="002B10A6" w:rsidRDefault="002B10A6">
    <w:pPr>
      <w:pStyle w:val="Normal19"/>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D180" w14:textId="77777777" w:rsidR="002B10A6" w:rsidRDefault="002B10A6">
    <w:pPr>
      <w:pStyle w:val="Normal20"/>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4EF52B9F" w14:textId="77777777">
      <w:trPr>
        <w:jc w:val="center"/>
      </w:trPr>
      <w:tc>
        <w:tcPr>
          <w:tcW w:w="10080" w:type="dxa"/>
          <w:vAlign w:val="center"/>
        </w:tcPr>
        <w:p w14:paraId="32D27592" w14:textId="77777777" w:rsidR="002B10A6" w:rsidRDefault="002B10A6">
          <w:pPr>
            <w:pStyle w:val="Normal20"/>
          </w:pPr>
        </w:p>
      </w:tc>
    </w:tr>
    <w:tr w:rsidR="002B10A6" w14:paraId="7D37638E" w14:textId="77777777">
      <w:trPr>
        <w:jc w:val="center"/>
      </w:trPr>
      <w:tc>
        <w:tcPr>
          <w:tcW w:w="10080" w:type="dxa"/>
        </w:tcPr>
        <w:p w14:paraId="2E974B7A" w14:textId="77777777" w:rsidR="002B10A6" w:rsidRDefault="00000000">
          <w:pPr>
            <w:pStyle w:val="Normal20"/>
            <w:spacing w:before="60" w:after="200"/>
            <w:jc w:val="center"/>
          </w:pPr>
          <w:r>
            <w:rPr>
              <w:rFonts w:ascii="Arial" w:eastAsia="Arial" w:hAnsi="Arial" w:cs="Arial"/>
              <w:sz w:val="20"/>
            </w:rPr>
            <w:t>Nat'l Ass'n of the Deaf v. Florida, 980 F.3d 763</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8BDFE" w14:textId="77777777" w:rsidR="002B10A6" w:rsidRDefault="002B10A6">
    <w:pPr>
      <w:pStyle w:val="Normal2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D863E" w14:textId="77777777" w:rsidR="002B10A6" w:rsidRDefault="002B10A6">
    <w:pPr>
      <w:pStyle w:val="Normal21"/>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41774E95" w14:textId="77777777">
      <w:trPr>
        <w:jc w:val="center"/>
      </w:trPr>
      <w:tc>
        <w:tcPr>
          <w:tcW w:w="10080" w:type="dxa"/>
          <w:vAlign w:val="center"/>
        </w:tcPr>
        <w:p w14:paraId="44E5DDB5" w14:textId="77777777" w:rsidR="002B10A6" w:rsidRDefault="002B10A6">
          <w:pPr>
            <w:pStyle w:val="Normal21"/>
          </w:pPr>
        </w:p>
      </w:tc>
    </w:tr>
    <w:tr w:rsidR="002B10A6" w14:paraId="5C0C3CB9" w14:textId="77777777">
      <w:trPr>
        <w:jc w:val="center"/>
      </w:trPr>
      <w:tc>
        <w:tcPr>
          <w:tcW w:w="10080" w:type="dxa"/>
        </w:tcPr>
        <w:p w14:paraId="190E7E33" w14:textId="77777777" w:rsidR="002B10A6" w:rsidRDefault="00000000">
          <w:pPr>
            <w:pStyle w:val="Normal21"/>
            <w:spacing w:before="60" w:after="200"/>
            <w:jc w:val="center"/>
          </w:pPr>
          <w:r>
            <w:rPr>
              <w:rFonts w:ascii="Arial" w:eastAsia="Arial" w:hAnsi="Arial" w:cs="Arial"/>
              <w:sz w:val="20"/>
            </w:rPr>
            <w:t>Rossley v. Drake Univ., 979 F.3d 1184</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A2513" w14:textId="77777777" w:rsidR="002B10A6" w:rsidRDefault="002B10A6">
    <w:pPr>
      <w:pStyle w:val="Normal21"/>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B1A33" w14:textId="77777777" w:rsidR="002B10A6" w:rsidRDefault="002B10A6">
    <w:pPr>
      <w:pStyle w:val="Normal22"/>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622CB02" w14:textId="77777777">
      <w:trPr>
        <w:jc w:val="center"/>
      </w:trPr>
      <w:tc>
        <w:tcPr>
          <w:tcW w:w="10080" w:type="dxa"/>
          <w:vAlign w:val="center"/>
        </w:tcPr>
        <w:p w14:paraId="3BC3806E" w14:textId="77777777" w:rsidR="002B10A6" w:rsidRDefault="002B10A6">
          <w:pPr>
            <w:pStyle w:val="Normal22"/>
          </w:pPr>
        </w:p>
      </w:tc>
    </w:tr>
    <w:tr w:rsidR="002B10A6" w14:paraId="2C5E3394" w14:textId="77777777">
      <w:trPr>
        <w:jc w:val="center"/>
      </w:trPr>
      <w:tc>
        <w:tcPr>
          <w:tcW w:w="10080" w:type="dxa"/>
        </w:tcPr>
        <w:p w14:paraId="0FD2FDC5" w14:textId="77777777" w:rsidR="002B10A6" w:rsidRDefault="00000000">
          <w:pPr>
            <w:pStyle w:val="Normal22"/>
            <w:spacing w:before="60" w:after="200"/>
            <w:jc w:val="center"/>
          </w:pPr>
          <w:r>
            <w:rPr>
              <w:rFonts w:ascii="Arial" w:eastAsia="Arial" w:hAnsi="Arial" w:cs="Arial"/>
              <w:sz w:val="20"/>
            </w:rPr>
            <w:t>Waskul v. Washtenaw Cty. Cmty. Mental Health, 979 F.3d 426</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231B" w14:textId="77777777" w:rsidR="002B10A6" w:rsidRDefault="002B10A6">
    <w:pPr>
      <w:pStyle w:val="Normal22"/>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CA22E" w14:textId="77777777" w:rsidR="002B10A6" w:rsidRDefault="002B10A6">
    <w:pPr>
      <w:pStyle w:val="Normal23"/>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63A6462E" w14:textId="77777777">
      <w:trPr>
        <w:jc w:val="center"/>
      </w:trPr>
      <w:tc>
        <w:tcPr>
          <w:tcW w:w="10080" w:type="dxa"/>
          <w:vAlign w:val="center"/>
        </w:tcPr>
        <w:p w14:paraId="220CE47D" w14:textId="77777777" w:rsidR="002B10A6" w:rsidRDefault="002B10A6">
          <w:pPr>
            <w:pStyle w:val="Normal23"/>
          </w:pPr>
        </w:p>
      </w:tc>
    </w:tr>
    <w:tr w:rsidR="002B10A6" w14:paraId="1D37DB4C" w14:textId="77777777">
      <w:trPr>
        <w:jc w:val="center"/>
      </w:trPr>
      <w:tc>
        <w:tcPr>
          <w:tcW w:w="10080" w:type="dxa"/>
        </w:tcPr>
        <w:p w14:paraId="7CDF4A71" w14:textId="77777777" w:rsidR="002B10A6" w:rsidRDefault="00000000">
          <w:pPr>
            <w:pStyle w:val="Normal23"/>
            <w:spacing w:before="60" w:after="200"/>
            <w:jc w:val="center"/>
          </w:pPr>
          <w:r>
            <w:rPr>
              <w:rFonts w:ascii="Arial" w:eastAsia="Arial" w:hAnsi="Arial" w:cs="Arial"/>
              <w:sz w:val="20"/>
            </w:rPr>
            <w:t>Exby-Stolley v. Bd. of Cty. Comm'rs, 979 F.3d 784</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54332" w14:textId="77777777" w:rsidR="002B10A6" w:rsidRDefault="002B10A6">
    <w:pPr>
      <w:pStyle w:val="Normal23"/>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516D" w14:textId="77777777" w:rsidR="002B10A6" w:rsidRDefault="002B10A6">
    <w:pPr>
      <w:pStyle w:val="Normal24"/>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D5C3654" w14:textId="77777777">
      <w:trPr>
        <w:jc w:val="center"/>
      </w:trPr>
      <w:tc>
        <w:tcPr>
          <w:tcW w:w="10080" w:type="dxa"/>
          <w:vAlign w:val="center"/>
        </w:tcPr>
        <w:p w14:paraId="509E20C6" w14:textId="77777777" w:rsidR="002B10A6" w:rsidRDefault="002B10A6">
          <w:pPr>
            <w:pStyle w:val="Normal24"/>
          </w:pPr>
        </w:p>
      </w:tc>
    </w:tr>
    <w:tr w:rsidR="002B10A6" w14:paraId="64D50F62" w14:textId="77777777">
      <w:trPr>
        <w:jc w:val="center"/>
      </w:trPr>
      <w:tc>
        <w:tcPr>
          <w:tcW w:w="10080" w:type="dxa"/>
        </w:tcPr>
        <w:p w14:paraId="359D0BA8" w14:textId="77777777" w:rsidR="002B10A6" w:rsidRDefault="00000000">
          <w:pPr>
            <w:pStyle w:val="Normal24"/>
            <w:spacing w:before="60" w:after="200"/>
            <w:jc w:val="center"/>
          </w:pPr>
          <w:r>
            <w:rPr>
              <w:rFonts w:ascii="Arial" w:eastAsia="Arial" w:hAnsi="Arial" w:cs="Arial"/>
              <w:sz w:val="20"/>
            </w:rPr>
            <w:t>Davis v. Columbus Consol. Gov't, 826 Fed. Appx. 890</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E0AF0" w14:textId="77777777" w:rsidR="002B10A6" w:rsidRDefault="002B10A6">
    <w:pPr>
      <w:pStyle w:val="Normal24"/>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3FBB6" w14:textId="77777777" w:rsidR="002B10A6" w:rsidRDefault="002B10A6">
    <w:pPr>
      <w:pStyle w:val="Normal25"/>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0943DF56" w14:textId="77777777">
      <w:trPr>
        <w:jc w:val="center"/>
      </w:trPr>
      <w:tc>
        <w:tcPr>
          <w:tcW w:w="10080" w:type="dxa"/>
          <w:vAlign w:val="center"/>
        </w:tcPr>
        <w:p w14:paraId="297F0732" w14:textId="77777777" w:rsidR="002B10A6" w:rsidRDefault="002B10A6">
          <w:pPr>
            <w:pStyle w:val="Normal25"/>
          </w:pPr>
        </w:p>
      </w:tc>
    </w:tr>
    <w:tr w:rsidR="002B10A6" w14:paraId="04262831" w14:textId="77777777">
      <w:trPr>
        <w:jc w:val="center"/>
      </w:trPr>
      <w:tc>
        <w:tcPr>
          <w:tcW w:w="10080" w:type="dxa"/>
        </w:tcPr>
        <w:p w14:paraId="0BDBA3C3" w14:textId="77777777" w:rsidR="002B10A6" w:rsidRDefault="00000000">
          <w:pPr>
            <w:pStyle w:val="Normal25"/>
            <w:spacing w:before="60" w:after="200"/>
            <w:jc w:val="center"/>
          </w:pPr>
          <w:r>
            <w:rPr>
              <w:rFonts w:ascii="Arial" w:eastAsia="Arial" w:hAnsi="Arial" w:cs="Arial"/>
              <w:sz w:val="20"/>
            </w:rPr>
            <w:t>Aubrey v. Koppes, 975 F.3d 995</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F9620" w14:textId="77777777" w:rsidR="002B10A6" w:rsidRDefault="002B10A6">
    <w:pPr>
      <w:pStyle w:val="Normal25"/>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F65BF" w14:textId="77777777" w:rsidR="002B10A6" w:rsidRDefault="002B10A6">
    <w:pPr>
      <w:pStyle w:val="Normal26"/>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0C81545D" w14:textId="77777777">
      <w:trPr>
        <w:jc w:val="center"/>
      </w:trPr>
      <w:tc>
        <w:tcPr>
          <w:tcW w:w="10080" w:type="dxa"/>
          <w:vAlign w:val="center"/>
        </w:tcPr>
        <w:p w14:paraId="76D2B547" w14:textId="77777777" w:rsidR="002B10A6" w:rsidRDefault="002B10A6">
          <w:pPr>
            <w:pStyle w:val="Normal26"/>
          </w:pPr>
        </w:p>
      </w:tc>
    </w:tr>
    <w:tr w:rsidR="002B10A6" w14:paraId="6331283B" w14:textId="77777777">
      <w:trPr>
        <w:jc w:val="center"/>
      </w:trPr>
      <w:tc>
        <w:tcPr>
          <w:tcW w:w="10080" w:type="dxa"/>
        </w:tcPr>
        <w:p w14:paraId="588E3918" w14:textId="77777777" w:rsidR="002B10A6" w:rsidRDefault="00000000">
          <w:pPr>
            <w:pStyle w:val="Normal26"/>
            <w:spacing w:before="60" w:after="200"/>
            <w:jc w:val="center"/>
          </w:pPr>
          <w:r>
            <w:rPr>
              <w:rFonts w:ascii="Arial" w:eastAsia="Arial" w:hAnsi="Arial" w:cs="Arial"/>
              <w:sz w:val="20"/>
            </w:rPr>
            <w:t>Mlsna v. Union Pac. R.R. Co., 975 F.3d 629</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43E17" w14:textId="77777777" w:rsidR="002B10A6" w:rsidRDefault="002B10A6">
    <w:pPr>
      <w:pStyle w:val="Normal26"/>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53B93" w14:textId="77777777" w:rsidR="002B10A6" w:rsidRDefault="002B10A6">
    <w:pPr>
      <w:pStyle w:val="Normal27"/>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791C22E" w14:textId="77777777">
      <w:trPr>
        <w:jc w:val="center"/>
      </w:trPr>
      <w:tc>
        <w:tcPr>
          <w:tcW w:w="10080" w:type="dxa"/>
          <w:vAlign w:val="center"/>
        </w:tcPr>
        <w:p w14:paraId="7BCF3784" w14:textId="77777777" w:rsidR="002B10A6" w:rsidRDefault="002B10A6">
          <w:pPr>
            <w:pStyle w:val="Normal27"/>
          </w:pPr>
        </w:p>
      </w:tc>
    </w:tr>
    <w:tr w:rsidR="002B10A6" w14:paraId="7DA5AE70" w14:textId="77777777">
      <w:trPr>
        <w:jc w:val="center"/>
      </w:trPr>
      <w:tc>
        <w:tcPr>
          <w:tcW w:w="10080" w:type="dxa"/>
        </w:tcPr>
        <w:p w14:paraId="0DD3490A" w14:textId="77777777" w:rsidR="002B10A6" w:rsidRDefault="00000000">
          <w:pPr>
            <w:pStyle w:val="Normal27"/>
            <w:spacing w:before="60" w:after="200"/>
            <w:jc w:val="center"/>
          </w:pPr>
          <w:r>
            <w:rPr>
              <w:rFonts w:ascii="Arial" w:eastAsia="Arial" w:hAnsi="Arial" w:cs="Arial"/>
              <w:sz w:val="20"/>
            </w:rPr>
            <w:t>Lopez v. Catalina Channel Express, Inc., 974 F.3d 1030</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B7DF1" w14:textId="77777777" w:rsidR="002B10A6" w:rsidRDefault="002B10A6">
    <w:pPr>
      <w:pStyle w:val="Normal27"/>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28345" w14:textId="77777777" w:rsidR="002B10A6" w:rsidRDefault="002B10A6">
    <w:pPr>
      <w:pStyle w:val="Normal28"/>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6E384EBD" w14:textId="77777777">
      <w:trPr>
        <w:jc w:val="center"/>
      </w:trPr>
      <w:tc>
        <w:tcPr>
          <w:tcW w:w="10080" w:type="dxa"/>
          <w:vAlign w:val="center"/>
        </w:tcPr>
        <w:p w14:paraId="5FA23E2E" w14:textId="77777777" w:rsidR="002B10A6" w:rsidRDefault="002B10A6">
          <w:pPr>
            <w:pStyle w:val="Normal28"/>
          </w:pPr>
        </w:p>
      </w:tc>
    </w:tr>
    <w:tr w:rsidR="002B10A6" w14:paraId="6639B9DC" w14:textId="77777777">
      <w:trPr>
        <w:jc w:val="center"/>
      </w:trPr>
      <w:tc>
        <w:tcPr>
          <w:tcW w:w="10080" w:type="dxa"/>
        </w:tcPr>
        <w:p w14:paraId="0131954F" w14:textId="77777777" w:rsidR="002B10A6" w:rsidRDefault="00000000">
          <w:pPr>
            <w:pStyle w:val="Normal28"/>
            <w:spacing w:before="60" w:after="200"/>
            <w:jc w:val="center"/>
          </w:pPr>
          <w:r>
            <w:rPr>
              <w:rFonts w:ascii="Arial" w:eastAsia="Arial" w:hAnsi="Arial" w:cs="Arial"/>
              <w:sz w:val="20"/>
            </w:rPr>
            <w:t>Norfleet v. Gaetz, 820 Fed. Appx. 464</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19801" w14:textId="77777777" w:rsidR="002B10A6" w:rsidRDefault="002B10A6">
    <w:pPr>
      <w:pStyle w:val="Normal28"/>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00723" w14:textId="77777777" w:rsidR="002B10A6" w:rsidRDefault="002B10A6">
    <w:pPr>
      <w:pStyle w:val="Normal29"/>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0A5957EF" w14:textId="77777777">
      <w:trPr>
        <w:jc w:val="center"/>
      </w:trPr>
      <w:tc>
        <w:tcPr>
          <w:tcW w:w="10080" w:type="dxa"/>
          <w:vAlign w:val="center"/>
        </w:tcPr>
        <w:p w14:paraId="055AE03E" w14:textId="77777777" w:rsidR="002B10A6" w:rsidRDefault="002B10A6">
          <w:pPr>
            <w:pStyle w:val="Normal29"/>
          </w:pPr>
        </w:p>
      </w:tc>
    </w:tr>
    <w:tr w:rsidR="002B10A6" w14:paraId="2E1DD9BB" w14:textId="77777777">
      <w:trPr>
        <w:jc w:val="center"/>
      </w:trPr>
      <w:tc>
        <w:tcPr>
          <w:tcW w:w="10080" w:type="dxa"/>
        </w:tcPr>
        <w:p w14:paraId="208F2226" w14:textId="77777777" w:rsidR="002B10A6" w:rsidRDefault="00000000">
          <w:pPr>
            <w:pStyle w:val="Normal29"/>
            <w:spacing w:before="60" w:after="200"/>
            <w:jc w:val="center"/>
          </w:pPr>
          <w:r>
            <w:rPr>
              <w:rFonts w:ascii="Arial" w:eastAsia="Arial" w:hAnsi="Arial" w:cs="Arial"/>
              <w:sz w:val="20"/>
            </w:rPr>
            <w:t>Rosales v. Bellagio, LLC, 811 Fed. Appx. 438</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46EA8" w14:textId="77777777" w:rsidR="002B10A6" w:rsidRDefault="002B10A6">
    <w:pPr>
      <w:pStyle w:val="Normal29"/>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96165" w14:textId="77777777" w:rsidR="002B10A6" w:rsidRDefault="002B10A6">
    <w:pPr>
      <w:pStyle w:val="Normal30"/>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335CD2C1" w14:textId="77777777">
      <w:trPr>
        <w:jc w:val="center"/>
      </w:trPr>
      <w:tc>
        <w:tcPr>
          <w:tcW w:w="10080" w:type="dxa"/>
          <w:vAlign w:val="center"/>
        </w:tcPr>
        <w:p w14:paraId="1AAB2951" w14:textId="77777777" w:rsidR="002B10A6" w:rsidRDefault="002B10A6">
          <w:pPr>
            <w:pStyle w:val="Normal30"/>
          </w:pPr>
        </w:p>
      </w:tc>
    </w:tr>
    <w:tr w:rsidR="002B10A6" w14:paraId="369AC8E6" w14:textId="77777777">
      <w:trPr>
        <w:jc w:val="center"/>
      </w:trPr>
      <w:tc>
        <w:tcPr>
          <w:tcW w:w="10080" w:type="dxa"/>
        </w:tcPr>
        <w:p w14:paraId="0B0E1726" w14:textId="77777777" w:rsidR="002B10A6" w:rsidRDefault="00000000">
          <w:pPr>
            <w:pStyle w:val="Normal30"/>
            <w:spacing w:before="60" w:after="200"/>
            <w:jc w:val="center"/>
          </w:pPr>
          <w:r>
            <w:rPr>
              <w:rFonts w:ascii="Arial" w:eastAsia="Arial" w:hAnsi="Arial" w:cs="Arial"/>
              <w:sz w:val="20"/>
            </w:rPr>
            <w:t>Nehemiah Kong v. Mana Inv. Co., LLC, 818 Fed. Appx. 660</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DD2A7" w14:textId="77777777" w:rsidR="002B10A6" w:rsidRDefault="002B10A6">
    <w:pPr>
      <w:pStyle w:val="Normal30"/>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8FEFB" w14:textId="77777777" w:rsidR="002B10A6" w:rsidRDefault="002B10A6">
    <w:pPr>
      <w:pStyle w:val="Normal31"/>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2443329F" w14:textId="77777777">
      <w:trPr>
        <w:jc w:val="center"/>
      </w:trPr>
      <w:tc>
        <w:tcPr>
          <w:tcW w:w="10080" w:type="dxa"/>
          <w:vAlign w:val="center"/>
        </w:tcPr>
        <w:p w14:paraId="0A8826BF" w14:textId="77777777" w:rsidR="002B10A6" w:rsidRDefault="002B10A6">
          <w:pPr>
            <w:pStyle w:val="Normal31"/>
          </w:pPr>
        </w:p>
      </w:tc>
    </w:tr>
    <w:tr w:rsidR="002B10A6" w14:paraId="4ADF8B7B" w14:textId="77777777">
      <w:trPr>
        <w:jc w:val="center"/>
      </w:trPr>
      <w:tc>
        <w:tcPr>
          <w:tcW w:w="10080" w:type="dxa"/>
        </w:tcPr>
        <w:p w14:paraId="40F9D14F" w14:textId="77777777" w:rsidR="002B10A6" w:rsidRDefault="00000000">
          <w:pPr>
            <w:pStyle w:val="Normal31"/>
            <w:spacing w:before="60" w:after="200"/>
            <w:jc w:val="center"/>
          </w:pPr>
          <w:r>
            <w:rPr>
              <w:rFonts w:ascii="Arial" w:eastAsia="Arial" w:hAnsi="Arial" w:cs="Arial"/>
              <w:sz w:val="20"/>
            </w:rPr>
            <w:t>Kong v. Shirazi-Fard, 807 Fed. Appx. 692</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AB27C" w14:textId="77777777" w:rsidR="002B10A6" w:rsidRDefault="002B10A6">
    <w:pPr>
      <w:pStyle w:val="Normal31"/>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6E85A" w14:textId="77777777" w:rsidR="002B10A6" w:rsidRDefault="002B10A6">
    <w:pPr>
      <w:pStyle w:val="Normal32"/>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099DACC0" w14:textId="77777777">
      <w:trPr>
        <w:jc w:val="center"/>
      </w:trPr>
      <w:tc>
        <w:tcPr>
          <w:tcW w:w="10080" w:type="dxa"/>
          <w:vAlign w:val="center"/>
        </w:tcPr>
        <w:p w14:paraId="6B0A6A52" w14:textId="77777777" w:rsidR="002B10A6" w:rsidRDefault="002B10A6">
          <w:pPr>
            <w:pStyle w:val="Normal32"/>
          </w:pPr>
        </w:p>
      </w:tc>
    </w:tr>
    <w:tr w:rsidR="002B10A6" w14:paraId="6A2980A3" w14:textId="77777777">
      <w:trPr>
        <w:jc w:val="center"/>
      </w:trPr>
      <w:tc>
        <w:tcPr>
          <w:tcW w:w="10080" w:type="dxa"/>
        </w:tcPr>
        <w:p w14:paraId="00F8F707" w14:textId="77777777" w:rsidR="002B10A6" w:rsidRDefault="00000000">
          <w:pPr>
            <w:pStyle w:val="Normal32"/>
            <w:spacing w:before="60" w:after="200"/>
            <w:jc w:val="center"/>
          </w:pPr>
          <w:r>
            <w:rPr>
              <w:rFonts w:ascii="Arial" w:eastAsia="Arial" w:hAnsi="Arial" w:cs="Arial"/>
              <w:sz w:val="20"/>
            </w:rPr>
            <w:t>Seth v. District of Columbia, 813 Fed. Appx. 611</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70534" w14:textId="77777777" w:rsidR="002B10A6" w:rsidRDefault="002B10A6">
    <w:pPr>
      <w:pStyle w:val="Normal32"/>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895B0" w14:textId="77777777" w:rsidR="002B10A6" w:rsidRDefault="002B10A6">
    <w:pPr>
      <w:pStyle w:val="Normal33"/>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9D62346" w14:textId="77777777">
      <w:trPr>
        <w:jc w:val="center"/>
      </w:trPr>
      <w:tc>
        <w:tcPr>
          <w:tcW w:w="10080" w:type="dxa"/>
          <w:vAlign w:val="center"/>
        </w:tcPr>
        <w:p w14:paraId="08770A63" w14:textId="77777777" w:rsidR="002B10A6" w:rsidRDefault="002B10A6">
          <w:pPr>
            <w:pStyle w:val="Normal33"/>
          </w:pPr>
        </w:p>
      </w:tc>
    </w:tr>
    <w:tr w:rsidR="002B10A6" w14:paraId="2762FF84" w14:textId="77777777">
      <w:trPr>
        <w:jc w:val="center"/>
      </w:trPr>
      <w:tc>
        <w:tcPr>
          <w:tcW w:w="10080" w:type="dxa"/>
        </w:tcPr>
        <w:p w14:paraId="07140DD3" w14:textId="77777777" w:rsidR="002B10A6" w:rsidRDefault="00000000">
          <w:pPr>
            <w:pStyle w:val="Normal33"/>
            <w:spacing w:before="60" w:after="200"/>
            <w:jc w:val="center"/>
          </w:pPr>
          <w:r>
            <w:rPr>
              <w:rFonts w:ascii="Arial" w:eastAsia="Arial" w:hAnsi="Arial" w:cs="Arial"/>
              <w:sz w:val="20"/>
            </w:rPr>
            <w:t>Smith v. Harris Cty., 956 F.3d 311</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C8E1A" w14:textId="77777777" w:rsidR="002B10A6" w:rsidRDefault="002B10A6">
    <w:pPr>
      <w:pStyle w:val="Normal33"/>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86080" w14:textId="77777777" w:rsidR="002B10A6" w:rsidRDefault="002B10A6">
    <w:pPr>
      <w:pStyle w:val="Normal34"/>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1098A9C9" w14:textId="77777777">
      <w:trPr>
        <w:jc w:val="center"/>
      </w:trPr>
      <w:tc>
        <w:tcPr>
          <w:tcW w:w="10080" w:type="dxa"/>
          <w:vAlign w:val="center"/>
        </w:tcPr>
        <w:p w14:paraId="458168A7" w14:textId="77777777" w:rsidR="002B10A6" w:rsidRDefault="002B10A6">
          <w:pPr>
            <w:pStyle w:val="Normal34"/>
          </w:pPr>
        </w:p>
      </w:tc>
    </w:tr>
    <w:tr w:rsidR="002B10A6" w14:paraId="27C3DD16" w14:textId="77777777">
      <w:trPr>
        <w:jc w:val="center"/>
      </w:trPr>
      <w:tc>
        <w:tcPr>
          <w:tcW w:w="10080" w:type="dxa"/>
        </w:tcPr>
        <w:p w14:paraId="4BB632B3" w14:textId="77777777" w:rsidR="002B10A6" w:rsidRDefault="00000000">
          <w:pPr>
            <w:pStyle w:val="Normal34"/>
            <w:spacing w:before="60" w:after="200"/>
            <w:jc w:val="center"/>
          </w:pPr>
          <w:r>
            <w:rPr>
              <w:rFonts w:ascii="Arial" w:eastAsia="Arial" w:hAnsi="Arial" w:cs="Arial"/>
              <w:sz w:val="20"/>
            </w:rPr>
            <w:t>Brooklyn Ctr. for Psychotherapy, Inc. v. Phila. Indem. Ins. Co., 955 F.3d 305</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F5A88" w14:textId="77777777" w:rsidR="002B10A6" w:rsidRDefault="002B10A6">
    <w:pPr>
      <w:pStyle w:val="Normal34"/>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85C60" w14:textId="77777777" w:rsidR="002B10A6" w:rsidRDefault="002B10A6">
    <w:pPr>
      <w:pStyle w:val="Normal35"/>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4AB9638" w14:textId="77777777">
      <w:trPr>
        <w:jc w:val="center"/>
      </w:trPr>
      <w:tc>
        <w:tcPr>
          <w:tcW w:w="10080" w:type="dxa"/>
          <w:vAlign w:val="center"/>
        </w:tcPr>
        <w:p w14:paraId="564FF660" w14:textId="77777777" w:rsidR="002B10A6" w:rsidRDefault="002B10A6">
          <w:pPr>
            <w:pStyle w:val="Normal35"/>
          </w:pPr>
        </w:p>
      </w:tc>
    </w:tr>
    <w:tr w:rsidR="002B10A6" w14:paraId="2AD2501F" w14:textId="77777777">
      <w:trPr>
        <w:jc w:val="center"/>
      </w:trPr>
      <w:tc>
        <w:tcPr>
          <w:tcW w:w="10080" w:type="dxa"/>
        </w:tcPr>
        <w:p w14:paraId="55AEB7E9" w14:textId="77777777" w:rsidR="002B10A6" w:rsidRDefault="00000000">
          <w:pPr>
            <w:pStyle w:val="Normal35"/>
            <w:spacing w:before="60" w:after="200"/>
            <w:jc w:val="center"/>
          </w:pPr>
          <w:r>
            <w:rPr>
              <w:rFonts w:ascii="Arial" w:eastAsia="Arial" w:hAnsi="Arial" w:cs="Arial"/>
              <w:sz w:val="20"/>
            </w:rPr>
            <w:t>His House Recovery Residence, Inc. v. Cobb Cty., 806 Fed. Appx. 780</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91D21" w14:textId="77777777" w:rsidR="002B10A6" w:rsidRDefault="002B10A6">
    <w:pPr>
      <w:pStyle w:val="Normal35"/>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9B50B" w14:textId="77777777" w:rsidR="002B10A6" w:rsidRDefault="002B10A6">
    <w:pPr>
      <w:pStyle w:val="Normal36"/>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2BFA2A1" w14:textId="77777777">
      <w:trPr>
        <w:jc w:val="center"/>
      </w:trPr>
      <w:tc>
        <w:tcPr>
          <w:tcW w:w="10080" w:type="dxa"/>
          <w:vAlign w:val="center"/>
        </w:tcPr>
        <w:p w14:paraId="7F6B4EEC" w14:textId="77777777" w:rsidR="002B10A6" w:rsidRDefault="002B10A6">
          <w:pPr>
            <w:pStyle w:val="Normal36"/>
          </w:pPr>
        </w:p>
      </w:tc>
    </w:tr>
    <w:tr w:rsidR="002B10A6" w14:paraId="44B77791" w14:textId="77777777">
      <w:trPr>
        <w:jc w:val="center"/>
      </w:trPr>
      <w:tc>
        <w:tcPr>
          <w:tcW w:w="10080" w:type="dxa"/>
        </w:tcPr>
        <w:p w14:paraId="1CCECDBC" w14:textId="77777777" w:rsidR="002B10A6" w:rsidRDefault="00000000">
          <w:pPr>
            <w:pStyle w:val="Normal36"/>
            <w:spacing w:before="60" w:after="200"/>
            <w:jc w:val="center"/>
          </w:pPr>
          <w:r>
            <w:rPr>
              <w:rFonts w:ascii="Arial" w:eastAsia="Arial" w:hAnsi="Arial" w:cs="Arial"/>
              <w:sz w:val="20"/>
            </w:rPr>
            <w:t>Block v. Tex. Bd. of Law Examiners, 952 F.3d 613</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D84C0" w14:textId="77777777" w:rsidR="002B10A6" w:rsidRDefault="002B10A6">
    <w:pPr>
      <w:pStyle w:val="Normal36"/>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8FDA" w14:textId="77777777" w:rsidR="002B10A6" w:rsidRDefault="002B10A6">
    <w:pPr>
      <w:pStyle w:val="Normal37"/>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7A1CD176" w14:textId="77777777">
      <w:trPr>
        <w:jc w:val="center"/>
      </w:trPr>
      <w:tc>
        <w:tcPr>
          <w:tcW w:w="10080" w:type="dxa"/>
          <w:vAlign w:val="center"/>
        </w:tcPr>
        <w:p w14:paraId="533D84CF" w14:textId="77777777" w:rsidR="002B10A6" w:rsidRDefault="002B10A6">
          <w:pPr>
            <w:pStyle w:val="Normal37"/>
          </w:pPr>
        </w:p>
      </w:tc>
    </w:tr>
    <w:tr w:rsidR="002B10A6" w14:paraId="18F3F219" w14:textId="77777777">
      <w:trPr>
        <w:jc w:val="center"/>
      </w:trPr>
      <w:tc>
        <w:tcPr>
          <w:tcW w:w="10080" w:type="dxa"/>
        </w:tcPr>
        <w:p w14:paraId="3E9C9B05" w14:textId="77777777" w:rsidR="002B10A6" w:rsidRDefault="00000000">
          <w:pPr>
            <w:pStyle w:val="Normal37"/>
            <w:spacing w:before="60" w:after="200"/>
            <w:jc w:val="center"/>
          </w:pPr>
          <w:r>
            <w:rPr>
              <w:rFonts w:ascii="Arial" w:eastAsia="Arial" w:hAnsi="Arial" w:cs="Arial"/>
              <w:sz w:val="20"/>
            </w:rPr>
            <w:t>Quality of Life, Corp. v. City of Margate, 805 Fed. Appx. 762</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3CAE8" w14:textId="77777777" w:rsidR="002B10A6" w:rsidRDefault="002B10A6">
    <w:pPr>
      <w:pStyle w:val="Normal37"/>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CD637" w14:textId="77777777" w:rsidR="002B10A6" w:rsidRDefault="002B10A6">
    <w:pPr>
      <w:pStyle w:val="Normal38"/>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470B709E" w14:textId="77777777">
      <w:trPr>
        <w:jc w:val="center"/>
      </w:trPr>
      <w:tc>
        <w:tcPr>
          <w:tcW w:w="10080" w:type="dxa"/>
          <w:vAlign w:val="center"/>
        </w:tcPr>
        <w:p w14:paraId="6E40CD28" w14:textId="77777777" w:rsidR="002B10A6" w:rsidRDefault="002B10A6">
          <w:pPr>
            <w:pStyle w:val="Normal38"/>
          </w:pPr>
        </w:p>
      </w:tc>
    </w:tr>
    <w:tr w:rsidR="002B10A6" w14:paraId="2A5E0FDF" w14:textId="77777777">
      <w:trPr>
        <w:jc w:val="center"/>
      </w:trPr>
      <w:tc>
        <w:tcPr>
          <w:tcW w:w="10080" w:type="dxa"/>
        </w:tcPr>
        <w:p w14:paraId="1CEC2542" w14:textId="77777777" w:rsidR="002B10A6" w:rsidRDefault="00000000">
          <w:pPr>
            <w:pStyle w:val="Normal38"/>
            <w:spacing w:before="60" w:after="200"/>
            <w:jc w:val="center"/>
          </w:pPr>
          <w:r>
            <w:rPr>
              <w:rFonts w:ascii="Arial" w:eastAsia="Arial" w:hAnsi="Arial" w:cs="Arial"/>
              <w:sz w:val="20"/>
            </w:rPr>
            <w:t>Sprague v. N. Va. Crim. Justice Training Acad., 794 Fed. Appx. 314</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6863" w14:textId="77777777" w:rsidR="002B10A6" w:rsidRDefault="002B10A6">
    <w:pPr>
      <w:pStyle w:val="Normal38"/>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D16BB" w14:textId="77777777" w:rsidR="002B10A6" w:rsidRDefault="002B10A6">
    <w:pPr>
      <w:pStyle w:val="Normal39"/>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00BB7CFE" w14:textId="77777777">
      <w:trPr>
        <w:jc w:val="center"/>
      </w:trPr>
      <w:tc>
        <w:tcPr>
          <w:tcW w:w="10080" w:type="dxa"/>
          <w:vAlign w:val="center"/>
        </w:tcPr>
        <w:p w14:paraId="697676E1" w14:textId="77777777" w:rsidR="002B10A6" w:rsidRDefault="002B10A6">
          <w:pPr>
            <w:pStyle w:val="Normal39"/>
          </w:pPr>
        </w:p>
      </w:tc>
    </w:tr>
    <w:tr w:rsidR="002B10A6" w14:paraId="09077683" w14:textId="77777777">
      <w:trPr>
        <w:jc w:val="center"/>
      </w:trPr>
      <w:tc>
        <w:tcPr>
          <w:tcW w:w="10080" w:type="dxa"/>
        </w:tcPr>
        <w:p w14:paraId="33B6DB4A" w14:textId="77777777" w:rsidR="002B10A6" w:rsidRDefault="00000000">
          <w:pPr>
            <w:pStyle w:val="Normal39"/>
            <w:spacing w:before="60" w:after="200"/>
            <w:jc w:val="center"/>
          </w:pPr>
          <w:r>
            <w:rPr>
              <w:rFonts w:ascii="Arial" w:eastAsia="Arial" w:hAnsi="Arial" w:cs="Arial"/>
              <w:sz w:val="20"/>
            </w:rPr>
            <w:t>Grell v. DOE, 792 Fed. Appx. 410</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65573" w14:textId="77777777" w:rsidR="002B10A6" w:rsidRDefault="002B10A6">
    <w:pPr>
      <w:pStyle w:val="Normal39"/>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2D7AC" w14:textId="77777777" w:rsidR="002B10A6" w:rsidRDefault="002B10A6">
    <w:pPr>
      <w:pStyle w:val="Normal40"/>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85F7E34" w14:textId="77777777">
      <w:trPr>
        <w:jc w:val="center"/>
      </w:trPr>
      <w:tc>
        <w:tcPr>
          <w:tcW w:w="10080" w:type="dxa"/>
          <w:vAlign w:val="center"/>
        </w:tcPr>
        <w:p w14:paraId="06CBED69" w14:textId="77777777" w:rsidR="002B10A6" w:rsidRDefault="002B10A6">
          <w:pPr>
            <w:pStyle w:val="Normal40"/>
          </w:pPr>
        </w:p>
      </w:tc>
    </w:tr>
    <w:tr w:rsidR="002B10A6" w14:paraId="6A19B5E9" w14:textId="77777777">
      <w:trPr>
        <w:jc w:val="center"/>
      </w:trPr>
      <w:tc>
        <w:tcPr>
          <w:tcW w:w="10080" w:type="dxa"/>
        </w:tcPr>
        <w:p w14:paraId="62797F68" w14:textId="77777777" w:rsidR="002B10A6" w:rsidRDefault="00000000">
          <w:pPr>
            <w:pStyle w:val="Normal40"/>
            <w:spacing w:before="60" w:after="200"/>
            <w:jc w:val="center"/>
          </w:pPr>
          <w:r>
            <w:rPr>
              <w:rFonts w:ascii="Arial" w:eastAsia="Arial" w:hAnsi="Arial" w:cs="Arial"/>
              <w:sz w:val="20"/>
            </w:rPr>
            <w:t>Clark v. Champion Nat'l Sec., Inc., 952 F.3d 570</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883B" w14:textId="77777777" w:rsidR="002B10A6" w:rsidRDefault="002B10A6">
    <w:pPr>
      <w:pStyle w:val="Normal40"/>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2A3C7" w14:textId="77777777" w:rsidR="002B10A6" w:rsidRDefault="002B10A6">
    <w:pPr>
      <w:pStyle w:val="Normal41"/>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71D3FF04" w14:textId="77777777">
      <w:trPr>
        <w:jc w:val="center"/>
      </w:trPr>
      <w:tc>
        <w:tcPr>
          <w:tcW w:w="10080" w:type="dxa"/>
          <w:vAlign w:val="center"/>
        </w:tcPr>
        <w:p w14:paraId="5B0BE16D" w14:textId="77777777" w:rsidR="002B10A6" w:rsidRDefault="002B10A6">
          <w:pPr>
            <w:pStyle w:val="Normal41"/>
          </w:pPr>
        </w:p>
      </w:tc>
    </w:tr>
    <w:tr w:rsidR="002B10A6" w14:paraId="168E75D9" w14:textId="77777777">
      <w:trPr>
        <w:jc w:val="center"/>
      </w:trPr>
      <w:tc>
        <w:tcPr>
          <w:tcW w:w="10080" w:type="dxa"/>
        </w:tcPr>
        <w:p w14:paraId="6CEB3649" w14:textId="77777777" w:rsidR="002B10A6" w:rsidRDefault="00000000">
          <w:pPr>
            <w:pStyle w:val="Normal41"/>
            <w:spacing w:before="60" w:after="200"/>
            <w:jc w:val="center"/>
          </w:pPr>
          <w:r>
            <w:rPr>
              <w:rFonts w:ascii="Arial" w:eastAsia="Arial" w:hAnsi="Arial" w:cs="Arial"/>
              <w:sz w:val="20"/>
            </w:rPr>
            <w:t>Cadena v. El Paso Cty., 946 F.3d 717</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6F526" w14:textId="77777777" w:rsidR="002B10A6" w:rsidRDefault="002B10A6">
    <w:pPr>
      <w:pStyle w:val="Normal41"/>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0D103" w14:textId="77777777" w:rsidR="002B10A6" w:rsidRDefault="002B10A6">
    <w:pPr>
      <w:pStyle w:val="Normal42"/>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75B12D2" w14:textId="77777777">
      <w:trPr>
        <w:jc w:val="center"/>
      </w:trPr>
      <w:tc>
        <w:tcPr>
          <w:tcW w:w="10080" w:type="dxa"/>
          <w:vAlign w:val="center"/>
        </w:tcPr>
        <w:p w14:paraId="00946108" w14:textId="77777777" w:rsidR="002B10A6" w:rsidRDefault="002B10A6">
          <w:pPr>
            <w:pStyle w:val="Normal42"/>
          </w:pPr>
        </w:p>
      </w:tc>
    </w:tr>
    <w:tr w:rsidR="002B10A6" w14:paraId="52D75072" w14:textId="77777777">
      <w:trPr>
        <w:jc w:val="center"/>
      </w:trPr>
      <w:tc>
        <w:tcPr>
          <w:tcW w:w="10080" w:type="dxa"/>
        </w:tcPr>
        <w:p w14:paraId="5BEDF4DB" w14:textId="77777777" w:rsidR="002B10A6" w:rsidRDefault="00000000">
          <w:pPr>
            <w:pStyle w:val="Normal42"/>
            <w:spacing w:before="60" w:after="200"/>
            <w:jc w:val="center"/>
          </w:pPr>
          <w:r>
            <w:rPr>
              <w:rFonts w:ascii="Arial" w:eastAsia="Arial" w:hAnsi="Arial" w:cs="Arial"/>
              <w:sz w:val="20"/>
            </w:rPr>
            <w:t>Davis v. Echo Valley Condo. Ass'n, 945 F.3d 483</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521E7" w14:textId="77777777" w:rsidR="002B10A6" w:rsidRDefault="002B10A6">
    <w:pPr>
      <w:pStyle w:val="Normal42"/>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394F0" w14:textId="77777777" w:rsidR="002B10A6" w:rsidRDefault="002B10A6">
    <w:pPr>
      <w:pStyle w:val="Normal43"/>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5CF668E7" w14:textId="77777777">
      <w:trPr>
        <w:jc w:val="center"/>
      </w:trPr>
      <w:tc>
        <w:tcPr>
          <w:tcW w:w="10080" w:type="dxa"/>
          <w:vAlign w:val="center"/>
        </w:tcPr>
        <w:p w14:paraId="2782B8C0" w14:textId="77777777" w:rsidR="002B10A6" w:rsidRDefault="002B10A6">
          <w:pPr>
            <w:pStyle w:val="Normal43"/>
          </w:pPr>
        </w:p>
      </w:tc>
    </w:tr>
    <w:tr w:rsidR="002B10A6" w14:paraId="0862DADE" w14:textId="77777777">
      <w:trPr>
        <w:jc w:val="center"/>
      </w:trPr>
      <w:tc>
        <w:tcPr>
          <w:tcW w:w="10080" w:type="dxa"/>
        </w:tcPr>
        <w:p w14:paraId="742346DF" w14:textId="77777777" w:rsidR="002B10A6" w:rsidRDefault="00000000">
          <w:pPr>
            <w:pStyle w:val="Normal43"/>
            <w:spacing w:before="60" w:after="200"/>
            <w:jc w:val="center"/>
          </w:pPr>
          <w:r>
            <w:rPr>
              <w:rFonts w:ascii="Arial" w:eastAsia="Arial" w:hAnsi="Arial" w:cs="Arial"/>
              <w:sz w:val="20"/>
            </w:rPr>
            <w:t>Kelley v. Smith's Food &amp; Drug Ctrs., Inc., 793 Fed. Appx. 787</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A1213" w14:textId="77777777" w:rsidR="002B10A6" w:rsidRDefault="002B10A6">
    <w:pPr>
      <w:pStyle w:val="Normal43"/>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570E1" w14:textId="77777777" w:rsidR="002B10A6" w:rsidRDefault="002B10A6">
    <w:pPr>
      <w:pStyle w:val="Normal44"/>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7E12E568" w14:textId="77777777">
      <w:trPr>
        <w:jc w:val="center"/>
      </w:trPr>
      <w:tc>
        <w:tcPr>
          <w:tcW w:w="10080" w:type="dxa"/>
          <w:vAlign w:val="center"/>
        </w:tcPr>
        <w:p w14:paraId="7569FCC4" w14:textId="77777777" w:rsidR="002B10A6" w:rsidRDefault="002B10A6">
          <w:pPr>
            <w:pStyle w:val="Normal44"/>
          </w:pPr>
        </w:p>
      </w:tc>
    </w:tr>
    <w:tr w:rsidR="002B10A6" w14:paraId="7F14F238" w14:textId="77777777">
      <w:trPr>
        <w:jc w:val="center"/>
      </w:trPr>
      <w:tc>
        <w:tcPr>
          <w:tcW w:w="10080" w:type="dxa"/>
        </w:tcPr>
        <w:p w14:paraId="35F7D0E0" w14:textId="77777777" w:rsidR="002B10A6" w:rsidRDefault="00000000">
          <w:pPr>
            <w:pStyle w:val="Normal44"/>
            <w:spacing w:before="60" w:after="200"/>
            <w:jc w:val="center"/>
          </w:pPr>
          <w:r>
            <w:rPr>
              <w:rFonts w:ascii="Arial" w:eastAsia="Arial" w:hAnsi="Arial" w:cs="Arial"/>
              <w:sz w:val="20"/>
            </w:rPr>
            <w:t>Cropp v. Larimer Cty., 941 F.3d 1237</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6AD23" w14:textId="77777777" w:rsidR="002B10A6" w:rsidRDefault="002B10A6">
    <w:pPr>
      <w:pStyle w:val="Normal44"/>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121A7" w14:textId="77777777" w:rsidR="002B10A6" w:rsidRDefault="002B10A6">
    <w:pPr>
      <w:pStyle w:val="Normal45"/>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6B2D1AAD" w14:textId="77777777">
      <w:trPr>
        <w:jc w:val="center"/>
      </w:trPr>
      <w:tc>
        <w:tcPr>
          <w:tcW w:w="10080" w:type="dxa"/>
          <w:vAlign w:val="center"/>
        </w:tcPr>
        <w:p w14:paraId="3BCAB922" w14:textId="77777777" w:rsidR="002B10A6" w:rsidRDefault="002B10A6">
          <w:pPr>
            <w:pStyle w:val="Normal45"/>
          </w:pPr>
        </w:p>
      </w:tc>
    </w:tr>
    <w:tr w:rsidR="002B10A6" w14:paraId="14D76BAF" w14:textId="77777777">
      <w:trPr>
        <w:jc w:val="center"/>
      </w:trPr>
      <w:tc>
        <w:tcPr>
          <w:tcW w:w="10080" w:type="dxa"/>
        </w:tcPr>
        <w:p w14:paraId="3C654A12" w14:textId="77777777" w:rsidR="002B10A6" w:rsidRDefault="00000000">
          <w:pPr>
            <w:pStyle w:val="Normal45"/>
            <w:spacing w:before="60" w:after="200"/>
            <w:jc w:val="center"/>
          </w:pPr>
          <w:r>
            <w:rPr>
              <w:rFonts w:ascii="Arial" w:eastAsia="Arial" w:hAnsi="Arial" w:cs="Arial"/>
              <w:sz w:val="20"/>
            </w:rPr>
            <w:t>Mosley v. Kohl's Dep't Stores, Inc., 942 F.3d 752</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3B154" w14:textId="77777777" w:rsidR="002B10A6" w:rsidRDefault="002B10A6">
    <w:pPr>
      <w:pStyle w:val="Normal45"/>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533DF" w14:textId="77777777" w:rsidR="002B10A6" w:rsidRDefault="002B10A6">
    <w:pPr>
      <w:pStyle w:val="Normal46"/>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3270E8EF" w14:textId="77777777">
      <w:trPr>
        <w:jc w:val="center"/>
      </w:trPr>
      <w:tc>
        <w:tcPr>
          <w:tcW w:w="10080" w:type="dxa"/>
          <w:vAlign w:val="center"/>
        </w:tcPr>
        <w:p w14:paraId="43230B2F" w14:textId="77777777" w:rsidR="002B10A6" w:rsidRDefault="002B10A6">
          <w:pPr>
            <w:pStyle w:val="Normal46"/>
          </w:pPr>
        </w:p>
      </w:tc>
    </w:tr>
    <w:tr w:rsidR="002B10A6" w14:paraId="42BEF846" w14:textId="77777777">
      <w:trPr>
        <w:jc w:val="center"/>
      </w:trPr>
      <w:tc>
        <w:tcPr>
          <w:tcW w:w="10080" w:type="dxa"/>
        </w:tcPr>
        <w:p w14:paraId="30A4F104" w14:textId="77777777" w:rsidR="002B10A6" w:rsidRDefault="00000000">
          <w:pPr>
            <w:pStyle w:val="Normal46"/>
            <w:spacing w:before="60" w:after="200"/>
            <w:jc w:val="center"/>
          </w:pPr>
          <w:r>
            <w:rPr>
              <w:rFonts w:ascii="Arial" w:eastAsia="Arial" w:hAnsi="Arial" w:cs="Arial"/>
              <w:sz w:val="20"/>
            </w:rPr>
            <w:t>Summers v. City of Fitchburg, 940 F.3d 133</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88A6E" w14:textId="77777777" w:rsidR="002B10A6" w:rsidRDefault="002B10A6">
    <w:pPr>
      <w:pStyle w:val="Normal46"/>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E1CDA" w14:textId="77777777" w:rsidR="002B10A6" w:rsidRDefault="002B10A6">
    <w:pPr>
      <w:pStyle w:val="Normal47"/>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01354009" w14:textId="77777777">
      <w:trPr>
        <w:jc w:val="center"/>
      </w:trPr>
      <w:tc>
        <w:tcPr>
          <w:tcW w:w="10080" w:type="dxa"/>
          <w:vAlign w:val="center"/>
        </w:tcPr>
        <w:p w14:paraId="6F5DEC0A" w14:textId="77777777" w:rsidR="002B10A6" w:rsidRDefault="002B10A6">
          <w:pPr>
            <w:pStyle w:val="Normal47"/>
          </w:pPr>
        </w:p>
      </w:tc>
    </w:tr>
    <w:tr w:rsidR="002B10A6" w14:paraId="07E18FA6" w14:textId="77777777">
      <w:trPr>
        <w:jc w:val="center"/>
      </w:trPr>
      <w:tc>
        <w:tcPr>
          <w:tcW w:w="10080" w:type="dxa"/>
        </w:tcPr>
        <w:p w14:paraId="72E64B3E" w14:textId="77777777" w:rsidR="002B10A6" w:rsidRDefault="00000000">
          <w:pPr>
            <w:pStyle w:val="Normal47"/>
            <w:spacing w:before="60" w:after="200"/>
            <w:jc w:val="center"/>
          </w:pPr>
          <w:r>
            <w:rPr>
              <w:rFonts w:ascii="Arial" w:eastAsia="Arial" w:hAnsi="Arial" w:cs="Arial"/>
              <w:sz w:val="20"/>
            </w:rPr>
            <w:t>Thornton v. Hosp. Mgmt. Assocs., 787 Fed. Appx. 634</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91E23" w14:textId="77777777" w:rsidR="002B10A6" w:rsidRDefault="002B10A6">
    <w:pPr>
      <w:pStyle w:val="Normal47"/>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14993" w14:textId="77777777" w:rsidR="002B10A6" w:rsidRDefault="002B10A6">
    <w:pPr>
      <w:pStyle w:val="Normal48"/>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4990A2C9" w14:textId="77777777">
      <w:trPr>
        <w:jc w:val="center"/>
      </w:trPr>
      <w:tc>
        <w:tcPr>
          <w:tcW w:w="10080" w:type="dxa"/>
          <w:vAlign w:val="center"/>
        </w:tcPr>
        <w:p w14:paraId="4BD51B99" w14:textId="77777777" w:rsidR="002B10A6" w:rsidRDefault="002B10A6">
          <w:pPr>
            <w:pStyle w:val="Normal48"/>
          </w:pPr>
        </w:p>
      </w:tc>
    </w:tr>
    <w:tr w:rsidR="002B10A6" w14:paraId="415EA3A1" w14:textId="77777777">
      <w:trPr>
        <w:jc w:val="center"/>
      </w:trPr>
      <w:tc>
        <w:tcPr>
          <w:tcW w:w="10080" w:type="dxa"/>
        </w:tcPr>
        <w:p w14:paraId="4CC1C991" w14:textId="77777777" w:rsidR="002B10A6" w:rsidRDefault="00000000">
          <w:pPr>
            <w:pStyle w:val="Normal48"/>
            <w:spacing w:before="60" w:after="200"/>
            <w:jc w:val="center"/>
          </w:pPr>
          <w:r>
            <w:rPr>
              <w:rFonts w:ascii="Arial" w:eastAsia="Arial" w:hAnsi="Arial" w:cs="Arial"/>
              <w:sz w:val="20"/>
            </w:rPr>
            <w:t>In re Posey, 2019 U.S. App. LEXIS 28723</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C2D0C" w14:textId="77777777" w:rsidR="002B10A6" w:rsidRDefault="002B10A6">
    <w:pPr>
      <w:pStyle w:val="Normal48"/>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98B8F" w14:textId="77777777" w:rsidR="002B10A6" w:rsidRDefault="002B10A6">
    <w:pPr>
      <w:pStyle w:val="Normal49"/>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2B10A6" w14:paraId="7BBA6D14" w14:textId="77777777">
      <w:trPr>
        <w:jc w:val="center"/>
      </w:trPr>
      <w:tc>
        <w:tcPr>
          <w:tcW w:w="10080" w:type="dxa"/>
          <w:vAlign w:val="center"/>
        </w:tcPr>
        <w:p w14:paraId="5C3516D9" w14:textId="77777777" w:rsidR="002B10A6" w:rsidRDefault="002B10A6">
          <w:pPr>
            <w:pStyle w:val="Normal49"/>
          </w:pPr>
        </w:p>
      </w:tc>
    </w:tr>
    <w:tr w:rsidR="002B10A6" w14:paraId="6822E20C" w14:textId="77777777">
      <w:trPr>
        <w:jc w:val="center"/>
      </w:trPr>
      <w:tc>
        <w:tcPr>
          <w:tcW w:w="10080" w:type="dxa"/>
        </w:tcPr>
        <w:p w14:paraId="39F787D6" w14:textId="77777777" w:rsidR="002B10A6" w:rsidRDefault="00000000">
          <w:pPr>
            <w:pStyle w:val="Normal49"/>
            <w:spacing w:before="60" w:after="200"/>
            <w:jc w:val="center"/>
          </w:pPr>
          <w:r>
            <w:rPr>
              <w:rFonts w:ascii="Arial" w:eastAsia="Arial" w:hAnsi="Arial" w:cs="Arial"/>
              <w:sz w:val="20"/>
            </w:rPr>
            <w:t>Matheis v. CSL Plasma, Inc., 936 F.3d 171</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593F" w14:textId="77777777" w:rsidR="002B10A6" w:rsidRDefault="002B10A6">
    <w:pPr>
      <w:pStyle w:val="Normal4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B10A6"/>
    <w:rsid w:val="002C571C"/>
    <w:rsid w:val="002D6974"/>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9389C8"/>
  <w15:docId w15:val="{FAA537A2-AE86-482E-A866-85C9D93F4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 w:type="paragraph" w:customStyle="1" w:styleId="Normal1">
    <w:name w:val="Normal_1"/>
    <w:qFormat/>
    <w:rPr>
      <w:sz w:val="24"/>
      <w:szCs w:val="24"/>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rPr>
  </w:style>
  <w:style w:type="paragraph" w:customStyle="1" w:styleId="Normal2">
    <w:name w:val="Normal_2"/>
    <w:qFormat/>
    <w:rPr>
      <w:sz w:val="24"/>
      <w:szCs w:val="24"/>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rPr>
  </w:style>
  <w:style w:type="paragraph" w:customStyle="1" w:styleId="Normal3">
    <w:name w:val="Normal_3"/>
    <w:qFormat/>
    <w:rPr>
      <w:sz w:val="24"/>
      <w:szCs w:val="24"/>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rPr>
  </w:style>
  <w:style w:type="paragraph" w:customStyle="1" w:styleId="Normal4">
    <w:name w:val="Normal_4"/>
    <w:qFormat/>
    <w:rPr>
      <w:sz w:val="24"/>
      <w:szCs w:val="24"/>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rPr>
  </w:style>
  <w:style w:type="paragraph" w:customStyle="1" w:styleId="Normal5">
    <w:name w:val="Normal_5"/>
    <w:qFormat/>
    <w:rPr>
      <w:sz w:val="24"/>
      <w:szCs w:val="24"/>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rPr>
  </w:style>
  <w:style w:type="paragraph" w:customStyle="1" w:styleId="Normal6">
    <w:name w:val="Normal_6"/>
    <w:qFormat/>
    <w:rPr>
      <w:sz w:val="24"/>
      <w:szCs w:val="24"/>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rPr>
  </w:style>
  <w:style w:type="paragraph" w:customStyle="1" w:styleId="Normal7">
    <w:name w:val="Normal_7"/>
    <w:qFormat/>
    <w:rPr>
      <w:sz w:val="24"/>
      <w:szCs w:val="24"/>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rPr>
  </w:style>
  <w:style w:type="paragraph" w:customStyle="1" w:styleId="Normal8">
    <w:name w:val="Normal_8"/>
    <w:qFormat/>
    <w:rPr>
      <w:sz w:val="24"/>
      <w:szCs w:val="24"/>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rPr>
  </w:style>
  <w:style w:type="paragraph" w:customStyle="1" w:styleId="Normal9">
    <w:name w:val="Normal_9"/>
    <w:qFormat/>
    <w:rPr>
      <w:sz w:val="24"/>
      <w:szCs w:val="24"/>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rPr>
  </w:style>
  <w:style w:type="paragraph" w:customStyle="1" w:styleId="Normal10">
    <w:name w:val="Normal_10"/>
    <w:qFormat/>
    <w:rPr>
      <w:sz w:val="24"/>
      <w:szCs w:val="24"/>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rPr>
  </w:style>
  <w:style w:type="paragraph" w:customStyle="1" w:styleId="Normal11">
    <w:name w:val="Normal_11"/>
    <w:qFormat/>
    <w:rPr>
      <w:sz w:val="24"/>
      <w:szCs w:val="24"/>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rPr>
  </w:style>
  <w:style w:type="paragraph" w:customStyle="1" w:styleId="Normal12">
    <w:name w:val="Normal_12"/>
    <w:qFormat/>
    <w:rPr>
      <w:sz w:val="24"/>
      <w:szCs w:val="24"/>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rPr>
  </w:style>
  <w:style w:type="paragraph" w:customStyle="1" w:styleId="Normal13">
    <w:name w:val="Normal_13"/>
    <w:qFormat/>
    <w:rPr>
      <w:sz w:val="24"/>
      <w:szCs w:val="24"/>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rPr>
  </w:style>
  <w:style w:type="paragraph" w:customStyle="1" w:styleId="Normal14">
    <w:name w:val="Normal_14"/>
    <w:qFormat/>
    <w:rPr>
      <w:sz w:val="24"/>
      <w:szCs w:val="24"/>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rPr>
  </w:style>
  <w:style w:type="paragraph" w:customStyle="1" w:styleId="Normal15">
    <w:name w:val="Normal_15"/>
    <w:qFormat/>
    <w:rPr>
      <w:sz w:val="24"/>
      <w:szCs w:val="24"/>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rPr>
  </w:style>
  <w:style w:type="paragraph" w:customStyle="1" w:styleId="Normal16">
    <w:name w:val="Normal_16"/>
    <w:qFormat/>
    <w:rPr>
      <w:sz w:val="24"/>
      <w:szCs w:val="24"/>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rPr>
  </w:style>
  <w:style w:type="paragraph" w:customStyle="1" w:styleId="Normal17">
    <w:name w:val="Normal_17"/>
    <w:qFormat/>
    <w:rPr>
      <w:sz w:val="24"/>
      <w:szCs w:val="24"/>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rPr>
  </w:style>
  <w:style w:type="paragraph" w:customStyle="1" w:styleId="Normal18">
    <w:name w:val="Normal_18"/>
    <w:qFormat/>
    <w:rPr>
      <w:sz w:val="24"/>
      <w:szCs w:val="24"/>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rPr>
  </w:style>
  <w:style w:type="paragraph" w:customStyle="1" w:styleId="Normal19">
    <w:name w:val="Normal_19"/>
    <w:qFormat/>
    <w:rPr>
      <w:sz w:val="24"/>
      <w:szCs w:val="24"/>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rPr>
  </w:style>
  <w:style w:type="paragraph" w:customStyle="1" w:styleId="Normal20">
    <w:name w:val="Normal_20"/>
    <w:qFormat/>
    <w:rPr>
      <w:sz w:val="24"/>
      <w:szCs w:val="24"/>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rPr>
  </w:style>
  <w:style w:type="paragraph" w:customStyle="1" w:styleId="Normal21">
    <w:name w:val="Normal_21"/>
    <w:qFormat/>
    <w:rPr>
      <w:sz w:val="24"/>
      <w:szCs w:val="24"/>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rPr>
  </w:style>
  <w:style w:type="paragraph" w:customStyle="1" w:styleId="Normal22">
    <w:name w:val="Normal_22"/>
    <w:qFormat/>
    <w:rPr>
      <w:sz w:val="24"/>
      <w:szCs w:val="24"/>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rPr>
  </w:style>
  <w:style w:type="paragraph" w:customStyle="1" w:styleId="Normal23">
    <w:name w:val="Normal_23"/>
    <w:qFormat/>
    <w:rPr>
      <w:sz w:val="24"/>
      <w:szCs w:val="24"/>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rPr>
  </w:style>
  <w:style w:type="paragraph" w:customStyle="1" w:styleId="Normal24">
    <w:name w:val="Normal_24"/>
    <w:qFormat/>
    <w:rPr>
      <w:sz w:val="24"/>
      <w:szCs w:val="24"/>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rPr>
  </w:style>
  <w:style w:type="paragraph" w:customStyle="1" w:styleId="Normal25">
    <w:name w:val="Normal_25"/>
    <w:qFormat/>
    <w:rPr>
      <w:sz w:val="24"/>
      <w:szCs w:val="24"/>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rPr>
  </w:style>
  <w:style w:type="paragraph" w:customStyle="1" w:styleId="Normal26">
    <w:name w:val="Normal_26"/>
    <w:qFormat/>
    <w:rPr>
      <w:sz w:val="24"/>
      <w:szCs w:val="24"/>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rPr>
  </w:style>
  <w:style w:type="paragraph" w:customStyle="1" w:styleId="Normal27">
    <w:name w:val="Normal_27"/>
    <w:qFormat/>
    <w:rPr>
      <w:sz w:val="24"/>
      <w:szCs w:val="24"/>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rPr>
  </w:style>
  <w:style w:type="paragraph" w:customStyle="1" w:styleId="Normal28">
    <w:name w:val="Normal_28"/>
    <w:qFormat/>
    <w:rPr>
      <w:sz w:val="24"/>
      <w:szCs w:val="24"/>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rPr>
  </w:style>
  <w:style w:type="paragraph" w:customStyle="1" w:styleId="Normal29">
    <w:name w:val="Normal_29"/>
    <w:qFormat/>
    <w:rPr>
      <w:sz w:val="24"/>
      <w:szCs w:val="24"/>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rPr>
  </w:style>
  <w:style w:type="paragraph" w:customStyle="1" w:styleId="Normal30">
    <w:name w:val="Normal_30"/>
    <w:qFormat/>
    <w:rPr>
      <w:sz w:val="24"/>
      <w:szCs w:val="24"/>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rPr>
  </w:style>
  <w:style w:type="paragraph" w:customStyle="1" w:styleId="Normal31">
    <w:name w:val="Normal_31"/>
    <w:qFormat/>
    <w:rPr>
      <w:sz w:val="24"/>
      <w:szCs w:val="24"/>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rPr>
  </w:style>
  <w:style w:type="paragraph" w:customStyle="1" w:styleId="Normal32">
    <w:name w:val="Normal_32"/>
    <w:qFormat/>
    <w:rPr>
      <w:sz w:val="24"/>
      <w:szCs w:val="24"/>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rPr>
  </w:style>
  <w:style w:type="paragraph" w:customStyle="1" w:styleId="Normal33">
    <w:name w:val="Normal_33"/>
    <w:qFormat/>
    <w:rPr>
      <w:sz w:val="24"/>
      <w:szCs w:val="24"/>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rPr>
  </w:style>
  <w:style w:type="paragraph" w:customStyle="1" w:styleId="Normal34">
    <w:name w:val="Normal_34"/>
    <w:qFormat/>
    <w:rPr>
      <w:sz w:val="24"/>
      <w:szCs w:val="24"/>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rPr>
  </w:style>
  <w:style w:type="paragraph" w:customStyle="1" w:styleId="Normal35">
    <w:name w:val="Normal_35"/>
    <w:qFormat/>
    <w:rPr>
      <w:sz w:val="24"/>
      <w:szCs w:val="24"/>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rPr>
  </w:style>
  <w:style w:type="paragraph" w:customStyle="1" w:styleId="Normal36">
    <w:name w:val="Normal_36"/>
    <w:qFormat/>
    <w:rPr>
      <w:sz w:val="24"/>
      <w:szCs w:val="24"/>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rPr>
  </w:style>
  <w:style w:type="paragraph" w:customStyle="1" w:styleId="Normal37">
    <w:name w:val="Normal_37"/>
    <w:qFormat/>
    <w:rPr>
      <w:sz w:val="24"/>
      <w:szCs w:val="24"/>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rPr>
  </w:style>
  <w:style w:type="paragraph" w:customStyle="1" w:styleId="Normal38">
    <w:name w:val="Normal_38"/>
    <w:qFormat/>
    <w:rPr>
      <w:sz w:val="24"/>
      <w:szCs w:val="24"/>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rPr>
  </w:style>
  <w:style w:type="paragraph" w:customStyle="1" w:styleId="Normal39">
    <w:name w:val="Normal_39"/>
    <w:qFormat/>
    <w:rPr>
      <w:sz w:val="24"/>
      <w:szCs w:val="24"/>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rPr>
  </w:style>
  <w:style w:type="paragraph" w:customStyle="1" w:styleId="Normal40">
    <w:name w:val="Normal_40"/>
    <w:qFormat/>
    <w:rPr>
      <w:sz w:val="24"/>
      <w:szCs w:val="24"/>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rPr>
  </w:style>
  <w:style w:type="paragraph" w:customStyle="1" w:styleId="Normal41">
    <w:name w:val="Normal_41"/>
    <w:qFormat/>
    <w:rPr>
      <w:sz w:val="24"/>
      <w:szCs w:val="24"/>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rPr>
  </w:style>
  <w:style w:type="paragraph" w:customStyle="1" w:styleId="Normal42">
    <w:name w:val="Normal_42"/>
    <w:qFormat/>
    <w:rPr>
      <w:sz w:val="24"/>
      <w:szCs w:val="24"/>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rPr>
  </w:style>
  <w:style w:type="paragraph" w:customStyle="1" w:styleId="Normal43">
    <w:name w:val="Normal_43"/>
    <w:qFormat/>
    <w:rPr>
      <w:sz w:val="24"/>
      <w:szCs w:val="24"/>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rPr>
  </w:style>
  <w:style w:type="paragraph" w:customStyle="1" w:styleId="Normal44">
    <w:name w:val="Normal_44"/>
    <w:qFormat/>
    <w:rPr>
      <w:sz w:val="24"/>
      <w:szCs w:val="24"/>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rPr>
  </w:style>
  <w:style w:type="paragraph" w:customStyle="1" w:styleId="Normal45">
    <w:name w:val="Normal_45"/>
    <w:qFormat/>
    <w:rPr>
      <w:sz w:val="24"/>
      <w:szCs w:val="24"/>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rPr>
  </w:style>
  <w:style w:type="paragraph" w:customStyle="1" w:styleId="Normal46">
    <w:name w:val="Normal_46"/>
    <w:qFormat/>
    <w:rPr>
      <w:sz w:val="24"/>
      <w:szCs w:val="24"/>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rPr>
  </w:style>
  <w:style w:type="paragraph" w:customStyle="1" w:styleId="Normal47">
    <w:name w:val="Normal_47"/>
    <w:qFormat/>
    <w:rPr>
      <w:sz w:val="24"/>
      <w:szCs w:val="24"/>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rPr>
  </w:style>
  <w:style w:type="paragraph" w:customStyle="1" w:styleId="Normal48">
    <w:name w:val="Normal_48"/>
    <w:qFormat/>
    <w:rPr>
      <w:sz w:val="24"/>
      <w:szCs w:val="24"/>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rPr>
  </w:style>
  <w:style w:type="paragraph" w:customStyle="1" w:styleId="Normal49">
    <w:name w:val="Normal_49"/>
    <w:qFormat/>
    <w:rPr>
      <w:sz w:val="24"/>
      <w:szCs w:val="24"/>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56.xml"/><Relationship Id="rId299" Type="http://schemas.openxmlformats.org/officeDocument/2006/relationships/footer" Target="footer147.xml"/><Relationship Id="rId21" Type="http://schemas.openxmlformats.org/officeDocument/2006/relationships/footer" Target="footer8.xml"/><Relationship Id="rId63" Type="http://schemas.openxmlformats.org/officeDocument/2006/relationships/footer" Target="footer29.xml"/><Relationship Id="rId159" Type="http://schemas.openxmlformats.org/officeDocument/2006/relationships/footer" Target="footer77.xml"/><Relationship Id="rId170" Type="http://schemas.openxmlformats.org/officeDocument/2006/relationships/footer" Target="footer82.xml"/><Relationship Id="rId226" Type="http://schemas.openxmlformats.org/officeDocument/2006/relationships/header" Target="header111.xml"/><Relationship Id="rId268" Type="http://schemas.openxmlformats.org/officeDocument/2006/relationships/header" Target="header132.xml"/><Relationship Id="rId32" Type="http://schemas.openxmlformats.org/officeDocument/2006/relationships/footer" Target="footer13.xml"/><Relationship Id="rId74" Type="http://schemas.openxmlformats.org/officeDocument/2006/relationships/footer" Target="footer34.xml"/><Relationship Id="rId128" Type="http://schemas.openxmlformats.org/officeDocument/2006/relationships/footer" Target="footer61.xml"/><Relationship Id="rId5" Type="http://schemas.openxmlformats.org/officeDocument/2006/relationships/endnotes" Target="endnotes.xml"/><Relationship Id="rId181" Type="http://schemas.openxmlformats.org/officeDocument/2006/relationships/header" Target="header89.xml"/><Relationship Id="rId237" Type="http://schemas.openxmlformats.org/officeDocument/2006/relationships/footer" Target="footer116.xml"/><Relationship Id="rId279" Type="http://schemas.openxmlformats.org/officeDocument/2006/relationships/footer" Target="footer137.xml"/><Relationship Id="rId43" Type="http://schemas.openxmlformats.org/officeDocument/2006/relationships/header" Target="header20.xml"/><Relationship Id="rId139" Type="http://schemas.openxmlformats.org/officeDocument/2006/relationships/header" Target="header68.xml"/><Relationship Id="rId290" Type="http://schemas.openxmlformats.org/officeDocument/2006/relationships/footer" Target="footer142.xml"/><Relationship Id="rId304" Type="http://schemas.openxmlformats.org/officeDocument/2006/relationships/header" Target="header150.xml"/><Relationship Id="rId85" Type="http://schemas.openxmlformats.org/officeDocument/2006/relationships/header" Target="header41.xml"/><Relationship Id="rId150" Type="http://schemas.openxmlformats.org/officeDocument/2006/relationships/header" Target="header73.xml"/><Relationship Id="rId192" Type="http://schemas.openxmlformats.org/officeDocument/2006/relationships/header" Target="header94.xml"/><Relationship Id="rId206" Type="http://schemas.openxmlformats.org/officeDocument/2006/relationships/footer" Target="footer100.xml"/><Relationship Id="rId248" Type="http://schemas.openxmlformats.org/officeDocument/2006/relationships/footer" Target="footer121.xml"/><Relationship Id="rId12" Type="http://schemas.openxmlformats.org/officeDocument/2006/relationships/header" Target="header4.xml"/><Relationship Id="rId108" Type="http://schemas.openxmlformats.org/officeDocument/2006/relationships/header" Target="header52.xml"/><Relationship Id="rId54" Type="http://schemas.openxmlformats.org/officeDocument/2006/relationships/header" Target="header25.xml"/><Relationship Id="rId96" Type="http://schemas.openxmlformats.org/officeDocument/2006/relationships/header" Target="header46.xml"/><Relationship Id="rId161" Type="http://schemas.openxmlformats.org/officeDocument/2006/relationships/footer" Target="footer78.xml"/><Relationship Id="rId217" Type="http://schemas.openxmlformats.org/officeDocument/2006/relationships/header" Target="header107.xml"/><Relationship Id="rId259" Type="http://schemas.openxmlformats.org/officeDocument/2006/relationships/header" Target="header128.xml"/><Relationship Id="rId23" Type="http://schemas.openxmlformats.org/officeDocument/2006/relationships/footer" Target="footer9.xml"/><Relationship Id="rId119" Type="http://schemas.openxmlformats.org/officeDocument/2006/relationships/footer" Target="footer57.xml"/><Relationship Id="rId270" Type="http://schemas.openxmlformats.org/officeDocument/2006/relationships/header" Target="header133.xml"/><Relationship Id="rId291" Type="http://schemas.openxmlformats.org/officeDocument/2006/relationships/footer" Target="footer143.xml"/><Relationship Id="rId305" Type="http://schemas.openxmlformats.org/officeDocument/2006/relationships/footer" Target="footer150.xml"/><Relationship Id="rId44" Type="http://schemas.openxmlformats.org/officeDocument/2006/relationships/footer" Target="footer19.xml"/><Relationship Id="rId65" Type="http://schemas.openxmlformats.org/officeDocument/2006/relationships/footer" Target="footer30.xml"/><Relationship Id="rId86" Type="http://schemas.openxmlformats.org/officeDocument/2006/relationships/footer" Target="footer40.xml"/><Relationship Id="rId130" Type="http://schemas.openxmlformats.org/officeDocument/2006/relationships/header" Target="header63.xml"/><Relationship Id="rId151" Type="http://schemas.openxmlformats.org/officeDocument/2006/relationships/header" Target="header74.xml"/><Relationship Id="rId172" Type="http://schemas.openxmlformats.org/officeDocument/2006/relationships/header" Target="header84.xml"/><Relationship Id="rId193" Type="http://schemas.openxmlformats.org/officeDocument/2006/relationships/header" Target="header95.xml"/><Relationship Id="rId207" Type="http://schemas.openxmlformats.org/officeDocument/2006/relationships/footer" Target="footer101.xml"/><Relationship Id="rId228" Type="http://schemas.openxmlformats.org/officeDocument/2006/relationships/header" Target="header112.xml"/><Relationship Id="rId249" Type="http://schemas.openxmlformats.org/officeDocument/2006/relationships/footer" Target="footer122.xml"/><Relationship Id="rId13" Type="http://schemas.openxmlformats.org/officeDocument/2006/relationships/header" Target="header5.xml"/><Relationship Id="rId109" Type="http://schemas.openxmlformats.org/officeDocument/2006/relationships/header" Target="header53.xml"/><Relationship Id="rId260" Type="http://schemas.openxmlformats.org/officeDocument/2006/relationships/footer" Target="footer127.xml"/><Relationship Id="rId281" Type="http://schemas.openxmlformats.org/officeDocument/2006/relationships/footer" Target="footer138.xml"/><Relationship Id="rId34" Type="http://schemas.openxmlformats.org/officeDocument/2006/relationships/header" Target="header15.xml"/><Relationship Id="rId55" Type="http://schemas.openxmlformats.org/officeDocument/2006/relationships/header" Target="header26.xml"/><Relationship Id="rId76" Type="http://schemas.openxmlformats.org/officeDocument/2006/relationships/header" Target="header36.xml"/><Relationship Id="rId97" Type="http://schemas.openxmlformats.org/officeDocument/2006/relationships/header" Target="header47.xml"/><Relationship Id="rId120" Type="http://schemas.openxmlformats.org/officeDocument/2006/relationships/header" Target="header58.xml"/><Relationship Id="rId141" Type="http://schemas.openxmlformats.org/officeDocument/2006/relationships/footer" Target="footer68.xml"/><Relationship Id="rId7" Type="http://schemas.openxmlformats.org/officeDocument/2006/relationships/header" Target="header2.xml"/><Relationship Id="rId162" Type="http://schemas.openxmlformats.org/officeDocument/2006/relationships/header" Target="header79.xml"/><Relationship Id="rId183" Type="http://schemas.openxmlformats.org/officeDocument/2006/relationships/footer" Target="footer89.xml"/><Relationship Id="rId218" Type="http://schemas.openxmlformats.org/officeDocument/2006/relationships/footer" Target="footer106.xml"/><Relationship Id="rId239" Type="http://schemas.openxmlformats.org/officeDocument/2006/relationships/footer" Target="footer117.xml"/><Relationship Id="rId250" Type="http://schemas.openxmlformats.org/officeDocument/2006/relationships/header" Target="header123.xml"/><Relationship Id="rId271" Type="http://schemas.openxmlformats.org/officeDocument/2006/relationships/header" Target="header134.xml"/><Relationship Id="rId292" Type="http://schemas.openxmlformats.org/officeDocument/2006/relationships/header" Target="header144.xml"/><Relationship Id="rId306" Type="http://schemas.openxmlformats.org/officeDocument/2006/relationships/fontTable" Target="fontTable.xml"/><Relationship Id="rId24" Type="http://schemas.openxmlformats.org/officeDocument/2006/relationships/header" Target="header10.xml"/><Relationship Id="rId45" Type="http://schemas.openxmlformats.org/officeDocument/2006/relationships/footer" Target="footer20.xml"/><Relationship Id="rId66" Type="http://schemas.openxmlformats.org/officeDocument/2006/relationships/header" Target="header31.xml"/><Relationship Id="rId87" Type="http://schemas.openxmlformats.org/officeDocument/2006/relationships/footer" Target="footer41.xml"/><Relationship Id="rId110" Type="http://schemas.openxmlformats.org/officeDocument/2006/relationships/footer" Target="footer52.xml"/><Relationship Id="rId131" Type="http://schemas.openxmlformats.org/officeDocument/2006/relationships/footer" Target="footer63.xml"/><Relationship Id="rId152" Type="http://schemas.openxmlformats.org/officeDocument/2006/relationships/footer" Target="footer73.xml"/><Relationship Id="rId173" Type="http://schemas.openxmlformats.org/officeDocument/2006/relationships/footer" Target="footer84.xml"/><Relationship Id="rId194" Type="http://schemas.openxmlformats.org/officeDocument/2006/relationships/footer" Target="footer94.xml"/><Relationship Id="rId208" Type="http://schemas.openxmlformats.org/officeDocument/2006/relationships/header" Target="header102.xml"/><Relationship Id="rId229" Type="http://schemas.openxmlformats.org/officeDocument/2006/relationships/header" Target="header113.xml"/><Relationship Id="rId240" Type="http://schemas.openxmlformats.org/officeDocument/2006/relationships/header" Target="header118.xml"/><Relationship Id="rId261" Type="http://schemas.openxmlformats.org/officeDocument/2006/relationships/footer" Target="footer128.xml"/><Relationship Id="rId14" Type="http://schemas.openxmlformats.org/officeDocument/2006/relationships/footer" Target="footer4.xml"/><Relationship Id="rId35" Type="http://schemas.openxmlformats.org/officeDocument/2006/relationships/footer" Target="footer15.xml"/><Relationship Id="rId56" Type="http://schemas.openxmlformats.org/officeDocument/2006/relationships/footer" Target="footer25.xml"/><Relationship Id="rId77" Type="http://schemas.openxmlformats.org/officeDocument/2006/relationships/footer" Target="footer36.xml"/><Relationship Id="rId100" Type="http://schemas.openxmlformats.org/officeDocument/2006/relationships/header" Target="header48.xml"/><Relationship Id="rId282" Type="http://schemas.openxmlformats.org/officeDocument/2006/relationships/header" Target="header139.xml"/><Relationship Id="rId8" Type="http://schemas.openxmlformats.org/officeDocument/2006/relationships/footer" Target="footer1.xml"/><Relationship Id="rId98" Type="http://schemas.openxmlformats.org/officeDocument/2006/relationships/footer" Target="footer46.xml"/><Relationship Id="rId121" Type="http://schemas.openxmlformats.org/officeDocument/2006/relationships/header" Target="header59.xml"/><Relationship Id="rId142" Type="http://schemas.openxmlformats.org/officeDocument/2006/relationships/header" Target="header69.xml"/><Relationship Id="rId163" Type="http://schemas.openxmlformats.org/officeDocument/2006/relationships/header" Target="header80.xml"/><Relationship Id="rId184" Type="http://schemas.openxmlformats.org/officeDocument/2006/relationships/header" Target="header90.xml"/><Relationship Id="rId219" Type="http://schemas.openxmlformats.org/officeDocument/2006/relationships/footer" Target="footer107.xml"/><Relationship Id="rId230" Type="http://schemas.openxmlformats.org/officeDocument/2006/relationships/footer" Target="footer112.xml"/><Relationship Id="rId251" Type="http://schemas.openxmlformats.org/officeDocument/2006/relationships/footer" Target="footer123.xml"/><Relationship Id="rId25" Type="http://schemas.openxmlformats.org/officeDocument/2006/relationships/header" Target="header11.xml"/><Relationship Id="rId46" Type="http://schemas.openxmlformats.org/officeDocument/2006/relationships/header" Target="header21.xml"/><Relationship Id="rId67" Type="http://schemas.openxmlformats.org/officeDocument/2006/relationships/header" Target="header32.xml"/><Relationship Id="rId272" Type="http://schemas.openxmlformats.org/officeDocument/2006/relationships/footer" Target="footer133.xml"/><Relationship Id="rId293" Type="http://schemas.openxmlformats.org/officeDocument/2006/relationships/footer" Target="footer144.xml"/><Relationship Id="rId307" Type="http://schemas.openxmlformats.org/officeDocument/2006/relationships/theme" Target="theme/theme1.xml"/><Relationship Id="rId88" Type="http://schemas.openxmlformats.org/officeDocument/2006/relationships/header" Target="header42.xml"/><Relationship Id="rId111" Type="http://schemas.openxmlformats.org/officeDocument/2006/relationships/footer" Target="footer53.xml"/><Relationship Id="rId132" Type="http://schemas.openxmlformats.org/officeDocument/2006/relationships/header" Target="header64.xml"/><Relationship Id="rId153" Type="http://schemas.openxmlformats.org/officeDocument/2006/relationships/footer" Target="footer74.xml"/><Relationship Id="rId174" Type="http://schemas.openxmlformats.org/officeDocument/2006/relationships/header" Target="header85.xml"/><Relationship Id="rId195" Type="http://schemas.openxmlformats.org/officeDocument/2006/relationships/footer" Target="footer95.xml"/><Relationship Id="rId209" Type="http://schemas.openxmlformats.org/officeDocument/2006/relationships/footer" Target="footer102.xml"/><Relationship Id="rId220" Type="http://schemas.openxmlformats.org/officeDocument/2006/relationships/header" Target="header108.xml"/><Relationship Id="rId241" Type="http://schemas.openxmlformats.org/officeDocument/2006/relationships/header" Target="header119.xml"/><Relationship Id="rId15" Type="http://schemas.openxmlformats.org/officeDocument/2006/relationships/footer" Target="footer5.xml"/><Relationship Id="rId36" Type="http://schemas.openxmlformats.org/officeDocument/2006/relationships/header" Target="header16.xml"/><Relationship Id="rId57" Type="http://schemas.openxmlformats.org/officeDocument/2006/relationships/footer" Target="footer26.xml"/><Relationship Id="rId262" Type="http://schemas.openxmlformats.org/officeDocument/2006/relationships/header" Target="header129.xml"/><Relationship Id="rId283" Type="http://schemas.openxmlformats.org/officeDocument/2006/relationships/header" Target="header140.xml"/><Relationship Id="rId78" Type="http://schemas.openxmlformats.org/officeDocument/2006/relationships/header" Target="header37.xml"/><Relationship Id="rId99" Type="http://schemas.openxmlformats.org/officeDocument/2006/relationships/footer" Target="footer47.xml"/><Relationship Id="rId101" Type="http://schemas.openxmlformats.org/officeDocument/2006/relationships/footer" Target="footer48.xml"/><Relationship Id="rId122" Type="http://schemas.openxmlformats.org/officeDocument/2006/relationships/footer" Target="footer58.xml"/><Relationship Id="rId143" Type="http://schemas.openxmlformats.org/officeDocument/2006/relationships/footer" Target="footer69.xml"/><Relationship Id="rId164" Type="http://schemas.openxmlformats.org/officeDocument/2006/relationships/footer" Target="footer79.xml"/><Relationship Id="rId185" Type="http://schemas.openxmlformats.org/officeDocument/2006/relationships/footer" Target="footer90.xml"/><Relationship Id="rId9" Type="http://schemas.openxmlformats.org/officeDocument/2006/relationships/footer" Target="footer2.xml"/><Relationship Id="rId210" Type="http://schemas.openxmlformats.org/officeDocument/2006/relationships/header" Target="header103.xml"/><Relationship Id="rId26" Type="http://schemas.openxmlformats.org/officeDocument/2006/relationships/footer" Target="footer10.xml"/><Relationship Id="rId231" Type="http://schemas.openxmlformats.org/officeDocument/2006/relationships/footer" Target="footer113.xml"/><Relationship Id="rId252" Type="http://schemas.openxmlformats.org/officeDocument/2006/relationships/header" Target="header124.xml"/><Relationship Id="rId273" Type="http://schemas.openxmlformats.org/officeDocument/2006/relationships/footer" Target="footer134.xml"/><Relationship Id="rId294" Type="http://schemas.openxmlformats.org/officeDocument/2006/relationships/header" Target="header145.xml"/><Relationship Id="rId47" Type="http://schemas.openxmlformats.org/officeDocument/2006/relationships/footer" Target="footer21.xml"/><Relationship Id="rId68" Type="http://schemas.openxmlformats.org/officeDocument/2006/relationships/footer" Target="footer31.xml"/><Relationship Id="rId89" Type="http://schemas.openxmlformats.org/officeDocument/2006/relationships/footer" Target="footer42.xml"/><Relationship Id="rId112" Type="http://schemas.openxmlformats.org/officeDocument/2006/relationships/header" Target="header54.xml"/><Relationship Id="rId133" Type="http://schemas.openxmlformats.org/officeDocument/2006/relationships/header" Target="header65.xml"/><Relationship Id="rId154" Type="http://schemas.openxmlformats.org/officeDocument/2006/relationships/header" Target="header75.xml"/><Relationship Id="rId175" Type="http://schemas.openxmlformats.org/officeDocument/2006/relationships/header" Target="header86.xml"/><Relationship Id="rId196" Type="http://schemas.openxmlformats.org/officeDocument/2006/relationships/header" Target="header96.xml"/><Relationship Id="rId200" Type="http://schemas.openxmlformats.org/officeDocument/2006/relationships/footer" Target="footer97.xml"/><Relationship Id="rId16" Type="http://schemas.openxmlformats.org/officeDocument/2006/relationships/header" Target="header6.xml"/><Relationship Id="rId221" Type="http://schemas.openxmlformats.org/officeDocument/2006/relationships/footer" Target="footer108.xml"/><Relationship Id="rId242" Type="http://schemas.openxmlformats.org/officeDocument/2006/relationships/footer" Target="footer118.xml"/><Relationship Id="rId263" Type="http://schemas.openxmlformats.org/officeDocument/2006/relationships/footer" Target="footer129.xml"/><Relationship Id="rId284" Type="http://schemas.openxmlformats.org/officeDocument/2006/relationships/footer" Target="footer139.xml"/><Relationship Id="rId37" Type="http://schemas.openxmlformats.org/officeDocument/2006/relationships/header" Target="header17.xml"/><Relationship Id="rId58" Type="http://schemas.openxmlformats.org/officeDocument/2006/relationships/header" Target="header27.xml"/><Relationship Id="rId79" Type="http://schemas.openxmlformats.org/officeDocument/2006/relationships/header" Target="header38.xml"/><Relationship Id="rId102" Type="http://schemas.openxmlformats.org/officeDocument/2006/relationships/header" Target="header49.xml"/><Relationship Id="rId123" Type="http://schemas.openxmlformats.org/officeDocument/2006/relationships/footer" Target="footer59.xml"/><Relationship Id="rId144" Type="http://schemas.openxmlformats.org/officeDocument/2006/relationships/header" Target="header70.xml"/><Relationship Id="rId90" Type="http://schemas.openxmlformats.org/officeDocument/2006/relationships/header" Target="header43.xml"/><Relationship Id="rId165" Type="http://schemas.openxmlformats.org/officeDocument/2006/relationships/footer" Target="footer80.xml"/><Relationship Id="rId186" Type="http://schemas.openxmlformats.org/officeDocument/2006/relationships/header" Target="header91.xml"/><Relationship Id="rId211" Type="http://schemas.openxmlformats.org/officeDocument/2006/relationships/header" Target="header104.xml"/><Relationship Id="rId232" Type="http://schemas.openxmlformats.org/officeDocument/2006/relationships/header" Target="header114.xml"/><Relationship Id="rId253" Type="http://schemas.openxmlformats.org/officeDocument/2006/relationships/header" Target="header125.xml"/><Relationship Id="rId274" Type="http://schemas.openxmlformats.org/officeDocument/2006/relationships/header" Target="header135.xml"/><Relationship Id="rId295" Type="http://schemas.openxmlformats.org/officeDocument/2006/relationships/header" Target="header146.xml"/><Relationship Id="rId27" Type="http://schemas.openxmlformats.org/officeDocument/2006/relationships/footer" Target="footer11.xml"/><Relationship Id="rId48" Type="http://schemas.openxmlformats.org/officeDocument/2006/relationships/header" Target="header22.xml"/><Relationship Id="rId69" Type="http://schemas.openxmlformats.org/officeDocument/2006/relationships/footer" Target="footer32.xml"/><Relationship Id="rId113" Type="http://schemas.openxmlformats.org/officeDocument/2006/relationships/footer" Target="footer54.xml"/><Relationship Id="rId134" Type="http://schemas.openxmlformats.org/officeDocument/2006/relationships/footer" Target="footer64.xml"/><Relationship Id="rId80" Type="http://schemas.openxmlformats.org/officeDocument/2006/relationships/footer" Target="footer37.xml"/><Relationship Id="rId155" Type="http://schemas.openxmlformats.org/officeDocument/2006/relationships/footer" Target="footer75.xml"/><Relationship Id="rId176" Type="http://schemas.openxmlformats.org/officeDocument/2006/relationships/footer" Target="footer85.xml"/><Relationship Id="rId197" Type="http://schemas.openxmlformats.org/officeDocument/2006/relationships/footer" Target="footer96.xml"/><Relationship Id="rId201" Type="http://schemas.openxmlformats.org/officeDocument/2006/relationships/footer" Target="footer98.xml"/><Relationship Id="rId222" Type="http://schemas.openxmlformats.org/officeDocument/2006/relationships/header" Target="header109.xml"/><Relationship Id="rId243" Type="http://schemas.openxmlformats.org/officeDocument/2006/relationships/footer" Target="footer119.xml"/><Relationship Id="rId264" Type="http://schemas.openxmlformats.org/officeDocument/2006/relationships/header" Target="header130.xml"/><Relationship Id="rId285" Type="http://schemas.openxmlformats.org/officeDocument/2006/relationships/footer" Target="footer140.xml"/><Relationship Id="rId17" Type="http://schemas.openxmlformats.org/officeDocument/2006/relationships/footer" Target="footer6.xml"/><Relationship Id="rId38" Type="http://schemas.openxmlformats.org/officeDocument/2006/relationships/footer" Target="footer16.xml"/><Relationship Id="rId59" Type="http://schemas.openxmlformats.org/officeDocument/2006/relationships/footer" Target="footer27.xml"/><Relationship Id="rId103" Type="http://schemas.openxmlformats.org/officeDocument/2006/relationships/header" Target="header50.xml"/><Relationship Id="rId124" Type="http://schemas.openxmlformats.org/officeDocument/2006/relationships/header" Target="header60.xml"/><Relationship Id="rId70" Type="http://schemas.openxmlformats.org/officeDocument/2006/relationships/header" Target="header33.xml"/><Relationship Id="rId91" Type="http://schemas.openxmlformats.org/officeDocument/2006/relationships/header" Target="header44.xml"/><Relationship Id="rId145" Type="http://schemas.openxmlformats.org/officeDocument/2006/relationships/header" Target="header71.xml"/><Relationship Id="rId166" Type="http://schemas.openxmlformats.org/officeDocument/2006/relationships/header" Target="header81.xml"/><Relationship Id="rId187" Type="http://schemas.openxmlformats.org/officeDocument/2006/relationships/header" Target="header92.xml"/><Relationship Id="rId1" Type="http://schemas.openxmlformats.org/officeDocument/2006/relationships/styles" Target="styles.xml"/><Relationship Id="rId212" Type="http://schemas.openxmlformats.org/officeDocument/2006/relationships/footer" Target="footer103.xml"/><Relationship Id="rId233" Type="http://schemas.openxmlformats.org/officeDocument/2006/relationships/footer" Target="footer114.xml"/><Relationship Id="rId254" Type="http://schemas.openxmlformats.org/officeDocument/2006/relationships/footer" Target="footer124.xml"/><Relationship Id="rId28" Type="http://schemas.openxmlformats.org/officeDocument/2006/relationships/header" Target="header12.xml"/><Relationship Id="rId49" Type="http://schemas.openxmlformats.org/officeDocument/2006/relationships/header" Target="header23.xml"/><Relationship Id="rId114" Type="http://schemas.openxmlformats.org/officeDocument/2006/relationships/header" Target="header55.xml"/><Relationship Id="rId275" Type="http://schemas.openxmlformats.org/officeDocument/2006/relationships/footer" Target="footer135.xml"/><Relationship Id="rId296" Type="http://schemas.openxmlformats.org/officeDocument/2006/relationships/footer" Target="footer145.xml"/><Relationship Id="rId300" Type="http://schemas.openxmlformats.org/officeDocument/2006/relationships/header" Target="header148.xml"/><Relationship Id="rId60" Type="http://schemas.openxmlformats.org/officeDocument/2006/relationships/header" Target="header28.xml"/><Relationship Id="rId81" Type="http://schemas.openxmlformats.org/officeDocument/2006/relationships/footer" Target="footer38.xml"/><Relationship Id="rId135" Type="http://schemas.openxmlformats.org/officeDocument/2006/relationships/footer" Target="footer65.xml"/><Relationship Id="rId156" Type="http://schemas.openxmlformats.org/officeDocument/2006/relationships/header" Target="header76.xml"/><Relationship Id="rId177" Type="http://schemas.openxmlformats.org/officeDocument/2006/relationships/footer" Target="footer86.xml"/><Relationship Id="rId198" Type="http://schemas.openxmlformats.org/officeDocument/2006/relationships/header" Target="header97.xml"/><Relationship Id="rId202" Type="http://schemas.openxmlformats.org/officeDocument/2006/relationships/header" Target="header99.xml"/><Relationship Id="rId223" Type="http://schemas.openxmlformats.org/officeDocument/2006/relationships/header" Target="header110.xml"/><Relationship Id="rId244" Type="http://schemas.openxmlformats.org/officeDocument/2006/relationships/header" Target="header120.xml"/><Relationship Id="rId18" Type="http://schemas.openxmlformats.org/officeDocument/2006/relationships/header" Target="header7.xml"/><Relationship Id="rId39" Type="http://schemas.openxmlformats.org/officeDocument/2006/relationships/footer" Target="footer17.xml"/><Relationship Id="rId265" Type="http://schemas.openxmlformats.org/officeDocument/2006/relationships/header" Target="header131.xml"/><Relationship Id="rId286" Type="http://schemas.openxmlformats.org/officeDocument/2006/relationships/header" Target="header141.xml"/><Relationship Id="rId50" Type="http://schemas.openxmlformats.org/officeDocument/2006/relationships/footer" Target="footer22.xml"/><Relationship Id="rId104" Type="http://schemas.openxmlformats.org/officeDocument/2006/relationships/footer" Target="footer49.xml"/><Relationship Id="rId125" Type="http://schemas.openxmlformats.org/officeDocument/2006/relationships/footer" Target="footer60.xml"/><Relationship Id="rId146" Type="http://schemas.openxmlformats.org/officeDocument/2006/relationships/footer" Target="footer70.xml"/><Relationship Id="rId167" Type="http://schemas.openxmlformats.org/officeDocument/2006/relationships/footer" Target="footer81.xml"/><Relationship Id="rId188" Type="http://schemas.openxmlformats.org/officeDocument/2006/relationships/footer" Target="footer91.xml"/><Relationship Id="rId71" Type="http://schemas.openxmlformats.org/officeDocument/2006/relationships/footer" Target="footer33.xml"/><Relationship Id="rId92" Type="http://schemas.openxmlformats.org/officeDocument/2006/relationships/footer" Target="footer43.xml"/><Relationship Id="rId213" Type="http://schemas.openxmlformats.org/officeDocument/2006/relationships/footer" Target="footer104.xml"/><Relationship Id="rId234" Type="http://schemas.openxmlformats.org/officeDocument/2006/relationships/header" Target="header115.xml"/><Relationship Id="rId2" Type="http://schemas.openxmlformats.org/officeDocument/2006/relationships/settings" Target="settings.xml"/><Relationship Id="rId29" Type="http://schemas.openxmlformats.org/officeDocument/2006/relationships/footer" Target="footer12.xml"/><Relationship Id="rId255" Type="http://schemas.openxmlformats.org/officeDocument/2006/relationships/footer" Target="footer125.xml"/><Relationship Id="rId276" Type="http://schemas.openxmlformats.org/officeDocument/2006/relationships/header" Target="header136.xml"/><Relationship Id="rId297" Type="http://schemas.openxmlformats.org/officeDocument/2006/relationships/footer" Target="footer146.xml"/><Relationship Id="rId40" Type="http://schemas.openxmlformats.org/officeDocument/2006/relationships/header" Target="header18.xml"/><Relationship Id="rId115" Type="http://schemas.openxmlformats.org/officeDocument/2006/relationships/header" Target="header56.xml"/><Relationship Id="rId136" Type="http://schemas.openxmlformats.org/officeDocument/2006/relationships/header" Target="header66.xml"/><Relationship Id="rId157" Type="http://schemas.openxmlformats.org/officeDocument/2006/relationships/header" Target="header77.xml"/><Relationship Id="rId178" Type="http://schemas.openxmlformats.org/officeDocument/2006/relationships/header" Target="header87.xml"/><Relationship Id="rId301" Type="http://schemas.openxmlformats.org/officeDocument/2006/relationships/header" Target="header149.xml"/><Relationship Id="rId61" Type="http://schemas.openxmlformats.org/officeDocument/2006/relationships/header" Target="header29.xml"/><Relationship Id="rId82" Type="http://schemas.openxmlformats.org/officeDocument/2006/relationships/header" Target="header39.xml"/><Relationship Id="rId199" Type="http://schemas.openxmlformats.org/officeDocument/2006/relationships/header" Target="header98.xml"/><Relationship Id="rId203" Type="http://schemas.openxmlformats.org/officeDocument/2006/relationships/footer" Target="footer99.xml"/><Relationship Id="rId19" Type="http://schemas.openxmlformats.org/officeDocument/2006/relationships/header" Target="header8.xml"/><Relationship Id="rId224" Type="http://schemas.openxmlformats.org/officeDocument/2006/relationships/footer" Target="footer109.xml"/><Relationship Id="rId245" Type="http://schemas.openxmlformats.org/officeDocument/2006/relationships/footer" Target="footer120.xml"/><Relationship Id="rId266" Type="http://schemas.openxmlformats.org/officeDocument/2006/relationships/footer" Target="footer130.xml"/><Relationship Id="rId287" Type="http://schemas.openxmlformats.org/officeDocument/2006/relationships/footer" Target="footer141.xml"/><Relationship Id="rId30" Type="http://schemas.openxmlformats.org/officeDocument/2006/relationships/header" Target="header13.xml"/><Relationship Id="rId105" Type="http://schemas.openxmlformats.org/officeDocument/2006/relationships/footer" Target="footer50.xml"/><Relationship Id="rId126" Type="http://schemas.openxmlformats.org/officeDocument/2006/relationships/header" Target="header61.xml"/><Relationship Id="rId147" Type="http://schemas.openxmlformats.org/officeDocument/2006/relationships/footer" Target="footer71.xml"/><Relationship Id="rId168" Type="http://schemas.openxmlformats.org/officeDocument/2006/relationships/header" Target="header82.xml"/><Relationship Id="rId51" Type="http://schemas.openxmlformats.org/officeDocument/2006/relationships/footer" Target="footer23.xml"/><Relationship Id="rId72" Type="http://schemas.openxmlformats.org/officeDocument/2006/relationships/header" Target="header34.xml"/><Relationship Id="rId93" Type="http://schemas.openxmlformats.org/officeDocument/2006/relationships/footer" Target="footer44.xml"/><Relationship Id="rId189" Type="http://schemas.openxmlformats.org/officeDocument/2006/relationships/footer" Target="footer92.xml"/><Relationship Id="rId3" Type="http://schemas.openxmlformats.org/officeDocument/2006/relationships/webSettings" Target="webSettings.xml"/><Relationship Id="rId214" Type="http://schemas.openxmlformats.org/officeDocument/2006/relationships/header" Target="header105.xml"/><Relationship Id="rId235" Type="http://schemas.openxmlformats.org/officeDocument/2006/relationships/header" Target="header116.xml"/><Relationship Id="rId256" Type="http://schemas.openxmlformats.org/officeDocument/2006/relationships/header" Target="header126.xml"/><Relationship Id="rId277" Type="http://schemas.openxmlformats.org/officeDocument/2006/relationships/header" Target="header137.xml"/><Relationship Id="rId298" Type="http://schemas.openxmlformats.org/officeDocument/2006/relationships/header" Target="header147.xml"/><Relationship Id="rId116" Type="http://schemas.openxmlformats.org/officeDocument/2006/relationships/footer" Target="footer55.xml"/><Relationship Id="rId137" Type="http://schemas.openxmlformats.org/officeDocument/2006/relationships/footer" Target="footer66.xml"/><Relationship Id="rId158" Type="http://schemas.openxmlformats.org/officeDocument/2006/relationships/footer" Target="footer76.xml"/><Relationship Id="rId302" Type="http://schemas.openxmlformats.org/officeDocument/2006/relationships/footer" Target="footer148.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footer" Target="footer28.xml"/><Relationship Id="rId83" Type="http://schemas.openxmlformats.org/officeDocument/2006/relationships/footer" Target="footer39.xml"/><Relationship Id="rId179" Type="http://schemas.openxmlformats.org/officeDocument/2006/relationships/footer" Target="footer87.xml"/><Relationship Id="rId190" Type="http://schemas.openxmlformats.org/officeDocument/2006/relationships/header" Target="header93.xml"/><Relationship Id="rId204" Type="http://schemas.openxmlformats.org/officeDocument/2006/relationships/header" Target="header100.xml"/><Relationship Id="rId225" Type="http://schemas.openxmlformats.org/officeDocument/2006/relationships/footer" Target="footer110.xml"/><Relationship Id="rId246" Type="http://schemas.openxmlformats.org/officeDocument/2006/relationships/header" Target="header121.xml"/><Relationship Id="rId267" Type="http://schemas.openxmlformats.org/officeDocument/2006/relationships/footer" Target="footer131.xml"/><Relationship Id="rId288" Type="http://schemas.openxmlformats.org/officeDocument/2006/relationships/header" Target="header142.xml"/><Relationship Id="rId106" Type="http://schemas.openxmlformats.org/officeDocument/2006/relationships/header" Target="header51.xml"/><Relationship Id="rId127" Type="http://schemas.openxmlformats.org/officeDocument/2006/relationships/header" Target="header62.xml"/><Relationship Id="rId10" Type="http://schemas.openxmlformats.org/officeDocument/2006/relationships/header" Target="header3.xml"/><Relationship Id="rId31" Type="http://schemas.openxmlformats.org/officeDocument/2006/relationships/header" Target="header14.xml"/><Relationship Id="rId52" Type="http://schemas.openxmlformats.org/officeDocument/2006/relationships/header" Target="header24.xml"/><Relationship Id="rId73" Type="http://schemas.openxmlformats.org/officeDocument/2006/relationships/header" Target="header35.xml"/><Relationship Id="rId94" Type="http://schemas.openxmlformats.org/officeDocument/2006/relationships/header" Target="header45.xml"/><Relationship Id="rId148" Type="http://schemas.openxmlformats.org/officeDocument/2006/relationships/header" Target="header72.xml"/><Relationship Id="rId169" Type="http://schemas.openxmlformats.org/officeDocument/2006/relationships/header" Target="header83.xml"/><Relationship Id="rId4" Type="http://schemas.openxmlformats.org/officeDocument/2006/relationships/footnotes" Target="footnotes.xml"/><Relationship Id="rId180" Type="http://schemas.openxmlformats.org/officeDocument/2006/relationships/header" Target="header88.xml"/><Relationship Id="rId215" Type="http://schemas.openxmlformats.org/officeDocument/2006/relationships/footer" Target="footer105.xml"/><Relationship Id="rId236" Type="http://schemas.openxmlformats.org/officeDocument/2006/relationships/footer" Target="footer115.xml"/><Relationship Id="rId257" Type="http://schemas.openxmlformats.org/officeDocument/2006/relationships/footer" Target="footer126.xml"/><Relationship Id="rId278" Type="http://schemas.openxmlformats.org/officeDocument/2006/relationships/footer" Target="footer136.xml"/><Relationship Id="rId303" Type="http://schemas.openxmlformats.org/officeDocument/2006/relationships/footer" Target="footer149.xml"/><Relationship Id="rId42" Type="http://schemas.openxmlformats.org/officeDocument/2006/relationships/header" Target="header19.xml"/><Relationship Id="rId84" Type="http://schemas.openxmlformats.org/officeDocument/2006/relationships/header" Target="header40.xml"/><Relationship Id="rId138" Type="http://schemas.openxmlformats.org/officeDocument/2006/relationships/header" Target="header67.xml"/><Relationship Id="rId191" Type="http://schemas.openxmlformats.org/officeDocument/2006/relationships/footer" Target="footer93.xml"/><Relationship Id="rId205" Type="http://schemas.openxmlformats.org/officeDocument/2006/relationships/header" Target="header101.xml"/><Relationship Id="rId247" Type="http://schemas.openxmlformats.org/officeDocument/2006/relationships/header" Target="header122.xml"/><Relationship Id="rId107" Type="http://schemas.openxmlformats.org/officeDocument/2006/relationships/footer" Target="footer51.xml"/><Relationship Id="rId289" Type="http://schemas.openxmlformats.org/officeDocument/2006/relationships/header" Target="header143.xml"/><Relationship Id="rId11" Type="http://schemas.openxmlformats.org/officeDocument/2006/relationships/footer" Target="footer3.xml"/><Relationship Id="rId53" Type="http://schemas.openxmlformats.org/officeDocument/2006/relationships/footer" Target="footer24.xml"/><Relationship Id="rId149" Type="http://schemas.openxmlformats.org/officeDocument/2006/relationships/footer" Target="footer72.xml"/><Relationship Id="rId95" Type="http://schemas.openxmlformats.org/officeDocument/2006/relationships/footer" Target="footer45.xml"/><Relationship Id="rId160" Type="http://schemas.openxmlformats.org/officeDocument/2006/relationships/header" Target="header78.xml"/><Relationship Id="rId216" Type="http://schemas.openxmlformats.org/officeDocument/2006/relationships/header" Target="header106.xml"/><Relationship Id="rId258" Type="http://schemas.openxmlformats.org/officeDocument/2006/relationships/header" Target="header127.xml"/><Relationship Id="rId22" Type="http://schemas.openxmlformats.org/officeDocument/2006/relationships/header" Target="header9.xml"/><Relationship Id="rId64" Type="http://schemas.openxmlformats.org/officeDocument/2006/relationships/header" Target="header30.xml"/><Relationship Id="rId118" Type="http://schemas.openxmlformats.org/officeDocument/2006/relationships/header" Target="header57.xml"/><Relationship Id="rId171" Type="http://schemas.openxmlformats.org/officeDocument/2006/relationships/footer" Target="footer83.xml"/><Relationship Id="rId227" Type="http://schemas.openxmlformats.org/officeDocument/2006/relationships/footer" Target="footer111.xml"/><Relationship Id="rId269" Type="http://schemas.openxmlformats.org/officeDocument/2006/relationships/footer" Target="footer132.xml"/><Relationship Id="rId33" Type="http://schemas.openxmlformats.org/officeDocument/2006/relationships/footer" Target="footer14.xml"/><Relationship Id="rId129" Type="http://schemas.openxmlformats.org/officeDocument/2006/relationships/footer" Target="footer62.xml"/><Relationship Id="rId280" Type="http://schemas.openxmlformats.org/officeDocument/2006/relationships/header" Target="header138.xml"/><Relationship Id="rId75" Type="http://schemas.openxmlformats.org/officeDocument/2006/relationships/footer" Target="footer35.xml"/><Relationship Id="rId140" Type="http://schemas.openxmlformats.org/officeDocument/2006/relationships/footer" Target="footer67.xml"/><Relationship Id="rId182" Type="http://schemas.openxmlformats.org/officeDocument/2006/relationships/footer" Target="footer88.xml"/><Relationship Id="rId6" Type="http://schemas.openxmlformats.org/officeDocument/2006/relationships/header" Target="header1.xml"/><Relationship Id="rId238" Type="http://schemas.openxmlformats.org/officeDocument/2006/relationships/header" Target="header1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228101</Words>
  <Characters>1300181</Characters>
  <Application>Microsoft Office Word</Application>
  <DocSecurity>0</DocSecurity>
  <Lines>10834</Lines>
  <Paragraphs>3050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Matheis v. CSL Plasma, Inc., 936 F.3d 171</dc:title>
  <dc:creator>Connor Mitchell</dc:creator>
  <cp:lastModifiedBy>Connor Mitchell</cp:lastModifiedBy>
  <cp:revision>3</cp:revision>
  <dcterms:created xsi:type="dcterms:W3CDTF">2023-08-29T15:29:00Z</dcterms:created>
  <dcterms:modified xsi:type="dcterms:W3CDTF">2023-08-29T15:29:00Z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204596822</vt:lpwstr>
  </property>
  <property fmtid="{D5CDD505-2E9C-101B-9397-08002B2CF9AE}" pid="3" name="LADocCount">
    <vt:i4>50</vt:i4>
  </property>
  <property fmtid="{D5CDD505-2E9C-101B-9397-08002B2CF9AE}" pid="4" name="LADocumentID:urn:contentItem:5WXW-FWJ1-JBT7-X0DP-00000-00">
    <vt:lpwstr>Doc::/shared/document|contextualFeaturePermID::1521360</vt:lpwstr>
  </property>
  <property fmtid="{D5CDD505-2E9C-101B-9397-08002B2CF9AE}" pid="5" name="LADocumentID:urn:contentItem:5X44-SCR1-FBV7-B2NJ-00000-00">
    <vt:lpwstr>Doc::/shared/document|contextualFeaturePermID::1521360</vt:lpwstr>
  </property>
  <property fmtid="{D5CDD505-2E9C-101B-9397-08002B2CF9AE}" pid="6" name="LADocumentID:urn:contentItem:5X5X-6581-JYYX-61BR-00000-00">
    <vt:lpwstr>Doc::/shared/document|contextualFeaturePermID::1521360</vt:lpwstr>
  </property>
  <property fmtid="{D5CDD505-2E9C-101B-9397-08002B2CF9AE}" pid="7" name="LADocumentID:urn:contentItem:5X76-TF71-JSC5-M4KT-00000-00">
    <vt:lpwstr>Doc::/shared/document|contextualFeaturePermID::1521360</vt:lpwstr>
  </property>
  <property fmtid="{D5CDD505-2E9C-101B-9397-08002B2CF9AE}" pid="8" name="LADocumentID:urn:contentItem:5XFT-P191-JNCK-229R-00000-00">
    <vt:lpwstr>Doc::/shared/document|contextualFeaturePermID::1521360</vt:lpwstr>
  </property>
  <property fmtid="{D5CDD505-2E9C-101B-9397-08002B2CF9AE}" pid="9" name="LADocumentID:urn:contentItem:5XGW-NSS1-F8KH-X118-00000-00">
    <vt:lpwstr>Doc::/shared/document|contextualFeaturePermID::1521360</vt:lpwstr>
  </property>
  <property fmtid="{D5CDD505-2E9C-101B-9397-08002B2CF9AE}" pid="10" name="LADocumentID:urn:contentItem:5XKW-HM91-F873-B3NW-00000-00">
    <vt:lpwstr>Doc::/shared/document|contextualFeaturePermID::1521360</vt:lpwstr>
  </property>
  <property fmtid="{D5CDD505-2E9C-101B-9397-08002B2CF9AE}" pid="11" name="LADocumentID:urn:contentItem:5XSJ-JWC1-FFTT-X1GK-00000-00">
    <vt:lpwstr>Doc::/shared/document|contextualFeaturePermID::1521360</vt:lpwstr>
  </property>
  <property fmtid="{D5CDD505-2E9C-101B-9397-08002B2CF9AE}" pid="12" name="LADocumentID:urn:contentItem:5XWW-7201-FGCG-S1C8-00000-00">
    <vt:lpwstr>Doc::/shared/document|contextualFeaturePermID::1521360</vt:lpwstr>
  </property>
  <property fmtid="{D5CDD505-2E9C-101B-9397-08002B2CF9AE}" pid="13" name="LADocumentID:urn:contentItem:5Y4S-KKB1-DYV0-G260-00000-00">
    <vt:lpwstr>Doc::/shared/document|contextualFeaturePermID::1521360</vt:lpwstr>
  </property>
  <property fmtid="{D5CDD505-2E9C-101B-9397-08002B2CF9AE}" pid="14" name="LADocumentID:urn:contentItem:5Y87-C1X1-JNY7-X0TK-00000-00">
    <vt:lpwstr>Doc::/shared/document|contextualFeaturePermID::1521360</vt:lpwstr>
  </property>
  <property fmtid="{D5CDD505-2E9C-101B-9397-08002B2CF9AE}" pid="15" name="LADocumentID:urn:contentItem:5Y9P-XC81-F8SS-6063-00000-00">
    <vt:lpwstr>Doc::/shared/document|contextualFeaturePermID::1521360</vt:lpwstr>
  </property>
  <property fmtid="{D5CDD505-2E9C-101B-9397-08002B2CF9AE}" pid="16" name="LADocumentID:urn:contentItem:5YD5-3SX1-JXG3-X082-00000-00">
    <vt:lpwstr>Doc::/shared/document|contextualFeaturePermID::1521360</vt:lpwstr>
  </property>
  <property fmtid="{D5CDD505-2E9C-101B-9397-08002B2CF9AE}" pid="17" name="LADocumentID:urn:contentItem:5YDN-Y7X1-FFTT-X0YC-00000-00">
    <vt:lpwstr>Doc::/shared/document|contextualFeaturePermID::1521360</vt:lpwstr>
  </property>
  <property fmtid="{D5CDD505-2E9C-101B-9397-08002B2CF9AE}" pid="18" name="LADocumentID:urn:contentItem:5YHF-G0K1-JP4G-632W-00000-00">
    <vt:lpwstr>Doc::/shared/document|contextualFeaturePermID::1521360</vt:lpwstr>
  </property>
  <property fmtid="{D5CDD505-2E9C-101B-9397-08002B2CF9AE}" pid="19" name="LADocumentID:urn:contentItem:5YMD-RS01-JX8W-M39N-00000-00">
    <vt:lpwstr>Doc::/shared/document|contextualFeaturePermID::1521360</vt:lpwstr>
  </property>
  <property fmtid="{D5CDD505-2E9C-101B-9397-08002B2CF9AE}" pid="20" name="LADocumentID:urn:contentItem:5YNV-2D01-F016-S0KW-00000-00">
    <vt:lpwstr>Doc::/shared/document|contextualFeaturePermID::1521360</vt:lpwstr>
  </property>
  <property fmtid="{D5CDD505-2E9C-101B-9397-08002B2CF9AE}" pid="21" name="LADocumentID:urn:contentItem:5YR4-37J1-JXG3-X34M-00000-00">
    <vt:lpwstr>Doc::/shared/document|contextualFeaturePermID::1521360</vt:lpwstr>
  </property>
  <property fmtid="{D5CDD505-2E9C-101B-9397-08002B2CF9AE}" pid="22" name="LADocumentID:urn:contentItem:601S-7YB1-F8SS-62T6-00000-00">
    <vt:lpwstr>Doc::/shared/document|contextualFeaturePermID::1521360</vt:lpwstr>
  </property>
  <property fmtid="{D5CDD505-2E9C-101B-9397-08002B2CF9AE}" pid="23" name="LADocumentID:urn:contentItem:605C-4461-JBT7-X23S-00000-00">
    <vt:lpwstr>Doc::/shared/document|contextualFeaturePermID::1521360</vt:lpwstr>
  </property>
  <property fmtid="{D5CDD505-2E9C-101B-9397-08002B2CF9AE}" pid="24" name="LADocumentID:urn:contentItem:608J-NG21-F016-S09J-00000-00">
    <vt:lpwstr>Doc::/shared/document|contextualFeaturePermID::1521360</vt:lpwstr>
  </property>
  <property fmtid="{D5CDD505-2E9C-101B-9397-08002B2CF9AE}" pid="25" name="LADocumentID:urn:contentItem:60BP-VNT1-F22N-X0HM-00000-00">
    <vt:lpwstr>Doc::/shared/document|contextualFeaturePermID::1521360</vt:lpwstr>
  </property>
  <property fmtid="{D5CDD505-2E9C-101B-9397-08002B2CF9AE}" pid="26" name="LADocumentID:urn:contentItem:60T2-NYD1-JG02-S024-00000-00">
    <vt:lpwstr>Doc::/shared/document|contextualFeaturePermID::1521360</vt:lpwstr>
  </property>
  <property fmtid="{D5CDD505-2E9C-101B-9397-08002B2CF9AE}" pid="27" name="LADocumentID:urn:contentItem:60V5-3XV1-F4GK-M05P-00000-00">
    <vt:lpwstr>Doc::/shared/document|contextualFeaturePermID::1521360</vt:lpwstr>
  </property>
  <property fmtid="{D5CDD505-2E9C-101B-9397-08002B2CF9AE}" pid="28" name="LADocumentID:urn:contentItem:60W1-75H1-JNCK-22KN-00000-00">
    <vt:lpwstr>Doc::/shared/document|contextualFeaturePermID::1521360</vt:lpwstr>
  </property>
  <property fmtid="{D5CDD505-2E9C-101B-9397-08002B2CF9AE}" pid="29" name="LADocumentID:urn:contentItem:60Y4-HX51-FK0M-S4R9-00000-00">
    <vt:lpwstr>Doc::/shared/document|contextualFeaturePermID::1521360</vt:lpwstr>
  </property>
  <property fmtid="{D5CDD505-2E9C-101B-9397-08002B2CF9AE}" pid="30" name="LADocumentID:urn:contentItem:615J-4FR1-F1WF-M3F2-00000-00">
    <vt:lpwstr>Doc::/shared/document|contextualFeaturePermID::1521360</vt:lpwstr>
  </property>
  <property fmtid="{D5CDD505-2E9C-101B-9397-08002B2CF9AE}" pid="31" name="LADocumentID:urn:contentItem:615V-BW21-JT42-S45V-00000-00">
    <vt:lpwstr>Doc::/shared/document|contextualFeaturePermID::1521360</vt:lpwstr>
  </property>
  <property fmtid="{D5CDD505-2E9C-101B-9397-08002B2CF9AE}" pid="32" name="LADocumentID:urn:contentItem:6176-VFN1-JGPY-X54B-00000-00">
    <vt:lpwstr>Doc::/shared/document|contextualFeaturePermID::1521360</vt:lpwstr>
  </property>
  <property fmtid="{D5CDD505-2E9C-101B-9397-08002B2CF9AE}" pid="33" name="LADocumentID:urn:contentItem:6189-MCG1-JF75-M20R-00000-00">
    <vt:lpwstr>Doc::/shared/document|contextualFeaturePermID::1521360</vt:lpwstr>
  </property>
  <property fmtid="{D5CDD505-2E9C-101B-9397-08002B2CF9AE}" pid="34" name="LADocumentID:urn:contentItem:61B3-N0G1-FFMK-M1NF-00000-00">
    <vt:lpwstr>Doc::/shared/document|contextualFeaturePermID::1521360</vt:lpwstr>
  </property>
  <property fmtid="{D5CDD505-2E9C-101B-9397-08002B2CF9AE}" pid="35" name="LADocumentID:urn:contentItem:61CY-4HB1-FJTD-G1T4-00000-00">
    <vt:lpwstr>Doc::/shared/document|contextualFeaturePermID::1521360</vt:lpwstr>
  </property>
  <property fmtid="{D5CDD505-2E9C-101B-9397-08002B2CF9AE}" pid="36" name="LADocumentID:urn:contentItem:61GP-7001-JSJC-X4YJ-00000-00">
    <vt:lpwstr>Doc::/shared/document|contextualFeaturePermID::1521360</vt:lpwstr>
  </property>
  <property fmtid="{D5CDD505-2E9C-101B-9397-08002B2CF9AE}" pid="37" name="LADocumentID:urn:contentItem:61VH-B2J1-JNY7-X39D-00000-00">
    <vt:lpwstr>Doc::/shared/document|contextualFeaturePermID::1521360</vt:lpwstr>
  </property>
  <property fmtid="{D5CDD505-2E9C-101B-9397-08002B2CF9AE}" pid="38" name="LADocumentID:urn:contentItem:61X7-7R31-JC0G-60DX-00000-00">
    <vt:lpwstr>Doc::/shared/document|contextualFeaturePermID::1521360</vt:lpwstr>
  </property>
  <property fmtid="{D5CDD505-2E9C-101B-9397-08002B2CF9AE}" pid="39" name="LADocumentID:urn:contentItem:621D-TFS1-JKHB-63WF-00000-00">
    <vt:lpwstr>Doc::/shared/document|contextualFeaturePermID::1521360</vt:lpwstr>
  </property>
  <property fmtid="{D5CDD505-2E9C-101B-9397-08002B2CF9AE}" pid="40" name="LADocumentID:urn:contentItem:626B-4P51-JCRC-B37V-00000-00">
    <vt:lpwstr>Doc::/shared/document|contextualFeaturePermID::1521360</vt:lpwstr>
  </property>
  <property fmtid="{D5CDD505-2E9C-101B-9397-08002B2CF9AE}" pid="41" name="LADocumentID:urn:contentItem:627C-5NH1-F4GK-M2KS-00000-00">
    <vt:lpwstr>Doc::/shared/document|contextualFeaturePermID::1521360</vt:lpwstr>
  </property>
  <property fmtid="{D5CDD505-2E9C-101B-9397-08002B2CF9AE}" pid="42" name="LADocumentID:urn:contentItem:628V-GJN1-JJSF-21G7-00000-00">
    <vt:lpwstr>Doc::/shared/document|contextualFeaturePermID::1521360</vt:lpwstr>
  </property>
  <property fmtid="{D5CDD505-2E9C-101B-9397-08002B2CF9AE}" pid="43" name="LADocumentID:urn:contentItem:62B4-HSF1-F8KH-X1X2-00000-00">
    <vt:lpwstr>Doc::/shared/document|contextualFeaturePermID::1521360</vt:lpwstr>
  </property>
  <property fmtid="{D5CDD505-2E9C-101B-9397-08002B2CF9AE}" pid="44" name="LADocumentID:urn:contentItem:62CW-6WG1-JN6B-S4K7-00000-00">
    <vt:lpwstr>Doc::/shared/document|contextualFeaturePermID::1521360</vt:lpwstr>
  </property>
  <property fmtid="{D5CDD505-2E9C-101B-9397-08002B2CF9AE}" pid="45" name="LADocumentID:urn:contentItem:62FS-00H1-FFTT-X0XD-00000-00">
    <vt:lpwstr>Doc::/shared/document|contextualFeaturePermID::1521360</vt:lpwstr>
  </property>
  <property fmtid="{D5CDD505-2E9C-101B-9397-08002B2CF9AE}" pid="46" name="LADocumentID:urn:contentItem:62JG-8871-JN6B-S0HV-00000-00">
    <vt:lpwstr>Doc::/shared/document|contextualFeaturePermID::1521360</vt:lpwstr>
  </property>
  <property fmtid="{D5CDD505-2E9C-101B-9397-08002B2CF9AE}" pid="47" name="LADocumentID:urn:contentItem:62M7-BV41-JJK6-S3B8-00000-00">
    <vt:lpwstr>Doc::/shared/document|contextualFeaturePermID::1521360</vt:lpwstr>
  </property>
  <property fmtid="{D5CDD505-2E9C-101B-9397-08002B2CF9AE}" pid="48" name="LADocumentID:urn:contentItem:62RW-1XW1-FK0M-S0TW-00000-00">
    <vt:lpwstr>Doc::/shared/document|contextualFeaturePermID::1521360</vt:lpwstr>
  </property>
  <property fmtid="{D5CDD505-2E9C-101B-9397-08002B2CF9AE}" pid="49" name="LADocumentID:urn:contentItem:62SG-SX61-F2MB-S41X-00000-00">
    <vt:lpwstr>Doc::/shared/document|contextualFeaturePermID::1521360</vt:lpwstr>
  </property>
  <property fmtid="{D5CDD505-2E9C-101B-9397-08002B2CF9AE}" pid="50" name="LADocumentID:urn:contentItem:62V1-JC41-JCBX-S0M9-00000-00">
    <vt:lpwstr>Doc::/shared/document|contextualFeaturePermID::1521360</vt:lpwstr>
  </property>
  <property fmtid="{D5CDD505-2E9C-101B-9397-08002B2CF9AE}" pid="51" name="LADocumentID:urn:contentItem:62W3-D8S1-JGHR-M1M0-00000-00">
    <vt:lpwstr>Doc::/shared/document|contextualFeaturePermID::1521360</vt:lpwstr>
  </property>
  <property fmtid="{D5CDD505-2E9C-101B-9397-08002B2CF9AE}" pid="52" name="LADocumentID:urn:contentItem:62XB-B3V1-F8D9-M058-00000-00">
    <vt:lpwstr>Doc::/shared/document|contextualFeaturePermID::1521360</vt:lpwstr>
  </property>
  <property fmtid="{D5CDD505-2E9C-101B-9397-08002B2CF9AE}" pid="53" name="LADocumentID:urn:contentItem:631R-MYD1-JC5P-G555-00000-00">
    <vt:lpwstr>Doc::/shared/document|contextualFeaturePermID::1521360</vt:lpwstr>
  </property>
  <property fmtid="{D5CDD505-2E9C-101B-9397-08002B2CF9AE}" pid="54" name="UserPermID">
    <vt:lpwstr>urn:user:PA191081579</vt:lpwstr>
  </property>
</Properties>
</file>